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396875</wp:posOffset>
            </wp:positionH>
            <wp:positionV relativeFrom="page">
              <wp:posOffset>628015</wp:posOffset>
            </wp:positionV>
            <wp:extent cx="6755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576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585470</wp:posOffset>
            </wp:positionV>
            <wp:extent cx="67557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765" cy="1714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11"/>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86360</wp:posOffset>
            </wp:positionV>
            <wp:extent cx="2277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50" w:lineRule="exact"/>
        <w:rPr>
          <w:sz w:val="24"/>
          <w:szCs w:val="24"/>
          <w:color w:val="auto"/>
        </w:rPr>
      </w:pPr>
    </w:p>
    <w:p>
      <w:pPr>
        <w:jc w:val="center"/>
        <w:ind w:right="88"/>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58420</wp:posOffset>
            </wp:positionV>
            <wp:extent cx="2277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359" w:lineRule="exact"/>
        <w:rPr>
          <w:sz w:val="24"/>
          <w:szCs w:val="24"/>
          <w:color w:val="auto"/>
        </w:rPr>
      </w:pPr>
    </w:p>
    <w:p>
      <w:pPr>
        <w:ind w:left="632" w:hanging="614"/>
        <w:spacing w:after="0"/>
        <w:tabs>
          <w:tab w:leader="none" w:pos="632"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79" w:lineRule="exact"/>
        <w:rPr>
          <w:sz w:val="24"/>
          <w:szCs w:val="24"/>
          <w:color w:val="auto"/>
        </w:rPr>
      </w:pPr>
    </w:p>
    <w:p>
      <w:pPr>
        <w:ind w:left="452"/>
        <w:spacing w:after="0"/>
        <w:rPr>
          <w:sz w:val="20"/>
          <w:szCs w:val="20"/>
          <w:color w:val="auto"/>
        </w:rPr>
      </w:pPr>
      <w:r>
        <w:rPr>
          <w:rFonts w:ascii="Arial" w:cs="Arial" w:eastAsia="Arial" w:hAnsi="Arial"/>
          <w:sz w:val="18"/>
          <w:szCs w:val="18"/>
          <w:b w:val="1"/>
          <w:bCs w:val="1"/>
          <w:color w:val="auto"/>
        </w:rPr>
        <w:t>For the Fiscal Year Ended December 31, 2024</w:t>
      </w:r>
    </w:p>
    <w:p>
      <w:pPr>
        <w:spacing w:after="0" w:line="287" w:lineRule="exact"/>
        <w:rPr>
          <w:sz w:val="24"/>
          <w:szCs w:val="24"/>
          <w:color w:val="auto"/>
        </w:rPr>
      </w:pPr>
    </w:p>
    <w:p>
      <w:pPr>
        <w:ind w:left="632" w:hanging="614"/>
        <w:spacing w:after="0"/>
        <w:tabs>
          <w:tab w:leader="none" w:pos="632"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3" w:lineRule="exact"/>
        <w:rPr>
          <w:sz w:val="24"/>
          <w:szCs w:val="24"/>
          <w:color w:val="auto"/>
        </w:rPr>
      </w:pPr>
    </w:p>
    <w:p>
      <w:pPr>
        <w:ind w:left="452"/>
        <w:spacing w:after="0"/>
        <w:tabs>
          <w:tab w:leader="none" w:pos="4352"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11"/>
        <w:spacing w:after="0"/>
        <w:rPr>
          <w:sz w:val="20"/>
          <w:szCs w:val="20"/>
          <w:color w:val="auto"/>
        </w:rPr>
      </w:pPr>
      <w:r>
        <w:rPr>
          <w:rFonts w:ascii="Arial" w:cs="Arial" w:eastAsia="Arial" w:hAnsi="Arial"/>
          <w:sz w:val="18"/>
          <w:szCs w:val="18"/>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102870</wp:posOffset>
            </wp:positionV>
            <wp:extent cx="3416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217" w:lineRule="exact"/>
        <w:rPr>
          <w:sz w:val="24"/>
          <w:szCs w:val="24"/>
          <w:color w:val="auto"/>
        </w:rPr>
      </w:pPr>
    </w:p>
    <w:p>
      <w:pPr>
        <w:jc w:val="center"/>
        <w:ind w:right="-111"/>
        <w:spacing w:after="0"/>
        <w:rPr>
          <w:sz w:val="20"/>
          <w:szCs w:val="20"/>
          <w:color w:val="auto"/>
        </w:rPr>
      </w:pPr>
      <w:r>
        <w:rPr>
          <w:rFonts w:ascii="Arial" w:cs="Arial" w:eastAsia="Arial" w:hAnsi="Arial"/>
          <w:sz w:val="23"/>
          <w:szCs w:val="23"/>
          <w:b w:val="1"/>
          <w:bCs w:val="1"/>
          <w:color w:val="auto"/>
        </w:rPr>
        <w:t>American Airlines Group Inc.</w:t>
      </w:r>
    </w:p>
    <w:p>
      <w:pPr>
        <w:spacing w:after="0" w:line="60" w:lineRule="exact"/>
        <w:rPr>
          <w:sz w:val="24"/>
          <w:szCs w:val="24"/>
          <w:color w:val="auto"/>
        </w:rPr>
      </w:pPr>
    </w:p>
    <w:p>
      <w:pPr>
        <w:jc w:val="center"/>
        <w:ind w:right="-111"/>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52070</wp:posOffset>
            </wp:positionV>
            <wp:extent cx="3416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ectPr>
          <w:pgSz w:w="11900" w:h="16838" w:orient="portrait"/>
          <w:cols w:equalWidth="0" w:num="1">
            <w:col w:w="11132"/>
          </w:cols>
          <w:pgMar w:left="328" w:top="1077" w:right="439" w:bottom="1440" w:gutter="0" w:footer="0" w:header="0"/>
        </w:sectPr>
      </w:pPr>
    </w:p>
    <w:p>
      <w:pPr>
        <w:spacing w:after="0" w:line="319" w:lineRule="exact"/>
        <w:rPr>
          <w:sz w:val="24"/>
          <w:szCs w:val="24"/>
          <w:color w:val="auto"/>
        </w:rPr>
      </w:pPr>
    </w:p>
    <w:p>
      <w:pPr>
        <w:ind w:left="2332"/>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412"/>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6" w:lineRule="exact"/>
        <w:rPr>
          <w:sz w:val="24"/>
          <w:szCs w:val="24"/>
          <w:color w:val="auto"/>
        </w:rPr>
      </w:pPr>
    </w:p>
    <w:p>
      <w:pPr>
        <w:ind w:left="812"/>
        <w:spacing w:after="0"/>
        <w:tabs>
          <w:tab w:leader="none" w:pos="2392" w:val="left"/>
          <w:tab w:leader="none" w:pos="3692" w:val="left"/>
          <w:tab w:leader="none" w:pos="4352" w:val="left"/>
        </w:tabs>
        <w:rPr>
          <w:sz w:val="20"/>
          <w:szCs w:val="20"/>
          <w:color w:val="auto"/>
        </w:rPr>
      </w:pPr>
      <w:r>
        <w:rPr>
          <w:rFonts w:ascii="Arial" w:cs="Arial" w:eastAsia="Arial" w:hAnsi="Arial"/>
          <w:sz w:val="18"/>
          <w:szCs w:val="18"/>
          <w:b w:val="1"/>
          <w:bCs w:val="1"/>
          <w:color w:val="auto"/>
        </w:rPr>
        <w:t>1 Skyview Drive,</w:t>
        <w:tab/>
        <w:t>Fort Worth,</w:t>
      </w:r>
      <w:r>
        <w:rPr>
          <w:sz w:val="20"/>
          <w:szCs w:val="20"/>
          <w:color w:val="auto"/>
        </w:rPr>
        <w:tab/>
      </w:r>
      <w:r>
        <w:rPr>
          <w:rFonts w:ascii="Arial" w:cs="Arial" w:eastAsia="Arial" w:hAnsi="Arial"/>
          <w:sz w:val="18"/>
          <w:szCs w:val="18"/>
          <w:b w:val="1"/>
          <w:bCs w:val="1"/>
          <w:color w:val="auto"/>
        </w:rPr>
        <w:t>Texas</w:t>
      </w:r>
      <w:r>
        <w:rPr>
          <w:sz w:val="20"/>
          <w:szCs w:val="20"/>
          <w:color w:val="auto"/>
        </w:rPr>
        <w:tab/>
      </w:r>
      <w:r>
        <w:rPr>
          <w:rFonts w:ascii="Arial" w:cs="Arial" w:eastAsia="Arial" w:hAnsi="Arial"/>
          <w:sz w:val="17"/>
          <w:szCs w:val="17"/>
          <w:b w:val="1"/>
          <w:bCs w:val="1"/>
          <w:color w:val="auto"/>
        </w:rPr>
        <w:t>76155</w:t>
      </w:r>
    </w:p>
    <w:p>
      <w:pPr>
        <w:spacing w:after="0" w:line="30" w:lineRule="exact"/>
        <w:rPr>
          <w:sz w:val="24"/>
          <w:szCs w:val="24"/>
          <w:color w:val="auto"/>
        </w:rPr>
      </w:pPr>
    </w:p>
    <w:p>
      <w:pPr>
        <w:ind w:left="432"/>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75-1825172</w:t>
      </w:r>
    </w:p>
    <w:p>
      <w:pPr>
        <w:spacing w:after="0" w:line="40" w:lineRule="exact"/>
        <w:rPr>
          <w:sz w:val="24"/>
          <w:szCs w:val="24"/>
          <w:color w:val="auto"/>
        </w:rPr>
      </w:pPr>
    </w:p>
    <w:p>
      <w:pPr>
        <w:jc w:val="center"/>
        <w:ind w:right="500"/>
        <w:spacing w:after="0"/>
        <w:rPr>
          <w:sz w:val="20"/>
          <w:szCs w:val="20"/>
          <w:color w:val="auto"/>
        </w:rPr>
      </w:pPr>
      <w:r>
        <w:rPr>
          <w:rFonts w:ascii="Arial" w:cs="Arial" w:eastAsia="Arial" w:hAnsi="Arial"/>
          <w:sz w:val="18"/>
          <w:szCs w:val="18"/>
          <w:i w:val="1"/>
          <w:iCs w:val="1"/>
          <w:color w:val="auto"/>
        </w:rPr>
        <w:t>(I.R.S. Employer Identification No.)</w:t>
      </w:r>
    </w:p>
    <w:p>
      <w:pPr>
        <w:spacing w:after="0" w:line="1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(682) 278-9000</w:t>
      </w:r>
    </w:p>
    <w:p>
      <w:pPr>
        <w:spacing w:after="0" w:line="30" w:lineRule="exact"/>
        <w:rPr>
          <w:sz w:val="24"/>
          <w:szCs w:val="24"/>
          <w:color w:val="auto"/>
        </w:rPr>
      </w:pPr>
    </w:p>
    <w:p>
      <w:pPr>
        <w:jc w:val="center"/>
        <w:ind w:right="50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11" w:lineRule="exact"/>
        <w:rPr>
          <w:sz w:val="24"/>
          <w:szCs w:val="24"/>
          <w:color w:val="auto"/>
        </w:rPr>
      </w:pPr>
    </w:p>
    <w:p>
      <w:pPr>
        <w:sectPr>
          <w:pgSz w:w="11900" w:h="16838" w:orient="portrait"/>
          <w:cols w:equalWidth="0" w:num="2">
            <w:col w:w="5812" w:space="720"/>
            <w:col w:w="4600"/>
          </w:cols>
          <w:pgMar w:left="328" w:top="1077" w:right="439" w:bottom="1440" w:gutter="0" w:footer="0" w:header="0"/>
          <w:type w:val="continuous"/>
        </w:sectPr>
      </w:pPr>
    </w:p>
    <w:p>
      <w:pPr>
        <w:spacing w:after="0" w:line="331" w:lineRule="exact"/>
        <w:rPr>
          <w:sz w:val="24"/>
          <w:szCs w:val="24"/>
          <w:color w:val="auto"/>
        </w:rPr>
      </w:pPr>
    </w:p>
    <w:p>
      <w:pPr>
        <w:jc w:val="center"/>
        <w:ind w:right="-91"/>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7" w:lineRule="exact"/>
        <w:rPr>
          <w:sz w:val="24"/>
          <w:szCs w:val="24"/>
          <w:color w:val="auto"/>
        </w:rPr>
      </w:pPr>
    </w:p>
    <w:tbl>
      <w:tblPr>
        <w:tblLayout w:type="fixed"/>
        <w:tblInd w:w="112" w:type="dxa"/>
        <w:tblCellMar>
          <w:top w:w="0" w:type="dxa"/>
          <w:left w:w="0" w:type="dxa"/>
          <w:bottom w:w="0" w:type="dxa"/>
          <w:right w:w="0" w:type="dxa"/>
        </w:tblCellMar>
      </w:tblPr>
      <w:tr>
        <w:trPr>
          <w:trHeight w:val="235"/>
        </w:trPr>
        <w:tc>
          <w:tcPr>
            <w:tcW w:w="4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Title of each class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9"/>
        </w:trPr>
        <w:tc>
          <w:tcPr>
            <w:tcW w:w="45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rPr>
              <w:t>Common Stock, $0.01 par value per share</w:t>
            </w:r>
          </w:p>
        </w:tc>
        <w:tc>
          <w:tcPr>
            <w:tcW w:w="200" w:type="dxa"/>
            <w:vAlign w:val="bottom"/>
          </w:tcPr>
          <w:p>
            <w:pPr>
              <w:spacing w:after="0"/>
              <w:rPr>
                <w:sz w:val="17"/>
                <w:szCs w:val="17"/>
                <w:color w:val="auto"/>
              </w:rPr>
            </w:pPr>
          </w:p>
        </w:tc>
        <w:tc>
          <w:tcPr>
            <w:tcW w:w="22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rPr>
              <w:t>AAL</w:t>
            </w:r>
          </w:p>
        </w:tc>
        <w:tc>
          <w:tcPr>
            <w:tcW w:w="200" w:type="dxa"/>
            <w:vAlign w:val="bottom"/>
          </w:tcPr>
          <w:p>
            <w:pPr>
              <w:spacing w:after="0"/>
              <w:rPr>
                <w:sz w:val="17"/>
                <w:szCs w:val="17"/>
                <w:color w:val="auto"/>
              </w:rPr>
            </w:pPr>
          </w:p>
        </w:tc>
        <w:tc>
          <w:tcPr>
            <w:tcW w:w="392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160"/>
        </w:trPr>
        <w:tc>
          <w:tcPr>
            <w:tcW w:w="47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Preferred Stock Purchase Rights</w:t>
            </w:r>
          </w:p>
        </w:tc>
        <w:tc>
          <w:tcPr>
            <w:tcW w:w="24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05"/>
        </w:trPr>
        <w:tc>
          <w:tcPr>
            <w:tcW w:w="4700" w:type="dxa"/>
            <w:vAlign w:val="bottom"/>
            <w:gridSpan w:val="2"/>
            <w:vMerge w:val="continue"/>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52" w:hanging="152"/>
        <w:spacing w:after="0"/>
        <w:tabs>
          <w:tab w:leader="none" w:pos="152"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Attached to the Common Stock</w:t>
      </w:r>
    </w:p>
    <w:p>
      <w:pPr>
        <w:spacing w:after="0" w:line="57" w:lineRule="exact"/>
        <w:rPr>
          <w:sz w:val="24"/>
          <w:szCs w:val="24"/>
          <w:color w:val="auto"/>
        </w:rPr>
      </w:pPr>
    </w:p>
    <w:p>
      <w:pPr>
        <w:jc w:val="center"/>
        <w:ind w:right="-91"/>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21" w:lineRule="exact"/>
        <w:rPr>
          <w:sz w:val="24"/>
          <w:szCs w:val="24"/>
          <w:color w:val="auto"/>
        </w:rPr>
      </w:pPr>
    </w:p>
    <w:p>
      <w:pPr>
        <w:jc w:val="center"/>
        <w:ind w:right="-91"/>
        <w:spacing w:after="0"/>
        <w:rPr>
          <w:sz w:val="20"/>
          <w:szCs w:val="20"/>
          <w:color w:val="auto"/>
        </w:rPr>
      </w:pPr>
      <w:r>
        <w:rPr>
          <w:rFonts w:ascii="Arial" w:cs="Arial" w:eastAsia="Arial" w:hAnsi="Arial"/>
          <w:sz w:val="16"/>
          <w:szCs w:val="16"/>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106045</wp:posOffset>
            </wp:positionV>
            <wp:extent cx="3416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222" w:lineRule="exact"/>
        <w:rPr>
          <w:sz w:val="24"/>
          <w:szCs w:val="24"/>
          <w:color w:val="auto"/>
        </w:rPr>
      </w:pPr>
    </w:p>
    <w:p>
      <w:pPr>
        <w:jc w:val="center"/>
        <w:ind w:right="-91"/>
        <w:spacing w:after="0"/>
        <w:rPr>
          <w:sz w:val="20"/>
          <w:szCs w:val="20"/>
          <w:color w:val="auto"/>
        </w:rPr>
      </w:pPr>
      <w:r>
        <w:rPr>
          <w:rFonts w:ascii="Arial" w:cs="Arial" w:eastAsia="Arial" w:hAnsi="Arial"/>
          <w:sz w:val="23"/>
          <w:szCs w:val="23"/>
          <w:b w:val="1"/>
          <w:bCs w:val="1"/>
          <w:color w:val="auto"/>
        </w:rPr>
        <w:t>American Airlines, Inc.</w:t>
      </w:r>
    </w:p>
    <w:p>
      <w:pPr>
        <w:spacing w:after="0" w:line="60" w:lineRule="exact"/>
        <w:rPr>
          <w:sz w:val="24"/>
          <w:szCs w:val="24"/>
          <w:color w:val="auto"/>
        </w:rPr>
      </w:pPr>
    </w:p>
    <w:p>
      <w:pPr>
        <w:jc w:val="center"/>
        <w:ind w:right="-91"/>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52070</wp:posOffset>
            </wp:positionV>
            <wp:extent cx="3416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ectPr>
          <w:pgSz w:w="11900" w:h="16838" w:orient="portrait"/>
          <w:cols w:equalWidth="0" w:num="1">
            <w:col w:w="11132"/>
          </w:cols>
          <w:pgMar w:left="328" w:top="1077" w:right="439" w:bottom="1440" w:gutter="0" w:footer="0" w:header="0"/>
          <w:type w:val="continuous"/>
        </w:sectPr>
      </w:pPr>
    </w:p>
    <w:p>
      <w:pPr>
        <w:spacing w:after="0" w:line="305" w:lineRule="exact"/>
        <w:rPr>
          <w:sz w:val="24"/>
          <w:szCs w:val="24"/>
          <w:color w:val="auto"/>
        </w:rPr>
      </w:pPr>
    </w:p>
    <w:p>
      <w:pPr>
        <w:ind w:left="2492"/>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572"/>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6" w:lineRule="exact"/>
        <w:rPr>
          <w:sz w:val="24"/>
          <w:szCs w:val="24"/>
          <w:color w:val="auto"/>
        </w:rPr>
      </w:pPr>
    </w:p>
    <w:p>
      <w:pPr>
        <w:ind w:left="952"/>
        <w:spacing w:after="0"/>
        <w:tabs>
          <w:tab w:leader="none" w:pos="2532" w:val="left"/>
          <w:tab w:leader="none" w:pos="3852" w:val="left"/>
          <w:tab w:leader="none" w:pos="4532" w:val="left"/>
        </w:tabs>
        <w:rPr>
          <w:sz w:val="20"/>
          <w:szCs w:val="20"/>
          <w:color w:val="auto"/>
        </w:rPr>
      </w:pPr>
      <w:r>
        <w:rPr>
          <w:rFonts w:ascii="Arial" w:cs="Arial" w:eastAsia="Arial" w:hAnsi="Arial"/>
          <w:sz w:val="18"/>
          <w:szCs w:val="18"/>
          <w:b w:val="1"/>
          <w:bCs w:val="1"/>
          <w:color w:val="auto"/>
        </w:rPr>
        <w:t>1 Skyview Drive,</w:t>
        <w:tab/>
        <w:t>Fort Worth,</w:t>
      </w:r>
      <w:r>
        <w:rPr>
          <w:sz w:val="20"/>
          <w:szCs w:val="20"/>
          <w:color w:val="auto"/>
        </w:rPr>
        <w:tab/>
      </w:r>
      <w:r>
        <w:rPr>
          <w:rFonts w:ascii="Arial" w:cs="Arial" w:eastAsia="Arial" w:hAnsi="Arial"/>
          <w:sz w:val="18"/>
          <w:szCs w:val="18"/>
          <w:b w:val="1"/>
          <w:bCs w:val="1"/>
          <w:color w:val="auto"/>
        </w:rPr>
        <w:t>Texas</w:t>
      </w:r>
      <w:r>
        <w:rPr>
          <w:sz w:val="20"/>
          <w:szCs w:val="20"/>
          <w:color w:val="auto"/>
        </w:rPr>
        <w:tab/>
      </w:r>
      <w:r>
        <w:rPr>
          <w:rFonts w:ascii="Arial" w:cs="Arial" w:eastAsia="Arial" w:hAnsi="Arial"/>
          <w:sz w:val="17"/>
          <w:szCs w:val="17"/>
          <w:b w:val="1"/>
          <w:bCs w:val="1"/>
          <w:color w:val="auto"/>
        </w:rPr>
        <w:t>76155</w:t>
      </w:r>
    </w:p>
    <w:p>
      <w:pPr>
        <w:spacing w:after="0" w:line="30" w:lineRule="exact"/>
        <w:rPr>
          <w:sz w:val="24"/>
          <w:szCs w:val="24"/>
          <w:color w:val="auto"/>
        </w:rPr>
      </w:pPr>
    </w:p>
    <w:p>
      <w:pPr>
        <w:ind w:left="592"/>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13-1502798</w:t>
      </w:r>
    </w:p>
    <w:p>
      <w:pPr>
        <w:spacing w:after="0" w:line="40"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(I.R.S. Employer Identification No.)</w:t>
      </w:r>
    </w:p>
    <w:p>
      <w:pPr>
        <w:spacing w:after="0" w:line="14"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(682) 278-9000</w:t>
      </w: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110" w:lineRule="exact"/>
        <w:rPr>
          <w:sz w:val="24"/>
          <w:szCs w:val="24"/>
          <w:color w:val="auto"/>
        </w:rPr>
      </w:pPr>
    </w:p>
    <w:p>
      <w:pPr>
        <w:sectPr>
          <w:pgSz w:w="11900" w:h="16838" w:orient="portrait"/>
          <w:cols w:equalWidth="0" w:num="2">
            <w:col w:w="5972" w:space="720"/>
            <w:col w:w="4440"/>
          </w:cols>
          <w:pgMar w:left="328" w:top="1077" w:right="439" w:bottom="1440" w:gutter="0" w:footer="0" w:header="0"/>
          <w:type w:val="continuous"/>
        </w:sectPr>
      </w:pPr>
    </w:p>
    <w:p>
      <w:pPr>
        <w:ind w:left="2892"/>
        <w:spacing w:after="0"/>
        <w:rPr>
          <w:sz w:val="20"/>
          <w:szCs w:val="20"/>
          <w:color w:val="auto"/>
        </w:rPr>
      </w:pPr>
      <w:r>
        <w:rPr>
          <w:rFonts w:ascii="Arial" w:cs="Arial" w:eastAsia="Arial" w:hAnsi="Arial"/>
          <w:sz w:val="17"/>
          <w:szCs w:val="17"/>
          <w:b w:val="1"/>
          <w:bCs w:val="1"/>
          <w:color w:val="auto"/>
        </w:rPr>
        <w:t>Securities registered pursuant to Section 12(b) of the Act: None</w:t>
      </w:r>
    </w:p>
    <w:p>
      <w:pPr>
        <w:spacing w:after="0" w:line="101" w:lineRule="exact"/>
        <w:rPr>
          <w:sz w:val="24"/>
          <w:szCs w:val="24"/>
          <w:color w:val="auto"/>
        </w:rPr>
      </w:pPr>
    </w:p>
    <w:p>
      <w:pPr>
        <w:ind w:left="2892"/>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38" w:lineRule="exact"/>
        <w:rPr>
          <w:sz w:val="24"/>
          <w:szCs w:val="24"/>
          <w:color w:val="auto"/>
        </w:rPr>
      </w:pPr>
    </w:p>
    <w:p>
      <w:pPr>
        <w:ind w:left="3012"/>
        <w:spacing w:after="0"/>
        <w:rPr>
          <w:sz w:val="20"/>
          <w:szCs w:val="20"/>
          <w:color w:val="auto"/>
        </w:rPr>
      </w:pPr>
      <w:r>
        <w:rPr>
          <w:rFonts w:ascii="Arial" w:cs="Arial" w:eastAsia="Arial" w:hAnsi="Arial"/>
          <w:sz w:val="18"/>
          <w:szCs w:val="18"/>
          <w:b w:val="1"/>
          <w:bCs w:val="1"/>
          <w:color w:val="auto"/>
        </w:rPr>
        <w:t>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609600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077" w:right="439"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ectPr>
          <w:pgSz w:w="11900" w:h="16838" w:orient="portrait"/>
          <w:cols w:equalWidth="0" w:num="1">
            <w:col w:w="11240"/>
          </w:cols>
          <w:pgMar w:left="320" w:top="889" w:right="339" w:bottom="1440" w:gutter="0" w:footer="0" w:header="0"/>
        </w:sectPr>
      </w:pPr>
    </w:p>
    <w:p>
      <w:pPr>
        <w:spacing w:after="0" w:line="169" w:lineRule="exact"/>
        <w:rPr>
          <w:sz w:val="20"/>
          <w:szCs w:val="20"/>
          <w:color w:val="auto"/>
        </w:rPr>
      </w:pPr>
    </w:p>
    <w:p>
      <w:pPr>
        <w:ind w:left="20"/>
        <w:spacing w:after="0"/>
        <w:tabs>
          <w:tab w:leader="none" w:pos="930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5"/>
          <w:szCs w:val="15"/>
          <w:color w:val="auto"/>
        </w:rPr>
        <w:t>Yes</w:t>
      </w:r>
    </w:p>
    <w:p>
      <w:pPr>
        <w:spacing w:after="0" w:line="32" w:lineRule="exact"/>
        <w:rPr>
          <w:sz w:val="20"/>
          <w:szCs w:val="20"/>
          <w:color w:val="auto"/>
        </w:rPr>
      </w:pPr>
    </w:p>
    <w:p>
      <w:pPr>
        <w:ind w:left="20"/>
        <w:spacing w:after="0"/>
        <w:tabs>
          <w:tab w:leader="none" w:pos="930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5"/>
          <w:szCs w:val="15"/>
          <w:color w:val="auto"/>
        </w:rPr>
        <w:t>Yes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858" w:hanging="858"/>
        <w:spacing w:after="0" w:line="207" w:lineRule="exact"/>
        <w:tabs>
          <w:tab w:leader="none" w:pos="85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76" w:lineRule="exact"/>
        <w:rPr>
          <w:rFonts w:ascii="MS PGothic" w:cs="MS PGothic" w:eastAsia="MS PGothic" w:hAnsi="MS PGothic"/>
          <w:sz w:val="18"/>
          <w:szCs w:val="18"/>
          <w:color w:val="auto"/>
        </w:rPr>
      </w:pPr>
    </w:p>
    <w:p>
      <w:pPr>
        <w:ind w:left="858" w:hanging="858"/>
        <w:spacing w:after="0" w:line="207" w:lineRule="exact"/>
        <w:tabs>
          <w:tab w:leader="none" w:pos="85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426" w:lineRule="exact"/>
        <w:rPr>
          <w:sz w:val="20"/>
          <w:szCs w:val="20"/>
          <w:color w:val="auto"/>
        </w:rPr>
      </w:pPr>
    </w:p>
    <w:p>
      <w:pPr>
        <w:sectPr>
          <w:pgSz w:w="11900" w:h="16838" w:orient="portrait"/>
          <w:cols w:equalWidth="0" w:num="2">
            <w:col w:w="9580" w:space="222"/>
            <w:col w:w="1438"/>
          </w:cols>
          <w:pgMar w:left="320" w:top="889" w:right="339" w:bottom="1440" w:gutter="0" w:footer="0" w:header="0"/>
          <w:type w:val="continuous"/>
        </w:sectPr>
      </w:pPr>
    </w:p>
    <w:p>
      <w:pPr>
        <w:ind w:left="20"/>
        <w:spacing w:after="0" w:line="207" w:lineRule="exact"/>
        <w:tabs>
          <w:tab w:leader="none" w:pos="9300" w:val="left"/>
          <w:tab w:leader="none" w:pos="9780" w:val="left"/>
          <w:tab w:leader="none" w:pos="1068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8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2"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2"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9" w:right="339" w:bottom="1440" w:gutter="0" w:footer="0" w:header="0"/>
          <w:type w:val="continuous"/>
        </w:sectPr>
      </w:pPr>
    </w:p>
    <w:p>
      <w:pPr>
        <w:spacing w:after="0" w:line="1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0"/>
          <w:szCs w:val="20"/>
          <w:color w:val="auto"/>
        </w:rPr>
      </w:pPr>
      <w:r>
        <w:rPr>
          <w:sz w:val="20"/>
          <w:szCs w:val="20"/>
          <w:color w:val="auto"/>
        </w:rPr>
        <w:br w:type="column"/>
      </w:r>
    </w:p>
    <w:p>
      <w:pPr>
        <w:spacing w:after="0" w:line="348" w:lineRule="exact"/>
        <w:tabs>
          <w:tab w:leader="none" w:pos="280" w:val="left"/>
          <w:tab w:leader="none" w:pos="188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0"/>
          <w:szCs w:val="30"/>
          <w:color w:val="auto"/>
          <w:vertAlign w:val="subscript"/>
        </w:rPr>
        <w:t xml:space="preserve">☐ </w:t>
      </w:r>
      <w:r>
        <w:rPr>
          <w:rFonts w:ascii="Arial" w:cs="Arial" w:eastAsia="Arial" w:hAnsi="Arial"/>
          <w:sz w:val="11"/>
          <w:szCs w:val="11"/>
          <w:color w:val="auto"/>
        </w:rPr>
        <w:t>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Non-accelerated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Emerging growth company</w:t>
      </w:r>
    </w:p>
    <w:p>
      <w:pPr>
        <w:spacing w:after="0" w:line="251" w:lineRule="exact"/>
        <w:tabs>
          <w:tab w:leader="none" w:pos="280" w:val="left"/>
          <w:tab w:leader="none" w:pos="188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0"/>
          <w:szCs w:val="30"/>
          <w:color w:val="auto"/>
          <w:vertAlign w:val="subscript"/>
        </w:rPr>
        <w:t xml:space="preserve">☐ </w:t>
      </w:r>
      <w:r>
        <w:rPr>
          <w:rFonts w:ascii="Arial" w:cs="Arial" w:eastAsia="Arial" w:hAnsi="Arial"/>
          <w:sz w:val="11"/>
          <w:szCs w:val="11"/>
          <w:color w:val="auto"/>
        </w:rPr>
        <w:t>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Non-accelerated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Emerging growth company</w:t>
      </w:r>
    </w:p>
    <w:p>
      <w:pPr>
        <w:spacing w:after="0" w:line="61" w:lineRule="exact"/>
        <w:rPr>
          <w:sz w:val="20"/>
          <w:szCs w:val="20"/>
          <w:color w:val="auto"/>
        </w:rPr>
      </w:pPr>
    </w:p>
    <w:p>
      <w:pPr>
        <w:sectPr>
          <w:pgSz w:w="11900" w:h="16838" w:orient="portrait"/>
          <w:cols w:equalWidth="0" w:num="2">
            <w:col w:w="1620" w:space="300"/>
            <w:col w:w="9320"/>
          </w:cols>
          <w:pgMar w:left="320" w:top="889" w:right="339" w:bottom="1440" w:gutter="0" w:footer="0" w:header="0"/>
          <w:type w:val="continuous"/>
        </w:sectPr>
      </w:pPr>
    </w:p>
    <w:p>
      <w:pPr>
        <w:jc w:val="both"/>
        <w:ind w:firstLine="121"/>
        <w:spacing w:after="0" w:line="28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6" w:lineRule="exact"/>
        <w:rPr>
          <w:sz w:val="20"/>
          <w:szCs w:val="20"/>
          <w:color w:val="auto"/>
        </w:rPr>
      </w:pPr>
    </w:p>
    <w:p>
      <w:pPr>
        <w:ind w:left="20"/>
        <w:spacing w:after="0" w:line="207" w:lineRule="exact"/>
        <w:tabs>
          <w:tab w:leader="none" w:pos="972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72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62"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86" w:lineRule="auto"/>
        <w:rPr>
          <w:sz w:val="20"/>
          <w:szCs w:val="20"/>
          <w:color w:val="auto"/>
        </w:rPr>
      </w:pPr>
      <w:r>
        <w:rPr>
          <w:rFonts w:ascii="Arial" w:cs="Arial" w:eastAsia="Arial" w:hAnsi="Arial"/>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4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MS PGothic" w:cs="MS PGothic" w:eastAsia="MS PGothic" w:hAnsi="MS PGothic"/>
          <w:sz w:val="18"/>
          <w:szCs w:val="18"/>
          <w:color w:val="auto"/>
        </w:rPr>
        <w:t>☐</w:t>
      </w:r>
    </w:p>
    <w:p>
      <w:pPr>
        <w:spacing w:after="0" w:line="7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MS PGothic" w:cs="MS PGothic" w:eastAsia="MS PGothic" w:hAnsi="MS PGothic"/>
          <w:sz w:val="18"/>
          <w:szCs w:val="18"/>
          <w:color w:val="auto"/>
        </w:rPr>
        <w:t>☐</w:t>
      </w:r>
    </w:p>
    <w:p>
      <w:pPr>
        <w:spacing w:after="0" w:line="103" w:lineRule="exact"/>
        <w:rPr>
          <w:sz w:val="20"/>
          <w:szCs w:val="20"/>
          <w:color w:val="auto"/>
        </w:rPr>
      </w:pPr>
    </w:p>
    <w:p>
      <w:pPr>
        <w:jc w:val="both"/>
        <w:ind w:firstLine="121"/>
        <w:spacing w:after="0" w:line="286" w:lineRule="auto"/>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4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MS PGothic" w:cs="MS PGothic" w:eastAsia="MS PGothic" w:hAnsi="MS PGothic"/>
          <w:sz w:val="18"/>
          <w:szCs w:val="18"/>
          <w:color w:val="auto"/>
        </w:rPr>
        <w:t>☐</w:t>
      </w:r>
    </w:p>
    <w:p>
      <w:pPr>
        <w:spacing w:after="0" w:line="7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MS PGothic" w:cs="MS PGothic" w:eastAsia="MS PGothic" w:hAnsi="MS PGothic"/>
          <w:sz w:val="18"/>
          <w:szCs w:val="18"/>
          <w:color w:val="auto"/>
        </w:rPr>
        <w: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17"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The aggregate market value of the voting stock held by non-affiliates of American Airlines Group Inc. as of June 30, 2024, was approximately $7.4 billion. As of February 14, 2025, there were 657,575,582 shares of American Airlines Group Inc. common stock outstanding.</w:t>
      </w:r>
    </w:p>
    <w:p>
      <w:pPr>
        <w:spacing w:after="0" w:line="62" w:lineRule="exact"/>
        <w:rPr>
          <w:sz w:val="20"/>
          <w:szCs w:val="20"/>
          <w:color w:val="auto"/>
        </w:rPr>
      </w:pPr>
    </w:p>
    <w:p>
      <w:pPr>
        <w:jc w:val="both"/>
        <w:ind w:right="20" w:firstLine="121"/>
        <w:spacing w:after="0" w:line="286" w:lineRule="auto"/>
        <w:rPr>
          <w:sz w:val="20"/>
          <w:szCs w:val="20"/>
          <w:color w:val="auto"/>
        </w:rPr>
      </w:pPr>
      <w:r>
        <w:rPr>
          <w:rFonts w:ascii="Arial" w:cs="Arial" w:eastAsia="Arial" w:hAnsi="Arial"/>
          <w:sz w:val="18"/>
          <w:szCs w:val="18"/>
          <w:color w:val="auto"/>
        </w:rPr>
        <w:t>As of February 14, 2025,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OMISSION OF CERTAIN INFORMATION</w:t>
      </w:r>
    </w:p>
    <w:p>
      <w:pPr>
        <w:spacing w:after="0" w:line="40" w:lineRule="exact"/>
        <w:rPr>
          <w:sz w:val="20"/>
          <w:szCs w:val="20"/>
          <w:color w:val="auto"/>
        </w:rPr>
      </w:pPr>
    </w:p>
    <w:p>
      <w:pPr>
        <w:jc w:val="both"/>
        <w:ind w:firstLine="121"/>
        <w:spacing w:after="0" w:line="266" w:lineRule="auto"/>
        <w:rPr>
          <w:sz w:val="20"/>
          <w:szCs w:val="20"/>
          <w:color w:val="auto"/>
        </w:rPr>
      </w:pPr>
      <w:r>
        <w:rPr>
          <w:rFonts w:ascii="Arial" w:cs="Arial" w:eastAsia="Arial" w:hAnsi="Arial"/>
          <w:sz w:val="18"/>
          <w:szCs w:val="18"/>
          <w:color w:val="auto"/>
        </w:rPr>
        <w:t>American Airlines, Inc. meets the conditions set forth in General Instruction I(1)(a) and (b) of Form 10-K and has therefore omitted the information otherwise called for by Items 10-13 of Form 10-K as allowed under General Instruction I(2)(c).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0"/>
          <w:szCs w:val="20"/>
          <w:color w:val="auto"/>
        </w:rPr>
      </w:pPr>
    </w:p>
    <w:p>
      <w:pPr>
        <w:jc w:val="both"/>
        <w:ind w:firstLine="121"/>
        <w:spacing w:after="0" w:line="266" w:lineRule="auto"/>
        <w:rPr>
          <w:sz w:val="20"/>
          <w:szCs w:val="20"/>
          <w:color w:val="auto"/>
        </w:rPr>
      </w:pPr>
      <w:r>
        <w:rPr>
          <w:rFonts w:ascii="Arial" w:cs="Arial" w:eastAsia="Arial" w:hAnsi="Arial"/>
          <w:sz w:val="18"/>
          <w:szCs w:val="18"/>
          <w:color w:val="auto"/>
        </w:rPr>
        <w:t>Portions of the proxy statement related to American Airlines Group Inc.’s 2025 Annual Meeting of Stockholders, which proxy statement will be filed under the Securities Exchange Act of 1934 within 120 days of the end of American Airlines Group Inc.’s fiscal year ended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9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91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gridSpan w:val="19"/>
          </w:tcPr>
          <w:p>
            <w:pPr>
              <w:jc w:val="center"/>
              <w:ind w:right="3380"/>
              <w:spacing w:after="0"/>
              <w:rPr>
                <w:sz w:val="20"/>
                <w:szCs w:val="20"/>
                <w:color w:val="auto"/>
              </w:rPr>
            </w:pPr>
            <w:r>
              <w:rPr>
                <w:rFonts w:ascii="Arial" w:cs="Arial" w:eastAsia="Arial" w:hAnsi="Arial"/>
                <w:sz w:val="18"/>
                <w:szCs w:val="18"/>
                <w:b w:val="1"/>
                <w:bCs w:val="1"/>
                <w:color w:val="auto"/>
                <w:w w:val="99"/>
              </w:rPr>
              <w:t>American Airlines Group Inc.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80" w:type="dxa"/>
            <w:vAlign w:val="bottom"/>
            <w:gridSpan w:val="18"/>
          </w:tcPr>
          <w:p>
            <w:pPr>
              <w:jc w:val="center"/>
              <w:ind w:right="3680"/>
              <w:spacing w:after="0"/>
              <w:rPr>
                <w:sz w:val="20"/>
                <w:szCs w:val="20"/>
                <w:color w:val="auto"/>
              </w:rPr>
            </w:pPr>
            <w:r>
              <w:rPr>
                <w:rFonts w:ascii="Arial" w:cs="Arial" w:eastAsia="Arial" w:hAnsi="Arial"/>
                <w:sz w:val="18"/>
                <w:szCs w:val="18"/>
                <w:b w:val="1"/>
                <w:bCs w:val="1"/>
                <w:color w:val="auto"/>
                <w:w w:val="99"/>
              </w:rPr>
              <w:t>American Airlines, Inc.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80" w:type="dxa"/>
            <w:vAlign w:val="bottom"/>
            <w:gridSpan w:val="18"/>
          </w:tcPr>
          <w:p>
            <w:pPr>
              <w:jc w:val="center"/>
              <w:ind w:right="3700"/>
              <w:spacing w:after="0"/>
              <w:rPr>
                <w:sz w:val="20"/>
                <w:szCs w:val="20"/>
                <w:color w:val="auto"/>
              </w:rPr>
            </w:pPr>
            <w:r>
              <w:rPr>
                <w:rFonts w:ascii="Arial" w:cs="Arial" w:eastAsia="Arial" w:hAnsi="Arial"/>
                <w:sz w:val="18"/>
                <w:szCs w:val="18"/>
                <w:b w:val="1"/>
                <w:bCs w:val="1"/>
                <w:color w:val="auto"/>
                <w:w w:val="98"/>
              </w:rPr>
              <w:t>Form 10-K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gridSpan w:val="19"/>
          </w:tcPr>
          <w:p>
            <w:pPr>
              <w:jc w:val="center"/>
              <w:ind w:right="3380"/>
              <w:spacing w:after="0"/>
              <w:rPr>
                <w:sz w:val="20"/>
                <w:szCs w:val="20"/>
                <w:color w:val="auto"/>
              </w:rPr>
            </w:pPr>
            <w:r>
              <w:rPr>
                <w:rFonts w:ascii="Arial" w:cs="Arial" w:eastAsia="Arial" w:hAnsi="Arial"/>
                <w:sz w:val="18"/>
                <w:szCs w:val="18"/>
                <w:b w:val="1"/>
                <w:bCs w:val="1"/>
                <w:color w:val="auto"/>
                <w:w w:val="99"/>
              </w:rPr>
              <w:t>Year Ended December 31, 2024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80" w:type="dxa"/>
            <w:vAlign w:val="bottom"/>
            <w:gridSpan w:val="18"/>
          </w:tcPr>
          <w:p>
            <w:pPr>
              <w:jc w:val="center"/>
              <w:ind w:right="3740"/>
              <w:spacing w:after="0"/>
              <w:rPr>
                <w:sz w:val="20"/>
                <w:szCs w:val="20"/>
                <w:color w:val="auto"/>
              </w:rPr>
            </w:pPr>
            <w:r>
              <w:rPr>
                <w:rFonts w:ascii="Arial" w:cs="Arial" w:eastAsia="Arial" w:hAnsi="Arial"/>
                <w:sz w:val="18"/>
                <w:szCs w:val="18"/>
                <w:b w:val="1"/>
                <w:bCs w:val="1"/>
                <w:color w:val="auto"/>
                <w:w w:val="99"/>
              </w:rPr>
              <w:t>Table of Contents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0000FF"/>
                <w:w w:val="98"/>
              </w:rPr>
              <w:t>PART I</w:t>
            </w:r>
          </w:p>
        </w:tc>
        <w:tc>
          <w:tcPr>
            <w:tcW w:w="4440" w:type="dxa"/>
            <w:vAlign w:val="bottom"/>
            <w:gridSpan w:val="12"/>
            <w:vMerge w:val="restart"/>
          </w:tcPr>
          <w:p>
            <w:pPr>
              <w:spacing w:after="0"/>
              <w:rPr>
                <w:sz w:val="24"/>
                <w:szCs w:val="24"/>
                <w:color w:val="auto"/>
              </w:rPr>
            </w:pPr>
          </w:p>
        </w:tc>
        <w:tc>
          <w:tcPr>
            <w:tcW w:w="880" w:type="dxa"/>
            <w:vAlign w:val="bottom"/>
            <w:tcBorders>
              <w:bottom w:val="single" w:sz="8" w:color="435363"/>
            </w:tcBorders>
            <w:gridSpan w:val="5"/>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FF"/>
            </w:tcBorders>
            <w:gridSpan w:val="3"/>
            <w:vMerge w:val="continue"/>
          </w:tcPr>
          <w:p>
            <w:pPr>
              <w:spacing w:after="0"/>
              <w:rPr>
                <w:sz w:val="14"/>
                <w:szCs w:val="14"/>
                <w:color w:val="auto"/>
              </w:rPr>
            </w:pPr>
          </w:p>
        </w:tc>
        <w:tc>
          <w:tcPr>
            <w:tcW w:w="4440" w:type="dxa"/>
            <w:vAlign w:val="bottom"/>
            <w:gridSpan w:val="1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33"/>
          </w:tcPr>
          <w:p>
            <w:pPr>
              <w:spacing w:after="0"/>
              <w:rPr>
                <w:sz w:val="20"/>
                <w:szCs w:val="20"/>
                <w:color w:val="auto"/>
              </w:rPr>
            </w:pPr>
            <w:r>
              <w:rPr>
                <w:rFonts w:ascii="Arial" w:cs="Arial" w:eastAsia="Arial" w:hAnsi="Arial"/>
                <w:sz w:val="18"/>
                <w:szCs w:val="18"/>
                <w:color w:val="0000FF"/>
              </w:rPr>
              <w:t>Business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5"/>
          </w:tcPr>
          <w:p>
            <w:pPr>
              <w:spacing w:after="0"/>
              <w:rPr>
                <w:sz w:val="20"/>
                <w:szCs w:val="20"/>
                <w:color w:val="auto"/>
              </w:rPr>
            </w:pPr>
            <w:r>
              <w:rPr>
                <w:rFonts w:ascii="Arial" w:cs="Arial" w:eastAsia="Arial" w:hAnsi="Arial"/>
                <w:sz w:val="18"/>
                <w:szCs w:val="18"/>
                <w:color w:val="0000FF"/>
                <w:w w:val="97"/>
              </w:rPr>
              <w:t>Risk Factors</w:t>
            </w:r>
          </w:p>
        </w:tc>
        <w:tc>
          <w:tcPr>
            <w:tcW w:w="8280" w:type="dxa"/>
            <w:vAlign w:val="bottom"/>
            <w:gridSpan w:val="28"/>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280" w:type="dxa"/>
            <w:vAlign w:val="bottom"/>
            <w:gridSpan w:val="33"/>
          </w:tcPr>
          <w:p>
            <w:pPr>
              <w:spacing w:after="0"/>
              <w:rPr>
                <w:sz w:val="20"/>
                <w:szCs w:val="20"/>
                <w:color w:val="auto"/>
              </w:rPr>
            </w:pPr>
            <w:r>
              <w:rPr>
                <w:rFonts w:ascii="Arial" w:cs="Arial" w:eastAsia="Arial" w:hAnsi="Arial"/>
                <w:sz w:val="18"/>
                <w:szCs w:val="18"/>
                <w:color w:val="0000FF"/>
              </w:rPr>
              <w:t>Unresolved Staff Comments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1C.</w:t>
            </w:r>
          </w:p>
        </w:tc>
        <w:tc>
          <w:tcPr>
            <w:tcW w:w="1100" w:type="dxa"/>
            <w:vAlign w:val="bottom"/>
            <w:gridSpan w:val="6"/>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gridSpan w:val="6"/>
          </w:tcPr>
          <w:p>
            <w:pPr>
              <w:spacing w:after="0"/>
              <w:rPr>
                <w:sz w:val="18"/>
                <w:szCs w:val="18"/>
                <w:color w:val="auto"/>
              </w:rPr>
            </w:pPr>
          </w:p>
        </w:tc>
        <w:tc>
          <w:tcPr>
            <w:tcW w:w="7040" w:type="dxa"/>
            <w:vAlign w:val="bottom"/>
            <w:gridSpan w:val="21"/>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4"/>
          </w:tcPr>
          <w:p>
            <w:pPr>
              <w:spacing w:after="0"/>
              <w:rPr>
                <w:sz w:val="20"/>
                <w:szCs w:val="20"/>
                <w:color w:val="auto"/>
              </w:rPr>
            </w:pPr>
            <w:r>
              <w:rPr>
                <w:rFonts w:ascii="Arial" w:cs="Arial" w:eastAsia="Arial" w:hAnsi="Arial"/>
                <w:sz w:val="18"/>
                <w:szCs w:val="18"/>
                <w:color w:val="0000FF"/>
                <w:w w:val="97"/>
              </w:rPr>
              <w:t>Properties</w:t>
            </w:r>
          </w:p>
        </w:tc>
        <w:tc>
          <w:tcPr>
            <w:tcW w:w="280" w:type="dxa"/>
            <w:vAlign w:val="bottom"/>
            <w:gridSpan w:val="2"/>
          </w:tcPr>
          <w:p>
            <w:pPr>
              <w:spacing w:after="0"/>
              <w:rPr>
                <w:sz w:val="18"/>
                <w:szCs w:val="18"/>
                <w:color w:val="auto"/>
              </w:rPr>
            </w:pPr>
          </w:p>
        </w:tc>
        <w:tc>
          <w:tcPr>
            <w:tcW w:w="8180" w:type="dxa"/>
            <w:vAlign w:val="bottom"/>
            <w:gridSpan w:val="27"/>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33"/>
          </w:tcPr>
          <w:p>
            <w:pPr>
              <w:spacing w:after="0"/>
              <w:rPr>
                <w:sz w:val="20"/>
                <w:szCs w:val="20"/>
                <w:color w:val="auto"/>
              </w:rPr>
            </w:pPr>
            <w:r>
              <w:rPr>
                <w:rFonts w:ascii="Arial" w:cs="Arial" w:eastAsia="Arial" w:hAnsi="Arial"/>
                <w:sz w:val="18"/>
                <w:szCs w:val="18"/>
                <w:color w:val="0000FF"/>
              </w:rPr>
              <w:t>Legal Proceedings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33"/>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479"/>
        </w:trPr>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w w:val="96"/>
              </w:rPr>
              <w:t>PART II</w:t>
            </w:r>
          </w:p>
        </w:tc>
        <w:tc>
          <w:tcPr>
            <w:tcW w:w="442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280" w:type="dxa"/>
            <w:vAlign w:val="bottom"/>
            <w:gridSpan w:val="33"/>
          </w:tcPr>
          <w:p>
            <w:pPr>
              <w:spacing w:after="0"/>
              <w:rPr>
                <w:sz w:val="20"/>
                <w:szCs w:val="20"/>
                <w:color w:val="auto"/>
              </w:rPr>
            </w:pPr>
            <w:r>
              <w:rPr>
                <w:rFonts w:ascii="Arial" w:cs="Arial" w:eastAsia="Arial" w:hAnsi="Arial"/>
                <w:sz w:val="18"/>
                <w:szCs w:val="18"/>
                <w:color w:val="0000FF"/>
              </w:rPr>
              <w:t>Market for American Airlines Group’s Common Stock, Related Stockholder Matters and Issuer Purchases of Equity</w:t>
            </w:r>
          </w:p>
        </w:tc>
        <w:tc>
          <w:tcPr>
            <w:tcW w:w="660" w:type="dxa"/>
            <w:vAlign w:val="bottom"/>
            <w:gridSpan w:val="2"/>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40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Securities</w:t>
            </w:r>
          </w:p>
        </w:tc>
        <w:tc>
          <w:tcPr>
            <w:tcW w:w="7720" w:type="dxa"/>
            <w:vAlign w:val="bottom"/>
            <w:tcBorders>
              <w:top w:val="single" w:sz="8" w:color="0000FF"/>
            </w:tcBorders>
            <w:gridSpan w:val="25"/>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300" w:type="dxa"/>
            <w:vAlign w:val="bottom"/>
            <w:gridSpan w:val="6"/>
            <w:shd w:val="clear" w:color="auto" w:fill="0000FF"/>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3000" w:type="dxa"/>
            <w:vAlign w:val="bottom"/>
            <w:gridSpan w:val="13"/>
          </w:tcPr>
          <w:p>
            <w:pPr>
              <w:spacing w:after="0"/>
              <w:rPr>
                <w:sz w:val="20"/>
                <w:szCs w:val="20"/>
                <w:color w:val="auto"/>
              </w:rPr>
            </w:pPr>
            <w:r>
              <w:rPr>
                <w:rFonts w:ascii="Arial" w:cs="Arial" w:eastAsia="Arial" w:hAnsi="Arial"/>
                <w:sz w:val="18"/>
                <w:szCs w:val="18"/>
                <w:color w:val="0000FF"/>
                <w:w w:val="99"/>
              </w:rPr>
              <w:t>Selected Consolidated Financial Data</w:t>
            </w:r>
          </w:p>
        </w:tc>
        <w:tc>
          <w:tcPr>
            <w:tcW w:w="6280" w:type="dxa"/>
            <w:vAlign w:val="bottom"/>
            <w:gridSpan w:val="20"/>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9280" w:type="dxa"/>
            <w:vAlign w:val="bottom"/>
            <w:gridSpan w:val="3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7060" w:type="dxa"/>
            <w:vAlign w:val="bottom"/>
            <w:gridSpan w:val="2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5"/>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8A.</w:t>
            </w:r>
          </w:p>
        </w:tc>
        <w:tc>
          <w:tcPr>
            <w:tcW w:w="9280" w:type="dxa"/>
            <w:vAlign w:val="bottom"/>
            <w:gridSpan w:val="33"/>
          </w:tcPr>
          <w:p>
            <w:pPr>
              <w:spacing w:after="0"/>
              <w:rPr>
                <w:sz w:val="20"/>
                <w:szCs w:val="20"/>
                <w:color w:val="auto"/>
              </w:rPr>
            </w:pPr>
            <w:r>
              <w:rPr>
                <w:rFonts w:ascii="Arial" w:cs="Arial" w:eastAsia="Arial" w:hAnsi="Arial"/>
                <w:sz w:val="18"/>
                <w:szCs w:val="18"/>
                <w:color w:val="0000FF"/>
              </w:rPr>
              <w:t>Consolidated Financial Statements and Supplementary Data of American Airlines Group Inc.</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8B.</w:t>
            </w:r>
          </w:p>
        </w:tc>
        <w:tc>
          <w:tcPr>
            <w:tcW w:w="686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Consolidated Financial Statements and Supplementary Data of American Airlines, Inc.</w:t>
            </w:r>
          </w:p>
        </w:tc>
        <w:tc>
          <w:tcPr>
            <w:tcW w:w="480" w:type="dxa"/>
            <w:vAlign w:val="bottom"/>
            <w:gridSpan w:val="3"/>
          </w:tcPr>
          <w:p>
            <w:pPr>
              <w:spacing w:after="0"/>
              <w:rPr>
                <w:sz w:val="18"/>
                <w:szCs w:val="18"/>
                <w:color w:val="auto"/>
              </w:rPr>
            </w:pPr>
          </w:p>
        </w:tc>
        <w:tc>
          <w:tcPr>
            <w:tcW w:w="194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14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9280" w:type="dxa"/>
            <w:vAlign w:val="bottom"/>
            <w:gridSpan w:val="33"/>
          </w:tcPr>
          <w:p>
            <w:pPr>
              <w:spacing w:after="0"/>
              <w:rPr>
                <w:sz w:val="20"/>
                <w:szCs w:val="20"/>
                <w:color w:val="auto"/>
              </w:rPr>
            </w:pPr>
            <w:r>
              <w:rPr>
                <w:rFonts w:ascii="Arial" w:cs="Arial" w:eastAsia="Arial" w:hAnsi="Arial"/>
                <w:sz w:val="18"/>
                <w:szCs w:val="18"/>
                <w:color w:val="0000FF"/>
              </w:rPr>
              <w:t>Controls and Procedures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7300" w:type="dxa"/>
            <w:vAlign w:val="bottom"/>
            <w:gridSpan w:val="22"/>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8"/>
                <w:szCs w:val="18"/>
                <w:color w:val="auto"/>
              </w:rPr>
              <w:t>Item 9C.</w:t>
            </w:r>
          </w:p>
        </w:tc>
        <w:tc>
          <w:tcPr>
            <w:tcW w:w="54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880" w:type="dxa"/>
            <w:vAlign w:val="bottom"/>
            <w:gridSpan w:val="8"/>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80" w:type="dxa"/>
            <w:vAlign w:val="bottom"/>
            <w:gridSpan w:val="17"/>
          </w:tcPr>
          <w:p>
            <w:pPr>
              <w:jc w:val="center"/>
              <w:ind w:right="4400"/>
              <w:spacing w:after="0"/>
              <w:rPr>
                <w:sz w:val="20"/>
                <w:szCs w:val="20"/>
                <w:color w:val="auto"/>
              </w:rPr>
            </w:pPr>
            <w:r>
              <w:rPr>
                <w:rFonts w:ascii="Arial" w:cs="Arial" w:eastAsia="Arial" w:hAnsi="Arial"/>
                <w:sz w:val="18"/>
                <w:szCs w:val="18"/>
                <w:b w:val="1"/>
                <w:bCs w:val="1"/>
                <w:color w:val="0000FF"/>
                <w:w w:val="98"/>
              </w:rPr>
              <w:t>PART III</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9280" w:type="dxa"/>
            <w:vAlign w:val="bottom"/>
            <w:gridSpan w:val="3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448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Executive Compensation</w:t>
            </w:r>
          </w:p>
        </w:tc>
        <w:tc>
          <w:tcPr>
            <w:tcW w:w="48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800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2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9280" w:type="dxa"/>
            <w:vAlign w:val="bottom"/>
            <w:gridSpan w:val="3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Principal Accountant Fees and Services</w:t>
            </w:r>
          </w:p>
        </w:tc>
        <w:tc>
          <w:tcPr>
            <w:tcW w:w="322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Borders>
              <w:bottom w:val="single" w:sz="8" w:color="0000FF"/>
            </w:tcBorders>
            <w:gridSpan w:val="8"/>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438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9280" w:type="dxa"/>
            <w:vAlign w:val="bottom"/>
            <w:gridSpan w:val="33"/>
          </w:tcPr>
          <w:p>
            <w:pPr>
              <w:spacing w:after="0"/>
              <w:rPr>
                <w:sz w:val="20"/>
                <w:szCs w:val="20"/>
                <w:color w:val="auto"/>
              </w:rPr>
            </w:pPr>
            <w:r>
              <w:rPr>
                <w:rFonts w:ascii="Arial" w:cs="Arial" w:eastAsia="Arial" w:hAnsi="Arial"/>
                <w:sz w:val="18"/>
                <w:szCs w:val="18"/>
                <w:color w:val="0000FF"/>
              </w:rPr>
              <w:t>Exhibits and Financial Statement Schedules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5780" w:type="dxa"/>
            <w:vAlign w:val="bottom"/>
            <w:gridSpan w:val="18"/>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7620" w:type="dxa"/>
            <w:vAlign w:val="bottom"/>
            <w:gridSpan w:val="2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Arial" w:cs="Arial" w:eastAsia="Arial" w:hAnsi="Arial"/>
                <w:sz w:val="18"/>
                <w:szCs w:val="18"/>
                <w:color w:val="0000FF"/>
              </w:rPr>
              <w:t>SIGNATURES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Annual Report on Form 10-K to “we,” “us,” “our,” the “Company” and similar terms refer to AAG and its consolidated subsidiaries. References in this report to “mainline” refer to the operations of American only and exclude regional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Part II, Item 7. Management’s Discussion and Analysis of Financial Condition and Results of Operations and other risks and uncertainties listed from time to time in our filings with the Securities and Exchange Commission (the SEC).</w:t>
      </w:r>
    </w:p>
    <w:p>
      <w:pPr>
        <w:spacing w:after="0" w:line="135"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Item 1A. Risk Factors. These risks include, among others, the following:</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95" w:lineRule="exact"/>
        <w:rPr>
          <w:sz w:val="20"/>
          <w:szCs w:val="20"/>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79" w:lineRule="exact"/>
        <w:rPr>
          <w:rFonts w:ascii="Arial" w:cs="Arial" w:eastAsia="Arial" w:hAnsi="Arial"/>
          <w:sz w:val="22"/>
          <w:szCs w:val="22"/>
          <w:color w:val="auto"/>
        </w:rPr>
      </w:pPr>
    </w:p>
    <w:p>
      <w:pPr>
        <w:jc w:val="both"/>
        <w:ind w:left="660" w:hanging="329"/>
        <w:spacing w:after="0" w:line="248"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59"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loss of key personnel who we depend on to operate our business, or the inability to attract, develop and retain additional qualified personnel could adversely affect our business.</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has been and will continue to be materially affected by many changing economic, geopolitical, commercial, regulatory and other conditions beyond our control, including global events that affect travel behavior.</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78"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may adversely affect our operations and financial performance.</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Risks of losses and adverse publicity from any public incidents involving our company, people or brand.</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and reduce costs may not be successful and may cause operational difficulties or decreased demand.</w:t>
      </w:r>
    </w:p>
    <w:p>
      <w:pPr>
        <w:spacing w:after="0" w:line="179" w:lineRule="exact"/>
        <w:rPr>
          <w:rFonts w:ascii="Arial" w:cs="Arial" w:eastAsia="Arial" w:hAnsi="Arial"/>
          <w:sz w:val="22"/>
          <w:szCs w:val="22"/>
          <w:color w:val="auto"/>
        </w:rPr>
      </w:pPr>
    </w:p>
    <w:p>
      <w:pPr>
        <w:ind w:left="660" w:hanging="329"/>
        <w:spacing w:after="0" w:line="249"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5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 and any new U.S. and international tax legislation may adversely affect our financial condition, results of operations and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We may never realize the full value of our intangible or long-lived assets, causing us to record material impairment charges.</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79" w:lineRule="exact"/>
        <w:rPr>
          <w:rFonts w:ascii="Arial" w:cs="Arial" w:eastAsia="Arial" w:hAnsi="Arial"/>
          <w:sz w:val="22"/>
          <w:szCs w:val="22"/>
          <w:color w:val="auto"/>
        </w:rPr>
      </w:pPr>
    </w:p>
    <w:p>
      <w:pPr>
        <w:jc w:val="both"/>
        <w:ind w:left="660" w:hanging="329"/>
        <w:spacing w:after="0" w:line="248"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59" w:lineRule="exact"/>
        <w:rPr>
          <w:rFonts w:ascii="Arial" w:cs="Arial" w:eastAsia="Arial" w:hAnsi="Arial"/>
          <w:sz w:val="22"/>
          <w:szCs w:val="22"/>
          <w:color w:val="auto"/>
        </w:rPr>
      </w:pPr>
    </w:p>
    <w:p>
      <w:pPr>
        <w:ind w:left="640" w:hanging="309"/>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terrorist attacks or other acts of violence, domestically or abroad; the travel industry continues to face ongoing security concerns.</w:t>
      </w:r>
    </w:p>
    <w:p>
      <w:pPr>
        <w:spacing w:after="0" w:line="179" w:lineRule="exact"/>
        <w:rPr>
          <w:rFonts w:ascii="Arial" w:cs="Arial" w:eastAsia="Arial" w:hAnsi="Arial"/>
          <w:sz w:val="22"/>
          <w:szCs w:val="22"/>
          <w:color w:val="auto"/>
        </w:rPr>
      </w:pPr>
    </w:p>
    <w:p>
      <w:pPr>
        <w:jc w:val="both"/>
        <w:ind w:left="660" w:hanging="329"/>
        <w:spacing w:after="0" w:line="241"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greenhouse gas (GHG) emissions, changing consumer preferences and the potential for increased impacts of severe weather events on our operations and infrastructure.</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shortage of pilots or other personnel could materially adversely affect our business.</w:t>
      </w:r>
    </w:p>
    <w:p>
      <w:pPr>
        <w:spacing w:after="0" w:line="192" w:lineRule="exact"/>
        <w:rPr>
          <w:rFonts w:ascii="Arial" w:cs="Arial" w:eastAsia="Arial" w:hAnsi="Arial"/>
          <w:sz w:val="22"/>
          <w:szCs w:val="22"/>
          <w:color w:val="auto"/>
        </w:rPr>
      </w:pPr>
    </w:p>
    <w:p>
      <w:pPr>
        <w:jc w:val="both"/>
        <w:ind w:left="660" w:hanging="329"/>
        <w:spacing w:after="0" w:line="244"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spacing w:after="0" w:line="176"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including artificial intelligence, to operate our business, and any failures could harm our business, results of operations and financial condition.</w:t>
      </w:r>
    </w:p>
    <w:p>
      <w:pPr>
        <w:spacing w:after="0" w:line="179" w:lineRule="exact"/>
        <w:rPr>
          <w:rFonts w:ascii="Arial" w:cs="Arial" w:eastAsia="Arial" w:hAnsi="Arial"/>
          <w:sz w:val="22"/>
          <w:szCs w:val="22"/>
          <w:color w:val="auto"/>
        </w:rPr>
      </w:pPr>
    </w:p>
    <w:p>
      <w:pPr>
        <w:jc w:val="both"/>
        <w:ind w:left="660" w:hanging="329"/>
        <w:spacing w:after="0" w:line="241"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Evolving data privacy requirements could increase our costs, and any significant data privacy incident could disrupt our operations, harm our reputation, expose us to legal risks and otherwise materially adversely affect our business, results of operations and financial condition.</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exposed to risks from cyberattacks, and any cybersecurity incidents involving us, our third-party service providers, or one of our AAdvantage partners or other business partners.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effectively manage the costs, rights and functionality of these channels.</w:t>
      </w:r>
    </w:p>
    <w:p>
      <w:pPr>
        <w:spacing w:after="0" w:line="179" w:lineRule="exact"/>
        <w:rPr>
          <w:rFonts w:ascii="Arial" w:cs="Arial" w:eastAsia="Arial" w:hAnsi="Arial"/>
          <w:sz w:val="22"/>
          <w:szCs w:val="22"/>
          <w:color w:val="auto"/>
        </w:rPr>
      </w:pPr>
    </w:p>
    <w:p>
      <w:pPr>
        <w:ind w:left="660" w:hanging="329"/>
        <w:spacing w:after="0" w:line="249"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w:t>
      </w:r>
    </w:p>
    <w:p>
      <w:pPr>
        <w:spacing w:after="0" w:line="155" w:lineRule="exact"/>
        <w:rPr>
          <w:rFonts w:ascii="Arial" w:cs="Arial" w:eastAsia="Arial" w:hAnsi="Arial"/>
          <w:sz w:val="22"/>
          <w:szCs w:val="22"/>
          <w:color w:val="auto"/>
        </w:rPr>
      </w:pPr>
    </w:p>
    <w:p>
      <w:pPr>
        <w:ind w:left="640" w:hanging="309"/>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Interruptions or disruptions in service at one of our key facilities.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Increases in insurance costs or reductions in insurance coverage, and heavy taxation of the airline industry.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(American), Envoy Aviation Group Inc., PSA Airlines, Inc. (PSA) and Piedmont Airlines, Inc. (Piedmont). AAG was formed in 1982, under the name AMR Corporation (AMR), as the parent company of American, which was founded in 1934.</w:t>
      </w:r>
    </w:p>
    <w:p>
      <w:pPr>
        <w:spacing w:after="0" w:line="11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AAG’s and American’s principal executive offices are located at 1 Skyview Drive, Fort Worth, Texas 76155 and their telephone number is 682-278-9000.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90"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primary business activity is the operation of a major network air carrier, providing scheduled air transportation for passengers and cargo through our hubs in Charlotte, Chicago, Dallas/Fort Worth, Los Angeles, Miami, New York, Philadelphia, Phoenix and Washington, D.C. and partner gateways, including in London, Doha, Madrid, Seattle/Tacoma, Sydney and Tokyo (among others). We provide service to over 350 destinations around the world, and in 2024, over 226 million passengers boarded our flights as we launched more than 50 new routes, including from New York to Tokyo, Dallas/Fort Worth to Brisbane, Philadelphia to Copenhagen and Philadelphia to Nice. We also announced over 20 new or expanded routes for customers to explore in 2025, including to trans-Atlantic destinations such as Milan, Rome, Venice and Naples in Italy and Athens, Greece.</w:t>
      </w:r>
    </w:p>
    <w:p>
      <w:pPr>
        <w:spacing w:after="0" w:line="12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 xml:space="preserve">As of December 31, 2024, we operated 977 mainline aircraft supported by our wholly-owned regional airline subsidiaries and third-party regional carriers, which together operated an additional 585 regional aircraft. See Part I, Item 2. Properties for further discussion of our mainline and regional aircraft and </w:t>
      </w:r>
      <w:r>
        <w:rPr>
          <w:rFonts w:ascii="Arial" w:cs="Arial" w:eastAsia="Arial" w:hAnsi="Arial"/>
          <w:sz w:val="18"/>
          <w:szCs w:val="18"/>
          <w:i w:val="1"/>
          <w:iCs w:val="1"/>
          <w:color w:val="auto"/>
        </w:rPr>
        <w:t>“Regional”</w:t>
      </w:r>
      <w:r>
        <w:rPr>
          <w:rFonts w:ascii="Arial" w:cs="Arial" w:eastAsia="Arial" w:hAnsi="Arial"/>
          <w:sz w:val="18"/>
          <w:szCs w:val="18"/>
          <w:color w:val="auto"/>
        </w:rPr>
        <w:t xml:space="preserve"> below for further discussion of our regional operations.</w:t>
      </w:r>
    </w:p>
    <w:p>
      <w:pPr>
        <w:spacing w:after="0" w:line="113" w:lineRule="exact"/>
        <w:rPr>
          <w:sz w:val="20"/>
          <w:szCs w:val="20"/>
          <w:color w:val="auto"/>
        </w:rPr>
      </w:pPr>
    </w:p>
    <w:p>
      <w:pPr>
        <w:jc w:val="both"/>
        <w:ind w:firstLine="202"/>
        <w:spacing w:after="0" w:line="241"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Alliance, which brings together a global network of 13 world-class member airlines and their affiliates, working together to provide a superior and seamless travel experience. See </w:t>
      </w:r>
      <w:r>
        <w:rPr>
          <w:rFonts w:ascii="Arial" w:cs="Arial" w:eastAsia="Arial" w:hAnsi="Arial"/>
          <w:sz w:val="18"/>
          <w:szCs w:val="18"/>
          <w:i w:val="1"/>
          <w:iCs w:val="1"/>
          <w:color w:val="auto"/>
        </w:rPr>
        <w:t>“Distribution and Marketing Agreements”</w:t>
      </w:r>
      <w:r>
        <w:rPr>
          <w:rFonts w:ascii="Arial" w:cs="Arial" w:eastAsia="Arial" w:hAnsi="Arial"/>
          <w:sz w:val="18"/>
          <w:szCs w:val="18"/>
          <w:color w:val="auto"/>
        </w:rPr>
        <w:t xml:space="preserve"> below for further discussion on the </w:t>
      </w:r>
      <w:r>
        <w:rPr>
          <w:rFonts w:ascii="Arial" w:cs="Arial" w:eastAsia="Arial" w:hAnsi="Arial"/>
          <w:sz w:val="18"/>
          <w:szCs w:val="18"/>
          <w:b w:val="1"/>
          <w:bCs w:val="1"/>
          <w:color w:val="auto"/>
        </w:rPr>
        <w:t>one</w:t>
      </w:r>
      <w:r>
        <w:rPr>
          <w:rFonts w:ascii="Arial" w:cs="Arial" w:eastAsia="Arial" w:hAnsi="Arial"/>
          <w:sz w:val="18"/>
          <w:szCs w:val="18"/>
          <w:color w:val="auto"/>
        </w:rPr>
        <w:t>world Alliance and other agreements with domestic and international airlines.</w:t>
      </w:r>
    </w:p>
    <w:p>
      <w:pPr>
        <w:spacing w:after="0" w:line="130"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 xml:space="preserve">See Part II, Item 7. Management’s Discussion and Analysis of Financial Condition and Results of Operations – </w:t>
      </w:r>
      <w:r>
        <w:rPr>
          <w:rFonts w:ascii="Arial" w:cs="Arial" w:eastAsia="Arial" w:hAnsi="Arial"/>
          <w:sz w:val="18"/>
          <w:szCs w:val="18"/>
          <w:i w:val="1"/>
          <w:iCs w:val="1"/>
          <w:color w:val="auto"/>
        </w:rPr>
        <w:t>“2024 Financial Overview,”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“AAG’s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“American’s Results of Operations” </w:t>
      </w:r>
      <w:r>
        <w:rPr>
          <w:rFonts w:ascii="Arial" w:cs="Arial" w:eastAsia="Arial" w:hAnsi="Arial"/>
          <w:sz w:val="18"/>
          <w:szCs w:val="18"/>
          <w:color w:val="auto"/>
        </w:rPr>
        <w:t>for further discussion of AAG’s and American’s operating results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Also, see Note 1(m) to each of AAG’s and American’s Consolidated Financial Statements in Part II, Items 8A and 8B, respectively, for passenger revenue by geographic region and Note 13 to AAG’s Consolidated Financial Statements in Part II, Item 8A and Note 12 to American’s Consolidated Financial Statements in Part II, Item 8B for segment disclosures.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8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Envoy Air Inc. (Envoy), PSA and Piedmont, as well as third -party regional carriers including Republic Airways Inc. (Republic), SkyWest Airlines, Inc. (SkyWest) and Air Wisconsin Airlines LLC (Air Wisconsin). Our regional carriers are an integral component of our operating network. We rely heavily on regional carriers to serve small markets and also to drive connecting traffic to our hubs from markets that are not economical for us to serve with larger, mainline aircraft. In addition, regional carriers offer complementary service in many of our mainline markets. All American Eagle carriers use logos, service marks, aircraft paint schemes and uniforms similar to those of our mainline operations. In 2024, 54 million passengers boarded our regional flights, approximately 45% of whom connected to or from our mainline flights. In January 2025, we announced a wind-down of our relationship with Air Wisconsin, which we expect to conclude in the second quarter of 2025.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Our regional carrier arrangements are principally in the form of capacity purchase agreements with our third-party regional partners and similar arrangements with our wholly-owned affiliates which provide that all revenues, including passenger, in-flight, ancillary, mail and freight revenues, go to us. We control marketing, scheduling, ticketing, pricing and seat inventories. In return, we agree to pay predetermined fees to these airlines for operating an agreed-upon number of aircraft, without regard to the number of passengers on board. In addition, these agreements provide that we either reimburse or pay 100% of certain variable costs, such as airport landing fees, fuel and passenger liability insurance.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Cargo</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Our cargo division provides a wide range of freight and mail services, with facilities and interline connections available across the globe. In 2024, we served approximately 21,000 unique origin and destination pairs, transporting over 1.0 billion pounds of time-sensitive freight and mail across our network. We continue to focus on enhancements that enable us to better serve our customers, including expanding our digital offerings, which provide greater efficiency, increased accuracy, 24/7 access to search schedules, and the ability to check availability, retrieve rates and make bookings.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 Agreements</w:t>
      </w:r>
    </w:p>
    <w:p>
      <w:pPr>
        <w:spacing w:after="0" w:line="90"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Passengers can purchase tickets for travel on American through several distribution channels, including our website (</w:t>
      </w:r>
      <w:r>
        <w:rPr>
          <w:rFonts w:ascii="Arial" w:cs="Arial" w:eastAsia="Arial" w:hAnsi="Arial"/>
          <w:sz w:val="18"/>
          <w:szCs w:val="18"/>
          <w:i w:val="1"/>
          <w:iCs w:val="1"/>
          <w:color w:val="auto"/>
        </w:rPr>
        <w:t>www.aa.com</w:t>
      </w:r>
      <w:r>
        <w:rPr>
          <w:rFonts w:ascii="Arial" w:cs="Arial" w:eastAsia="Arial" w:hAnsi="Arial"/>
          <w:sz w:val="18"/>
          <w:szCs w:val="18"/>
          <w:color w:val="auto"/>
        </w:rPr>
        <w:t>), our mobile app and our reservations centers, and through third-party distribution channels, including conventional travel agents, travel management companies and online travel agents (e.g., Expedia, including its booking sites Orbitz and Travelocity, and Booking Holdings, including its booking sites Kayak and Priceline). Over the last decade, American has been a leader in deploying new distribution technologies such as IATA New Distribution Capability (NDC) technology, which is now the primary means by which we distribute our content to third parties through aggregators (e.g., Amadeus, Sabre, Travelport and Travelfusion) or through direct connections. NDC technology provides customers access to enhanced content and functionality, providing a simplified booking experience, and enabling us to provide more relevant, tailored offers to customers.</w:t>
      </w:r>
    </w:p>
    <w:p>
      <w:pPr>
        <w:spacing w:after="0" w:line="12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To remain competitive, we will need to successfully manage our distribution costs and rights, increase our distribution flexibility and improve the functionality of our distribution channels, while maintaining an industry-competitive cost structure. For more discussion, see Part I, Item 1A. Risk Factors – “</w:t>
      </w:r>
      <w:r>
        <w:rPr>
          <w:rFonts w:ascii="Arial" w:cs="Arial" w:eastAsia="Arial" w:hAnsi="Arial"/>
          <w:sz w:val="18"/>
          <w:szCs w:val="18"/>
          <w:i w:val="1"/>
          <w:iCs w:val="1"/>
          <w:color w:val="auto"/>
        </w:rPr>
        <w:t>We rely on third-party distribution channels and must effectively manage the costs, rights and functionality of these</w:t>
      </w:r>
      <w:r>
        <w:rPr>
          <w:rFonts w:ascii="Arial" w:cs="Arial" w:eastAsia="Arial" w:hAnsi="Arial"/>
          <w:sz w:val="18"/>
          <w:szCs w:val="18"/>
          <w:color w:val="auto"/>
        </w:rPr>
        <w:t xml:space="preserve"> </w:t>
      </w:r>
      <w:r>
        <w:rPr>
          <w:rFonts w:ascii="Arial" w:cs="Arial" w:eastAsia="Arial" w:hAnsi="Arial"/>
          <w:sz w:val="18"/>
          <w:szCs w:val="18"/>
          <w:i w:val="1"/>
          <w:iCs w:val="1"/>
          <w:color w:val="auto"/>
        </w:rPr>
        <w:t>channels</w:t>
      </w:r>
      <w:r>
        <w:rPr>
          <w:rFonts w:ascii="Arial" w:cs="Arial" w:eastAsia="Arial" w:hAnsi="Arial"/>
          <w:sz w:val="18"/>
          <w:szCs w:val="18"/>
          <w:color w:val="auto"/>
        </w:rPr>
        <w:t>.”</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 of oneworld Alliance</w:t>
      </w:r>
    </w:p>
    <w:p>
      <w:pPr>
        <w:spacing w:after="0" w:line="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currently includes Alaska Airlines, British Airways, Cathay Pacific, Finnair, Iberia, Japan Airlines, Malaysia Airlines, Qantas Airways (Qantas), Qatar Airways, Royal Air Maroc, Royal Jordanian Airlines and SriLankan Airlines. Oman Air is expected to join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in 2025. Fiji Airways is currently a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connect partner offering select alliance benefits to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frequent flyers and is expected to become a full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in 2025. The </w:t>
      </w:r>
      <w:r>
        <w:rPr>
          <w:rFonts w:ascii="Arial" w:cs="Arial" w:eastAsia="Arial" w:hAnsi="Arial"/>
          <w:sz w:val="18"/>
          <w:szCs w:val="18"/>
          <w:b w:val="1"/>
          <w:bCs w:val="1"/>
          <w:color w:val="auto"/>
        </w:rPr>
        <w:t>one</w:t>
      </w:r>
      <w:r>
        <w:rPr>
          <w:rFonts w:ascii="Arial" w:cs="Arial" w:eastAsia="Arial" w:hAnsi="Arial"/>
          <w:sz w:val="18"/>
          <w:szCs w:val="18"/>
          <w:color w:val="auto"/>
        </w:rPr>
        <w:t>world Alliance links the networks of member carriers and their respective affiliates to enhance customer service and provide smooth connections to the destinations served by the alliance, including linking member carriers’ loyalty programs and providing reciprocal access to the carriers’ airport lounge facilities.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Joint Business Agreements and Other Cooperation Agreements</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covering Australia and New Zealand with Qantas. Joint business agreements enable the carriers involved to cooperate on flights between particular destinations and allow pooling and sharing of certain revenues and costs, enhanced loyalty program reciprocity and cooperation in other areas. Joint business agreements have become a common approach among major carriers to address key regulatory restrictions typically applicable to international airline service, including limitations on the foreign ownership of airlines and national laws prohibiting foreign airlines from carrying passengers beyond specific gateway cities.</w:t>
      </w:r>
    </w:p>
    <w:p>
      <w:pPr>
        <w:spacing w:after="0" w:line="12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We also have established a strategic alliance with Alaska Airlines and a strategic alliance with Qatar Airways in order to provide customers with improved schedules and network connection opportunities, enhanced loyalty program reciprocity and cooperation in other areas.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July 2010, in connection with a regulatory review related to our transatlantic joint business, we provided certain commitments to the European Commission (EC) regarding, among other things, the availability of take-off and landing slots at London Heathrow (LHR) or London Gatwick (LGW) airports. The commitments accepted by the EC were binding for 10 years. In anticipation of both the exit of the United Kingdom (UK) from the European Union (EU), commonly referred to as Brexit, and the expiry of the EC commitments in July 2020, the United Kingdom Competition and Markets Authority (CMA), in October 2018, opened an investigation into the transatlantic joint business. In September 2020 and April 2022, the CMA adopted interim measures that effectively extend the EC commitments until March 2026 in light of the uncertainty and other impacts resulting from the COVID-19 pandemic. The CMA restarted its investigation in September 2023 after a pause related to the COVID-19 pandemic and plans to complete the investigation before the scheduled expiration of the interim measures in March 2026. We continue to cooperate fully with the CMA.</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 Relationships</w:t>
      </w:r>
    </w:p>
    <w:p>
      <w:pPr>
        <w:spacing w:after="0" w:line="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To improve access to each other’s markets, various U.S. and foreign air carriers, including American, have established marketing agreements with other airlines. These marketing agreements vary in scope and are intended to provide enhanced customer choice by means of an expanded network with reciprocal loyalty program participation, but do not involve the same level of cooperation as our joint businesses or strategic alliances. As of December 31, 2024, in addition to the relationships described above, American had codeshare, marketing and/or loyalty program relationships with Air Tahiti Nui, Cathay Pacific, China Southern Airlines Company Limited (China Southern Airlines), Etihad Airways, Fiji Airways, GOL Linhas Aéreas Inteligentes S.A. (GOL), Gulf Air, Hawaiian Airlines, IndiGo, JetSMART, Jetstar, Jetstar Japan, Korean Air Lines, Malaysia Airlines, Philippine Airlines, Royal Air Maroc, Royal Jordanian Airlines, SriLankan Airlines and Vueling Airlines.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AAdvantage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Program</w:t>
      </w:r>
    </w:p>
    <w:p>
      <w:pPr>
        <w:spacing w:after="0" w:line="54" w:lineRule="exact"/>
        <w:rPr>
          <w:sz w:val="20"/>
          <w:szCs w:val="20"/>
          <w:color w:val="auto"/>
        </w:rPr>
      </w:pPr>
    </w:p>
    <w:p>
      <w:pPr>
        <w:jc w:val="both"/>
        <w:ind w:firstLine="202"/>
        <w:spacing w:after="0" w:line="239" w:lineRule="auto"/>
        <w:rPr>
          <w:sz w:val="20"/>
          <w:szCs w:val="20"/>
          <w:color w:val="auto"/>
        </w:rPr>
      </w:pPr>
      <w:r>
        <w:rPr>
          <w:rFonts w:ascii="Arial" w:cs="Arial" w:eastAsia="Arial" w:hAnsi="Arial"/>
          <w:sz w:val="18"/>
          <w:szCs w:val="18"/>
          <w:color w:val="auto"/>
        </w:rPr>
        <w:t xml:space="preserve">Our AAdvantage program was established to develop passenger loyalty by offering benefits and rewards to travelers for their continued patronage with American and our partners. AAdvantage members enjoy exclusive benefits and earn AAdvantage mileage credits (miles) for flying on eligible tickets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Alliance airline or other partner airlines. For every dollar spent by flying on an eligible American ticket, members earn mileage credits, and AAdvantage Gold</w:t>
      </w:r>
      <w:r>
        <w:rPr>
          <w:rFonts w:ascii="Arial" w:cs="Arial" w:eastAsia="Arial" w:hAnsi="Arial"/>
          <w:sz w:val="23"/>
          <w:szCs w:val="23"/>
          <w:color w:val="auto"/>
          <w:vertAlign w:val="superscript"/>
        </w:rPr>
        <w:t>®</w:t>
      </w:r>
      <w:r>
        <w:rPr>
          <w:rFonts w:ascii="Arial" w:cs="Arial" w:eastAsia="Arial" w:hAnsi="Arial"/>
          <w:sz w:val="18"/>
          <w:szCs w:val="18"/>
          <w:color w:val="auto"/>
        </w:rPr>
        <w:t>, AAdvantage Platinum</w:t>
      </w:r>
      <w:r>
        <w:rPr>
          <w:rFonts w:ascii="Arial" w:cs="Arial" w:eastAsia="Arial" w:hAnsi="Arial"/>
          <w:sz w:val="23"/>
          <w:szCs w:val="23"/>
          <w:color w:val="auto"/>
          <w:vertAlign w:val="superscript"/>
        </w:rPr>
        <w:t>®</w:t>
      </w:r>
      <w:r>
        <w:rPr>
          <w:rFonts w:ascii="Arial" w:cs="Arial" w:eastAsia="Arial" w:hAnsi="Arial"/>
          <w:sz w:val="18"/>
          <w:szCs w:val="18"/>
          <w:color w:val="auto"/>
        </w:rPr>
        <w:t>, AAdvantage Platinum 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AAdvantage Executive Platinum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status holders earn additional bonus mileage credits of 40%, 60%, 80% and 120%, respectively. Members also earn mileage credits by using the services of more than 1,000 non-flight partners, such as our co-branded credit cards, certain hotel and car rental companies and shopping and dining partners. The AAdvantage program in general, and our co-branded credit card programs in particular, are material assets of our business and have become increasingly important to our company over time. In December 2024, we announced a 10-year agreement with Citibank N.A. (Citi) to become the exclusive issuer of the AAdvantage co-branded credit card portfolio in the U.S. starting in 2026. During 2024 and 2023, cash payments from co-branded credit card and other partners were $6.1 billion and $5.2 billion, respectively, an increase of 17% year-over-year. Cash remuneration in 2024 included a one-time cash payment related to the new co-branded credit card agreement announced in December 2024.</w:t>
      </w:r>
    </w:p>
    <w:p>
      <w:pPr>
        <w:spacing w:after="0" w:line="146" w:lineRule="exact"/>
        <w:rPr>
          <w:sz w:val="20"/>
          <w:szCs w:val="20"/>
          <w:color w:val="auto"/>
        </w:rPr>
      </w:pPr>
    </w:p>
    <w:p>
      <w:pPr>
        <w:jc w:val="both"/>
        <w:ind w:firstLine="202"/>
        <w:spacing w:after="0" w:line="247" w:lineRule="auto"/>
        <w:rPr>
          <w:sz w:val="20"/>
          <w:szCs w:val="20"/>
          <w:color w:val="auto"/>
        </w:rPr>
      </w:pPr>
      <w:r>
        <w:rPr>
          <w:rFonts w:ascii="Arial" w:cs="Arial" w:eastAsia="Arial" w:hAnsi="Arial"/>
          <w:sz w:val="18"/>
          <w:szCs w:val="18"/>
          <w:color w:val="auto"/>
        </w:rPr>
        <w:t>Mileage credits can be redeemed for travel and upgraded experiences on American and participating airlines, access to our Admirals Club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Flagship Lounges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for other non-flight awards, such as car rentals and hotels, from our program partners. Travel awards are available on all flights operated by American and, subject to capacity-controlled seating, on flights operated by our partners. A member’s mileage credits generally do not expire if that member has any type of qualifying activity at least once every 24 months or if the AAdvantage member is the primary holder of a co-branded credit card. AAdvantage members qualify for status over a 12-month period beginning on March 1 of each year by earning Loyalty Points, which can be earned through a variety of qualifying travel and non-travel activities, including use of our co-branded credit cards. Status members can enjoy additional travel benefits of the AAdvantage program, including complimentary upgrades, checked bags, and Preferred and Main Cabin Extra seats, as well as priority check-in, security, boarding and baggage delivery when traveling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Alliance airline or select partner airlines. In addition, AAdvantage members can unlock benefits, rewards and choices before, between and beyond the traditional status tiers with Loyalty Point Rewards. AAdvantage Business, our business loyalty program, rewards both eligible companies with AAdvantage miles and their travelers with additional Loyalty Points when booking business travel.</w:t>
      </w:r>
    </w:p>
    <w:p>
      <w:pPr>
        <w:spacing w:after="0" w:line="135"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 xml:space="preserve">In 2024, the digital news outlet, </w:t>
      </w:r>
      <w:r>
        <w:rPr>
          <w:rFonts w:ascii="Arial" w:cs="Arial" w:eastAsia="Arial" w:hAnsi="Arial"/>
          <w:sz w:val="18"/>
          <w:szCs w:val="18"/>
          <w:i w:val="1"/>
          <w:iCs w:val="1"/>
          <w:color w:val="auto"/>
        </w:rPr>
        <w:t>The Points Guy</w:t>
      </w:r>
      <w:r>
        <w:rPr>
          <w:rFonts w:ascii="Arial" w:cs="Arial" w:eastAsia="Arial" w:hAnsi="Arial"/>
          <w:sz w:val="18"/>
          <w:szCs w:val="18"/>
          <w:color w:val="auto"/>
        </w:rPr>
        <w:t>, selected AAdvantage as the Best U.S. Airline Loyalty Program for the second consecutive year based on the ease of earning miles, the value of mileage redemptions and benefits offered by the program.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Under our agreements with AAdvantage members and program partners, we reserve the right to change the terms of the AAdvantage program at any time and without notice. Program rules, partners, special offers, awards and requisite mileage levels for awards are subject to change.</w:t>
      </w:r>
    </w:p>
    <w:p>
      <w:pPr>
        <w:spacing w:after="0" w:line="11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During 2024, our members redeemed approximately 15 million awards, including travel redemptions for flights and upgrades on American and other air carriers, as well as redemption of car and hotel awards, club memberships and merchandise, among others. Approximately 9% of our 2024 total revenue passenger miles flown were from award travel.</w:t>
      </w:r>
    </w:p>
    <w:p>
      <w:pPr>
        <w:spacing w:after="0" w:line="11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Estimate</w:t>
      </w:r>
      <w:r>
        <w:rPr>
          <w:rFonts w:ascii="Arial" w:cs="Arial" w:eastAsia="Arial" w:hAnsi="Arial"/>
          <w:sz w:val="18"/>
          <w:szCs w:val="18"/>
          <w:color w:val="auto"/>
        </w:rPr>
        <w:t>s” for more information on our loyalty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Domestic</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markets in which we operate are highly competitive. On most of our domestic nonstop routes, we face competing service from other domestic airlines, including major network airlines, low-cost carriers and ultra-low-cost carriers such as Alaska Airlines, Allegiant Air, Delta Air Lines, Frontier Airlines, Hawaiian Airlines, JetBlue, Southwest Airlines, Spirit Airlines and United Airlines. Between cities that require a connection, where the major airlines compete via their respective hubs, competition is significant. In addition, we face competition on some of our connecting routes from airlines operating point-to-point service on such routes. We also compete with all-cargo and charter airlines and, particularly on shorter segments, ground and rail transportation.</w:t>
      </w:r>
    </w:p>
    <w:p>
      <w:pPr>
        <w:spacing w:after="0" w:line="126"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 xml:space="preserve">In general, beyond nonstop city pairs, carriers that have the greatest ability to seamlessly connect passengers to and from markets have a competitive advantage. In some cases, however, foreign governments limit U.S. air carriers’ rights to transport passengers beyond designated gateway cities in foreign countries. In order to improve access to domestic and foreign markets, we have arrangements with other airlines including through the </w:t>
      </w:r>
      <w:r>
        <w:rPr>
          <w:rFonts w:ascii="Arial" w:cs="Arial" w:eastAsia="Arial" w:hAnsi="Arial"/>
          <w:sz w:val="18"/>
          <w:szCs w:val="18"/>
          <w:b w:val="1"/>
          <w:bCs w:val="1"/>
          <w:color w:val="auto"/>
        </w:rPr>
        <w:t>one</w:t>
      </w:r>
      <w:r>
        <w:rPr>
          <w:rFonts w:ascii="Arial" w:cs="Arial" w:eastAsia="Arial" w:hAnsi="Arial"/>
          <w:sz w:val="18"/>
          <w:szCs w:val="18"/>
          <w:color w:val="auto"/>
        </w:rPr>
        <w:t>world Alliance, other cooperation agreements, joint business agreements and marketing relationships, as further discussed herein.</w:t>
      </w:r>
    </w:p>
    <w:p>
      <w:pPr>
        <w:spacing w:after="0" w:line="124"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On all of our routes, pricing decisions are affected, in large part, by the need to meet competition from other airlines. Price competition occurs on a market-by-market basis through price discounts, changes in pricing structures, fare matching, targeted promotions and loyalty program initiatives. Airlines typically use discounted fares and other promotions to stimulate traffic during normally weak travel periods, when they begin service to new cities, when they have excess capacity, to generate cash flow, to maximize revenue per available seat mile or to establish, increase or preserve market share. Most airlines will quickly match price reductions in a particular market, and we have often elected to match discounted or promotional fares initiated by other air carriers in certain markets in order to compete in those markets. In addition, we face pricing pressures from so-called ultra-low-cost carriers, such as Allegiant Air, Frontier Airlines and Spirit Airlines, which compete in many of the markets in which we operate.</w:t>
      </w:r>
    </w:p>
    <w:p>
      <w:pPr>
        <w:spacing w:after="0" w:line="12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In addition to price competition, airlines compete for market share by increasing the size of their route system and the number of markets they serve. The American Eagle regional carriers increase the number of markets we serve by flying to smaller markets and providing connections at our hubs. Many of our competitors also own or have agreements with regional airlines that provide similar services at their hubs and other locations. We also compete on the basis of scheduling (frequency and flight times), availability of nonstop flights, on-time performance, type of equipment, cabin configuration, amenities provided to passengers, loyalty programs, the automation of travel agent reservation systems, onboard products, health and safety, sustainability initiatives and other services.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In addition to our extensive domestic service, we provide international service to Canada, Mexico, the Caribbean, Central and South America, Europe, Qatar, China, Japan, South Korea, India, Australia and New Zealand. In providing international air transportation, we compete with other U.S. airlines, foreign investor-owned airlines and foreign state-owned or state-affiliated airlines. Competition has also been increasing from low-cost airlines executing international long-haul expansion strategies, a trend we expect to continue, in particular with the planned introduction of long-range narrowbody aircraft in the coming years.</w:t>
      </w:r>
    </w:p>
    <w:p>
      <w:pPr>
        <w:spacing w:after="0" w:line="124"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order to increase our ability to compete in the market for international air transportation service, which is subject to extensive government regulation, U.S. and foreign carriers have entered into bilateral and multilateral marketing relationships, alliances, cooperation agreements and joint business agreements to exchange traffic among each other’s flights and route networks. See “</w:t>
      </w:r>
      <w:r>
        <w:rPr>
          <w:rFonts w:ascii="Arial" w:cs="Arial" w:eastAsia="Arial" w:hAnsi="Arial"/>
          <w:sz w:val="18"/>
          <w:szCs w:val="18"/>
          <w:i w:val="1"/>
          <w:iCs w:val="1"/>
          <w:color w:val="auto"/>
        </w:rPr>
        <w:t>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Marketing Agreements</w:t>
      </w:r>
      <w:r>
        <w:rPr>
          <w:rFonts w:ascii="Arial" w:cs="Arial" w:eastAsia="Arial" w:hAnsi="Arial"/>
          <w:sz w:val="18"/>
          <w:szCs w:val="18"/>
          <w:color w:val="auto"/>
        </w:rPr>
        <w:t>” above for further discussion.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Operating a sustainable business that has the ability to serve our stakeholders over the long-term is an important part of our strategy. We have increased our focus over time on a number of elements that we view as important to build a more sustainable company, including those described below.</w:t>
      </w:r>
    </w:p>
    <w:p>
      <w:pPr>
        <w:spacing w:after="0" w:line="116"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We have received recognition for our progress toward our sustainability goals. In 2024, we returned to the Dow Jones Sustainability World Index for the second consecutive year and to the Dow Jones Sustainability North America Index for the fourth consecutive year.</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Climate</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We recognize the challenge of climate change and have set ambitious goals to transition to operating a low-carbon airline over time. Our aim is to achieve net zero GHG emissions by 2050, and we have set an intermediate target to drive progress toward that goal. We have received validation from the Science Based Targets initiative (SBTi) that our 2035 GHG reduction target complies with the criteria in the SBTi’s first aviation pathway.</w:t>
      </w:r>
    </w:p>
    <w:p>
      <w:pPr>
        <w:spacing w:after="0" w:line="121"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vast majority of our direct GHG emissions come from the use of jet fuel in our operations. Our current strategy for reaching net zero GHG emissions by 2050 is focused on running a more fuel-efficient operation, with more fuel-efficient aircraft, powered by low-carbon fuel. To do so, we are working to drive progress across several key levers, including:</w:t>
      </w:r>
    </w:p>
    <w:p>
      <w:pPr>
        <w:spacing w:after="0" w:line="116" w:lineRule="exact"/>
        <w:rPr>
          <w:sz w:val="20"/>
          <w:szCs w:val="20"/>
          <w:color w:val="auto"/>
        </w:rPr>
      </w:pPr>
    </w:p>
    <w:p>
      <w:pPr>
        <w:ind w:left="660" w:hanging="3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replace older, less fuel-efficient aircraft with new, more efficient aircraft over time;</w:t>
      </w:r>
    </w:p>
    <w:p>
      <w:pPr>
        <w:spacing w:after="0" w:line="170" w:lineRule="exact"/>
        <w:rPr>
          <w:rFonts w:ascii="Arial" w:cs="Arial" w:eastAsia="Arial" w:hAnsi="Arial"/>
          <w:sz w:val="18"/>
          <w:szCs w:val="18"/>
          <w:color w:val="auto"/>
        </w:rPr>
      </w:pPr>
    </w:p>
    <w:p>
      <w:pPr>
        <w:jc w:val="both"/>
        <w:ind w:left="660" w:hanging="329"/>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Helping scale the production of sustainable aviation fuel (SAF) with the aim of transitioning to lower-carbon fuels. Currently, SAF is not available at the cost or scale necessary to meet our industry’s needs. We continue to enter into agreements to purchase SAF as part of our goal to replace 10% of our conventional jet fuel with SAF in 2030 and to encourage investment in SAF; and</w:t>
      </w:r>
    </w:p>
    <w:p>
      <w:pPr>
        <w:spacing w:after="0" w:line="115" w:lineRule="exact"/>
        <w:rPr>
          <w:rFonts w:ascii="Arial" w:cs="Arial" w:eastAsia="Arial" w:hAnsi="Arial"/>
          <w:sz w:val="18"/>
          <w:szCs w:val="18"/>
          <w:color w:val="auto"/>
        </w:rPr>
      </w:pPr>
    </w:p>
    <w:p>
      <w:pPr>
        <w:jc w:val="both"/>
        <w:ind w:left="660" w:hanging="329"/>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and investing in innovations that may enable commercial aircraft to be powered by low- and no-carbon fuel sources over the long term. For example, we have made direct investments in companies working to develop hydrogen-electric propulsion technology and green hydrogen distribution. We are also an anchor partner of Breakthrough Energy Catalyst, which aims to make investments to accelerate the development of new clean energy technologies, including SAF.</w:t>
      </w:r>
    </w:p>
    <w:p>
      <w:pPr>
        <w:spacing w:after="0" w:line="121"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Achieving our ambitious goals will require significant action and investments by governments, manufacturers and other stakeholders. We are committed to engaging with our stakeholders to seek to advance these initiatives and have dedicated resources to advance our own progress. Our Board of Directors and Corporate Governance and Public Responsibility Committee receive updates on our climate strategy, progress and key risks regularly. Our Chief Executive Officer is responsible for oversight of our climate change strategy.</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Safety</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safety of our customers and team members is a top priority. Our approach to safety is guided by our Federal Aviation Administration (FAA)-approved safety management systems (SMS), an organization-wide approach to identifying and managing risk. Each SMS is comprised of four components: Safety Policy, Safety Assurance, Safety Risk Management and Safety Promotion. Our Safety Policy sets safety objectives while striving to comply with applicable regulatory requirements and laws in the countries where we operate and establishing standards for acceptable operational behaviors.</w:t>
      </w:r>
    </w:p>
    <w:p>
      <w:pPr>
        <w:spacing w:after="0" w:line="124"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Safety Assurance component of our SMS specifies how we use data and conduct quality assurance and internal oversight to validate the effectiveness of risk controls and the performance of the SMS. The Safety Risk Management (SRM) element of our SMS provides a decision-making process for identifying hazards and mitigating risk based on a thorough understanding of our systems and their operating environment. We employ SRM whenever there is a significant change to our operations, such as the delivery of new aircraft. Lastly, the Safety Promotion component includes training and raising awareness among team members so that they can spot potential safety events.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Customers</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fly to over 350 destinations in the United States and internationally, and we are committed to providing our customers with a world-class travel experience. We continued to rigorously measure and track customer satisfaction through passenger surveys in 2024, efforts that led to further improvements in our operations and the services we provide.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 2024, we were recognized for the seventh consecutive year with the prestigious Five Star rating in The APEX Official Airline Ratings – Global Airline category. This rating is based on verified customer feedback on the overall travel experience.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People</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airline business is labor intensive, and our team members are critical to delivering for our customers. The operational complexity of our business requires a diverse team of personnel trained and experienced in a variety of technical areas such as flight operations, ground operations, safety and maintenance, customer service and airline scheduling and planning. Fostering a culture where our team members feel supported to take care of our customers is critical to our success. To do this, we must continue to hire the best and the brightest, ensure that people from all backgrounds are aware of the opportunities that exist in aviation, and create a culture where everyone can reach their full potential and thrive.</w:t>
      </w:r>
    </w:p>
    <w:p>
      <w:pPr>
        <w:spacing w:after="0" w:line="12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2024, mainline and regional salaries, wages and benefits were our largest expense and represented 36% of our total operating expenses. As of December 31, 2024, we had approximately 133,300 active full-time equivalent employees, approximately 87% of whom were represented by various labor unions responsible for negotiating the collective bargaining agreements (CBAs) governing their compensation and job duties, among other things.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Talent Development</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We focus on providing our team members with the tools, training and resources they need to do their best work. We maintain a suite of programs aimed at helping our people develop the skills and experience they need to succeed in their roles and build rewarding, long-term careers within our company. Additionally, we have partnered with leading online learning platforms to make professional development available on-demand to all of our team members.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Our Culture</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seek to hire the best and brightest and to create a workplace where all perspectives and experiences are welcomed, valued and encouraged and where every individual, regardless of their national origin, religion, race, gender, sexual orientation or background, not only knows they belong, but that they can thrive at our company. Our goal is to make culture a competitive advantage so people will want to work with us, fly with us and invest in us. We believe in:</w:t>
      </w:r>
    </w:p>
    <w:p>
      <w:pPr>
        <w:spacing w:after="0" w:line="121" w:lineRule="exact"/>
        <w:rPr>
          <w:sz w:val="20"/>
          <w:szCs w:val="20"/>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engaging and retaining the best and the brightest talent for growth;</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excellence in our operations to serve and expand our global markets;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Striving to have our teams build connections and trust with all who fly with us; and</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Driving industry innovation to build competitive advantages.</w:t>
      </w:r>
    </w:p>
    <w:p>
      <w:pPr>
        <w:spacing w:after="0" w:line="17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2024, we received a perfect score on the Disability Equality Index for the ninth consecutive year and were named one of the best places to work for disability inclusion.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Competitive Pay and Comprehensive Benefits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seek to offer competitive pay, comprehensive benefits and a wide variety of resources designed to support the physical, behavioral and financial well-being of our team members and their families, including medical coverage that is intended to be affordable and flexible along with healthcare navigation and support tools.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internal recognition programs give team members and customers the opportunity to show their appreciation for a job well done, including through our Nonstop Thanks program whereby team members can award each other points for exceptional service or as an expression of gratitude. Recognition points earned through the recognition program can be redeemed for items in an online catalog. In 2024, our team members were recognized by customers, peers and company leaders approximately three million times and more than 1,300 peer nominations were submitted for the annual Circle of Excellence, the highest honor that we bestow upon our team members for their career achievements.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future success depends in large part on our ability to attract, develop and retain highly qualified management, technical and other personnel.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historically. For more discussion, see Part I, Item 1A. Risk Factors – </w:t>
      </w:r>
      <w:r>
        <w:rPr>
          <w:rFonts w:ascii="Arial" w:cs="Arial" w:eastAsia="Arial" w:hAnsi="Arial"/>
          <w:sz w:val="18"/>
          <w:szCs w:val="18"/>
          <w:i w:val="1"/>
          <w:iCs w:val="1"/>
          <w:color w:val="auto"/>
        </w:rPr>
        <w:t>“The loss of key</w:t>
      </w:r>
      <w:r>
        <w:rPr>
          <w:rFonts w:ascii="Arial" w:cs="Arial" w:eastAsia="Arial" w:hAnsi="Arial"/>
          <w:sz w:val="18"/>
          <w:szCs w:val="18"/>
          <w:color w:val="auto"/>
        </w:rPr>
        <w:t xml:space="preserve"> </w:t>
      </w:r>
      <w:r>
        <w:rPr>
          <w:rFonts w:ascii="Arial" w:cs="Arial" w:eastAsia="Arial" w:hAnsi="Arial"/>
          <w:sz w:val="18"/>
          <w:szCs w:val="18"/>
          <w:i w:val="1"/>
          <w:iCs w:val="1"/>
          <w:color w:val="auto"/>
        </w:rPr>
        <w:t>personnel who we depend on to operate our business, or the inability to attract, develop and retain additional qualified personnel could adversely affect our business.”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Labor Relations</w:t>
      </w:r>
    </w:p>
    <w:p>
      <w:pPr>
        <w:spacing w:after="0" w:line="88"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Labor relations in the air transportation industry are regulated under the Railway Labor Act (RLA), which vests in the National Mediation Board (NMB) certain functions with respect to disputes between airlines and labor unions relating to union representation and CBAs.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our domestic airline employee groups that are represented by unions: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Union</w:t>
            </w:r>
          </w:p>
        </w:tc>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or Craft</w:t>
            </w: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8"/>
                <w:szCs w:val="18"/>
                <w:b w:val="1"/>
                <w:bCs w:val="1"/>
                <w:color w:val="auto"/>
                <w:vertAlign w:val="superscript"/>
              </w:rPr>
              <w:t>(1)</w:t>
            </w:r>
          </w:p>
        </w:tc>
        <w:tc>
          <w:tcPr>
            <w:tcW w:w="1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Amendable Date</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Mainline:</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Allied Pilots Association (APA)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Professional Flight Attendants (APFA)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Airline Customer Service Employee Association –</w:t>
            </w:r>
          </w:p>
        </w:tc>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Passenger Service</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13,680</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2029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Communications Workers of America and International</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Brotherhood of Teamsters (CWA-IBT)</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2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Transport Workers Union and International Association of</w:t>
            </w:r>
          </w:p>
        </w:tc>
        <w:tc>
          <w:tcPr>
            <w:tcW w:w="288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Mechanics and Related</w:t>
            </w:r>
          </w:p>
        </w:tc>
        <w:tc>
          <w:tcPr>
            <w:tcW w:w="134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rPr>
              <w:t>12,980</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Machinists &amp; Aerospace Workers (TWU-IAM Association)</w:t>
            </w:r>
          </w:p>
        </w:tc>
        <w:tc>
          <w:tcPr>
            <w:tcW w:w="2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Simulator Engineers</w:t>
            </w: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Maintenance Control Technicians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Maintenance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Airline Flight Control Association (PAFCA)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Transport Workers Union (TWU)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Envoy:</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Air Line Pilots Associations (ALPA)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Flight Attendants-CWA (AFA)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Ground School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Simulator Instructors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Communications Workers of America (CWA)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Passenger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Piedmont:</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International Brotherhood of Teamsters (IBT)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Mechanics and Related</w:t>
            </w:r>
          </w:p>
        </w:tc>
        <w:tc>
          <w:tcPr>
            <w:tcW w:w="13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IBT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CWA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Fleet and Passenger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IBT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Union</w:t>
            </w:r>
          </w:p>
        </w:tc>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or Craft</w:t>
            </w: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8"/>
                <w:szCs w:val="18"/>
                <w:b w:val="1"/>
                <w:bCs w:val="1"/>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Amendable Date</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PSA:</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175"/>
        </w:trPr>
        <w:tc>
          <w:tcPr>
            <w:tcW w:w="5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International Association of Machinists &amp; Aerospace Workers</w:t>
            </w:r>
          </w:p>
        </w:tc>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Mechanics and Related</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710</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41"/>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(IAM)</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310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9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approximate number of active employees as of December 31, 2024.</w:t>
      </w:r>
    </w:p>
    <w:p>
      <w:pPr>
        <w:spacing w:after="0" w:line="13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2024, new five-year CBAs were ratified by the APFA and CWA-IBT, the unions representing our mainline flight attendants and passenger service team members, respectively. Also in 2024, the TWU-IAM ratified a two-year contract extension for our mainline maintenance and fleet service team members. Among our wholly-owned regional subsidiaries, Piedmont fleet and passenger service and PSA flight attendants and dispatchers have agreements that are now amendable and we are engaged in negotiations.</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more discussion, see Part I, Item 1A. Risk Factors – “</w:t>
      </w:r>
      <w:r>
        <w:rPr>
          <w:rFonts w:ascii="Arial" w:cs="Arial" w:eastAsia="Arial" w:hAnsi="Arial"/>
          <w:sz w:val="18"/>
          <w:szCs w:val="18"/>
          <w:i w:val="1"/>
          <w:iCs w:val="1"/>
          <w:color w:val="auto"/>
        </w:rPr>
        <w:t>Union disputes, employee strikes and other labor-related disruptions may</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affect our operations and financial performance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operations and financial results are materially affected by the availability and price of aircraft fuel, which represents one of the largest single cost items in our business. Based on our 2025 forecasted mainline and regional fuel consumption, we estimate that a one cent per gallon increase in the price of aircraft fuel would increase our 2025 annual fuel expense by approximately $45 million.</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and regional operations for 2024 and 2023 (gallons and aircraft fuel expense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Gallons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Aircraft Fuel</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rPr>
              <w:t>per Gallon</w:t>
            </w:r>
          </w:p>
        </w:tc>
        <w:tc>
          <w:tcPr>
            <w:tcW w:w="166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rPr>
              <w:t>Expense</w:t>
            </w:r>
          </w:p>
        </w:tc>
        <w:tc>
          <w:tcPr>
            <w:tcW w:w="1880" w:type="dxa"/>
            <w:vAlign w:val="bottom"/>
          </w:tcPr>
          <w:p>
            <w:pPr>
              <w:jc w:val="center"/>
              <w:spacing w:after="0" w:line="124" w:lineRule="exact"/>
              <w:rPr>
                <w:sz w:val="20"/>
                <w:szCs w:val="20"/>
                <w:color w:val="auto"/>
              </w:rPr>
            </w:pPr>
            <w:r>
              <w:rPr>
                <w:rFonts w:ascii="Arial" w:cs="Arial" w:eastAsia="Arial" w:hAnsi="Arial"/>
                <w:sz w:val="14"/>
                <w:szCs w:val="14"/>
                <w:b w:val="1"/>
                <w:bCs w:val="1"/>
                <w:color w:val="auto"/>
              </w:rPr>
              <w:t>Operating Expenses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4,391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$11,418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39"/>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2023</w:t>
            </w:r>
          </w:p>
        </w:tc>
        <w:tc>
          <w:tcPr>
            <w:tcW w:w="1300" w:type="dxa"/>
            <w:vAlign w:val="bottom"/>
          </w:tcPr>
          <w:p>
            <w:pPr>
              <w:jc w:val="center"/>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$2.96</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$12,257</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As of December 31, 2024,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aircraft fuel prices.</w:t>
      </w:r>
    </w:p>
    <w:p>
      <w:pPr>
        <w:spacing w:after="0" w:line="121"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Aircraft fuel prices have in the past, and may in the future, experience substantial volatility. We cannot predict the future availability, price volatility or cost of aircraft fuel. For more discussion, see Part I, Item 1A. Risk Factors – “</w:t>
      </w:r>
      <w:r>
        <w:rPr>
          <w:rFonts w:ascii="Arial" w:cs="Arial" w:eastAsia="Arial" w:hAnsi="Arial"/>
          <w:sz w:val="18"/>
          <w:szCs w:val="18"/>
          <w:i w:val="1"/>
          <w:iCs w:val="1"/>
          <w:color w:val="auto"/>
        </w:rPr>
        <w:t>Our business is very dependent on the price and</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of aircraft fuel. Continued periods of high volatility in fuel costs, increased fuel prices or significant disruptions in the supply of aircraft fuel could have a significant negative impact on consumer demand, our operating results and liquidity</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90"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Due to the greater demand for air travel during the summer months, revenues in the airline industry exhibit seasonal patterns based on the peak travel periods. General economic conditions, fears of terrorism or war, fare initiatives, fluctuations in fuel prices, labor actions, weather, natural disasters, outbreaks of disease, geopolitical factors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and Global Regulatory Landscape</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8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Airlines are subject to extensive domestic and international regulatory requirements. Domestically, the U.S. Department of Transportation (DOT) and the FAA exercise significant regulatory authority over air carriers.</w:t>
      </w:r>
    </w:p>
    <w:p>
      <w:pPr>
        <w:spacing w:after="0" w:line="10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DOT, among other things, oversees and regulates domestic and international codeshare agreements, international route authorities, competition and consumer protection matters including accessibility, the display and sharing of ancillary fee information and refund practices. The Antitrust Division of the Department of Justice, along with the DOT in certain instances, have jurisdiction over airline antitrust matters.</w:t>
      </w:r>
    </w:p>
    <w:p>
      <w:pPr>
        <w:spacing w:after="0" w:line="116"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FAA similarly exercises safety oversight and regulates most operational matters of our business, including how we operate and maintain our aircraft. FAA requirements cover, among other things, required technology and necessary onboard equipment; systems, procedures and training necessary to ensure the continuous airworthiness of our fleet of aircraft; safety measures and equipment; crew scheduling limitations and experience requirements; and many other technical aspects of airline operations. Additionally, our pilots and other employees are subject to rigorous certification standards, and our pilots and other crew members must adhere to flight time and rest requirements.</w:t>
      </w:r>
    </w:p>
    <w:p>
      <w:pPr>
        <w:spacing w:after="0" w:line="12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The FAA also controls the national airspace system, including operational rules and fees for air traffic control (ATC) services. The efficiency, reliability and capacity of the ATC network has a significant impact on our costs and on the timeliness of our operations.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U.S. Postal Service has jurisdiction over certain aspects of the transportation of mail and related services.</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8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take-off rights and authorizations (slots) and other facilities, and certain airports that impose geographic limitations on operations or curtail operations based on the time of day. Operations at three major domestic airports we serve (John F. Kennedy International Airport (JFK) and LaGuardia Airport (LGA) in New York City, and Ronald Reagan Washington National Airport (DCA) near Washington, D.C.) and many foreign airports we serve (including LHR) are regulated by governmental entities through allocations of slots or similar regulatory mechanisms that limit the rights of carriers to conduct operations at those airports. Each slot represents the authorization to land at and take off from the particular airport during a specified time period. In addition to slot restrictions, operations at DCA and LGA are also limited based on a so-called “perimeter rule” which generally limits the stage length of the flights that can be operated from those airports to 1,250 and 1,500 miles, respectively. Generally, our ability to retain slots is conditioned on the continued use of such slots, and in the absence of use, the slots are subject to forfeiture. In certain circumstances, such as during the COVID-19 pandemic, regulators may issue slot waivers which temporarily suspend or amend slot usage requirements, and we have used slot waivers at times to reduce flying levels during periods of reduced demand for travel. Moreover, on occasions in 2023 and 2024, the FAA issued slot waivers for New York City area airports as a result of operational challenges arising from ATC staffing shortages; those waivers are now set to expire in October 2025, and we cannot guarantee that such waivers will be made available to us, or that upon expiration or cancellation of such waivers it will be economical for us to resume prior levels of flying to destinations where we have operated a reduced service. If we are forced to surrender slots or other rights, we may be unable to provide our desired level of service to or from certain destinations in the future. For more discussion, see Part I, Item 1A. Risk Factors – “</w:t>
      </w:r>
      <w:r>
        <w:rPr>
          <w:rFonts w:ascii="Arial" w:cs="Arial" w:eastAsia="Arial" w:hAnsi="Arial"/>
          <w:sz w:val="18"/>
          <w:szCs w:val="18"/>
          <w:i w:val="1"/>
          <w:iCs w:val="1"/>
          <w:color w:val="auto"/>
        </w:rPr>
        <w:t>If we are unable to obtain and maintain</w:t>
      </w:r>
      <w:r>
        <w:rPr>
          <w:rFonts w:ascii="Arial" w:cs="Arial" w:eastAsia="Arial" w:hAnsi="Arial"/>
          <w:sz w:val="18"/>
          <w:szCs w:val="18"/>
          <w:color w:val="auto"/>
        </w:rPr>
        <w:t xml:space="preserve"> </w:t>
      </w:r>
      <w:r>
        <w:rPr>
          <w:rFonts w:ascii="Arial" w:cs="Arial" w:eastAsia="Arial" w:hAnsi="Arial"/>
          <w:sz w:val="18"/>
          <w:szCs w:val="18"/>
          <w:i w:val="1"/>
          <w:iCs w:val="1"/>
          <w:color w:val="auto"/>
        </w:rPr>
        <w:t>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32"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Our ability to provide service can also be impaired at airports where the airport gates and other facilities are currently inadequate to accommodate all of the service that we would like to provide, or where we have no access to gates at all.</w:t>
      </w:r>
    </w:p>
    <w:p>
      <w:pPr>
        <w:spacing w:after="0" w:line="10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Existing law also permits domestic local airport authorities to implement procedures and impose restrictions designed to abate noise, provided such procedures and restrictions do not unreasonably interfere with interstate or foreign commerce or the national transportation system. In some instances, these restrictions have caused curtailments in service or increases in operating costs.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Airline Fares, Taxes and User Fees</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Airlines are permitted to establish their own domestic fares without governmental regulation. The DOT maintains authority over certain international fares, rates and charges, but only applies this authority on a limited basis. In addition, international fares, rates and charges are sometimes subject to the jurisdiction of the governments of the foreign countries which we serve.</w:t>
      </w:r>
    </w:p>
    <w:p>
      <w:pPr>
        <w:spacing w:after="0" w:line="116"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Airlines are obligated to collect a federal excise tax, commonly referred to as the “ticket tax,” on domestic and international air transportation, and to collect other taxes and charge other fees, such as foreign taxes, security fees and passenger facility charges. Although these taxes and fees are not our operating expenses, they represent an additional cost to our customers. These taxes and fees are subject to increase from time to time.</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DOT Passenger Protection Rules</w:t>
      </w:r>
    </w:p>
    <w:p>
      <w:pPr>
        <w:spacing w:after="0" w:line="88"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The DOT regulates airline interactions with passengers through the ticketing process, at the airport and onboard the aircraft. Among other things, these regulations govern how our fares are displayed online, required customer disclosures, access by disabled passengers, handling of long onboard flight delays and reporting of mishandled bags. In April 2024, the DOT issued a final rule mandating refunds in certain circumstances (refund rule), and a final rule requiring disclosure of certain ancillary fees by air carriers and travel agents (ancillary fee rule). We met the compliance deadline of October 28, 2024 for the refund rule. In July 2024, the U.S. Court of Appeals for the Fifth Circuit granted the airline associations and individual airlines’ motion for a stay of the ancillary fee rule. In August 2024, the DOT issued a proposed rulemaking related to family seating, which would require airlines to seat children aged 13 and under adjacent to at least one accompanying adult at no additional cost beyond the fare, subject to limited exceptions. In December 2024, the DOT published an Advance Notice of Proposed Rulemaking titled “Airline Passenger Rights.” Specifically, the DOT is soliciting comments on requiring airlines to pay passengers cash compensation, to provide free rebooking, to cover meals and to provide overnight lodging and related transportation expenses when a disruption is airline-caused. The DOT is also soliciting comments on requiring airlines to provide free rebooking, to cover meals and to provide lodging and related transportation expenses for significant domestic flight disruptions, regardless of the cause of the disruption. Also in December 2024, the DOT published a final rule on “Ensuring Safe Accommodations for Air Travelers with Disabilities Using Wheelchairs” which sets new standards for assistance, mandates hands-on training for airline employees and contractors who physically assist passengers with disabilities and handle passengers’ wheelchairs, and specifies actions that airlines must take to protect passengers when a wheelchair is damaged or delayed during transport. Individual requirements in the final rule have varying implementation timelines, ranging from January 16, 2025 (the effective date of the final rule) to June 17, 2026.</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International air transportation is subject to extensive government regulation, including aviation agreements between the U.S. and other countries or governmental authorities, such as the EU. Moreover, our alliances with international carriers may be subject to the jurisdiction and regulations of various foreign agencies. The U.S. government has negotiated “open skies” agreements with more than 130 trading partners, which allow unrestricted route authority access between the U.S. and the foreign markets.</w:t>
      </w:r>
    </w:p>
    <w:p>
      <w:pPr>
        <w:spacing w:after="0" w:line="121"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addition, foreign countries impose passenger protection rules, which are analogous to, and often meet or exceed the requirements of, the DOT passenger protection rules discussed above. In cases where these foreign requirements exceed the DOT rules, we may bear additional burdens and liabilities. Further, various foreign airport authorities impose slot, noise and curfew restrictions at their local airports.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Security</w:t>
      </w:r>
    </w:p>
    <w:p>
      <w:pPr>
        <w:spacing w:after="0" w:line="8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 xml:space="preserve">All aspects of civil aviation and border security in the U.S. affecting U.S. carriers are controlled or regulated by the federal government through the Transportation Security Administration (TSA) and the U.S. Customs and Border Protection (CBP). The TSA is responsible for the security of the nation’s transportation systems. The TSA’s requirements for aviation security include, among other things, screening of passengers, baggage, cargo, mail, employees and vendors; carriage of federal air marshals at no charge; and continuous background checks of all employees and vendor employees with access to secure areas of airports. Funding for the TSA is provided by a combination of air carrier fees, passenger fees and taxpayer funds. The CBP is </w:t>
      </w:r>
      <w:r>
        <w:rPr>
          <w:rFonts w:ascii="Arial" w:cs="Arial" w:eastAsia="Arial" w:hAnsi="Arial"/>
          <w:sz w:val="18"/>
          <w:szCs w:val="18"/>
          <w:color w:val="080808"/>
        </w:rPr>
        <w:t>responsible for securing the nation’s borders by combining customs,</w:t>
      </w:r>
      <w:r>
        <w:rPr>
          <w:rFonts w:ascii="Arial" w:cs="Arial" w:eastAsia="Arial" w:hAnsi="Arial"/>
          <w:sz w:val="18"/>
          <w:szCs w:val="18"/>
          <w:color w:val="auto"/>
        </w:rPr>
        <w:t xml:space="preserve"> </w:t>
      </w:r>
      <w:r>
        <w:rPr>
          <w:rFonts w:ascii="Arial" w:cs="Arial" w:eastAsia="Arial" w:hAnsi="Arial"/>
          <w:sz w:val="18"/>
          <w:szCs w:val="18"/>
          <w:color w:val="080808"/>
        </w:rPr>
        <w:t xml:space="preserve">immigration and agricultural protection. The CBP regulatory </w:t>
      </w:r>
      <w:r>
        <w:rPr>
          <w:rFonts w:ascii="Arial" w:cs="Arial" w:eastAsia="Arial" w:hAnsi="Arial"/>
          <w:sz w:val="18"/>
          <w:szCs w:val="18"/>
          <w:color w:val="000000"/>
        </w:rPr>
        <w:t>requirements include the advanced transmission of reservation records, passport</w:t>
      </w:r>
      <w:r>
        <w:rPr>
          <w:rFonts w:ascii="Arial" w:cs="Arial" w:eastAsia="Arial" w:hAnsi="Arial"/>
          <w:sz w:val="18"/>
          <w:szCs w:val="18"/>
          <w:color w:val="080808"/>
        </w:rPr>
        <w:t xml:space="preserve"> </w:t>
      </w:r>
      <w:r>
        <w:rPr>
          <w:rFonts w:ascii="Arial" w:cs="Arial" w:eastAsia="Arial" w:hAnsi="Arial"/>
          <w:sz w:val="18"/>
          <w:szCs w:val="18"/>
          <w:color w:val="000000"/>
        </w:rPr>
        <w:t>and cargo data to facilitate lawful travel and trade into the U.S. Funding for a portion of CBP operations is provided by a combination of fees collected by airlines. Our international service further requires us to comply with host government civil aviation security regimes and foreign border control authorities.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Environmental Regulation</w:t>
      </w:r>
    </w:p>
    <w:p>
      <w:pPr>
        <w:spacing w:after="0" w:line="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airline industry is subject to various environmental laws and regulations in the U.S. and other countries. U.S. federal laws with a particular effect on our operations include the Airport Noise and Capacity Act of 1990, the Clean Air Act, the Resource Conservation and Recovery Act, the Clean Water Act, the Safe Drinking Water Act and the Comprehensive Environmental Response, Compensation and Liability Act. The U.S. Environmental Protection Agency (EPA) and other federal agencies promulgate regulations that affect our operations. In addition to these federal activities, various states have been delegated certain authorities under these aforementioned federal statutes. Many state and local governments have adopted environmental laws and regulations that are similar to or stricter than the federal requirements.</w:t>
      </w:r>
    </w:p>
    <w:p>
      <w:pPr>
        <w:spacing w:after="0" w:line="127"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Revised underground storage tank regulations issued by the EPA in 2015 have affected certain airport fuel hydrant systems, with modifications of those systems needed to comply with the revised regulations. As part of EPA and state regulations of storm water management, several U.S. airport authorities are trying to limit discharges of deicing fluid into the environment, which can include requiring airlines to help build or reconfigure airport deicing facilities. Additionally, compliance with updated federal and state regulations governing firefighting foams are requiring modifications to the fire suppression systems we operate, as well as those maintained by airports. On November 23, 2022, the EPA also published the final rule for particulate matter emission standards and test procedures for civil aircraft engines, which took effect on December 23, 2022. These or similar regulations could result in increased compliance costs, but at this time we do not expect these costs to be material.</w:t>
      </w:r>
    </w:p>
    <w:p>
      <w:pPr>
        <w:spacing w:after="0" w:line="12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environmental laws include those related to responsibility for potential soil and groundwater contamination. We are conducting investigation and remediation activities to address soil and groundwater conditions at several sites, including airports and maintenance bases. We anticipate that the ongoing costs of those activities will not materially affect our operations.</w:t>
      </w:r>
    </w:p>
    <w:p>
      <w:pPr>
        <w:spacing w:after="0" w:line="11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employ an environmental management system that provides a systematic approach for monitoring changes to and compliance with environmental regulations, and for managing a broad range of environmental issues, including air emissions, hazardous waste, underground tanks, and aircraft water quality.</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Global and Domestic Regulation Related to Climate Change</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Climate change-related regulatory activity and developments may adversely affect our business and financial results by requiring us to adapt to rapidly evolving domestic and international regulations and to achieve emission reductions before cost-effective technologies are available, for example, through requirements to make capital investments to purchase specific types of equipment or technologies, purchase carbon offset credits or incur additional costs related to our emissions. These trends may also affect us by increasing our operating costs, including fuel costs.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The Carbon Offsetting and Reduction Scheme for International Aviation (CORSIA)</w:t>
      </w:r>
    </w:p>
    <w:p>
      <w:pPr>
        <w:spacing w:after="0" w:line="88"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We are subject to the requirements of the CORSIA, an international, market-based emissions reduction program adopted by the International Civil Aviation Organization (ICAO) in 2016. CORSIA is intended to achieve carbon-neutral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growth in the international aviation sector from 2021 until 2035 through the purchase of certain types of carbon offset credits or the use of eligible renewable fuels.</w:t>
      </w:r>
    </w:p>
    <w:p>
      <w:pPr>
        <w:spacing w:after="0" w:line="100"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For each year from 2021 through 2032, CORSIA requires airlines to compensate for the rate of growth of GHG emissions of the aviation sector, relative to a predetermined ICAO baseline. ICAO originally defined the baseline as the average emissions from covered flights in 2019 and 2020. However, due to the effect of the COVID-19 pandemic on air travel, in June 2020, ICAO removed 2020 from the baseline calculation for the CORSIA pilot phase (2021-2023). In October 2022, ICAO member countries agreed that 85% of 2019 emissions would be used as the baseline for the remainder of CORSIA’s term (2024-2035).</w:t>
      </w:r>
    </w:p>
    <w:p>
      <w:pPr>
        <w:spacing w:after="0" w:line="124"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The CORSIA program is being implemented in three phases: a pilot phase that ran from 2021 through 2023, followed by a first phase of the program that began in 2024 through 2026 and a second phase beginning in 2027 through 2035. ICAO member countries are expected to enact legislation to implement CORSIA. We expect to be required to purchase carbon offset credits to comply with CORSIA’s first phase, but the U.S. government has not enacted implementation legislation.</w:t>
      </w:r>
    </w:p>
    <w:p>
      <w:pPr>
        <w:spacing w:after="0" w:line="121"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Our future costs of CORSIA compliance are uncertain due to the uncertainty in the growth of covered GHG emissions, the supply and price of CORSIA-eligible carbon offset credits and development of the market for eligible renewable fuels.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European GHG Emissions Regulations</w:t>
      </w:r>
    </w:p>
    <w:p>
      <w:pPr>
        <w:spacing w:after="0" w:line="88"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On May 16, 2023, revisions to the EU Emissions Trading System (EU ETS) were published in the Official Journal of the EU. Under these revisions, the allocation of emissions allowances currently granted for free to aircraft operators under the EU ETS will be phased out by 2026. In 2026, the EC will also have to undertake a review to determine whether CORSIA is sufficiently delivering on the goals of the Paris Agreement and, to the extent it is determined not to be, extend the scope of the EU ETS to include all departing flights from the European Economic Area (EEA). Should the EU decide to extend the EU ETS to all departing flights from the EEA, there could be serious repercussions for our business and our industry and our compliance costs would likely be significant. The UK and Switzerland have similar emissions trading schemes that often align with the EU ETS; our compliance cost would further increase if both countries decided to follow the EU in extending their regulation of GHG emissions from aviation.</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2023, the EU enacted the ReFuelEU Aviation initiative to create a SAF blending mandate for aviation fuel suppliers. This requires fuel suppliers to, over the course of each year, blend minimum shares of SAF with petroleum jet fuel prior to the fuel’s delivery to aircraft operators at EU airports, starting from January 1, 2025. The minimum requirements are 2% in 2025, 6% in 2030, 20% in 2035, 34% in 2040, 42% in 2045 and 70% in 2050. A specific proportion of the fuel mix (1.2% in 2030, 2% in 2032, 5% in 2035 and progressively reaching 35% in 2050) must comprise synthetic fuels such as e-kerosene.</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UK also adopted a SAF mandate for aviation fuel suppliers, starting January 1, 2025, with minimum requirements that increase linearly from 2% in 2025, to 10% in 2030 and 22% in 2040. The UK SAF mandate policy includes blending targets for e-kerosene and a cap, starting in 2027, on the amount of SAF made from waste fats and oils that fuel suppliers may use to reach the annual blending targets.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potential effects on our business of these requirements are uncertain, and there is uncertainty with regard to how the EU and UK SAF mandates will be implemented, the extent to which the relevant governments will adopt policies such as flexibility mechanisms for suppliers (e.g., book and claim) and revenue certainty programs for SAF producers.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countries have adopted or are considering adoption of SAF blending mandates.</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U.S. Emissions Standards for Aircraft Engines</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In January 2021, the EPA adopted GHG emission standards for new aircraft engines, aligning with the 2017 ICAO aircraft engine GHG emission standards. Similar to the ICAO standards, the EPA’s standards do not apply retroactively to engines on in-service aircraft. Pursuant to the Clean Air Act, the FAA issued a final rule in February 2024 to implement these standards, introducing new fuel efficiency certification regulations. These regulations apply to airplanes manufactured after January 1, 2028, as well as to uncertified large business and commercial jet aircrafts. The new requirements took effect in April 2024.</w:t>
      </w:r>
    </w:p>
    <w:p>
      <w:pPr>
        <w:spacing w:after="0" w:line="124"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 xml:space="preserve">For more information on our approach to climate change, see our 2023 Sustainability Report on our website </w:t>
      </w:r>
      <w:r>
        <w:rPr>
          <w:rFonts w:ascii="Arial" w:cs="Arial" w:eastAsia="Arial" w:hAnsi="Arial"/>
          <w:sz w:val="18"/>
          <w:szCs w:val="18"/>
          <w:i w:val="1"/>
          <w:iCs w:val="1"/>
          <w:color w:val="auto"/>
        </w:rPr>
        <w:t>www</w:t>
      </w:r>
      <w:r>
        <w:rPr>
          <w:rFonts w:ascii="Arial" w:cs="Arial" w:eastAsia="Arial" w:hAnsi="Arial"/>
          <w:sz w:val="18"/>
          <w:szCs w:val="18"/>
          <w:color w:val="auto"/>
        </w:rPr>
        <w:t>.</w:t>
      </w:r>
      <w:r>
        <w:rPr>
          <w:rFonts w:ascii="Arial" w:cs="Arial" w:eastAsia="Arial" w:hAnsi="Arial"/>
          <w:sz w:val="18"/>
          <w:szCs w:val="18"/>
          <w:i w:val="1"/>
          <w:iCs w:val="1"/>
          <w:color w:val="auto"/>
        </w:rPr>
        <w:t>aa.com</w:t>
      </w:r>
      <w:r>
        <w:rPr>
          <w:rFonts w:ascii="Arial" w:cs="Arial" w:eastAsia="Arial" w:hAnsi="Arial"/>
          <w:sz w:val="18"/>
          <w:szCs w:val="18"/>
          <w:color w:val="auto"/>
        </w:rPr>
        <w:t xml:space="preserve"> available under “Environmental, Social and Governance.” None of the information or contents under our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“Environmental, Social and Governance” page, 2023 Sustainability Report, or our website are incorporated into this Annual Report on Form 10-K.</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Regulatory Requirements on Our Business</w:t>
      </w:r>
    </w:p>
    <w:p>
      <w:pPr>
        <w:spacing w:after="0" w:line="8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Regulatory requirements, including but not limited to those discussed above, affect operations and increase operating costs for the airline industry, including our airline subsidiaries, and future regulatory developments may continue to do the same. For additional information, see Part I, Item 1A. Risk Factors – “</w:t>
      </w:r>
      <w:r>
        <w:rPr>
          <w:rFonts w:ascii="Arial" w:cs="Arial" w:eastAsia="Arial" w:hAnsi="Arial"/>
          <w:sz w:val="18"/>
          <w:szCs w:val="18"/>
          <w:i w:val="1"/>
          <w:iCs w:val="1"/>
          <w:color w:val="auto"/>
        </w:rPr>
        <w:t>Evolving data privacy requirements (in particular, compliance with applicable federal, state and foreign laws</w:t>
      </w:r>
      <w:r>
        <w:rPr>
          <w:rFonts w:ascii="Arial" w:cs="Arial" w:eastAsia="Arial" w:hAnsi="Arial"/>
          <w:sz w:val="18"/>
          <w:szCs w:val="18"/>
          <w:color w:val="auto"/>
        </w:rPr>
        <w:t xml:space="preserve"> </w:t>
      </w:r>
      <w:r>
        <w:rPr>
          <w:rFonts w:ascii="Arial" w:cs="Arial" w:eastAsia="Arial" w:hAnsi="Arial"/>
          <w:sz w:val="18"/>
          <w:szCs w:val="18"/>
          <w:i w:val="1"/>
          <w:iCs w:val="1"/>
          <w:color w:val="auto"/>
        </w:rPr>
        <w:t>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 “If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“The airline industry is heavily taxed,</w:t>
      </w:r>
      <w:r>
        <w:rPr>
          <w:rFonts w:ascii="Arial" w:cs="Arial" w:eastAsia="Arial" w:hAnsi="Arial"/>
          <w:sz w:val="18"/>
          <w:szCs w:val="18"/>
          <w:color w:val="auto"/>
        </w:rPr>
        <w:t>”</w:t>
      </w:r>
      <w:r>
        <w:rPr>
          <w:rFonts w:ascii="Arial" w:cs="Arial" w:eastAsia="Arial" w:hAnsi="Arial"/>
          <w:sz w:val="18"/>
          <w:szCs w:val="18"/>
          <w:i w:val="1"/>
          <w:iCs w:val="1"/>
          <w:color w:val="auto"/>
        </w:rPr>
        <w:t xml:space="preserve"> “We are subject to many forms of environmental and noise regulation and may incur substantial costs as a result,” </w:t>
      </w:r>
      <w:r>
        <w:rPr>
          <w:rFonts w:ascii="Arial" w:cs="Arial" w:eastAsia="Arial" w:hAnsi="Arial"/>
          <w:sz w:val="18"/>
          <w:szCs w:val="18"/>
          <w:color w:val="auto"/>
        </w:rPr>
        <w:t>and</w:t>
      </w:r>
      <w:r>
        <w:rPr>
          <w:rFonts w:ascii="Arial" w:cs="Arial" w:eastAsia="Arial" w:hAnsi="Arial"/>
          <w:sz w:val="18"/>
          <w:szCs w:val="18"/>
          <w:i w:val="1"/>
          <w:iCs w:val="1"/>
          <w:color w:val="auto"/>
        </w:rPr>
        <w:t xml:space="preserve"> “We are subject to risks associated with climate change, including increased regulation of our GHG emissions, changing consumer preferences and the potential for increased impacts of severe weather events on our operations and infrastructure.”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Websites to Disclose Information</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We have made, and expect in the future to make, public disclosures to investors and the general public of information regarding AAG and its subsidiaries by means of the investor relations section of our website as well as through the use of our social media sites, including Facebook and X. In order to receive notifications regarding new postings to our website, investors are encouraged to enroll on our website to receive automatic email alerts (see </w:t>
      </w:r>
      <w:r>
        <w:rPr>
          <w:rFonts w:ascii="Arial" w:cs="Arial" w:eastAsia="Arial" w:hAnsi="Arial"/>
          <w:sz w:val="18"/>
          <w:szCs w:val="18"/>
          <w:i w:val="1"/>
          <w:iCs w:val="1"/>
          <w:color w:val="auto"/>
        </w:rPr>
        <w:t>https://americanairlines.gcs-web.com/email-alerts</w:t>
      </w:r>
      <w:r>
        <w:rPr>
          <w:rFonts w:ascii="Arial" w:cs="Arial" w:eastAsia="Arial" w:hAnsi="Arial"/>
          <w:sz w:val="18"/>
          <w:szCs w:val="18"/>
          <w:color w:val="auto"/>
        </w:rPr>
        <w:t>), “follow” American (@AmericanAir) on X and “like” American on our Facebook page (</w:t>
      </w:r>
      <w:r>
        <w:rPr>
          <w:rFonts w:ascii="Arial" w:cs="Arial" w:eastAsia="Arial" w:hAnsi="Arial"/>
          <w:sz w:val="18"/>
          <w:szCs w:val="18"/>
          <w:i w:val="1"/>
          <w:iCs w:val="1"/>
          <w:color w:val="auto"/>
        </w:rPr>
        <w:t>www.facebook.com/AmericanAirlines</w:t>
      </w:r>
      <w:r>
        <w:rPr>
          <w:rFonts w:ascii="Arial" w:cs="Arial" w:eastAsia="Arial" w:hAnsi="Arial"/>
          <w:sz w:val="18"/>
          <w:szCs w:val="18"/>
          <w:color w:val="auto"/>
        </w:rPr>
        <w:t>). None of the information or contents of our website or social media postings is incorporated into this Annual Report on Form 10-K.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Availability of SEC Reports</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are available free of charge on our website as soon as reasonably practicable after we electronically file such material with, or furnish it to, the SEC. The SEC also maintains a website that contains reports, proxy and information statements, and other information regarding issuers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For example,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COVID-19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 Furthermore, our efforts to regain travel revenue share, including corporate and travel agency revenue share, may not succeed and competitive pressures and shifts in corporate travel preferences could impede our ability to recapture this revenue, negatively affecting our business strategy and financial results.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December 31, 2024, our planned aggregate expenditures for aircraft purchase commitments and certain engines on a consolidated basis for calendar years 2025 through 2029 would be approximately $17.1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It may be difficult for us to raise additional capital on acceptable terms, or at all, due to, among other factors: our substantial level of existing indebtedness, particularly following transactions we completed in response to the impact of the COVID-19 pandemic; our non-investment grade credit rating; volatile or otherwise unfavorable market conditions; and the availability of assets to use as collateral for loans or other indebtedness.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Furthermore, we hold significant balances of cash and short-term investments, including as necessary to conduct our day-to-day operations, some of which are held in deposit accounts at commercial banks in excess of the government-provided deposit insurance.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13"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obligations, which are generally greater than the indebtedness and other obligations of our competitors, could have important consequences.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may:</w:t>
      </w:r>
    </w:p>
    <w:p>
      <w:pPr>
        <w:spacing w:after="0" w:line="153" w:lineRule="exact"/>
        <w:rPr>
          <w:sz w:val="20"/>
          <w:szCs w:val="20"/>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0"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99"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99"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9" w:lineRule="exact"/>
        <w:rPr>
          <w:rFonts w:ascii="Arial" w:cs="Arial" w:eastAsia="Arial" w:hAnsi="Arial"/>
          <w:sz w:val="18"/>
          <w:szCs w:val="18"/>
          <w:color w:val="auto"/>
        </w:rPr>
      </w:pPr>
    </w:p>
    <w:p>
      <w:pPr>
        <w:jc w:val="both"/>
        <w:ind w:left="660" w:right="20" w:hanging="329"/>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15" w:lineRule="exact"/>
        <w:rPr>
          <w:rFonts w:ascii="Arial" w:cs="Arial" w:eastAsia="Arial" w:hAnsi="Arial"/>
          <w:sz w:val="18"/>
          <w:szCs w:val="18"/>
          <w:color w:val="auto"/>
        </w:rPr>
      </w:pPr>
    </w:p>
    <w:p>
      <w:pPr>
        <w:ind w:left="660" w:right="20" w:hanging="329"/>
        <w:spacing w:after="0" w:line="28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99"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bear interest at floating rates, subjecting us to volatility in interest expenses as interest rates fluctuate;</w:t>
      </w:r>
    </w:p>
    <w:p>
      <w:pPr>
        <w:spacing w:after="0" w:line="170" w:lineRule="exact"/>
        <w:rPr>
          <w:rFonts w:ascii="Arial" w:cs="Arial" w:eastAsia="Arial" w:hAnsi="Arial"/>
          <w:sz w:val="18"/>
          <w:szCs w:val="18"/>
          <w:color w:val="auto"/>
        </w:rPr>
      </w:pPr>
    </w:p>
    <w:p>
      <w:pPr>
        <w:jc w:val="both"/>
        <w:ind w:left="660" w:hanging="329"/>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contain financial covenants, including the requirement to maintain an aggregate of at least $2.0 billion of unrestricted cash and cash equivalents and amounts available to be drawn under revolving credit facilities, as well as collateral coverage ratios and peak debt service coverage ratios;</w:t>
      </w:r>
    </w:p>
    <w:p>
      <w:pPr>
        <w:spacing w:after="0" w:line="115"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availability of borrowings under revolving lines of credit; and</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0" w:lineRule="exact"/>
        <w:rPr>
          <w:rFonts w:ascii="Arial" w:cs="Arial" w:eastAsia="Arial" w:hAnsi="Arial"/>
          <w:sz w:val="18"/>
          <w:szCs w:val="18"/>
          <w:color w:val="auto"/>
        </w:rPr>
      </w:pPr>
    </w:p>
    <w:p>
      <w:pPr>
        <w:ind w:left="1220" w:hanging="565"/>
        <w:spacing w:after="0" w:line="286" w:lineRule="auto"/>
        <w:tabs>
          <w:tab w:leader="none" w:pos="12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and/or pay dividends; and</w:t>
      </w:r>
    </w:p>
    <w:p>
      <w:pPr>
        <w:spacing w:after="0" w:line="99" w:lineRule="exact"/>
        <w:rPr>
          <w:rFonts w:ascii="Arial" w:cs="Arial" w:eastAsia="Arial" w:hAnsi="Arial"/>
          <w:sz w:val="18"/>
          <w:szCs w:val="18"/>
          <w:color w:val="auto"/>
        </w:rPr>
      </w:pPr>
    </w:p>
    <w:p>
      <w:pPr>
        <w:ind w:left="1220" w:hanging="565"/>
        <w:spacing w:after="0"/>
        <w:tabs>
          <w:tab w:leader="none" w:pos="1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other indebtedness.</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during the COVID-19 pandemic we were required to obtain a significant amount of additional financing from a variety of sources and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Moreover, as a result of the financing activities we undertook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should we seek additional liquidity in the future.</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obligations discussed above, including those imposed as a result of any additional financings we may undertake, could also impact our ability to obtain additional financing, if needed, and our flexibility in the conduct of our business, and could materially adversely affect our liquidity, results of operations and financial condition.</w:t>
      </w:r>
    </w:p>
    <w:p>
      <w:pPr>
        <w:spacing w:after="0" w:line="11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Further, a substantial amount of our long-term indebtedness bears interest at floating interest rates, which tend to fluctuate based on general short-term interest rates, rates set by the U.S. Federal Reserve and other central banks, the supply of and demand for credit in treasury repurchase or other markets and general economic conditions. We have not hedged our interest rate exposure with respect to our floating rate debt. Accordingly, our interest expense for any particular period will fluctuate based on the relevant benchmark rate and other variable interest rates. In response to rising inflation which coincided with a rapid rebound of economic activity as governments lifted restrictions and economies reopened following the COVID-19 pandemic, central banks around the world—including the U.S. Federal Reserve, the European Central Bank and the Bank of England—undertook a cycle of raising interest rates, which has consequently</w:t>
      </w:r>
    </w:p>
    <w:p>
      <w:pPr>
        <w:sectPr>
          <w:pgSz w:w="11900" w:h="16838" w:orient="portrait"/>
          <w:cols w:equalWidth="0" w:num="1">
            <w:col w:w="11240"/>
          </w:cols>
          <w:pgMar w:left="320" w:top="363"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increased the interest we pay on our floating-rate indebtedness. To the extent the interest rates applicable to our floating rate debt remain elevated or increase, our interest expense will increase, in which event we may have difficulties making interest payments and funding our other fixed costs, and our available cash flow for general corporate requirements may be adversely affected.</w:t>
      </w:r>
    </w:p>
    <w:p>
      <w:pPr>
        <w:spacing w:after="0" w:line="199"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We also have significant obligations for retiree medical and other postretirement benefits.</w:t>
      </w:r>
    </w:p>
    <w:p>
      <w:pPr>
        <w:spacing w:after="0" w:line="11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on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18"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other of our commercial agreements contain provisions that allow counterparties to impose less-favorable terms, including the acceleration of amounts due, in the event of material adverse changes in our financial condition. For example, we maintain certain letters of credit as well as insurance- and surety-related agreements under which counterparties may require collateral, including cash collateral.</w:t>
      </w:r>
    </w:p>
    <w:p>
      <w:pPr>
        <w:spacing w:after="0" w:line="218"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The loss of key personnel who we depend on to operate our business, or the inability to attract, develop and retain additional qualified personnel could adversely affect our business.</w:t>
      </w:r>
    </w:p>
    <w:p>
      <w:pPr>
        <w:spacing w:after="0" w:line="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has been and will continue to be materially affected by many changing economic, geopolitical, commercial, regulatory and other conditions beyond our control, including global events that affect travel behavior, and our results of operations could be volatile and fluctuate materially due to changes in such conditions.</w:t>
      </w:r>
    </w:p>
    <w:p>
      <w:pPr>
        <w:spacing w:after="0" w:line="22"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geopolitical, commercial, regulatory and other conditions beyond our control, including, among others:</w:t>
      </w:r>
    </w:p>
    <w:p>
      <w:pPr>
        <w:spacing w:after="0" w:line="100" w:lineRule="exact"/>
        <w:rPr>
          <w:sz w:val="20"/>
          <w:szCs w:val="20"/>
          <w:color w:val="auto"/>
        </w:rPr>
      </w:pPr>
    </w:p>
    <w:p>
      <w:pPr>
        <w:ind w:left="660" w:right="620" w:hanging="329"/>
        <w:spacing w:after="0" w:line="28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elevated interest rates;</w:t>
      </w:r>
    </w:p>
    <w:p>
      <w:pPr>
        <w:spacing w:after="0" w:line="99"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wars or other conflicts and escalations thereof, terrorist attacks and geopolitical instability;</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disposable income, preferences, perceptions, spending patterns and demographic trends;</w:t>
      </w:r>
    </w:p>
    <w:p>
      <w:pPr>
        <w:spacing w:after="0" w:line="170" w:lineRule="exact"/>
        <w:rPr>
          <w:rFonts w:ascii="Arial" w:cs="Arial" w:eastAsia="Arial" w:hAnsi="Arial"/>
          <w:sz w:val="18"/>
          <w:szCs w:val="18"/>
          <w:color w:val="auto"/>
        </w:rPr>
      </w:pPr>
    </w:p>
    <w:p>
      <w:pPr>
        <w:ind w:left="660" w:right="820" w:hanging="329"/>
        <w:spacing w:after="0" w:line="28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changes in our commercial strategy or that of our competitors and other factors;</w:t>
      </w:r>
    </w:p>
    <w:p>
      <w:pPr>
        <w:spacing w:after="0" w:line="99" w:lineRule="exact"/>
        <w:rPr>
          <w:rFonts w:ascii="Arial" w:cs="Arial" w:eastAsia="Arial" w:hAnsi="Arial"/>
          <w:sz w:val="18"/>
          <w:szCs w:val="18"/>
          <w:color w:val="auto"/>
        </w:rPr>
      </w:pPr>
    </w:p>
    <w:p>
      <w:pPr>
        <w:ind w:left="660" w:right="120" w:hanging="329"/>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scheduled aircraft deliveries, unexpected grounding of aircraft or aircraft engines whether by regulators or by us, or other loss of anticipated fleet capacity, and failure of new aircraft or aircraft-related equipment to receive regulatory approval, be produced or otherwise perform as and when expected;</w:t>
      </w:r>
    </w:p>
    <w:p>
      <w:pPr>
        <w:spacing w:after="0" w:line="115" w:lineRule="exact"/>
        <w:rPr>
          <w:rFonts w:ascii="Arial" w:cs="Arial" w:eastAsia="Arial" w:hAnsi="Arial"/>
          <w:sz w:val="18"/>
          <w:szCs w:val="18"/>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0" w:lineRule="exact"/>
        <w:rPr>
          <w:rFonts w:ascii="Arial" w:cs="Arial" w:eastAsia="Arial" w:hAnsi="Arial"/>
          <w:sz w:val="18"/>
          <w:szCs w:val="18"/>
          <w:color w:val="auto"/>
        </w:rPr>
      </w:pPr>
    </w:p>
    <w:p>
      <w:pPr>
        <w:ind w:left="660" w:right="660" w:hanging="329"/>
        <w:spacing w:after="0" w:line="28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 or costs of complying with new or more onerous consumer protection laws or regulations;</w:t>
      </w:r>
    </w:p>
    <w:p>
      <w:pPr>
        <w:spacing w:after="0" w:line="99"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costs related to meeting our climate goals or obligations, including in respect of the costs to be incurred to migrate to increased use of SAF in lieu of conventional aviation fuel;</w:t>
      </w:r>
    </w:p>
    <w:p>
      <w:pPr>
        <w:spacing w:after="0" w:line="99"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outbreaks of diseases or other public health or safety concerns that affect travel behavior, such as occurred during the COVID-19 pandemic; and</w:t>
      </w:r>
    </w:p>
    <w:p>
      <w:pPr>
        <w:spacing w:after="0" w:line="99" w:lineRule="exact"/>
        <w:rPr>
          <w:rFonts w:ascii="Arial" w:cs="Arial" w:eastAsia="Arial" w:hAnsi="Arial"/>
          <w:sz w:val="18"/>
          <w:szCs w:val="18"/>
          <w:color w:val="auto"/>
        </w:rPr>
      </w:pPr>
    </w:p>
    <w:p>
      <w:pPr>
        <w:ind w:left="660" w:right="20" w:hanging="329"/>
        <w:spacing w:after="0" w:line="28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weather and natural disasters, including increases in frequency, severity or duration of such disasters, and related costs caused by more severe weather due to climate change.</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 potential resurgence of COVID-19, or an outbreak of another contagious disease, such as has occurred in the past with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Governments could implement travel restrictions, including testing regimes, “stay at home” and quarantine orders, limitations on public gatherings, cancellation of public events or take or mandate other actions which could result in significant declines in demand for both domestic and international business and leisure travel. There can be no assurance that any mitigating actions we take in response will be sufficient to avert a deterioration in our business, financial condition and results of operations. As a result of these or other conditions beyond our control, our results of operations could be volatile and subject to rapid and unexpected change.</w:t>
      </w:r>
    </w:p>
    <w:p>
      <w:pPr>
        <w:spacing w:after="0" w:line="13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Additionally, the COVID-19 pandemic necessitated changes in business practices which may persist. For example, businesses and other travelers may continue to forego air travel in favor of remote or flexible working policies and communication alternatives such as videoconferencing. In addition, businesses may seek to reduce travel costs by requiring the purchase of less expensive tickets, thereby potentially impacting our average revenue per available seat mile.</w:t>
      </w:r>
    </w:p>
    <w:p>
      <w:pPr>
        <w:spacing w:after="0" w:line="12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In addition, due to generally weaker demand for air travel during the winter, our revenues in the first and fourth quarters of the year could be weaker than revenues in the second and third quarters of the year.</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w:t>
      </w:r>
    </w:p>
    <w:p>
      <w:pPr>
        <w:sectPr>
          <w:pgSz w:w="11900" w:h="16838" w:orient="portrait"/>
          <w:cols w:equalWidth="0" w:num="1">
            <w:col w:w="11240"/>
          </w:cols>
          <w:pgMar w:left="320" w:top="363"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during the COVID-19 pandemic), as airlines under financial stress, or in bankruptcy, may institute pricing or fee structures intended to attract more customers to achieve near-term survival at the expense of long-term viability.</w:t>
      </w:r>
    </w:p>
    <w:p>
      <w:pPr>
        <w:spacing w:after="0" w:line="1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or are price sensitive and therefore tend not to be loyal to any one particular carrier. Many of these carriers, including several that have recently commenced operations,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Low-cost carriers may also implement, and in some cases have implemented, changes to their strategies or business models that could, and in some cases have, put them in more direct competition with network carriers.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in particular with the planned introduction of long-range narrowbody aircraft in coming years. Additionally, other carriers focused on premium passenger travel are attempting to implement growth strategies. The actions of existing or future carriers, including those described above, could have a material adverse effect on our operations and financial performance.</w:t>
      </w:r>
    </w:p>
    <w:p>
      <w:pPr>
        <w:spacing w:after="0" w:line="14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certain instances, other air carriers are operating scheduled service with a business model that relies on the FAA Part 135, a regulatory environment that is generally less stringent than the rules applicable to our airline and similar airlines that operate under FAA Part 121 and which provides those airlines certain competitive advantages that Part 121 airlines cannot replicate. We have objected to the DOT and the TSA that the less stringent Part 135 rules were never intended as a basis for scheduled passenger service and that business model should not be permissible, and the agencies’ review is ongoing. While both the DOT and TSA are actively reviewing these operations, if they ultimately allow scheduled passenger service in any form under Part 135 and the actions of existing or future carriers using that business model, including those described above, it could adversely impact our business, financial condition and results of operations.</w:t>
      </w:r>
    </w:p>
    <w:p>
      <w:pPr>
        <w:spacing w:after="0" w:line="1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air travel internationally, directly as well as through joint businesses, strategic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Asia). Our financial performance relative to our key competitors will therefore be influenced significantly by macro-economic conditions in particular regions around the world and the relative exposure of our network to the markets in those regions, including the duration of any declines in demand for travel to specific regions as a result of health emergencies (such as during the COVID-19 pandemic), geopolitical instability or other factors, and the speed with which demand for travel to these regions returns.</w:t>
      </w:r>
    </w:p>
    <w:p>
      <w:pPr>
        <w:spacing w:after="0" w:line="1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and prolonged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which may result in increases in our costs, disruptions to our operations, limits on our operating flexibility, reductions in the demand for air travel, and competitive disadvantages.”</w:t>
      </w:r>
    </w:p>
    <w:p>
      <w:pPr>
        <w:spacing w:after="0" w:line="128"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To the extent alliances formed by our competitors can undertake activities that are not available to us, including as to regulatory approvals, access slots, gates and routes and other matters, our ability to effectively compete may be hindered. Our ability to attract and retain customers is dependent upon, among other things, our ability to offer our customers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convenient access to desired markets. Our business could be adversely affected if we are unable to maintain or obtain alliance and marketing relationships with other air carriers in desired markets.</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We have also established a strategic alliance with Alaska Airlines relating to certain routes on the West Coast of the United States and a strategic alliance relating to the Middle East with Qatar Airways. Legal challenges to our joint businesses and strategic alliances could negatively impact our operations and equity value, disrupt our strategic plans and affect our ability to offer competitive services in key markets. In July 2010, in connection with a regulatory review related to our transatlantic joint business, we provided certain commitments to the EC regarding, among other things, the availability of take-off and landing slots at LHR or LGW airports. The commitments accepted by the EC were binding for 10 years. In anticipation of both the exit of the UK from the EU, commonly referred to as Brexit, and the expiry of the EC commitments in July 2020, the CMA, in October 2018, opened an investigation into the transatlantic joint business. In September 2020 and April 2022, the CMA adopted interim measures that effectively extend the EC commitments until March 2026 in light of the uncertainty and other impacts resulting from the COVID-19 pandemic. The CMA restarted its investigation in September 2023 after a pause related to the COVID-19 pandemic and plans to complete the investigation before the scheduled expiration of the interim measures in March 2026. We continue to cooperate fully with the CMA. The foregoing arrangements are important aspects of our international network and we are dependent on the performance and continued cooperation of the other airlines party to those arrangements.</w:t>
      </w:r>
    </w:p>
    <w:p>
      <w:pPr>
        <w:spacing w:after="0" w:line="14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Northeast Alliance arrangement (NEA). In June 2023, JetBlue delivered a notice of termination of the NEA, effective July 29, 2023, and the carriers have substantially completed wind-down activities. American appealed the District Court’s decision to the U.S. Court of Appeals for the First Circuit; the First Circuit affirmed the District Court’s decision on November 8, 2024. Any petition for writ of certiorari to the U.S. Supreme Court would be due February 27, 2025. Separately, in December 2022, two putative class action lawsuits were filed in the U.S. District Court for the Eastern District of New York alleging that American and JetBlue violated U.S. antitrust law in connection with the previously disclosed NEA. In February 2023, private party plaintiffs filed two additional putative class action antitrust complaints against American and JetBlue in the U.S. District Court for the District of Massachusetts and the U.S. District Court for the Eastern District of New York, respectively. All cases have since been consolidated in the U.S. District Court for the Eastern District of New York. We believe these complaints are without merit and are defending against them vigorously.</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Other mergers and other forms of airline partnerships, including regulatory approvals such as antitrust immunity grants, may take place and may not involve us as a participant, or could result in unforeseen impacts on the industry generally and our company in particular.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other arrangements,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Additionally, our AAdvantage program, which is an important element of our business,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program as collateral for the AAdvantage Financing (defined in the accompanying notes to the consolidated financial statements to this Annual Report on Form 10-K), which contains covenants that impose restrictions on certain amendments or changes to certain of our AAdvantage program agreements provided as collateral under the AAdvantage Financing and other aspects of the AAdvantage program. These competitive factors and covenants (to the extent applicable) may affect our ability to attract and retain customers, increase usage of our loyalty program and maximize the revenue generated by our loyalty program. Further, we rely on partners to provide available space for mileage credit redemptions on their aircraft. Should partners not make available enough inventory within their cabins for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members, the attractiveness of our program may be decreased, potentially impacting customer loyalty and program revenue.</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may also be impacted by regulations affecting certain of our major commercial partners, including our co-branded credit card partners or our loyalty program. For example, there has been bipartisan legislation proposed in Congress called the Credit Card Competition Act designed to increase credit card transaction routing options for merchants which, if enacted, could result in a reduction of the fees levied on credit card transactions. If this legislation or any similar legislation or regulation were enacted, it could fundamentally alter the profitability of our agreements with co-branded credit card partners and the benefits we provide to our consumers through the co-branded credit cards issued by these partners. Additionally, the DOT recently launched an inquiry into certain airline loyalty programs, including AAdvantage, to investigate potential competition or consumer protection issues in airlines’ administration of these programs, and draft legislation introduced in Congress called the Protect Your Points Act similarly aims to regulate the management of these programs. The Consumer Financial Protection Bureau has recently cautioned companies against what it views as illegal or unlawful credit card practices, including purported devaluation of earned points, hidden conditions and failure to deliver on promised benefits. If regulatory or legislative efforts to impose restrictions on airline loyalty programs and regulations against credit card point devaluations were successful, they could materially reduce the revenues we derive from the AAdvantage program and adversely impact our results of operations.</w:t>
      </w:r>
    </w:p>
    <w:p>
      <w:pPr>
        <w:spacing w:after="0" w:line="215"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 and financial performance.</w:t>
      </w:r>
    </w:p>
    <w:p>
      <w:pPr>
        <w:spacing w:after="0" w:line="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Relations between air carriers and labor unions in the U.S.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As of December 31, 2024, approximately 87% of our employees were represented for collective bargaining purposes by labor unions, and 6% were covered by CBAs that are currently amendable or that will become amendable within one year. For the dates that the CBAs with our major work groups become amendable under the RLA, see </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under Part I, Item 1. Business – </w:t>
      </w:r>
      <w:r>
        <w:rPr>
          <w:rFonts w:ascii="Arial" w:cs="Arial" w:eastAsia="Arial" w:hAnsi="Arial"/>
          <w:sz w:val="18"/>
          <w:szCs w:val="18"/>
          <w:i w:val="1"/>
          <w:iCs w:val="1"/>
          <w:color w:val="auto"/>
        </w:rPr>
        <w:t>“Sustainability</w:t>
      </w:r>
      <w:r>
        <w:rPr>
          <w:rFonts w:ascii="Arial" w:cs="Arial" w:eastAsia="Arial" w:hAnsi="Arial"/>
          <w:sz w:val="18"/>
          <w:szCs w:val="18"/>
          <w:color w:val="auto"/>
        </w:rPr>
        <w:t xml:space="preserve"> – </w:t>
      </w:r>
      <w:r>
        <w:rPr>
          <w:rFonts w:ascii="Arial" w:cs="Arial" w:eastAsia="Arial" w:hAnsi="Arial"/>
          <w:sz w:val="18"/>
          <w:szCs w:val="18"/>
          <w:i w:val="1"/>
          <w:iCs w:val="1"/>
          <w:color w:val="auto"/>
        </w:rPr>
        <w:t>Our People</w:t>
      </w:r>
      <w:r>
        <w:rPr>
          <w:rFonts w:ascii="Arial" w:cs="Arial" w:eastAsia="Arial" w:hAnsi="Arial"/>
          <w:sz w:val="18"/>
          <w:szCs w:val="18"/>
          <w:color w:val="auto"/>
        </w:rPr>
        <w:t>.”</w:t>
      </w:r>
    </w:p>
    <w:p>
      <w:pPr>
        <w:spacing w:after="0" w:line="12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Personnel shortages, and general wage inflation have impacted and are expected to continue to impact our labor costs. We recently reached agreements with the unions representing mainline pilots, flight attendants, passenger service team members, and mechanic and fleet service workgroups. These agreements include significant increases in pay and benefits, in many cases in line with agreements recently concluded by our large network competitors with their unions. We remain in negotiations for other new labor agreements and anticipate that any new contracts we agree to with our labor groups will include increases in salaries and other benefits, which will increase our labor expense.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and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restored capacity in line with increased demand for air travel following the height of the COVID-19 pandemic, these third-party operators experienced difficulties in recruiting and retaining sufficient personnel to operate significantly increased schedules, and have in some instances been required to offer significant increases in pay and other benefits to recruit and retain pilots and other personnel. Periods of volatility in travel demand have the potential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3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our reliance upon others to provide essential services on our behalf in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have faced challenges retaining and recruiting people with the appropriate skills to meet our requirements. We rely on the operation of complex supply chains and a large number of third parties for the procurement and fulfillment of parts, components, consumable or disposable goods and other products and services essential to our business. The COVID-19 pandemic also caused significant disruption in global supply chains and staffing shortages, which affected and, if there is a resurgence, or similar event in the future, may affect the availability and timely delivery and fulfillment of many goods, including certain of those that we purchase directly or which are required by third parties to perform contracted services for us. Following a faster than expected return of demand for air travel as COVID-19 cases declined worldwide and governments lifted travel restrictions, suppliers and many of the airports we serve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customer concerns in the nature of “greenwashing” allegations that may surround any of our advertising campaigns, marketing programs or commercial offerings related to our sustainability initiatives, or customer perceptions of statements made by us, our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 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We have experienced an increase in the incidence of aggressive customer behavior and physical confrontation on our flights in the past, certain of which resulted in injuries to our personnel, and we may experience such behavior in the future. If our employees feel unsafe or believe that we are not doing enough to prevent and prosecute such incidents, we could experience higher rates of employee absence or attrition and we may suffer reputational harm which could make it more difficult to attract and retain employees, and which could in turn negatively affect our business, financial condition and results of operations.</w:t>
      </w:r>
    </w:p>
    <w:p>
      <w:pPr>
        <w:spacing w:after="0" w:line="215"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 Also, please see Part II, Item 7. 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“2024 Financial Overview – Recent Developments</w:t>
      </w:r>
      <w:r>
        <w:rPr>
          <w:rFonts w:ascii="Arial" w:cs="Arial" w:eastAsia="Arial" w:hAnsi="Arial"/>
          <w:sz w:val="18"/>
          <w:szCs w:val="18"/>
          <w:color w:val="auto"/>
        </w:rPr>
        <w:t>.”</w:t>
      </w:r>
    </w:p>
    <w:p>
      <w:pPr>
        <w:spacing w:after="0" w:line="235"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and reduce costs may not be successful and may cause operational difficulties or decreased demand.</w:t>
      </w:r>
    </w:p>
    <w:p>
      <w:pPr>
        <w:spacing w:after="0" w:line="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program, charging separately for services that had previously been included within the price of a ticket, changes to our practices and contracts with providers of distribution systems to provide additional content flexibility, commercial practices related to ticket distribution channels, including efforts by us to migrate an increasing portion of our customers to our modern, direct distribution channels in lieu of third party channels,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In addition, during the second quarter of 2024 we concluded that certain changes to our distribution strategy contributed to softness in customer bookings relative to our expectations and we reversed many of these measures late in the quarter.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implementation of these initiatives may create logistical challenges that could harm the operational performance of our airline or result in decreased demand. Also, our implementation of any new or increased fees, or changes to the operation of or benefits offered by our loyalty program,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changes. Such changes could result in adverse brand perceptions, reputational harm or regulatory scrutiny. For example, the DOT recently launched an inquiry into certain airline loyalty programs, including our AAdvantage program, to investigate potential competition or consumer protection issues in airlines’ administration of these programs, and draft legislation introduced in Congress called the Protect Your Points Act similarly aims to regulate the management of these programs. If regulatory or legislative efforts to impose restrictions on airline loyalty programs were successful, they could materially reduce the revenues we derive from the AAdvantage program and adversely impact our results of operations.</w:t>
      </w:r>
    </w:p>
    <w:p>
      <w:pPr>
        <w:spacing w:after="0" w:line="212"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2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we have used certain of our branding and AAdvantage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program. These covenants may have an adverse effect on our ability to use such intellectual property.</w:t>
      </w:r>
    </w:p>
    <w:p>
      <w:pPr>
        <w:spacing w:after="0" w:line="204"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11(e) to AAG’s Consolidated Financial Statements in Part II, Item 8A and Note 10(e) to American’s Consolidated Financial Statements in Part II, Item 8B.</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At December 31, 2024, we had approximately $12.9 billion of gross federal NOLs and $5.9 billion of other carryforwards available to reduce future federal taxable income, of which $2.6 billion will expire beginning in 2033 if unused and $16.2 billion can be carried forward indefinitely. We also had approximately $5.2 billion of NOL carryforwards to reduce future state taxable income at December 31, 2024, which will expire in taxable years 2024 through 2044 if unused. Our NOL carryforwards are subject to adjustment on audit by the Internal Revenue Service and the respective state taxing authorities. Additionally, due to the impact of the COVID-19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pandemic and other economic factors, certain of the NOL carryforwards may expire before we can generate sufficient taxable income to use them.</w:t>
      </w:r>
    </w:p>
    <w:p>
      <w:pPr>
        <w:spacing w:after="0" w:line="10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spacing w:after="0" w:line="11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 preservation plan (the Tax Benefit Preservation Plan) in order to preserve our ability to use our NOLs and certain other tax attributes to reduce potential future income tax obligations. The Tax Benefit Preservation Plan was subsequently ratified by our stockholders at the 2022 Annual Meeting of Stockholders of AAG. On October 31, 2024, AAG entered into Amendment No. 1 to the Tax Benefit Preservation Plan to extend the expiration date to October 29, 2027, subject to approval by stockholders prior to October 29, 2025. The Tax Benefit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and international tax legislation may adversely affect our financial condition, results of operations and cash flows.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subject to taxation at the federal, state and local levels in the United States, as well as taxation in a number of international jurisdictions in which we operate. The U.S. government may enact significant changes to the taxation of business entities. For example, on August 16, 2022, the Inflation Reduction Act was signed into law, introducing, among other changes, a corporate minimum tax on certain corporations and an excise tax on certain stock repurchases by certain corporations. With numerous provisions of the Tax Cuts and Jobs Act set to expire in 2025, we expect that consideration of legislation related to tax laws is likely in coming quarters, but the likelihood of any proposed changes to the tax law being enacted or implemented is unclear, and we are currently unable to predict whether such changes will occur. If changes to tax laws are implemented, we are currently unable to predict the ultimate impact on our business and therefore there can be no assurance our business will not be adversely affected.</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recent years, numerous legislative, judicial and administrative changes have been made to international tax laws applicable to us and similar companies. The Organization for Economic Co-operation and Development (OECD) is continuing discussions regarding fundamental changes in allocation of profits among tax jurisdictions in which companies do business, as well as the implementation of a global minimum tax, referred to as the “Pillar One” and “Pillar Two” proposals. Many countries in which we operate have enacted or are in the process of enacting laws based on the Pillar Two proposal. Our effective tax rate and cash tax payments could increase in future years because of these changes.</w:t>
      </w:r>
    </w:p>
    <w:p>
      <w:pPr>
        <w:spacing w:after="0" w:line="20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Future impairment of goodwill, intangible assets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204"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GOL and JetSMART, by making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if any,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volatility in demand for air travel, such as occurred during the COVID-19 pandemic, could materially disrupt our partners’ abilities to provide air service, the timely execution of our strategic operating plans, including the finalization, approval and implementation of new strategic relationships or the maintenance or expansion of existing relationships. For example, in January 2024, GOL commenced bankruptcy proceedings in the U.S. Federal Bankruptcy Court for the Southern District of New York and submitted a plan of reorganization that, if approved, may increase the risk of impairment to our commercial agreement with GOL in addition to negatively impacting the value of our equity investment in GOL.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1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19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$1.91 per gallon to a high of approximately $4.40 per gallon during the period from January 1, 2022 to December 31, 2024. Aircraft fuel prices reflect not only the price of underlying crude oil, but also the price charged to refine crude oil into aircraft fuel (often referred to as the “crack spread”), transportation costs, handling costs and taxes, and increases in any of these underlying components would increase the price we ultimately pay for aircraft fuel.</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cannot predict the future availability, price volatility or cost of aircraft fuel, weather-related events, natural disasters (including hurricanes or similar events in the U.S. Southeast and on the Gulf Coast where a significant portion of domestic</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refining capacity is located), terrorism, political disruptions, disputes, or armed conflicts involving oil-producing countries or impacting global trade routes, changes in production levels of individual nations or associations of oil-producing states,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unplanned interruptions or disruption of production at refineries, environmental concerns and other unpredictable events, may result in fuel supply shortages, variations in the applicable crack spread,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 Additionally, because passengers often purchase tickets well in advance of their travel, a significant rapid increase in fuel price may result in the fare charged not covering that increase. At times in the past, we were not able to increase our fares to offset fully the effect of increases in fuel costs, and we may not be able to do so in the future.</w:t>
      </w:r>
    </w:p>
    <w:p>
      <w:pPr>
        <w:spacing w:after="0" w:line="13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December 31, 2024,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II, Item 7A. Quantitative and Qualitative Disclosures About Market Risk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“Aircraft Fuel.”</w:t>
      </w:r>
    </w:p>
    <w:p>
      <w:pPr>
        <w:spacing w:after="0" w:line="1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as part of our emissions reduction goals, we and other airlines have publicly announced long-term targets for the increased use of SAF in our fleet. Currently, industrial production of SAF is small in scale and inadequate to meet growing industry demand, and while additional production capacity is expected to become operational in the coming years, we anticipate that competition for SAF among industry participants will remain intense. As a result, SAF may be significantly more costly than conventional jet fuel. To secure future SAF supply, we have entered into multiple agreements for the purchase of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218"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FAA, the TSA, the Centers for Disease Control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2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or engine types altogether including, for example, the March 2019 grounding of all Boeing 737 MAX Family aircraft, which was not lifted in the United States until November 2020, the January 2024 grounding of 737-9 MAX aircraft (a model that we do not operate), and the significant limitations imposed on the use of Pratt &amp; Whitney GTF aircraft engines on certain Airbus aircraft (an engine that we do not use in our fleet),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though the issue has since been resolved. See “</w:t>
      </w:r>
      <w:r>
        <w:rPr>
          <w:rFonts w:ascii="Arial" w:cs="Arial" w:eastAsia="Arial" w:hAnsi="Arial"/>
          <w:sz w:val="18"/>
          <w:szCs w:val="18"/>
          <w:i w:val="1"/>
          <w:iCs w:val="1"/>
          <w:color w:val="auto"/>
        </w:rPr>
        <w:t>We rely heavily on technology and automated systems, including artificial intelligence (AI), to operate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business, and any failure of these technologies or systems could harm our business, results of operations and financial condition.”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FAA also exercises comprehensive regulatory authority over nearly all technical aspects of our operations. Our failure to comply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1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May 2024, Congress passed a five-year funding authorization for the FAA (FAA Authorization Renewal). Among other things, the FAA Authorization Renewal increased the authorized funding level for the FAA and required the hiring of additional air traffic controllers, an effort to address staffing and resource shortages and improve the operation of the ATC system in the U.S. The FAA Authorization Renewal also codified several consumer protection rulemakings that could be challenging to implement and have negative financial impacts. Any new or enhanced requirements resulting from the FAA Authorization Renewal, including any new fees, costs we may be required to incur to comply with new rules and compensation or other penalties we may be required to pay for violations of such rules, have the potential to increase our costs or adversely impact our operation.</w:t>
      </w:r>
    </w:p>
    <w:p>
      <w:pPr>
        <w:spacing w:after="0" w:line="1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many aspects of our customer’s journey, including at the time of ticket purchase, at the airport and onboard the aircraft. In April 2024, the DOT issued a final rule mandating refunds in certain circumstances (refund rule), and a final rule requiring disclosure of certain ancillary fees by air carriers and travel agents (ancillary fee rule). We met the compliance deadline of October 28, 2024 for the refund rule. In July 2024, the U.S. Court of Appeals for the Fifth Circuit granted the airline associations and individual airlines’ motion for a stay of the ancillary fee rule. In August 2024, the DOT issued a proposed rulemaking related to family seating, which would require airlines to seat children aged 13 and under adjacent to at least one accompanying adult at no additional cost beyond the fare, subject to limited exceptions. In December 2024, the DOT published an Advance Notice of Proposed Rulemaking titled “Airline Passenger Rights.” Specifically, the DOT is soliciting comments on requiring airlines to pay passengers cash compensation, to provide free rebooking, to cover meals and to provide overnight lodging and related transportation expenses when a disruption is airline-caused. The DOT is also soliciting comments on requiring airlines to provide free rebooking, to cover meals and to provide lodging and related transportation expenses for significant domestic flight disruptions, regardless of the cause of the disruption. Also in December 2024, the DOT published a final rule on “Ensuring Safe Accommodations for Air Travelers with Disabilities Using Wheelchairs” which sets new standards for assistance, mandates hands-on training for airline employees and contractors who physically assist passengers with disabilities and handle passengers’ wheelchairs, and specifies actions that airlines must take to protect passengers when a wheelchair is damaged or delayed during transport. Individual requirements in the final rule have varying implementation timelines, ranging from January 16, 2025 (the effective date of the final rule) to June 17, 2026.</w:t>
      </w:r>
    </w:p>
    <w:p>
      <w:pPr>
        <w:spacing w:after="0" w:line="13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2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in the U.S.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 We recently settled a class litigation brought by flight attendants in California, which covered all wage and hour claims brought by the class through January 1, 2024. In addition, legislation passed by the California legislature in March 2023 should effectively foreclose future meal and rest break claims from flight attendants in California. However, there is still risk of future litigation from flight attendants and other work groups involving other types of wage and hour laws in California and other jurisdictions which have or could seek to implement similar laws.</w:t>
      </w:r>
    </w:p>
    <w:p>
      <w:pPr>
        <w:spacing w:after="0" w:line="13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00" w:lineRule="exact"/>
        <w:rPr>
          <w:sz w:val="20"/>
          <w:szCs w:val="20"/>
          <w:color w:val="auto"/>
        </w:rPr>
      </w:pPr>
    </w:p>
    <w:p>
      <w:pPr>
        <w:ind w:left="660" w:hanging="329"/>
        <w:spacing w:after="0" w:line="28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60" w:right="20" w:hanging="329"/>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w:t>
      </w:r>
    </w:p>
    <w:p>
      <w:pPr>
        <w:spacing w:after="0" w:line="115"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9" w:lineRule="exact"/>
        <w:rPr>
          <w:rFonts w:ascii="Arial" w:cs="Arial" w:eastAsia="Arial" w:hAnsi="Arial"/>
          <w:sz w:val="18"/>
          <w:szCs w:val="18"/>
          <w:color w:val="auto"/>
        </w:rPr>
      </w:pPr>
    </w:p>
    <w:p>
      <w:pPr>
        <w:ind w:left="660" w:hanging="32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0"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99" w:lineRule="exact"/>
        <w:rPr>
          <w:rFonts w:ascii="Arial" w:cs="Arial" w:eastAsia="Arial" w:hAnsi="Arial"/>
          <w:sz w:val="18"/>
          <w:szCs w:val="18"/>
          <w:color w:val="auto"/>
        </w:rPr>
      </w:pPr>
    </w:p>
    <w:p>
      <w:pPr>
        <w:ind w:left="660" w:hanging="32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0" w:lineRule="exact"/>
        <w:rPr>
          <w:rFonts w:ascii="Arial" w:cs="Arial" w:eastAsia="Arial" w:hAnsi="Arial"/>
          <w:sz w:val="18"/>
          <w:szCs w:val="18"/>
          <w:color w:val="auto"/>
        </w:rPr>
      </w:pPr>
    </w:p>
    <w:p>
      <w:pPr>
        <w:jc w:val="both"/>
        <w:ind w:left="660" w:hanging="329"/>
        <w:spacing w:after="0" w:line="26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in the past and may in the future have the effect of reducing demand for air travel in the markets where such requirements are imposed.</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1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including due to significant staffing shortages,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 We experienced this challenge in January 2023 when an outage in the ATC Notice to Air Missions system led to a nationwide ground-stop for nearly two hours, resulting in significant operational disruption throughout the day.</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more than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result in impairments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continue to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The change in government in the United Kingdom in July 2024 may lead to new aviation policies that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8"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governmental regulation of our operations, including the inability to obtain or retain needed route authorities and/or slots, and new or evolved policies related to consumer protections. In particular,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In spite of the elimination of COVID-19 related travel restrictions, we can provide no assurance as to when demand for international travel will return to pre-COVID-19 pandemic levels in certain markets, if at all, or whether certain international destinations we previously served will be economical in the future.</w:t>
      </w:r>
    </w:p>
    <w:p>
      <w:pPr>
        <w:spacing w:after="0" w:line="13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government agencies will be delayed in granting or renewing required approvals, including as a result of shutdowns (such as occurred in certain jurisdictions during the COVID-19 pandemic),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spacing w:after="0" w:line="1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 In addition, should additional or different retaliatory tariffs be imposed, our business could be harmed.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continue to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where we do not have as strong a presence. This could materially adversely affect our business, results of operations and financial condition. The change in government in the United Kingdom in July 2024 may lead to new aviation policies that could materially adversely affect our business, results of operations and financial condition.</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Brexit has also led to legal and regulatory uncertainty such as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such as the transatlantic joint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Any of these effects, and others we cannot anticipate, could materially adversely affect our business, results of operations and financial condition.</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w:t>
      </w:r>
    </w:p>
    <w:p>
      <w:pPr>
        <w:spacing w:after="0" w:line="207"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may be adversely affected by conflicts overseas, terrorist attacks or other acts of violence, domestically or abroad; the travel industry continues to face ongoing security concerns.</w:t>
      </w:r>
    </w:p>
    <w:p>
      <w:pPr>
        <w:spacing w:after="0" w:line="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Acts of terrorism and other violence, domestically or abroad,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We cannot forecast what new security requirements may be imposed in the future, or their impact on our business. In addition, avoiding areas of armed conflict or locations inaccessible to us due to geopolitical factors can impact our operations and financial results. For instance, airspace closures or restrictions may require us to alter flight paths or make further operational adjustments, such as changes to preferred diversion locations, thereby increasing the distance, duration and amount of fuel required to operate certain international flights, in particular relative to competitors not subject to these airspace restrictions. Armed conflicts in or affecting international markets we serve could also adversely impact our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by, among other things, depressing demand for travel to certain regions or requiring us to suspend air service to certain destinations. For example, in October 2023, we suspended our service to Tel Aviv, Israel, and cannot predict when, or if, we will be in a position to restore such service. The outbreak or spread of armed conflict could force us to make additional reductions or changes to our service and could result in volatility in oil markets and disruptions to global trade, which could materially increase our costs or impact our supply chains.</w:t>
      </w:r>
    </w:p>
    <w:p>
      <w:pPr>
        <w:spacing w:after="0" w:line="207"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GHG emissions, changing consumer preferences and the potential for increased impacts of severe weather events on our operations and infrastructure.</w:t>
      </w:r>
    </w:p>
    <w:p>
      <w:pPr>
        <w:spacing w:after="0" w:line="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Efforts to combat climate change have increased the focus by regulators worldwide on the need to reduce GHG emissions, including those from the airline industry. Concerns over GHG emissions have prompted regulators around the world, including but not limited to the EU and UK, to develop regulations to increase demand and investments in SAF. These mandates may also lead to further attempts to adopt requirements or change business environments related to aviation that may result in increased costs to the airline industry and us. In addition, several countries and U.S. states have adopted or are considering adopting programs, including potentially new taxes, to regulate GHG emissions. In addition, certain airports have proposed, and could in the future adopt, GHG emission or climate-related goals or measures that could impact our operations or require us to make changes or investments in our infrastructure. In particular, ICAO has adopted rules, including those pertaining to CORSIA, which will require us to mitigate the growth of GHG emissions associated with a significant majority of our international flights.</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due to significant uncertainty with respect to the future growth of covered GHG emissions, the supply and price of eligible carbon credits and the future development of the market for eligible renewable fuels. Due to the competitive nature of the airline industry and unpredictability of the market for air travel, we can offer no assurance that we may be able to increase our fares, impose surcharges or otherwise increase revenues or decrease other operating costs sufficiently to offset the costs of meeting our obligations under CORSIA.</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Due to the uncertainty surrounding the applicability of CORSIA to our operations in the long-term, we and other airlines are increasingly subject to an unpredictable and inconsistent array of national or regional emissions restrictions, creating a patchwork of complex regulatory requirements that could lead to increased expenses related to the emissions of our flights. Furthermore, recent implementation of and potential for other new regulatory initiatives to reduce airline GHG emissions may increase our compliance costs. For more information on these regulatory developments, see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under Part I, Item 1. Business – </w:t>
      </w:r>
      <w:r>
        <w:rPr>
          <w:rFonts w:ascii="Arial" w:cs="Arial" w:eastAsia="Arial" w:hAnsi="Arial"/>
          <w:sz w:val="18"/>
          <w:szCs w:val="18"/>
          <w:i w:val="1"/>
          <w:iCs w:val="1"/>
          <w:color w:val="auto"/>
        </w:rPr>
        <w:t>“Domestic and Global Regulatory Landscape.</w:t>
      </w:r>
      <w:r>
        <w:rPr>
          <w:rFonts w:ascii="Arial" w:cs="Arial" w:eastAsia="Arial" w:hAnsi="Arial"/>
          <w:sz w:val="18"/>
          <w:szCs w:val="18"/>
          <w:color w:val="auto"/>
        </w:rPr>
        <w:t>”</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as part of our emissions reduction goals, we and other airlines have publicly announced long-term targets for the increased use of SAF in our fleet. Currently, industrial production of SAF is small in scale and inadequate to meet growing industry demand, and while additional production capacity is expected to become operational in the coming years, we anticipate that competition for SAF among industry participants will remain intense. As a result, SAF may be significantly more costly than conventional jet fuel. To secure future SAF supply, we have entered into multiple agreements for the purchase of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13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Additionally, growing recognition among consumers of the dangers of climate change may mean some customers choose to fly less frequently or fly on an airline they perceive as operating in a manner that produces fewer GHG emissions. Business customers may choose to use alternatives to travel, such as virtual meetings and workspaces. Greater development of high -speed rail in markets now served by short-haul flights could provide passengers with lower-carbon alternatives to flying with us. Customers may also elect to travel on flights that produce comparatively fewer GHG emissions, particularly after commencement of the EU environmental labelling scheme for flights in 2025. Our collateral to secure loans, in the form of aircraft, airport slots, gates and routes, could lose value as customer demand shifts and economies move to low-carbon alternatives, which may increase our financing cost.</w:t>
      </w:r>
    </w:p>
    <w:p>
      <w:pPr>
        <w:spacing w:after="0" w:line="12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have published a number of sustainability-related targets and goals, including with respect to reducing our GHG emissions. These goals are often long-term in nature, and in many cases rely on assumptions about the future availability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efficacy of technologies that do not yet exist or are not yet commercially viable. Our ability to meet our publicly stated targets is dependent on a number of factors outside our control, including but not limited to the ability of third parties, such as engine and airframe manufacturers, SAF producers and other industry participants, to timely develop and commercialize these technological solutions. Additionally, we face risks associated with allegations or similar claims that our public statements concerning our sustainability efforts or our advertising campaigns, marketing programs or commercial offerings are exaggerated, unsubstantiated or inconsistent with then-current regulations, sometimes referred to as “greenwashing,” and could be subject to litigation or regulatory enforcement actions challenging the basis for such statements which could be costly and disruptive, whether or not meritorious.</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as well as the safety of our team members. Operational impacts, such as more frequent or widespread flight cancellations,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various risks associated with environmental and social matters.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There is increased scrutiny from investors, customers, policymakers, governmental officials and other stakeholders regarding company management of climate change, human capital, and various other environmental and social matters. We engage in various initiatives to manage such matters and address stakeholder expectations; however, such initiatives can be costly and may not have the desired effect. For example, many of our initiatives leverage methodologies, standards, and data that are complex and continue to evolve. As with other companies, our approach to such matters also evolves, and we cannot guarantee that our approach will align with the expectations or preferences of any particular stakeholder. Moreover, various stakeholders have different, and at times conflicting, expectations. For example, while some policymakers (such as the State of California and the European Union) have adopted requirements for various disclosures or actions on environmental and social matters, policymakers in other jurisdictions have sought to constrain companies’ consideration of such matters in certain circumstances. Proponents and opponents of such matters are increasingly resorting to activism, including litigation, to advance their perspectives. Addressing stakeholder expectations or requirements may be costly and any failure to successfully navigate such expectations, as well as evolving interpretations of any existing governmental laws or requirements, may result in reputational harm, loss of customers or contracts, regulatory or investor engagement, or other adverse impacts to our business.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domestic sites, although such costs currently are not expected to have a material adverse effect on our business.</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and infrastructure changes. In February 2024, the EPA published, for public comment, a new rulemaking to list nine PFAS as hazardous constituents under the Resource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Conservation and Recovery Act. In April 2024, the EPA published a final rule designating two PFAS substances (perfluorooctanoic acid and perfluorooctanesulfonic acid) as hazardous substances under the Comprehensive Environmental Response, Compensation, and Liability Act. This new rule requires entities to immediately report current and past releases of such substances that meet or exceed the reportable quantity to EPA’s National Response Center. These rulemakings could require additional oversight and management of PFAS-containing waste. We may incur costs in connection with current and future reporting obligations, costs related to materials management and historic usage and disposal of PFAS-containing materials, transitioning away from the usage of PFAS-containing products and firefighting systems, or remediating any environmental impacts.</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as well as setting an annual flight cap from specific cities.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the airspace and airports we utilize.</w:t>
      </w:r>
    </w:p>
    <w:p>
      <w:pPr>
        <w:spacing w:after="0" w:line="20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A high level of pilot retirements,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Commencing in 2013, the time and cost commitment required to become licensed to fly commercial aircraft has increased. Additionally, the number of military pilots being trained by the U.S. armed forces and available as commercial pilots upon their retirement from military service has decreased.</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These and other factors have contributed to a prolonged shortage of pilots and increased compensation costs. We believe that pilot shortages will remain a problem for the foreseeable future. Our recruitment efforts or other incentives to recruit pilots may not be successful. Our regional airline subsidiaries and other regional partners have been unable to hire adequate numbers of pilots to meet their needs, resulting in a reduction in the number of flights offered, operational disruptions, increased compensation expense and costs of operations, financial difficulties and other adverse effects.</w:t>
      </w:r>
    </w:p>
    <w:p>
      <w:pPr>
        <w:spacing w:after="0" w:line="207"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spacing w:after="0" w:line="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all of our mainline aircraft were manufactured by either Airbus or Boeing and all of our regional aircraft were manufactured by either Bombardier or Embraer. Further, our supplier base continues to consolidate as evidenced by recent transactions involving Airbus and Bombardier and Mitsubishi and Bombardier, and the cessation of production of certain Bombardier regional aircraft that we and our regional partners currently operate in large numbers. Due to the limited number of suppliers, constraints on production capacity, large order books and long production lead times, manufacturers have faced and are expected to continue to face challenges in timely fulfilling our aircraft on order, and we may face competition from other carriers in securing an adequate supply of aircraft in the future. If new aircraft orders are not filled on a timely basis, we could face higher financing and operating costs than planned. The limited number of these suppliers may also result in reduced competition and potentially higher prices than if the supplier base was less concentrated. In addition, we are vulnerable to any problems associated with the performance of these suppliers’ obligation to supply key aircraft, parts and engines, including design defects, mechanical problems, contractual performance by suppliers or adverse perception by the public that would result in customer avoidance of any of our aircraft. We may also experience delivery delays with respect to components or equipment that we have contracted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purchase from third-party suppliers (so-called “buyer-furnished equipment”) and required for the outfitting of our aircraft. Failure of our suppliers to timely deliver such components or equipment could delay certification of these aircraft and their entry into service, and could prevent us from financing such aircraft, requiring us to pay for new deliveries using cash on hand. If the aircraft we receive do not meet expected performance or quality standards, including with respect to fuel efficiency, safety and reliability, we could also face higher financing and operating costs than planned and our business, results of operations and financial condition could be adversely impacted. We are also subject to the risk that action by the FAA or any other regulatory authority could result in an inability to certify or operate our aircraft, even temporarily. For instance, in March 2019, the FAA ordered the grounding of all Boeing 737 MAX Family aircraft, which remained in place for over a year and was not lifted in the United States until November 2020. An additional grounding of Boeing aircraft occurred in January 2024 involving the Boeing 737-9 MAX, a model that we do not operate. Further, significant limitations imposed on the use of Pratt &amp; Whitney GTF aircraft engines (an engine that we do not use in our fleet) on certain Airbus aircraft have resulted in very significant numbers of the related aircraft being grounded while awaiting refurbished engines. Regulatory concerns raised by the FAA also previously forced Boeing to suspend deliveries of certain 787 aircraft, temporarily resulting in significant reductions to our planned long-haul flying. More generally, we have recently experienced delivery delays across manufacturers of aircraft engines and components due to regulatory matters such as those described above, regulatory restrictions on production rate increases (such as those that the FAA has recently imposed on Boeing 737 production), supply chain limitations, development delays, certification delays, and other factors, which have created significant challenges in planning our fleet, and the FAA has publicly stated that the restrictions on Boeing’s production rate are likely to continue for the foreseeable future. For example, due to a strike action affecting certain of its production facilities, Boeing suspended production of its 737 MAX Family aircraft until December 2024. As a result, certain of our Boeing 737 MAX Family aircraft on order could be delayed, and such delays could be significant. There is also the prospect that new aircraft models will continue to face certification delays further impeding the delivery of new aircraft to the airline industry and increasing competition for the production capacity that is available. In addition, we source a portion of our aircraft, aircraft engines and parts from outside the U.S., and any additional tariffs imposed may lead to higher costs, negatively affect our supply chains and adversely affect our business and results of operations.</w:t>
      </w:r>
    </w:p>
    <w:p>
      <w:pPr>
        <w:spacing w:after="0" w:line="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timelines, our business, results of operations and financial condition could be negatively impacted. Our failure to integrate newly purchased aircraft into our fleet as planned might require us to seek extensions of the terms for some leased aircraft or otherwise delay the exit of certain aircraft from our fleet, and in certain cases, may require us to undertake costly refurbishments or maintenance of such aircraft. Such unanticipated extensions or delays, which as noted above have recently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Repeated or prolonged delays in the production, delivery or induction of our new aircraft could also require us to scale back our growth plans, reduce frequencies or forgo service entirely to certain markets, which could adversely affect our business, financial condition and results of operations.</w:t>
      </w:r>
    </w:p>
    <w:p>
      <w:pPr>
        <w:spacing w:after="0" w:line="212"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rely heavily on technology and automated systems, including artificial intelligence (AI), to operate our business and any failure of these technologies or systems could harm our business, results of operations and financial condition.</w:t>
      </w:r>
    </w:p>
    <w:p>
      <w:pPr>
        <w:spacing w:after="0" w:line="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highly dependent on existing and emerging technology and automated systems, including AI, to operate our business. These technologies and systems include but may not be limited to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In December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While the FAA and the telecommunications industry reached an agreement to delay the full implementation of 5G deployment near airports until 2028, there could be future impacts once the current agreement expires. Additionally, there has been an increase in the reported use of jamming or “spoofing” technologies by bad actors intended to disrupt the operation of GPS navigation and other flight systems by relaying fake or erroneous flight information and signals to crews. These technologies could pose risks to the safe operation of aircraft by diverting pilots’ attention and potentially resulting in operational disruptions.</w:t>
      </w:r>
    </w:p>
    <w:p>
      <w:pPr>
        <w:spacing w:after="0" w:line="1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defects, errors, equipment and software failures, computer viruses or telecommunications failures. For example, the CrowdStrike-caused systems outage in July 2024 significantly impacted airline operations, including our own, and forced several carriers to ground flights for a prolonged period and incur significant costs associated with reaccommodating and compensating affected passengers.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12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Additionally, new technologies, such as the use of AI and machine learning, may present evolving and significant legal and operational risks for us and our third-party vendors. The development of generative AI technologies is complex, with practical and competitive challenges in achieving desired accuracy, efficiency and reliability. Generative AI training content, algorithms, models, software and other related systems may have limitations, including biases, errors or inability to process or restrict certain data types or scenarios. Additionally, there is a risk of system failures, disruptions or vulnerabilities compromising the confidentiality of personal data and intellectual property, or the integrity or availability of training content, input content and prompts, as well as generated content, including disinformation and deepfakes. Use of AI technologies could also expose us to intellectual property risks, such as allegations of infringement of third-party patents or copyrights, which could result in significant fees or damages. Our competitors or other third parties may incorporate AI into their products or services more quickly or more successfully than us, which could impair our ability to compete effectively. AI also presents emerging ethical issues, and if our use of AI becomes controversial, we may experience brand or reputational harm, competitive harm or legal liability. For example, with the increased use of artificial intelligence and social media, adverse publicity, even if unfounded, can be disseminated quickly and broadly without context, making it increasingly difficult for us to effectively respond. The rapid evolution of AI, including proposed government regulation, may require significant resources to develop, test and maintain our AI technologies and services to ensure compliance and minimize adverse impacts. Any limitations or failures relating to any of the foregoing could result in reputational damage, legal liabilities or loss of customer confidence. There can be no assurance that the usage of AI will enhance our strategies or initiatives.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Evolving data privacy requirements (in particular, compliance with applicable federal, state and foreign laws 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w:t>
      </w:r>
    </w:p>
    <w:p>
      <w:pPr>
        <w:spacing w:after="0" w:line="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and other data such as confidential information. However, like any global enterprise operating in today’s digital business environment, we and our third party service providers have experienced cybersecurity incidents and data breaches. We react and respond to these cybersecurity incidents in accordance with the applicable legal requirements, our own cybersecurity protocols, as well as our commercial partners’ standards (as appropriate), but we cannot ensure that our responses (or those of our partners and service providers) will be sufficient to prevent or mitigate the potential adverse impacts of these cybersecurity incidents, which may be material.</w:t>
      </w:r>
    </w:p>
    <w:p>
      <w:pPr>
        <w:spacing w:after="0" w:line="12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There has been heightened legislative and regulatory focus on AI, data privacy and cybersecurity in the U.S., EU, U.K., China and elsewhere, particularly with respect to critical infrastructure providers, including those in the transportation sector. For example, in March 2024, the DOT launched a privacy review of the ten largest U.S. airlines’ collection, handling, maintenance and use of passengers’ personal information, indicating the DOT may seek to increase its regulation, investigation, and enforcement of airlines’ privacy practices, including ours. As a result, we must comply with a proliferating and fast-evolving set of legal requirements in this area, including substantive data privacy and cybersecurity standards as well as requirements for notifying regulators and affected individuals in the event of a cybersecurity incident. In addition, we are subject to an increasing number of reporting obligations in respect of certain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cybersecurity incident response and could potentially reveal system vulnerabilities to threat actors. Failure to timely report cybersecurity incidents under these rules could also result in regulatory investigations, litigation, monetary fines, sanctions, or subject us to other forms of liability. Even though we believe we and our third party service providers are generally in compliance with applicable laws, rules and regulations relating to AI, privacy and data security, the regulatory environment is increasingly challenging as AI, data privacy and cybersecurity laws, rules, regulations, industry standards and other requirements are continually developing. These changing requirements, along with their evolving application, interpretation, and amendment, may present material obligations and risks to our business, including significantly expanded compliance burdens, costs and enforcement risks.</w:t>
      </w:r>
    </w:p>
    <w:p>
      <w:pPr>
        <w:spacing w:after="0" w:line="13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(the Payment Card Industry Data Security Standard (PCI DSS)). While we and our service providers continue our efforts to meet these standards, new and revised standards may be imposed that may be difficult for us to meet and could increase our costs, and if we are unable to comply with revised standards, we may be subject to fines, restrictions or other liability, which could materially and adversely affect our business. Moreover, it is not guaranteed that PCI DSS compliance will prevent illegal or improper use of our payment systems or the theft, loss or misuse of payment card data or transaction information.</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Litigation, claims and enforcement related to data privacy, biometrics and other provisions of state privacy laws may involve new interpretations of privacy laws. There has also been a noticeable uptick in class actions in the U.S. wherein plaintiffs have utilized a variety of laws, including state wiretapping laws, in relation to companies’ use of tracking technologies, such as cookies and pixels.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and negative reputational impacts that cause us to lose existing or future customers, which could materially adversely affect our business, results of operations and financial condition.</w:t>
      </w:r>
    </w:p>
    <w:p>
      <w:pPr>
        <w:spacing w:after="0" w:line="183"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exposed to risks from cyberattacks, and any cybersecurity incidents involving us, our third-party service providers, or one of our AAdvantage partners or other business partners, could materially adversely affect our business, results of operations and financial condition.</w:t>
      </w:r>
    </w:p>
    <w:p>
      <w:pPr>
        <w:spacing w:after="0" w:line="2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Significant cybersecurity incidents involving us, our third-party service providers,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cyberattacks; a diminished ability to retain or attract new customers; a deterioration in our relationships with business partners and other third parties; interruptions or failures in our payment related systems;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and there is a risk that our security measures will not be fully effective in the future.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PCI DSS requirements, breach or other significant cybersecurity incident affecting one of our partners, interruptions or failures in our payment related systems, could result in potentially material negative consequences for us, including loss of critical data, service interruptions, delays in operations, and the potential for fines, restrictions and expulsion from card acceptance programs. In addition, we use third party service providers to help us deliver services to customers. These service providers may store personal information, credit card information and/or other confidential information. Such information has been and will be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threat of cybersecurity incidents continues to increase as the frequency, intensity and sophistication of cyberattacks and intrusions increase around the world. The rapid evolution and increased adoption of AI and machine learning technologies may increase certain cybersecurity risks. To the extent AI and/or machine learning capabilities improve and are increasingly adopted, they may be used to identify vulnerabilities and craft increasingly sophisticated cybersecurity attacks. Vulnerabilities may be introduced from the use of AI and/or machine learning by us, our counterparties, vendors and other business partners and third-party providers.</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Diverse threat actors, such as state-sponsored organizations, opportunistic hackers and hacktivists, as well as diverse attack vectors such as social engineering/phishing, use of AI techniques such as deepfakes, malware (including ransomware), malfeasance by insiders, human or technological error, denial of service attacks or exploitation of vulnerabilities, threaten the confidentiality, integrity, and availability of our and our third party service providers’ information systems, personal information and confidential information. Geopolitical issues also continue to increase our cybersecurity risk and potential for cybersecurity incidents, for example, the conflict involving Russia and Ukraine, which has resulted in a heightened risk of cyberattacks against companies like ours that have operations, vendors and/or supply chain providers located in or around the region of conflict or are otherwise related to the conflict. Despite ongoing efforts to maintain and improve the security of our information systems and digital information, individuals, including employees, contractors, and external threat actors, may be able to circumvent the security measures we put in place, and we may be unable to anticipate new techniques used for these attacks and intrusions, such as the use of AI applications, and implement adequate preventative measures. We, our business partners and service providers have been the target of cybersecurity attacks in the past and expect that we, our business and service partners, will continue to experience cybersecurity incidents in the future.</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 cybersecurity incident are substantial. As cybersecurity incidents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privacy and cybersecurity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information is secured, such as how personal information is collected, used for marketing purposes, and shared with third parties, also may require changes to our processes and increase compliance costs. There is also an increased risk to our business in the event of a significant cybersecurity or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effectively manage the costs, rights and functionality of these channels.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While our priority is to migrate an increasing portion of our customers to our modern, direct distribution channels in lieu of third party channels, we continue to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w:t>
      </w:r>
    </w:p>
    <w:p>
      <w:pPr>
        <w:spacing w:after="0" w:line="1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continue to migrate the distribution of tickets to our proprietary and other modern distribution channels, and improve the functionality of our distribution channels, while maintaining an industry-competitive cost structure and a high level of customer satisfaction.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For example, as previously reported, during the second quarter of 2024 we concluded that certain commercial initiatives designed to, among other things, migrate customers to our modern, direct distribution channels contributed to softness in customer bookings relative to our expectations, and we reversed many of these measures late in the quarter. Any inability to manage our third -party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3"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O’Hare International Airport (ORD), Dallas/Fort Worth International Airport, Charlotte Douglas International Airport and Los Angeles International Airport (LAX). More generally, following long periods of underinvestment, there is a trend among airports in the United States to engage in significant, expensive expansion,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remodeling and infrastructure improvement projects.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 Escalating airport costs, especially at one of our major hubs, could also force us to revise our growth plans or redirect flying to more cost-effective airports.</w:t>
      </w:r>
    </w:p>
    <w:p>
      <w:pPr>
        <w:spacing w:after="0" w:line="126"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Frankfurt, Paris, Tokyo and other airports outside the U.S. are regulated by local slot authorities pursuant to the International Airline Trade Association Worldwide Scheduling Guidelines and/or applicable local law. Termination of slot controls or other operational restrictions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During periods of reduced demand for air travel, such as during the COVID-19 pandemic, we presently and may in the future rely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be made available, whether they will be granted on the same or similar terms as in past instances, or whether we ultimately could be at risk of losing valuable operating rights. If we are forced to surrender slots or other rights,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341"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Our ability to provide service can also be impaired at airports where the airport gates and other facilities are currently inadequate to accommodate all of the service that we would like to provide, or where we have no access to gates at all.</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(including as a result of social or environmental activism),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100" w:lineRule="exact"/>
        <w:rPr>
          <w:sz w:val="20"/>
          <w:szCs w:val="20"/>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external events, such as global health epidemics, on our business or the U.S. and global economies;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60" w:hanging="329"/>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any future capital deployment program, including share repurchase programs and any future dividend payments that may be declared by our Board of Directors, or any subsequent determination to cease repurchasing stock or paying dividends;</w:t>
      </w:r>
    </w:p>
    <w:p>
      <w:pPr>
        <w:spacing w:after="0" w:line="115"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inclusion of our common stock in broad market indexes favored by passive investors;</w:t>
      </w:r>
    </w:p>
    <w:p>
      <w:pPr>
        <w:spacing w:after="0" w:line="170" w:lineRule="exact"/>
        <w:rPr>
          <w:rFonts w:ascii="Arial" w:cs="Arial" w:eastAsia="Arial" w:hAnsi="Arial"/>
          <w:sz w:val="18"/>
          <w:szCs w:val="18"/>
          <w:color w:val="auto"/>
        </w:rPr>
      </w:pPr>
    </w:p>
    <w:p>
      <w:pPr>
        <w:ind w:left="660" w:right="20" w:hanging="329"/>
        <w:spacing w:after="0" w:line="28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preferences to invest in certain sectors, including large technology companies in lieu of industrial or transportation companies;</w:t>
      </w:r>
    </w:p>
    <w:p>
      <w:pPr>
        <w:spacing w:after="0" w:line="99" w:lineRule="exact"/>
        <w:rPr>
          <w:rFonts w:ascii="Arial" w:cs="Arial" w:eastAsia="Arial" w:hAnsi="Arial"/>
          <w:sz w:val="18"/>
          <w:szCs w:val="18"/>
          <w:color w:val="auto"/>
        </w:rPr>
      </w:pPr>
    </w:p>
    <w:p>
      <w:pPr>
        <w:jc w:val="both"/>
        <w:ind w:left="660" w:hanging="329"/>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Coronavirus Aid, Relief, and Economic Security Act (CARES Act), Subtitle A of Title IV of Division N of the Consolidated Appropriations Act, 2021 (the PSP Extension Law) and the American Rescue Plan Act of 2021 (ARP);</w:t>
      </w:r>
    </w:p>
    <w:p>
      <w:pPr>
        <w:spacing w:after="0" w:line="123"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0" w:lineRule="exact"/>
        <w:rPr>
          <w:rFonts w:ascii="Arial" w:cs="Arial" w:eastAsia="Arial" w:hAnsi="Arial"/>
          <w:sz w:val="18"/>
          <w:szCs w:val="18"/>
          <w:color w:val="auto"/>
        </w:rPr>
      </w:pPr>
    </w:p>
    <w:p>
      <w:pPr>
        <w:jc w:val="both"/>
        <w:ind w:left="660" w:hanging="329"/>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closing price of our common stock on the Nasdaq Global Select Market varied from $9.26 to $17.62 during 2024 and $ 15.74 to $18.66 during 2025 year-to-date through February 14, 2025.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19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If we decide to make repurchases of or pay dividends on our common stock, we cannot guarantee that we will continue to do so or that such a capital deployment program will enhance long-term stockholder value.</w:t>
      </w:r>
    </w:p>
    <w:p>
      <w:pPr>
        <w:spacing w:after="0" w:line="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If we determine to make any share repurchases in the future, such repurchases may be made through a variety of methods, which may include open market purchases, privately negotiated transactions, block trades or accelerated share repurchase transactions. Our future repurchases of AAG common stock, if any, may be limited, suspended or discontinued at any time at our discretion and without prior notice.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If we determine to make any dividends in the future, such dividends that may be declared and paid from time to time will be subject to market and economic conditions, applicable legal requirements and other relevant factors. The amount and timing of any future dividends, if any, may vary, and the payment of any dividend does not assure that we will pay dividends in the future.</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We generally are subject to an excise tax on the fair market value of AAG common stock repurchased (less the fair market value of AAG common stock issued and subject to certain adjustments and exceptions) during any year after December 31, 2022. Although our share repurchase programs are intended to enhance long-term stockholder value, there is no assurance that they will do so.</w:t>
      </w:r>
    </w:p>
    <w:p>
      <w:pPr>
        <w:spacing w:after="0" w:line="209"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AAG’s Certificate of Incorporation, Bylaws and Tax Benefit Preservation Plan include provisions that limit voting and acquisition and disposition of our equity interests and specify an exclusive forum for certain stockholder disputes.</w:t>
      </w:r>
    </w:p>
    <w:p>
      <w:pPr>
        <w:spacing w:after="0" w:line="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Exchange Act, which is filed as Exhibit 4.1 hereto. Further restrictions are set forth in our Tax Benefit Preservation Plan, which was filed as Exhibit 4.1 to AAG’s Current Report on Form 8-K filed on December 22, 2021 and amendments to the Tax Benefit Preservation Plan, filed as Exhibit 4.1 to AAG’s Current Report on Form 8-K filed on November 1, 2024.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11"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16" w:lineRule="exact"/>
        <w:rPr>
          <w:sz w:val="20"/>
          <w:szCs w:val="20"/>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0" w:lineRule="exact"/>
        <w:rPr>
          <w:rFonts w:ascii="Arial" w:cs="Arial" w:eastAsia="Arial" w:hAnsi="Arial"/>
          <w:sz w:val="18"/>
          <w:szCs w:val="18"/>
          <w:color w:val="auto"/>
        </w:rPr>
      </w:pPr>
    </w:p>
    <w:p>
      <w:pPr>
        <w:ind w:left="660" w:hanging="329"/>
        <w:spacing w:after="0" w:line="28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9" w:lineRule="exact"/>
        <w:rPr>
          <w:rFonts w:ascii="Arial" w:cs="Arial" w:eastAsia="Arial" w:hAnsi="Arial"/>
          <w:sz w:val="18"/>
          <w:szCs w:val="18"/>
          <w:color w:val="auto"/>
        </w:rPr>
      </w:pPr>
    </w:p>
    <w:p>
      <w:pPr>
        <w:ind w:left="660" w:right="20" w:hanging="329"/>
        <w:spacing w:after="0" w:line="28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9"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the Convertible Notes.</w:t>
      </w:r>
    </w:p>
    <w:p>
      <w:pPr>
        <w:spacing w:after="0" w:line="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Further, additional shares of our common stock may be issued in connection with the exercise of warrants originally issued by AAG to the U.S. Department of Treasury and/or the conversion of the 6.50% convertible senior notes due 2025 (the Convertible Notes). If these additional shares or securities are issued or sold, or if it is perceived that they will be sold, the trading price of our common stock and the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the Convertible Notes could decline substantially.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no unresolved SEC staff comments that were issued 180 days or more preceding December 31, 2024.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safety and security of our customers and team members is our top priority. This includes working to put in place appropriate administrative, physical and technical cybersecurity safeguards to help protect our assets that keep our operation running and securely store the information in our care. We have developed and implemented a cybersecurity risk management program intended to protect the confidentiality, integrity, and availability of our systems and information.</w:t>
      </w:r>
    </w:p>
    <w:p>
      <w:pPr>
        <w:spacing w:after="0" w:line="121" w:lineRule="exact"/>
        <w:rPr>
          <w:sz w:val="20"/>
          <w:szCs w:val="20"/>
          <w:color w:val="auto"/>
        </w:rPr>
      </w:pPr>
    </w:p>
    <w:p>
      <w:pPr>
        <w:jc w:val="both"/>
        <w:ind w:firstLine="246"/>
        <w:spacing w:after="0" w:line="262" w:lineRule="auto"/>
        <w:rPr>
          <w:sz w:val="20"/>
          <w:szCs w:val="20"/>
          <w:color w:val="auto"/>
        </w:rPr>
      </w:pPr>
      <w:r>
        <w:rPr>
          <w:rFonts w:ascii="Arial" w:cs="Arial" w:eastAsia="Arial" w:hAnsi="Arial"/>
          <w:sz w:val="18"/>
          <w:szCs w:val="18"/>
          <w:color w:val="auto"/>
        </w:rPr>
        <w:t>We have created, and assess our program against, an integrated cybersecurity framework using various National Institute of Standards and Technology (NIST) security standards, guidelines and best practices. This does not imply that we meet any particular technical standards, specifications, or requirements, only that we use various NIST security standards, guidelines and best practices to identify, assess, and manage cybersecurity risks relevant to our business.</w:t>
      </w:r>
    </w:p>
    <w:p>
      <w:pPr>
        <w:spacing w:after="0" w:line="121" w:lineRule="exact"/>
        <w:rPr>
          <w:sz w:val="20"/>
          <w:szCs w:val="20"/>
          <w:color w:val="auto"/>
        </w:rPr>
      </w:pPr>
    </w:p>
    <w:p>
      <w:pPr>
        <w:jc w:val="both"/>
        <w:ind w:firstLine="246"/>
        <w:spacing w:after="0" w:line="256" w:lineRule="auto"/>
        <w:rPr>
          <w:sz w:val="20"/>
          <w:szCs w:val="20"/>
          <w:color w:val="auto"/>
        </w:rPr>
      </w:pPr>
      <w:r>
        <w:rPr>
          <w:rFonts w:ascii="Arial" w:cs="Arial" w:eastAsia="Arial" w:hAnsi="Arial"/>
          <w:sz w:val="18"/>
          <w:szCs w:val="18"/>
          <w:color w:val="auto"/>
        </w:rPr>
        <w:t>Our cybersecurity risk management program is overseen by our Executive Cybersecurity Risk Group (ECRG) which is comprised of our Chief Digital and Information Officer (CDIO), Chief Financial Officer and Chief Legal Officer. The ECRG, working with our Chief Information Security Officer (CISO), assists the Board of Directors and our senior leadership team in fulfilling their responsibilities for cybersecurity governance, approval and oversight through the periodic reporting and review of security strategy and risk management practices. Our cybersecurity risk management program is integrated into our overall risk management processes and shares common reporting channels and governance processes that apply across the enterprise to other legal, compliance, strategic, operational, and financial risk governance programs.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cybersecurity risk management program includes:</w:t>
      </w:r>
    </w:p>
    <w:p>
      <w:pPr>
        <w:spacing w:after="0" w:line="171" w:lineRule="exact"/>
        <w:rPr>
          <w:sz w:val="20"/>
          <w:szCs w:val="20"/>
          <w:color w:val="auto"/>
        </w:rPr>
      </w:pPr>
    </w:p>
    <w:p>
      <w:pPr>
        <w:ind w:left="660" w:right="20" w:hanging="329"/>
        <w:spacing w:after="0" w:line="28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cybersecurity risks to our critical systems, information, and our broader enterprise information technology environment;</w:t>
      </w:r>
    </w:p>
    <w:p>
      <w:pPr>
        <w:spacing w:after="0" w:line="99" w:lineRule="exact"/>
        <w:rPr>
          <w:rFonts w:ascii="Arial" w:cs="Arial" w:eastAsia="Arial" w:hAnsi="Arial"/>
          <w:sz w:val="18"/>
          <w:szCs w:val="18"/>
          <w:color w:val="auto"/>
        </w:rPr>
      </w:pPr>
    </w:p>
    <w:p>
      <w:pPr>
        <w:ind w:left="660" w:right="20" w:hanging="329"/>
        <w:spacing w:after="0" w:line="28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cybersecurity team principally responsible for managing our (1) cybersecurity risk assessment processes, (2) security controls, (3) vulnerability management program and (4) detection and response to cybersecurity incidents;</w:t>
      </w:r>
    </w:p>
    <w:p>
      <w:pPr>
        <w:spacing w:after="0" w:line="99" w:lineRule="exact"/>
        <w:rPr>
          <w:rFonts w:ascii="Arial" w:cs="Arial" w:eastAsia="Arial" w:hAnsi="Arial"/>
          <w:sz w:val="18"/>
          <w:szCs w:val="18"/>
          <w:color w:val="auto"/>
        </w:rPr>
      </w:pPr>
    </w:p>
    <w:p>
      <w:pPr>
        <w:ind w:left="660" w:hanging="32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9"/>
        <w:spacing w:after="0" w:line="28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policies, procedures and standards that are utilized to outline expectations, guidelines and best practices for managing cybersecurity risks;</w:t>
      </w:r>
    </w:p>
    <w:p>
      <w:pPr>
        <w:spacing w:after="0" w:line="99"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awareness training for our employees, incident response personnel and senior management;</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third-party risk management process for critical information technology service providers, suppliers, and vendors.</w:t>
      </w:r>
    </w:p>
    <w:p>
      <w:pPr>
        <w:spacing w:after="0" w:line="171" w:lineRule="exact"/>
        <w:rPr>
          <w:sz w:val="20"/>
          <w:szCs w:val="20"/>
          <w:color w:val="auto"/>
        </w:rPr>
      </w:pPr>
    </w:p>
    <w:p>
      <w:pPr>
        <w:jc w:val="both"/>
        <w:ind w:firstLine="246"/>
        <w:spacing w:after="0" w:line="256" w:lineRule="auto"/>
        <w:rPr>
          <w:sz w:val="20"/>
          <w:szCs w:val="20"/>
          <w:color w:val="auto"/>
        </w:rPr>
      </w:pPr>
      <w:r>
        <w:rPr>
          <w:rFonts w:ascii="Arial" w:cs="Arial" w:eastAsia="Arial" w:hAnsi="Arial"/>
          <w:sz w:val="18"/>
          <w:szCs w:val="18"/>
          <w:color w:val="auto"/>
        </w:rPr>
        <w:t>We are constantly assessing our environment for cybersecurity threats, and we face risks from cybersecurity threats that, if realized, are reasonably likely to materially affect us, including our operations, business strategy, results of operations or financial condition. At the time of this filing, we have not identified risks from known cybersecurity threats, including as a result of any prior cybersecurity incidents, that have materially affected us, including our operations, business strategy, results of operations or financial condition. See Part I, Item 1A. Risk Factors – “</w:t>
      </w:r>
      <w:r>
        <w:rPr>
          <w:rFonts w:ascii="Arial" w:cs="Arial" w:eastAsia="Arial" w:hAnsi="Arial"/>
          <w:sz w:val="18"/>
          <w:szCs w:val="18"/>
          <w:i w:val="1"/>
          <w:iCs w:val="1"/>
          <w:color w:val="auto"/>
        </w:rPr>
        <w:t>Evolving data privacy requirements (in particular, compliance with applicable federal, state and foreign laws relating to handling of</w:t>
      </w:r>
      <w:r>
        <w:rPr>
          <w:rFonts w:ascii="Arial" w:cs="Arial" w:eastAsia="Arial" w:hAnsi="Arial"/>
          <w:sz w:val="18"/>
          <w:szCs w:val="18"/>
          <w:color w:val="auto"/>
        </w:rPr>
        <w:t xml:space="preserve"> </w:t>
      </w:r>
      <w:r>
        <w:rPr>
          <w:rFonts w:ascii="Arial" w:cs="Arial" w:eastAsia="Arial" w:hAnsi="Arial"/>
          <w:sz w:val="18"/>
          <w:szCs w:val="18"/>
          <w:i w:val="1"/>
          <w:iCs w:val="1"/>
          <w:color w:val="auto"/>
        </w:rPr>
        <w:t>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w:t>
      </w:r>
      <w:r>
        <w:rPr>
          <w:rFonts w:ascii="Arial" w:cs="Arial" w:eastAsia="Arial" w:hAnsi="Arial"/>
          <w:sz w:val="18"/>
          <w:szCs w:val="18"/>
          <w:color w:val="auto"/>
        </w:rPr>
        <w: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Cybersecurity Governance</w:t>
      </w:r>
    </w:p>
    <w:p>
      <w:pPr>
        <w:spacing w:after="0" w:line="90"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8"/>
          <w:szCs w:val="18"/>
          <w:color w:val="auto"/>
        </w:rPr>
        <w:t>Our Board of Directors consider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116"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8"/>
          <w:szCs w:val="18"/>
          <w:color w:val="auto"/>
        </w:rPr>
        <w:t>The Audit Committee receives quarterly reports from management on our cybersecurity risks. In addition, management updates the Audit Committee, as necessary, regarding any material cybersecurity incidents, as well as certain incidents with lesser impact potential.</w:t>
      </w:r>
    </w:p>
    <w:p>
      <w:pPr>
        <w:spacing w:after="0" w:line="100" w:lineRule="exact"/>
        <w:rPr>
          <w:sz w:val="20"/>
          <w:szCs w:val="20"/>
          <w:color w:val="auto"/>
        </w:rPr>
      </w:pPr>
    </w:p>
    <w:p>
      <w:pPr>
        <w:jc w:val="both"/>
        <w:ind w:firstLine="246"/>
        <w:spacing w:after="0" w:line="262" w:lineRule="auto"/>
        <w:rPr>
          <w:sz w:val="20"/>
          <w:szCs w:val="20"/>
          <w:color w:val="auto"/>
        </w:rPr>
      </w:pPr>
      <w:r>
        <w:rPr>
          <w:rFonts w:ascii="Arial" w:cs="Arial" w:eastAsia="Arial" w:hAnsi="Arial"/>
          <w:sz w:val="18"/>
          <w:szCs w:val="18"/>
          <w:color w:val="auto"/>
        </w:rPr>
        <w:t>The Audit Committee reports to the full Board of Directors regarding its activities, including those related to cybersecurity. The full Board of Directors also receives periodic briefings from management on our cyber risk management program. Board of Directors members receive presentations on cybersecurity topics from a combination of our CDIO, CISO, Deputy General Counsel, internal security staff, external counsel or external experts, as part of the Board of Director’s continuing education on topics that impact public companies.</w:t>
      </w:r>
    </w:p>
    <w:p>
      <w:pPr>
        <w:spacing w:after="0" w:line="121" w:lineRule="exact"/>
        <w:rPr>
          <w:sz w:val="20"/>
          <w:szCs w:val="20"/>
          <w:color w:val="auto"/>
        </w:rPr>
      </w:pPr>
    </w:p>
    <w:p>
      <w:pPr>
        <w:jc w:val="both"/>
        <w:ind w:firstLine="246"/>
        <w:spacing w:after="0" w:line="256" w:lineRule="auto"/>
        <w:rPr>
          <w:sz w:val="20"/>
          <w:szCs w:val="20"/>
          <w:color w:val="auto"/>
        </w:rPr>
      </w:pPr>
      <w:r>
        <w:rPr>
          <w:rFonts w:ascii="Arial" w:cs="Arial" w:eastAsia="Arial" w:hAnsi="Arial"/>
          <w:sz w:val="18"/>
          <w:szCs w:val="18"/>
          <w:color w:val="auto"/>
        </w:rPr>
        <w:t xml:space="preserve">Our management team, including our </w:t>
      </w:r>
      <w:r>
        <w:rPr>
          <w:rFonts w:ascii="Arial" w:cs="Arial" w:eastAsia="Arial" w:hAnsi="Arial"/>
          <w:sz w:val="18"/>
          <w:szCs w:val="18"/>
          <w:color w:val="262626"/>
        </w:rPr>
        <w:t>CDIO,</w:t>
      </w:r>
      <w:r>
        <w:rPr>
          <w:rFonts w:ascii="Arial" w:cs="Arial" w:eastAsia="Arial" w:hAnsi="Arial"/>
          <w:sz w:val="18"/>
          <w:szCs w:val="18"/>
          <w:color w:val="auto"/>
        </w:rPr>
        <w:t xml:space="preserve"> CISO, Vice President and Deputy General Counsel – Chief Privacy and Data Protection Officer </w:t>
      </w:r>
      <w:r>
        <w:rPr>
          <w:rFonts w:ascii="Arial" w:cs="Arial" w:eastAsia="Arial" w:hAnsi="Arial"/>
          <w:sz w:val="18"/>
          <w:szCs w:val="18"/>
          <w:color w:val="262626"/>
        </w:rPr>
        <w:t>and</w:t>
      </w:r>
      <w:r>
        <w:rPr>
          <w:rFonts w:ascii="Arial" w:cs="Arial" w:eastAsia="Arial" w:hAnsi="Arial"/>
          <w:sz w:val="18"/>
          <w:szCs w:val="18"/>
          <w:color w:val="auto"/>
        </w:rPr>
        <w:t xml:space="preserve"> additional members of the ECRG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Collectively, our management team has extensive information technology experience, as well as cybersecurity incident response, compliance, oversight, and program management experience. Additionally, certain leaders and personnel within the cybersecurity organization hold industry certifications, such as Certified Information Systems Security Professional or Certified Information Security Manager.</w:t>
      </w:r>
    </w:p>
    <w:p>
      <w:pPr>
        <w:spacing w:after="0" w:line="127"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various sources including external consultants engaged by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December 31, 2024, American operated a mainline fleet of 977 aircraft. During 2024, American accepted delivery of 12 mainline aircraft including seven Boeing 737-8 MAX and five Airbus A321neo. We are supported by our wholly-owned and third-party regional carriers that fly under capacity purchase agreements operating as American Eagle. As of December 31, 2024, American Eagle operated 585 regional aircraft. During 2024, we increased our regional fleet by 29 aircraft, including the addition of 32 regional aircraft and net of 27 regional aircraft returned to service from temporary storage, offset by the return of 30 regional aircraft to third-party regional carriers. In the fourth quarter of 2024, we decided to permanently park 43 Embraer 145 aircraft that were previously being held in temporary storage.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Mainline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2024, American’s mainline fleet consisted of the following aircraft: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12"/>
                <w:szCs w:val="12"/>
                <w:color w:val="auto"/>
              </w:rPr>
            </w:pPr>
          </w:p>
        </w:tc>
        <w:tc>
          <w:tcPr>
            <w:tcW w:w="1040" w:type="dxa"/>
            <w:vAlign w:val="bottom"/>
            <w:gridSpan w:val="2"/>
          </w:tcPr>
          <w:p>
            <w:pPr>
              <w:ind w:left="200"/>
              <w:spacing w:after="0" w:line="144" w:lineRule="exact"/>
              <w:rPr>
                <w:sz w:val="20"/>
                <w:szCs w:val="20"/>
                <w:color w:val="auto"/>
              </w:rPr>
            </w:pPr>
            <w:r>
              <w:rPr>
                <w:rFonts w:ascii="Arial" w:cs="Arial" w:eastAsia="Arial" w:hAnsi="Arial"/>
                <w:sz w:val="14"/>
                <w:szCs w:val="14"/>
                <w:b w:val="1"/>
                <w:bCs w:val="1"/>
                <w:color w:val="auto"/>
              </w:rPr>
              <w:t>Seating</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rPr>
              <w:t>Age</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Owned</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Leased</w:t>
            </w: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Capacity</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Airbus A319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Airbus A320</w:t>
            </w: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Airbus A321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Airbus A321neo</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737-800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Boeing 737-8 MAX</w:t>
            </w: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777-200ER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Boeing 777-300ER</w:t>
            </w: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787-8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Boeing 787-9</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Regional</w:t>
      </w:r>
    </w:p>
    <w:p>
      <w:pPr>
        <w:spacing w:after="0" w:line="88" w:lineRule="exact"/>
        <w:rPr>
          <w:sz w:val="20"/>
          <w:szCs w:val="20"/>
          <w:color w:val="auto"/>
        </w:rPr>
      </w:pPr>
    </w:p>
    <w:p>
      <w:pPr>
        <w:ind w:right="360" w:firstLine="243"/>
        <w:spacing w:after="0" w:line="286" w:lineRule="auto"/>
        <w:rPr>
          <w:sz w:val="20"/>
          <w:szCs w:val="20"/>
          <w:color w:val="auto"/>
        </w:rPr>
      </w:pPr>
      <w:r>
        <w:rPr>
          <w:rFonts w:ascii="Arial" w:cs="Arial" w:eastAsia="Arial" w:hAnsi="Arial"/>
          <w:sz w:val="18"/>
          <w:szCs w:val="18"/>
          <w:color w:val="auto"/>
        </w:rPr>
        <w:t>As of December 31, 2024, the fleet of our wholly-owned and third-party regional carriers operating as American Eagle consisted of the following aircraft: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Seating</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Owned or Leased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Operating Regional</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Owned</w:t>
            </w:r>
          </w:p>
        </w:tc>
        <w:tc>
          <w:tcPr>
            <w:tcW w:w="10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Leased</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by Third Party</w:t>
            </w: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Aircraft</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rPr>
              <w:t>Capacity</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Regional Carrier</w:t>
            </w: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Carrier</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Operated</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Bombardier CRJ 200</w:t>
            </w:r>
          </w:p>
        </w:tc>
        <w:tc>
          <w:tcPr>
            <w:tcW w:w="12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Air Wisconsin</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260" w:type="dxa"/>
            <w:vAlign w:val="bottom"/>
          </w:tcPr>
          <w:p>
            <w:pPr>
              <w:ind w:left="20"/>
              <w:spacing w:after="0"/>
              <w:rPr>
                <w:sz w:val="20"/>
                <w:szCs w:val="20"/>
                <w:color w:val="auto"/>
              </w:rPr>
            </w:pPr>
            <w:r>
              <w:rPr>
                <w:rFonts w:ascii="Arial" w:cs="Arial" w:eastAsia="Arial" w:hAnsi="Arial"/>
                <w:sz w:val="18"/>
                <w:szCs w:val="18"/>
                <w:color w:val="auto"/>
              </w:rPr>
              <w:t>Bombardier CRJ 700</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SkyWest</w:t>
            </w: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Bombardier CRJ 900 </w:t>
            </w:r>
            <w:r>
              <w:rPr>
                <w:rFonts w:ascii="Arial" w:cs="Arial" w:eastAsia="Arial" w:hAnsi="Arial"/>
                <w:sz w:val="23"/>
                <w:szCs w:val="23"/>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260" w:type="dxa"/>
            <w:vAlign w:val="bottom"/>
          </w:tcPr>
          <w:p>
            <w:pPr>
              <w:ind w:left="20"/>
              <w:spacing w:after="0"/>
              <w:rPr>
                <w:sz w:val="20"/>
                <w:szCs w:val="20"/>
                <w:color w:val="auto"/>
              </w:rPr>
            </w:pPr>
            <w:r>
              <w:rPr>
                <w:rFonts w:ascii="Arial" w:cs="Arial" w:eastAsia="Arial" w:hAnsi="Arial"/>
                <w:sz w:val="18"/>
                <w:szCs w:val="18"/>
                <w:color w:val="auto"/>
              </w:rPr>
              <w:t>Embraer 170</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Republic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Embraer 175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Republic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SkyWest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Embraer 145 </w:t>
            </w:r>
            <w:r>
              <w:rPr>
                <w:rFonts w:ascii="Arial" w:cs="Arial" w:eastAsia="Arial" w:hAnsi="Arial"/>
                <w:sz w:val="23"/>
                <w:szCs w:val="23"/>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Piedmont</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119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3100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20" w:hanging="332"/>
        <w:spacing w:after="0" w:line="23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Excluded from the total operating aircraft count above are seven regional aircraft in temporary storage as follows: five owned Embraer 145 and two owned Bombardier CRJ 900.</w:t>
      </w:r>
    </w:p>
    <w:p>
      <w:pPr>
        <w:spacing w:after="0" w:line="14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additional information on our capacity purchase agreements with third-party regional carriers.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December 31, 2024,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gridSpan w:val="6"/>
            <w:vMerge w:val="restart"/>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2028 and</w:t>
            </w: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680" w:type="dxa"/>
            <w:vAlign w:val="bottom"/>
            <w:gridSpan w:val="6"/>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Thereafter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42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A320neo Family</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5040" w:type="dxa"/>
            <w:vAlign w:val="bottom"/>
            <w:tcBorders>
              <w:bottom w:val="single" w:sz="8" w:color="CCEEFF"/>
            </w:tcBorders>
            <w:gridSpan w:val="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737 MAX Family</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787 Family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Embraer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2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5" w:lineRule="exact"/>
        <w:rPr>
          <w:sz w:val="20"/>
          <w:szCs w:val="20"/>
          <w:color w:val="auto"/>
        </w:rPr>
      </w:pPr>
    </w:p>
    <w:p>
      <w:pPr>
        <w:jc w:val="both"/>
        <w:ind w:left="340" w:hanging="332"/>
        <w:spacing w:after="0"/>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as described in footnote (e)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table in Part II, Item 7. Management’s Discussion and Analysis of Financial Condition and Results of Operations. Actual delivery dates are subject to change, which could be material, based on various potential factors including production delays by the manufacturer and regulatory concerns.</w:t>
      </w:r>
    </w:p>
    <w:p>
      <w:pPr>
        <w:spacing w:after="0" w:line="13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addition, we have committed to purchase 12 used Bombardier CRJ 900 aircraft which are scheduled to be delivered from 2025 through 2026. We also have agreements for 52 spare engines to be delivered in 2025 and beyond.</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intend to finance future aircraft deliveries and option exercises using long-term debt. See Note 11 to AAG’s Consolidated Financial Statements in Part II, Item 8A and Note 10 to American’s Consolidated Financial Statements in Part II, Item 8B for additional information on aircraft and engine acquisition commitments.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Properties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Additionally, at our hub locations and in certain other cities we serve, we lease administrative offices, catering, cargo, training, maintenance and other facilities.</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lease or have built on leased property our headquarters and training facilities in Fort Worth, Texas, our principal overhaul and maintenance base in Tulsa, Oklahoma, our regional reservation offices, and administrative offices throughout the U.S. and abroad.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information on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1" w:lineRule="exact"/>
        <w:rPr>
          <w:sz w:val="20"/>
          <w:szCs w:val="20"/>
          <w:color w:val="auto"/>
        </w:rPr>
      </w:pPr>
    </w:p>
    <w:p>
      <w:pPr>
        <w:ind w:left="840" w:right="420" w:hanging="889"/>
        <w:spacing w:after="0" w:line="296" w:lineRule="auto"/>
        <w:tabs>
          <w:tab w:leader="none" w:pos="820" w:val="left"/>
        </w:tabs>
        <w:rPr>
          <w:sz w:val="20"/>
          <w:szCs w:val="20"/>
          <w:color w:val="auto"/>
        </w:rPr>
      </w:pPr>
      <w:r>
        <w:rPr>
          <w:rFonts w:ascii="Arial" w:cs="Arial" w:eastAsia="Arial" w:hAnsi="Arial"/>
          <w:sz w:val="18"/>
          <w:szCs w:val="18"/>
          <w:b w:val="1"/>
          <w:bCs w:val="1"/>
          <w:color w:val="auto"/>
        </w:rPr>
        <w:t>ITEM 5.</w:t>
        <w:tab/>
        <w:t>MARKET FOR AMERICAN AIRLINES GROUP’S COMMON STOCK,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common stock is listed on The Nasdaq Global Select Market under the trading symbol “AAL.” There is no trading market for the common stock of American, which is a wholly-owned subsidiary of AAG.</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February 14, 2025, there were approximately 52,000 holders of record of our common stock. However, because many of the shares of our common stock are held by brokers and other institutions on behalf of stockholders, we believe there are substantially more beneficial holders of our common stock than record holders.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2025 Annual Meeting of Stockholders of American Airlines Group Inc. (the Proxy Statement) under the caption “Equity Compensation Plan Information” and is incorporated by reference into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There were no cash dividend payments during the years ended December 31, 2024 and 2023.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2"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 nor shall such information be incorporated by reference into any future filings under the Securities Act of 1933 or the Exchange Act, each as amended, except to the extent that we specifically incorporate it by reference into such filing.</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stock performance graph compares the cumulative total stockholder returns during the period from December 31, 2019 to December 31, 2024 of our common stock to the New York Stock Exchange (NYSE) ARCA Airline Index and the Standard and Poor’s Financial Services, LLC (S&amp;P) 500 Stock Index. The comparison assumes $100 was invested on December 31, 2019 in our common stock and in each of the foregoing indices and assumes that all dividends were reinvested. The stock performance shown on the following graph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90805</wp:posOffset>
            </wp:positionV>
            <wp:extent cx="5839460" cy="2894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39460" cy="289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12/31/2023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12/31/2024</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Airlines Group Inc. (AAL)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NYSE ARCA Airline Index (XAL)</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 (GSPC)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repurchases of AAG common stock were made in 2024 or 2023. Any future determination to enter into a share repurchase program will be at the discretion of the Board of Directors, subject to applicable legal limitations, and will depend upon our results of operations, financial condition, contractual restrictions and other factors deemed relevant by the Board of Directors.</w:t>
      </w:r>
    </w:p>
    <w:p>
      <w:pPr>
        <w:spacing w:after="0" w:line="116"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See Part I, Item 1A. Risk Factors – “</w:t>
      </w:r>
      <w:r>
        <w:rPr>
          <w:rFonts w:ascii="Arial" w:cs="Arial" w:eastAsia="Arial" w:hAnsi="Arial"/>
          <w:sz w:val="18"/>
          <w:szCs w:val="18"/>
          <w:i w:val="1"/>
          <w:iCs w:val="1"/>
          <w:color w:val="auto"/>
        </w:rPr>
        <w:t>If we decide to make repurchases of or pay dividends on our common stock, we cannot guarantee</w:t>
      </w:r>
      <w:r>
        <w:rPr>
          <w:rFonts w:ascii="Arial" w:cs="Arial" w:eastAsia="Arial" w:hAnsi="Arial"/>
          <w:sz w:val="18"/>
          <w:szCs w:val="18"/>
          <w:color w:val="auto"/>
        </w:rPr>
        <w:t xml:space="preserve"> </w:t>
      </w:r>
      <w:r>
        <w:rPr>
          <w:rFonts w:ascii="Arial" w:cs="Arial" w:eastAsia="Arial" w:hAnsi="Arial"/>
          <w:sz w:val="18"/>
          <w:szCs w:val="18"/>
          <w:i w:val="1"/>
          <w:iCs w:val="1"/>
          <w:color w:val="auto"/>
        </w:rPr>
        <w:t>that we will continue to do so or that such a capital deployment program will enhance long-term stockholder value.</w:t>
      </w:r>
      <w:r>
        <w:rPr>
          <w:rFonts w:ascii="Arial" w:cs="Arial" w:eastAsia="Arial" w:hAnsi="Arial"/>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AAG’s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w:t>
      </w:r>
    </w:p>
    <w:p>
      <w:pPr>
        <w:spacing w:after="0" w:line="1" w:lineRule="exact"/>
        <w:rPr>
          <w:sz w:val="20"/>
          <w:szCs w:val="20"/>
          <w:color w:val="auto"/>
        </w:rPr>
      </w:pPr>
    </w:p>
    <w:p>
      <w:pPr>
        <w:jc w:val="both"/>
        <w:ind w:firstLine="8"/>
        <w:spacing w:after="0" w:line="258" w:lineRule="auto"/>
        <w:tabs>
          <w:tab w:leader="none" w:pos="2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24.9% of the aggregate votes of all of our outstanding equity securities or (b) 49.0% of our outstanding equity securities. Our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and in connection with the expiration in December 2021 of certain transfer restrictions applicable to substantial shareholders contained in our Certificate of Incorporation, the Board of Directors of AAG adopted the Tax Benefit Preservation Plan. The Tax Benefit Preservation Plan was subsequently ratified by our stockholders at the 2022 Annual Meeting of Stockholders of AAG. AAG entered into Amendment No. 1 to the Tax Benefit Preservation Plan to extend the expiration date to October 29, 2027, subject to approval by stockholders by October 29, 2025. The Tax Benefit Preservation Plan is designed to reduce the likelihood that we experience an "ownership change” for purposes of Section 382 by deterring certain acquisitions of AAG common stock. There is no assurance, however, that the deterrent mechanism will be effective, and such acquisitions may still occur. In addition, the Tax Benefit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“AAG’s Certificate of Incorporation, Bylaws and Tax Benefit Preservation Plan include provisions that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limit voting and acquisition and disposition of our equity interests and specify an exclusive forum for certain stockholder disputes” </w:t>
      </w:r>
      <w:r>
        <w:rPr>
          <w:rFonts w:ascii="Arial" w:cs="Arial" w:eastAsia="Arial" w:hAnsi="Arial"/>
          <w:sz w:val="18"/>
          <w:szCs w:val="18"/>
          <w:color w:val="auto"/>
        </w:rPr>
        <w:t>and “</w:t>
      </w:r>
      <w:r>
        <w:rPr>
          <w:rFonts w:ascii="Arial" w:cs="Arial" w:eastAsia="Arial" w:hAnsi="Arial"/>
          <w:sz w:val="18"/>
          <w:szCs w:val="18"/>
          <w:i w:val="1"/>
          <w:iCs w:val="1"/>
          <w:color w:val="auto"/>
        </w:rPr>
        <w:t xml:space="preserve">Our ability to utilize our NOLs and other carryforwards may be limited.” </w:t>
      </w:r>
      <w:r>
        <w:rPr>
          <w:rFonts w:ascii="Arial" w:cs="Arial" w:eastAsia="Arial" w:hAnsi="Arial"/>
          <w:sz w:val="18"/>
          <w:szCs w:val="18"/>
          <w:color w:val="auto"/>
        </w:rPr>
        <w:t>Also see AAG’s Certification of Incorporation and Bylaws, which are filed</w:t>
      </w:r>
      <w:r>
        <w:rPr>
          <w:rFonts w:ascii="Arial" w:cs="Arial" w:eastAsia="Arial" w:hAnsi="Arial"/>
          <w:sz w:val="18"/>
          <w:szCs w:val="18"/>
          <w:i w:val="1"/>
          <w:iCs w:val="1"/>
          <w:color w:val="auto"/>
        </w:rPr>
        <w:t xml:space="preserve"> </w:t>
      </w:r>
      <w:r>
        <w:rPr>
          <w:rFonts w:ascii="Arial" w:cs="Arial" w:eastAsia="Arial" w:hAnsi="Arial"/>
          <w:sz w:val="18"/>
          <w:szCs w:val="18"/>
          <w:color w:val="auto"/>
        </w:rPr>
        <w:t>as Exhibits 3.1, 3.2 and 3.3 hereto, for the full text of the foregoing restrictions and AAG’s Description of the Registrants’ Securities Registered Pursuant to Section 12 of the Securities Exchange Act of 1934, which is filed as Exhibit 4.1 hereto, for a more detailed description.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and as of December 31, 2024, 2023 and 2022, are derived from AAG’s audited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gridSpan w:val="5"/>
          </w:tcPr>
          <w:p>
            <w:pPr>
              <w:jc w:val="center"/>
              <w:ind w:right="271"/>
              <w:spacing w:after="0"/>
              <w:rPr>
                <w:sz w:val="20"/>
                <w:szCs w:val="20"/>
                <w:color w:val="auto"/>
              </w:rPr>
            </w:pPr>
            <w:r>
              <w:rPr>
                <w:rFonts w:ascii="Arial" w:cs="Arial" w:eastAsia="Arial" w:hAnsi="Arial"/>
                <w:sz w:val="14"/>
                <w:szCs w:val="14"/>
                <w:b w:val="1"/>
                <w:bCs w:val="1"/>
                <w:color w:val="auto"/>
              </w:rPr>
              <w:t>(In millions, except share and per share amounts)</w:t>
            </w: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54,211</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52,788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48,971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51,597</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49,754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47,364</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3,034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for computation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656,996</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653,612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650,345</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721,300</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719,669</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655,122</w:t>
            </w:r>
          </w:p>
        </w:tc>
      </w:tr>
      <w:tr>
        <w:trPr>
          <w:trHeight w:val="256"/>
        </w:trPr>
        <w:tc>
          <w:tcPr>
            <w:tcW w:w="6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 (at end of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61,783</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63,058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64,716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finance leases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30,476</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32,902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35,663</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3,171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7,761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(3,977)</w:t>
            </w:r>
          </w:p>
        </w:tc>
        <w:tc>
          <w:tcPr>
            <w:tcW w:w="480" w:type="dxa"/>
            <w:vAlign w:val="bottom"/>
          </w:tcPr>
          <w:p>
            <w:pPr>
              <w:spacing w:after="0"/>
              <w:rPr>
                <w:sz w:val="20"/>
                <w:szCs w:val="20"/>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(5,202)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ind w:left="340" w:hanging="332"/>
        <w:spacing w:after="0" w:line="231"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Substantially all defined benefit pension plans were frozen effective November 1, 2012. See Note 9 to AAG's Consolidated Financial Statements in Part II, Item 8A for further information on pension and postretirement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table presents the components of our total net special items and the reconciliation of pre-tax income and net income (GAAP measures) to pre-tax income excluding net special items and net income excluding net special items (non-GAAP measures). Management uses these non-GAAP financial measures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Components of Total Special Items, Net: </w:t>
            </w:r>
            <w:r>
              <w:rPr>
                <w:rFonts w:ascii="Arial" w:cs="Arial" w:eastAsia="Arial" w:hAnsi="Arial"/>
                <w:sz w:val="23"/>
                <w:szCs w:val="23"/>
                <w:b w:val="1"/>
                <w:bCs w:val="1"/>
                <w:color w:val="auto"/>
                <w:vertAlign w:val="superscript"/>
              </w:rPr>
              <w:t>(1)</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(2)</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A330 fleet-related adjustments </w:t>
            </w:r>
            <w:r>
              <w:rPr>
                <w:rFonts w:ascii="Arial" w:cs="Arial" w:eastAsia="Arial" w:hAnsi="Arial"/>
                <w:sz w:val="23"/>
                <w:szCs w:val="23"/>
                <w:color w:val="auto"/>
                <w:vertAlign w:val="superscript"/>
              </w:rPr>
              <w:t>(3)</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Severance expenses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3"/>
                <w:szCs w:val="23"/>
                <w:color w:val="auto"/>
                <w:vertAlign w:val="superscript"/>
              </w:rPr>
              <w:t>(4)</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special items,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50"/>
        </w:trPr>
        <w:tc>
          <w:tcPr>
            <w:tcW w:w="76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Debt refinancing and extinguishment </w:t>
            </w:r>
            <w:r>
              <w:rPr>
                <w:rFonts w:ascii="Arial" w:cs="Arial" w:eastAsia="Arial" w:hAnsi="Arial"/>
                <w:sz w:val="23"/>
                <w:szCs w:val="23"/>
                <w:color w:val="auto"/>
                <w:vertAlign w:val="superscript"/>
              </w:rPr>
              <w:t>(5)</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(6)</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Nonoperating special items,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CCEEFF"/>
            </w:tcBorders>
            <w:shd w:val="clear" w:color="auto" w:fill="CCEEFF"/>
          </w:tcPr>
          <w:p>
            <w:pPr>
              <w:ind w:left="460"/>
              <w:spacing w:after="0" w:line="195" w:lineRule="exact"/>
              <w:rPr>
                <w:sz w:val="20"/>
                <w:szCs w:val="20"/>
                <w:color w:val="auto"/>
              </w:rPr>
            </w:pPr>
            <w:r>
              <w:rPr>
                <w:rFonts w:ascii="Arial" w:cs="Arial" w:eastAsia="Arial" w:hAnsi="Arial"/>
                <w:sz w:val="18"/>
                <w:szCs w:val="18"/>
                <w:color w:val="auto"/>
              </w:rPr>
              <w:t>Pre-tax special items, net</w:t>
            </w:r>
          </w:p>
        </w:tc>
        <w:tc>
          <w:tcPr>
            <w:tcW w:w="1140" w:type="dxa"/>
            <w:vAlign w:val="bottom"/>
            <w:tcBorders>
              <w:bottom w:val="single" w:sz="8" w:color="auto"/>
            </w:tcBorders>
            <w:shd w:val="clear" w:color="auto" w:fill="CCEEFF"/>
          </w:tcPr>
          <w:p>
            <w:pPr>
              <w:jc w:val="right"/>
              <w:ind w:right="935"/>
              <w:spacing w:after="0" w:line="195"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667</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33"/>
              <w:spacing w:after="0" w:line="195"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Pre-Tax Income Excluding Net Special Items: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income – GAAP</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Adjusted for: Pre-tax special items,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Net Income Excluding Net Special Items: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 GAAP</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Adjusted for: Total special items, net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for: Net tax effect of net special items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Net income excluding net special items</w:t>
            </w: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5"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Note 2 to AAG’s Consolidated Financial Statements in Part II, Item 8A for further information on net special items.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2024 related to one-time charges resulting from the ratification of new CBAs with our mainline flight attendants and passenger service team members, including one-time payments and adjustments to vacation accruals resulting from pay rate increases.</w:t>
      </w:r>
    </w:p>
    <w:p>
      <w:pPr>
        <w:spacing w:after="0" w:line="139" w:lineRule="exact"/>
        <w:rPr>
          <w:rFonts w:ascii="Arial" w:cs="Arial" w:eastAsia="Arial" w:hAnsi="Arial"/>
          <w:sz w:val="23"/>
          <w:szCs w:val="23"/>
          <w:color w:val="auto"/>
          <w:vertAlign w:val="superscript"/>
        </w:rPr>
      </w:pPr>
    </w:p>
    <w:p>
      <w:pPr>
        <w:ind w:left="340" w:right="2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2023 related to one-time charges resulting from the ratification of a new CBA with our mainline pilots, including a one-time payment of $754 million as well as adjustments to other benefit-related items of $235 million.</w:t>
      </w:r>
    </w:p>
    <w:p>
      <w:pPr>
        <w:spacing w:after="0" w:line="9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We retired our Airbus A330 fleet in 2020 as a result of the decline in demand for air travel due to the COVID-19 pandemic. In 2022, we recorded a non-cash impairment charge to write down the carrying value of our retired Airbus A330 fleet to their then estimated fair value due to the market conditions for certain used aircraft, and in 2024, we entered into a sales agreement for our remaining Airbus A330 aircraft, resulting in a $42 million gain.</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Regional operating special items, net for 2024 included a $33 million non-cash write down of regional aircraft resulting from the decision to permanently park 43 Embraer 145 aircraft.</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Debt refinancing and extinguishment costs in 2023 primarily included cash charges for premiums paid in connection with the early repayment of debt.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40" w:hanging="332"/>
        <w:spacing w:after="0" w:line="237"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net unrealized gains and losses associated with certain equity investments. See Note 8 to AAG’s Consolidated Financial Statements in Part II, Item 8A for further information related to our equity investments.</w:t>
      </w:r>
    </w:p>
    <w:p>
      <w:pPr>
        <w:spacing w:after="0" w:line="13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total operating cost per available seat mile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allows management an additional tool to understand and analyze our non-fuel costs and core operating performance. Amounts may not recalculate due to rounding.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2080" w:type="dxa"/>
            <w:vAlign w:val="bottom"/>
            <w:tcBorders>
              <w:bottom w:val="single" w:sz="8" w:color="CCEEFF"/>
            </w:tcBorders>
          </w:tcPr>
          <w:p>
            <w:pPr>
              <w:spacing w:after="0"/>
              <w:rPr>
                <w:sz w:val="17"/>
                <w:szCs w:val="17"/>
                <w:color w:val="auto"/>
              </w:rPr>
            </w:pPr>
          </w:p>
        </w:tc>
        <w:tc>
          <w:tcPr>
            <w:tcW w:w="5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2023</w:t>
            </w:r>
          </w:p>
        </w:tc>
      </w:tr>
      <w:tr>
        <w:trPr>
          <w:trHeight w:val="210"/>
        </w:trPr>
        <w:tc>
          <w:tcPr>
            <w:tcW w:w="76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CASM Excluding Net Special Items and Fuel: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w:t>
            </w:r>
          </w:p>
        </w:tc>
      </w:tr>
      <w:tr>
        <w:trPr>
          <w:trHeight w:val="229"/>
        </w:trPr>
        <w:tc>
          <w:tcPr>
            <w:tcW w:w="7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20" w:type="dxa"/>
            <w:vAlign w:val="bottom"/>
            <w:gridSpan w:val="2"/>
            <w:shd w:val="clear" w:color="auto" w:fill="CCEEFF"/>
          </w:tcPr>
          <w:p>
            <w:pPr>
              <w:jc w:val="center"/>
              <w:ind w:right="394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9"/>
        </w:trPr>
        <w:tc>
          <w:tcPr>
            <w:tcW w:w="7620" w:type="dxa"/>
            <w:vAlign w:val="bottom"/>
            <w:gridSpan w:val="2"/>
          </w:tcPr>
          <w:p>
            <w:pPr>
              <w:jc w:val="center"/>
              <w:ind w:right="3900"/>
              <w:spacing w:after="0"/>
              <w:rPr>
                <w:sz w:val="20"/>
                <w:szCs w:val="20"/>
                <w:color w:val="auto"/>
              </w:rPr>
            </w:pPr>
            <w:r>
              <w:rPr>
                <w:rFonts w:ascii="Arial" w:cs="Arial" w:eastAsia="Arial" w:hAnsi="Arial"/>
                <w:sz w:val="18"/>
                <w:szCs w:val="18"/>
                <w:color w:val="auto"/>
              </w:rPr>
              <w:t>Regional operating special items,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36,518</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292,948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277,723</w:t>
            </w:r>
          </w:p>
        </w:tc>
      </w:tr>
      <w:tr>
        <w:trPr>
          <w:trHeight w:val="20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17.92</w:t>
            </w:r>
          </w:p>
        </w:tc>
      </w:tr>
      <w:tr>
        <w:trPr>
          <w:trHeight w:val="229"/>
        </w:trPr>
        <w:tc>
          <w:tcPr>
            <w:tcW w:w="7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20" w:type="dxa"/>
            <w:vAlign w:val="bottom"/>
            <w:gridSpan w:val="2"/>
          </w:tcPr>
          <w:p>
            <w:pPr>
              <w:ind w:left="34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29"/>
        </w:trPr>
        <w:tc>
          <w:tcPr>
            <w:tcW w:w="7620" w:type="dxa"/>
            <w:vAlign w:val="bottom"/>
            <w:gridSpan w:val="2"/>
            <w:shd w:val="clear" w:color="auto" w:fill="CCEEFF"/>
          </w:tcPr>
          <w:p>
            <w:pPr>
              <w:jc w:val="center"/>
              <w:ind w:right="3980"/>
              <w:spacing w:after="0"/>
              <w:rPr>
                <w:sz w:val="20"/>
                <w:szCs w:val="20"/>
                <w:color w:val="auto"/>
              </w:rPr>
            </w:pPr>
            <w:r>
              <w:rPr>
                <w:rFonts w:ascii="Arial" w:cs="Arial" w:eastAsia="Arial" w:hAnsi="Arial"/>
                <w:sz w:val="18"/>
                <w:szCs w:val="18"/>
                <w:color w:val="auto"/>
              </w:rPr>
              <w:t>Regional operating special items,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5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bl>
    <w:p>
      <w:pPr>
        <w:spacing w:after="0" w:line="62" w:lineRule="exact"/>
        <w:rPr>
          <w:sz w:val="20"/>
          <w:szCs w:val="20"/>
          <w:color w:val="auto"/>
        </w:rPr>
      </w:pPr>
    </w:p>
    <w:p>
      <w:pPr>
        <w:ind w:left="5520" w:right="1540" w:hanging="5512"/>
        <w:spacing w:after="0" w:line="720" w:lineRule="auto"/>
        <w:tabs>
          <w:tab w:leader="none" w:pos="322"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See Note 2 to AAG’s Consolidated Financial Statements in Part II, Item 8A for further information on net special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and as of December 31, 2024, 2023 and 2022, are derived from American’s audited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center"/>
              <w:ind w:right="27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54,204</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52,784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48,965</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51,550</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49,715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47,312</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2,654</w:t>
            </w:r>
          </w:p>
        </w:tc>
        <w:tc>
          <w:tcPr>
            <w:tcW w:w="38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3,069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1,188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56"/>
        </w:trPr>
        <w:tc>
          <w:tcPr>
            <w:tcW w:w="6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 (at end of period):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68,755</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69,074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70,324</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finance leases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27,675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30,422</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2,262</w:t>
            </w:r>
          </w:p>
        </w:tc>
        <w:tc>
          <w:tcPr>
            <w:tcW w:w="38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3,148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7,708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8,234</w:t>
            </w:r>
          </w:p>
        </w:tc>
        <w:tc>
          <w:tcPr>
            <w:tcW w:w="380" w:type="dxa"/>
            <w:vAlign w:val="bottom"/>
          </w:tcPr>
          <w:p>
            <w:pPr>
              <w:spacing w:after="0"/>
              <w:rPr>
                <w:sz w:val="20"/>
                <w:szCs w:val="20"/>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6,577</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Substantially all defined benefit pension plans were frozen effective November 1, 2012. See Note 8 to American's Consolidated Financial Statements in Part II, Item 8B for further information on pension and postretirement benefits.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60"/>
        <w:spacing w:after="0" w:line="34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2024 Financial Overview</w:t>
      </w:r>
    </w:p>
    <w:p>
      <w:pPr>
        <w:spacing w:after="0" w:line="2"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The selected financial data presented below is derived from AAG’s audited consolidated financial statements included in Part II, Item 8A of this report and should be read in conjunction with those financial statements and the related notes thereto.</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2080" w:type="dxa"/>
            <w:vAlign w:val="bottom"/>
          </w:tcPr>
          <w:p>
            <w:pPr>
              <w:spacing w:after="0"/>
              <w:rPr>
                <w:sz w:val="5"/>
                <w:szCs w:val="5"/>
                <w:color w:val="auto"/>
              </w:rPr>
            </w:pPr>
          </w:p>
        </w:tc>
        <w:tc>
          <w:tcPr>
            <w:tcW w:w="3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2"/>
              <w:spacing w:after="0" w:line="121" w:lineRule="exact"/>
              <w:rPr>
                <w:sz w:val="20"/>
                <w:szCs w:val="20"/>
                <w:color w:val="auto"/>
              </w:rPr>
            </w:pPr>
            <w:r>
              <w:rPr>
                <w:rFonts w:ascii="Arial" w:cs="Arial" w:eastAsia="Arial" w:hAnsi="Arial"/>
                <w:sz w:val="14"/>
                <w:szCs w:val="14"/>
                <w:b w:val="1"/>
                <w:bCs w:val="1"/>
                <w:color w:val="auto"/>
              </w:rPr>
              <w:t>Increase</w:t>
            </w:r>
          </w:p>
        </w:tc>
        <w:tc>
          <w:tcPr>
            <w:tcW w:w="1500" w:type="dxa"/>
            <w:vAlign w:val="bottom"/>
          </w:tcPr>
          <w:p>
            <w:pPr>
              <w:jc w:val="center"/>
              <w:ind w:left="33"/>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500" w:type="dxa"/>
            <w:vAlign w:val="bottom"/>
          </w:tcPr>
          <w:p>
            <w:pPr>
              <w:jc w:val="center"/>
              <w:ind w:left="3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6"/>
              </w:rPr>
              <w:t>10.3</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1,423</w:t>
            </w:r>
          </w:p>
        </w:tc>
        <w:tc>
          <w:tcPr>
            <w:tcW w:w="1500" w:type="dxa"/>
            <w:vAlign w:val="bottom"/>
          </w:tcPr>
          <w:p>
            <w:pPr>
              <w:jc w:val="center"/>
              <w:ind w:left="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w:t>
            </w:r>
          </w:p>
        </w:tc>
        <w:tc>
          <w:tcPr>
            <w:tcW w:w="1500" w:type="dxa"/>
            <w:vAlign w:val="bottom"/>
          </w:tcPr>
          <w:p>
            <w:pPr>
              <w:jc w:val="center"/>
              <w:ind w:left="3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1500" w:type="dxa"/>
            <w:vAlign w:val="bottom"/>
          </w:tcPr>
          <w:p>
            <w:pPr>
              <w:jc w:val="center"/>
              <w:ind w:left="33"/>
              <w:spacing w:after="0"/>
              <w:rPr>
                <w:sz w:val="20"/>
                <w:szCs w:val="20"/>
                <w:color w:val="auto"/>
              </w:rPr>
            </w:pPr>
            <w:r>
              <w:rPr>
                <w:rFonts w:ascii="Arial" w:cs="Arial" w:eastAsia="Arial" w:hAnsi="Arial"/>
                <w:sz w:val="18"/>
                <w:szCs w:val="18"/>
                <w:color w:val="auto"/>
                <w:w w:val="97"/>
              </w:rPr>
              <w:t>(13.9)</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500" w:type="dxa"/>
            <w:vAlign w:val="bottom"/>
          </w:tcPr>
          <w:p>
            <w:pPr>
              <w:jc w:val="center"/>
              <w:ind w:left="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50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7"/>
              </w:rPr>
              <w:t>(50.2)</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50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7"/>
              </w:rPr>
              <w:t>(26.0)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 xml:space="preserve">See Part II, Item 6. Selected Consolidated Financial Data –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Consolidated Financial Statements in Part II, Item 8A for details on the components of pre-tax net special items.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Pre-tax income and net income were $1.2 billion and $846 million, respectively, in 2024. This compares to 2023 pre-tax income and net income of $1.1 billion and $822 million, respectively.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Pre-tax income on a GAAP basis increased slightly in 2024 as compared to 2023. This was driven primarily by increases in passenger revenue, lower costs for aircraft fuel and related taxes and decreases in pre-tax net special items, offset in part by increases in certain operating expenses including salaries, wages and benefits, maintenance, materials and repairs and certain other operating expenses.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Excluding the effects of pre-tax net special items, pre-tax income was $1.8 billion and $2.5 billion in 2024 and 2023, respectively. The year-over-year decrease in our pre-tax income excluding pre-tax net special items was principally driven by certain operating expenses as mentioned above, offset in part by increases in passenger revenue and lower costs for aircraft fuel and related taxes.</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2024, American and the Association of Professional Flight Attendants, the union representing our mainline flight attendants, ratified a new collective bargaining agreement. This five-year agreement provides wage rate increases, quality-of-life benefits and other benefit-related items. The ratified agreement also included a provision for a one-time payment. In 2024, one-time charges resulting from the ratification of this new agreement were recorded as mainline operating special items, net in the consolidated statement of operations, including the one-time payment of $514 million which was paid in November 2024.</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2024, we reported total operating revenues of $54.2 billion, an increase of $1.4 billion, or 2.7%, as compared to 2023. Passenger revenue was $49.6 billion, an increase of $1.1 billion, or 2.2%, as compared to 2023. In 2024, revenue passenger miles (RPMs) increased 7.3%, resulting in a load factor of 84.9% as compared to 83.5% in 2023. Passenger yield decreased 4.7% on 5.5% capacity growth year-over-year, as measured by available seat miles (ASMs). Our passenger revenue in 2024 was impacted by certain commercial initiatives we had previously deployed, along with an over-supply of industry capacity in the first half of the year. Mid-year, we took actions to adjust our strategy as well as capacity growth which, combined with industry capacity deceleration, resulted in sequential year-over-year improvement in passenger unit revenue performance in the third and fourth quarters of 2024.</w:t>
      </w:r>
    </w:p>
    <w:p>
      <w:pPr>
        <w:spacing w:after="0" w:line="12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Cargo revenue decreased $8 million, or 0.9%, in 2024 as compared to 2023, primarily due to an 11.8% decrease in cargo yield driven by increased air freight capacity, offset in part by a 12.3% increase in cargo ton miles.</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revenue increased $357 million, or 10.3%, in 2024 as compared to 2023, driven primarily by higher revenue associated with our loyalty program. During 2024 and 2023, cash payments from co-branded credit card and other partners were $6.1 billion and $ 5.2 billion, respectively, an increase of 17% year-over-year. Cash remuneration in 2024 included a one-time cash payment related to the new co-branded credit card agreement announced in December 2024. This one-time cash payment will be amortized over the life of the new agreement beginning in 2026.</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total revenue per available seat mile (TRASM) was 18.51 cents in 2024, a 2.6% decrease as compared to 19.01 cents in 2023.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aircraft fuel expense totaled $11.4 billion, a decrease of $839 million, or 6.8%, as compared to 2023. This decrease was primarily driven by a 12.2% decrease in the average price per gallon of aircraft fuel including related taxes to $2.60 in 2024 from $2.96 in 2023, offset in part by a 6.1% increase in gallons of fuel consumed due to increased capacity.</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December 31, 2024,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rFonts w:ascii="Arial" w:cs="Arial" w:eastAsia="Arial" w:hAnsi="Arial"/>
          <w:sz w:val="18"/>
          <w:szCs w:val="18"/>
          <w:i w:val="1"/>
          <w:iCs w:val="1"/>
          <w:color w:val="auto"/>
        </w:rPr>
        <w:t>Our business is very dependent on the price and availability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in which economic prospects are heavily dependent upon two variables we cannot control: general economic conditions and the price of fuel. In 2024, we continued to focus on our reengineering the business initiatives through the use of digital solutions, process enhancements and procurement transformation. We will continue to invest in reengineering our business in 2025 and beyond to build an even more efficient airline and continue to manage costs while delivering a better experience for our customers and team.</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2024 CASM was 17.61 cents, a decrease of 1.7%, from 17.92 cents in 2023. This decrease in CASM was primarily driven by lower aircraft fuel costs as well as a decrease in mainline operating special items, net, offset in part by higher costs for salaries, wages and benefits and maintenance, materials and repairs.</w:t>
      </w:r>
    </w:p>
    <w:p>
      <w:pPr>
        <w:spacing w:after="0" w:line="116"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Our 2024 CASM excluding net special items and fuel was 13.50 cents, an increase of 2.6%, from 13.15 cents in 2023, which was primarily driven by higher costs for salaries, wages and benefits and maintenance, materials and repairs.</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 xml:space="preserve">For a reconciliation of total operating CASM to total operating CASM excluding net special items and fuel, see Part II, Item 6. Selected Consolidated Financial Data – </w:t>
      </w:r>
      <w:r>
        <w:rPr>
          <w:rFonts w:ascii="Arial" w:cs="Arial" w:eastAsia="Arial" w:hAnsi="Arial"/>
          <w:sz w:val="18"/>
          <w:szCs w:val="18"/>
          <w:i w:val="1"/>
          <w:iCs w:val="1"/>
          <w:color w:val="auto"/>
        </w:rPr>
        <w:t>“Reconciliation of GAAP to Non-GAAP Financial Measures.”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As of December 31, 2024, we had $10.3 billion in total available liquidity, consisting of $7.0 billion in unrestricted cash and short-term investments and $3.3 billion in total undrawn capacity under revolving credit and other short-term facilities.</w:t>
      </w:r>
    </w:p>
    <w:p>
      <w:pPr>
        <w:spacing w:after="0" w:line="10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During 2024, we completed the following financing transactions (see Note 4 to AAG’s Consolidated Financial Statements in Part II, Item 8A for further information):</w:t>
      </w:r>
    </w:p>
    <w:p>
      <w:pPr>
        <w:spacing w:after="0" w:line="100" w:lineRule="exact"/>
        <w:rPr>
          <w:sz w:val="20"/>
          <w:szCs w:val="20"/>
          <w:color w:val="auto"/>
        </w:rPr>
      </w:pPr>
    </w:p>
    <w:p>
      <w:pPr>
        <w:ind w:left="660" w:hanging="409"/>
        <w:spacing w:after="0" w:line="28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entered into a revolving credit facility that provides for borrowing capacity of up to $350 million, maturing in March 2027 with an option to extend for an additional year;</w:t>
      </w:r>
    </w:p>
    <w:p>
      <w:pPr>
        <w:spacing w:after="0" w:line="99" w:lineRule="exact"/>
        <w:rPr>
          <w:rFonts w:ascii="Arial" w:cs="Arial" w:eastAsia="Arial" w:hAnsi="Arial"/>
          <w:sz w:val="18"/>
          <w:szCs w:val="18"/>
          <w:color w:val="auto"/>
        </w:rPr>
      </w:pPr>
    </w:p>
    <w:p>
      <w:pPr>
        <w:jc w:val="both"/>
        <w:ind w:left="660" w:hanging="409"/>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amended the 2013, 2014 and 2023 Credit Agreements to reduce the applicable interest rate margins, and terminated all revolving commitments under the April 2016 Credit Agreement, increasing overall available revolving credit capacity from $2.8 billion to $2.9 billion, maturing in June 2029;</w:t>
      </w:r>
    </w:p>
    <w:p>
      <w:pPr>
        <w:spacing w:after="0" w:line="115" w:lineRule="exact"/>
        <w:rPr>
          <w:rFonts w:ascii="Arial" w:cs="Arial" w:eastAsia="Arial" w:hAnsi="Arial"/>
          <w:sz w:val="18"/>
          <w:szCs w:val="18"/>
          <w:color w:val="auto"/>
        </w:rPr>
      </w:pPr>
    </w:p>
    <w:p>
      <w:pPr>
        <w:ind w:left="660" w:hanging="40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amended the 2013 and 2023 Term Loan Facilities to reduce the applicable interest rate margins;</w:t>
      </w:r>
    </w:p>
    <w:p>
      <w:pPr>
        <w:spacing w:after="0" w:line="170" w:lineRule="exact"/>
        <w:rPr>
          <w:rFonts w:ascii="Arial" w:cs="Arial" w:eastAsia="Arial" w:hAnsi="Arial"/>
          <w:sz w:val="18"/>
          <w:szCs w:val="18"/>
          <w:color w:val="auto"/>
        </w:rPr>
      </w:pPr>
    </w:p>
    <w:p>
      <w:pPr>
        <w:ind w:left="660" w:hanging="40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prepaid in full $487 million of the outstanding principal amount of the 3.75% senior notes due 2025 (3.75% Senior Notes);</w:t>
      </w:r>
    </w:p>
    <w:p>
      <w:pPr>
        <w:spacing w:after="0" w:line="170" w:lineRule="exact"/>
        <w:rPr>
          <w:rFonts w:ascii="Arial" w:cs="Arial" w:eastAsia="Arial" w:hAnsi="Arial"/>
          <w:sz w:val="18"/>
          <w:szCs w:val="18"/>
          <w:color w:val="auto"/>
        </w:rPr>
      </w:pPr>
    </w:p>
    <w:p>
      <w:pPr>
        <w:ind w:left="660" w:right="20" w:hanging="409"/>
        <w:spacing w:after="0" w:line="28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prepaid $263 million toward portions of the outstanding principal amounts of the 10.75% senior secured IP notes (the IP Notes) and the 10.75% senior secured LGA/DCA notes (LGA/DCA Notes);</w:t>
      </w:r>
    </w:p>
    <w:p>
      <w:pPr>
        <w:spacing w:after="0" w:line="99" w:lineRule="exact"/>
        <w:rPr>
          <w:rFonts w:ascii="Arial" w:cs="Arial" w:eastAsia="Arial" w:hAnsi="Arial"/>
          <w:sz w:val="18"/>
          <w:szCs w:val="18"/>
          <w:color w:val="auto"/>
        </w:rPr>
      </w:pPr>
    </w:p>
    <w:p>
      <w:pPr>
        <w:ind w:left="660" w:hanging="409"/>
        <w:spacing w:after="0" w:line="28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$684 million of enhanced equipment trust certificates (EETCs) in connection with the financing of certain aircraft that had been previously delivered; and</w:t>
      </w:r>
    </w:p>
    <w:p>
      <w:pPr>
        <w:spacing w:after="0" w:line="99" w:lineRule="exact"/>
        <w:rPr>
          <w:rFonts w:ascii="Arial" w:cs="Arial" w:eastAsia="Arial" w:hAnsi="Arial"/>
          <w:sz w:val="18"/>
          <w:szCs w:val="18"/>
          <w:color w:val="auto"/>
        </w:rPr>
      </w:pPr>
    </w:p>
    <w:p>
      <w:pPr>
        <w:ind w:left="660" w:hanging="40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$990 million of equipment loans and other notes payable in connection with the financing of certain aircraft.</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covenants requiring us to meet certain loan to value, collateral coverage and/or peak debt service coverage ratios.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4 to AAG’s Consolidated Financial Statements in Part II, Item 8A for additional information on our debt obligations.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On January 29, 2025, American Eagle flight 5342 was involved in a fatal accident in Washington, D.C. The Bombardier CRJ 700 aircraft operated by PSA was en route to Washington, D.C. from Wichita, Kansas when it was involved in a midair collision near Ronald Reagan Washington National Airport. American has industry standard insurance coverage for this incident, and is continuing its assessment of the impact on its business resulting from the accident.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For a comparison of the 2023 to 2022 reporting periods, see Part II, Item 7.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xml:space="preserve"> of our 2023 Form 10-K.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years ended December 31, 2024 and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3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line="20" w:lineRule="exact"/>
              <w:rPr>
                <w:sz w:val="1"/>
                <w:szCs w:val="1"/>
                <w:color w:val="auto"/>
              </w:rPr>
            </w:pPr>
          </w:p>
        </w:tc>
        <w:tc>
          <w:tcPr>
            <w:tcW w:w="13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248,795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380" w:type="dxa"/>
            <w:vAlign w:val="bottom"/>
          </w:tcPr>
          <w:p>
            <w:pPr>
              <w:jc w:val="right"/>
              <w:spacing w:after="0"/>
              <w:rPr>
                <w:sz w:val="20"/>
                <w:szCs w:val="20"/>
                <w:color w:val="auto"/>
              </w:rPr>
            </w:pPr>
            <w:r>
              <w:rPr>
                <w:rFonts w:ascii="Arial" w:cs="Arial" w:eastAsia="Arial" w:hAnsi="Arial"/>
                <w:sz w:val="18"/>
                <w:szCs w:val="18"/>
                <w:color w:val="auto"/>
              </w:rPr>
              <w:t>292,948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277,723</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1.4pts</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38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20.92</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19.01</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consumption (gallons in millions)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(12.2)%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38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1,521</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Full-time equivalent employees at end of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132,100</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-1609090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-1609090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(b)</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(c)</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(g)</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(h)</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cost per available seat mile (CASM) – Total operating expenses divided by ASMs.</w:t>
      </w:r>
    </w:p>
    <w:p>
      <w:pPr>
        <w:spacing w:after="0" w:line="171" w:lineRule="exact"/>
        <w:rPr>
          <w:sz w:val="20"/>
          <w:szCs w:val="20"/>
          <w:color w:val="auto"/>
        </w:rPr>
      </w:pPr>
    </w:p>
    <w:p>
      <w:pPr>
        <w:jc w:val="both"/>
        <w:ind w:left="20" w:hanging="5"/>
        <w:spacing w:after="0" w:line="268" w:lineRule="auto"/>
        <w:rPr>
          <w:sz w:val="20"/>
          <w:szCs w:val="20"/>
          <w:color w:val="auto"/>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are seven regional aircraft in temporary storage as of December 31, 2024 as follows: five Embraer 145 and two Bombardier CRJ 900.</w:t>
      </w:r>
    </w:p>
    <w:p>
      <w:pPr>
        <w:spacing w:after="0" w:line="199" w:lineRule="exact"/>
        <w:rPr>
          <w:sz w:val="20"/>
          <w:szCs w:val="20"/>
          <w:color w:val="auto"/>
        </w:rPr>
      </w:pPr>
    </w:p>
    <w:p>
      <w:pPr>
        <w:sectPr>
          <w:pgSz w:w="11900" w:h="16838" w:orient="portrait"/>
          <w:cols w:equalWidth="0" w:num="2">
            <w:col w:w="160" w:space="480"/>
            <w:col w:w="10600"/>
          </w:cols>
          <w:pgMar w:left="320" w:top="363" w:right="339" w:bottom="1440" w:gutter="0" w:footer="0" w:header="0"/>
          <w:type w:val="continuous"/>
        </w:sectPr>
      </w:pPr>
    </w:p>
    <w:p>
      <w:pPr>
        <w:ind w:left="2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w w:val="96"/>
              </w:rPr>
              <w:t>10.3</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year-over-year change in certain operating statistics: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Increase (Decrease)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center"/>
              <w:ind w:left="802"/>
              <w:spacing w:after="0"/>
              <w:rPr>
                <w:sz w:val="20"/>
                <w:szCs w:val="20"/>
                <w:color w:val="auto"/>
              </w:rPr>
            </w:pPr>
            <w:r>
              <w:rPr>
                <w:rFonts w:ascii="Arial" w:cs="Arial" w:eastAsia="Arial" w:hAnsi="Arial"/>
                <w:sz w:val="14"/>
                <w:szCs w:val="14"/>
                <w:b w:val="1"/>
                <w:bCs w:val="1"/>
                <w:color w:val="auto"/>
              </w:rPr>
              <w:t>vs. Year Ended December 31, 2023</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Passenger</w:t>
            </w:r>
          </w:p>
        </w:tc>
        <w:tc>
          <w:tcPr>
            <w:tcW w:w="9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11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Passenger</w:t>
            </w:r>
          </w:p>
        </w:tc>
        <w:tc>
          <w:tcPr>
            <w:tcW w:w="9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49,586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1.4pts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Passenger revenue increased $1.1 billion, or 2.2%, in 2024 from 2023. In 2024, RPMs increased 7.3%, resulting in a load factor of 84.9% as compared to 83.5% in 2023. Passenger yield decreased 4.7% on 5.5% capacity growth year-over-year, as measured by ASMs. Our passenger revenue in 2024 was impacted by certain commercial initiatives we had previously deployed, along with an over-supply of industry capacity in the first half of the year. Mid-year, we took actions to adjust our strategy as well as capacity growth which, combined with industry capacity deceleration, resulted in sequential year-over-year improvement in passenger unit revenue performance in the third and fourth quarters of 2024.</w:t>
      </w:r>
    </w:p>
    <w:p>
      <w:pPr>
        <w:spacing w:after="0" w:line="12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Cargo revenue decreased $8 million, or 0.9%, in 2024 from 2023 primarily due to an 11.8% decrease in cargo yield driven by increased air freight capacity, offset in part by a 12.3% increase in cargo ton miles.</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revenue increased $ 357 million, or 10.3%, in 2024 from 2023 driven primarily by higher revenue associated with our loyalty program. During 2024 and 2023, cash payments from co-branded credit card and other partners were $6.1 billion and $5.2 billion, respectively, an increase of 17% year-over-year. Cash remuneration in 2024 included a one-time cash payment related to the new co-branded credit card agreement announced in December 2024. This one-time cash payment will be amortized over the life of the new agreement beginning in 2026.</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Total operating revenues in 2024 increased $ 1.4 billion, or 2.7%, from 2023 driven primarily by the increase in passenger revenue as described above. Our TRASM was 18.51 cents in 2024, a 2.6% decrease as compared to 19.01 cents in 2023.</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3"/>
        </w:trPr>
        <w:tc>
          <w:tcPr>
            <w:tcW w:w="5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4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right"/>
              <w:ind w:right="333"/>
              <w:spacing w:after="0" w:line="144"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34"/>
              <w:spacing w:after="0" w:line="144"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(6.8)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1,441</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5"/>
              </w:rPr>
              <w:t>9.9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8.6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7"/>
              </w:rPr>
              <w:t>(9.2)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56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5"/>
              </w:rPr>
              <w:t>7.0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56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detail regarding changes in our operating expenses is as follows:</w:t>
      </w:r>
    </w:p>
    <w:p>
      <w:pPr>
        <w:spacing w:after="0" w:line="171"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Aircraft fuel and related taxes decreased $839 million, or 6.8%, in 2024 from 2023 primarily due to a 12.2% decrease in the average price per gallon of aircraft fuel including related taxes to $2.60 in 2024 from $2.96 in 2023, offset in part by a 6.1% increase in gallons of fuel consumed due to increased capacity.</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$1.4 billion, or 9.9%, in 2024 from 2023 primarily driven by higher wage rates and costs for benefit-related items associated with the ratification of new CBAs with our mainline pilots in August 2023 and with our mainline flight attendants in September 2024.</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$399 million, or 8.6%, in 2024 from 2023 primarily due to an increase in regional flight operations at our wholly-owned regional carriers, as regional capacity as measured by ASMs increased 12.4% year over year, and also due to higher maintenance, materials and repair costs driven by an increase in the volume of engine overhauls and airframe heavy checks.</w:t>
      </w:r>
    </w:p>
    <w:p>
      <w:pPr>
        <w:spacing w:after="0" w:line="116"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Maintenance, materials and repairs increased $529 million, or 16.2%, in 2024 from 2023 primarily due to increased costs for engine overhauls, component part repairs and airframe heavy checks driven by higher volume and cost of materials.</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Other rent and landing fees increased $375 million, or 12.8%, in 2024 from 2023 primarily driven by rate increases at certain airports as a result of extensive airport redevelopment projects and an 8.1% increase in the number of departures.</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Aircraft rent decreased $127 million, or 9.2%, in 2024 from 2023 primarily due to decreased rental payments associated with aircraft operating lease extensions.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Selling expenses increased $13 million, or 0.7%, in 2024 from 2023 primarily due to higher credit card fees driven by the overall increase in passenger revenues, as well as an increase in advertising expense and booking fees, offset in part by a decrease in commissions expense.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$423 million, or 7.0%, in 2024 from 2023 primarily driven by the increase in flight operations, including increased costs for onboard food and catering, crew travel, ground and cargo handling, passenger accommodation and airport lounge operations, as well as certain general and administrative expenses.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Special Items,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7"/>
                <w:szCs w:val="17"/>
                <w:color w:val="auto"/>
              </w:rPr>
            </w:pPr>
          </w:p>
        </w:tc>
      </w:tr>
      <w:tr>
        <w:trPr>
          <w:trHeight w:val="230"/>
        </w:trPr>
        <w:tc>
          <w:tcPr>
            <w:tcW w:w="7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9"/>
        </w:trPr>
        <w:tc>
          <w:tcPr>
            <w:tcW w:w="7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A330 fleet-related adjustments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9"/>
        </w:trPr>
        <w:tc>
          <w:tcPr>
            <w:tcW w:w="7580" w:type="dxa"/>
            <w:vAlign w:val="bottom"/>
            <w:tcBorders>
              <w:bottom w:val="single" w:sz="8" w:color="CCEEFF"/>
            </w:tcBorders>
            <w:gridSpan w:val="2"/>
          </w:tcPr>
          <w:p>
            <w:pPr>
              <w:ind w:left="240"/>
              <w:spacing w:after="0" w:line="230"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3"/>
                <w:szCs w:val="23"/>
                <w:color w:val="auto"/>
                <w:vertAlign w:val="superscript"/>
              </w:rPr>
              <w:t>(3)</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r>
    </w:tbl>
    <w:p>
      <w:pPr>
        <w:spacing w:after="0" w:line="76" w:lineRule="exact"/>
        <w:rPr>
          <w:sz w:val="20"/>
          <w:szCs w:val="20"/>
          <w:color w:val="auto"/>
        </w:rPr>
      </w:pPr>
    </w:p>
    <w:p>
      <w:pPr>
        <w:jc w:val="both"/>
        <w:ind w:left="340" w:hanging="332"/>
        <w:spacing w:after="0" w:line="237"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2024 related to one-time charges resulting from the ratification of new CBAs with our mainline flight attendants and passenger service team members, including one-time payments and adjustments to vacation accruals resulting from pay rate increases.</w:t>
      </w:r>
    </w:p>
    <w:p>
      <w:pPr>
        <w:spacing w:after="0" w:line="139" w:lineRule="exact"/>
        <w:rPr>
          <w:rFonts w:ascii="Arial" w:cs="Arial" w:eastAsia="Arial" w:hAnsi="Arial"/>
          <w:sz w:val="23"/>
          <w:szCs w:val="23"/>
          <w:color w:val="auto"/>
          <w:vertAlign w:val="superscript"/>
        </w:rPr>
      </w:pPr>
    </w:p>
    <w:p>
      <w:pPr>
        <w:ind w:left="340" w:right="2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2023 related to one-time charges resulting from the ratification of a new CBA with our mainline pilots, including a one-time payment of $754 million as well as adjustments to other benefit-related items of $235 million.</w:t>
      </w:r>
    </w:p>
    <w:p>
      <w:pPr>
        <w:spacing w:after="0" w:line="9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We retired our Airbus A330 fleet in 2020 as a result of the decline in demand for air travel due to the COVID-19 pandemic. In 2022, we recorded a non-cash impairment charge to write down the carrying value of our retired Airbus A330 fleet to their then estimated fair value due to the market conditions for certain used aircraft, and in 2024, we entered into a sales agreement for our remaining Airbus A330 aircraft, resulting in a $42 million gain.</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Regional operating special items, net for 2024 included a $33 million non-cash write down of regional aircraft resulting from the decision to permanently park 43 Embraer 145 aircraft.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2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43"/>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580" w:type="dxa"/>
            <w:vAlign w:val="bottom"/>
            <w:shd w:val="clear" w:color="auto" w:fill="CCEEFF"/>
          </w:tcPr>
          <w:p>
            <w:pPr>
              <w:jc w:val="center"/>
              <w:ind w:left="43"/>
              <w:spacing w:after="0"/>
              <w:rPr>
                <w:sz w:val="20"/>
                <w:szCs w:val="20"/>
                <w:color w:val="auto"/>
              </w:rPr>
            </w:pPr>
            <w:r>
              <w:rPr>
                <w:rFonts w:ascii="Arial" w:cs="Arial" w:eastAsia="Arial" w:hAnsi="Arial"/>
                <w:sz w:val="18"/>
                <w:szCs w:val="18"/>
                <w:color w:val="auto"/>
                <w:w w:val="97"/>
              </w:rPr>
              <w:t>(20.8)</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w:t>
            </w:r>
          </w:p>
        </w:tc>
        <w:tc>
          <w:tcPr>
            <w:tcW w:w="1580" w:type="dxa"/>
            <w:vAlign w:val="bottom"/>
          </w:tcPr>
          <w:p>
            <w:pPr>
              <w:jc w:val="center"/>
              <w:ind w:left="4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580" w:type="dxa"/>
            <w:vAlign w:val="bottom"/>
            <w:shd w:val="clear" w:color="auto" w:fill="CCEEFF"/>
          </w:tcPr>
          <w:p>
            <w:pPr>
              <w:ind w:left="640"/>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c>
          <w:tcPr>
            <w:tcW w:w="0" w:type="dxa"/>
            <w:vAlign w:val="bottom"/>
          </w:tcPr>
          <w:p>
            <w:pPr>
              <w:spacing w:after="0"/>
              <w:rPr>
                <w:sz w:val="1"/>
                <w:szCs w:val="1"/>
                <w:color w:val="auto"/>
              </w:rPr>
            </w:pPr>
          </w:p>
        </w:tc>
      </w:tr>
      <w:tr>
        <w:trPr>
          <w:trHeight w:val="223"/>
        </w:trPr>
        <w:tc>
          <w:tcPr>
            <w:tcW w:w="5020" w:type="dxa"/>
            <w:vAlign w:val="bottom"/>
            <w:gridSpan w:val="2"/>
          </w:tcPr>
          <w:p>
            <w:pPr>
              <w:ind w:left="22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580" w:type="dxa"/>
            <w:vAlign w:val="bottom"/>
          </w:tcPr>
          <w:p>
            <w:pPr>
              <w:jc w:val="center"/>
              <w:ind w:left="43"/>
              <w:spacing w:after="0"/>
              <w:rPr>
                <w:sz w:val="20"/>
                <w:szCs w:val="20"/>
                <w:color w:val="auto"/>
              </w:rPr>
            </w:pPr>
            <w:r>
              <w:rPr>
                <w:rFonts w:ascii="Arial" w:cs="Arial" w:eastAsia="Arial" w:hAnsi="Arial"/>
                <w:sz w:val="18"/>
                <w:szCs w:val="18"/>
                <w:color w:val="auto"/>
                <w:w w:val="97"/>
              </w:rPr>
              <w:t>(23.7)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13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Interest income decreased $123 million, or 20.8%, in 2024 compared to 2023 primarily due to a decrease in the average balance of short-term investments. Interest expense, net decreased $211 million, or 9.9%, in 2024 compared to 2023 primarily due to lower outstanding debt in 2024, as we continue our efforts to strengthen the balance sheet.</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other nonoperating income, net included $ 113 million of non-service related pension and other postretirement benefit plan income, offset in part by $48 million of foreign currency losses and $24 million of net special charges primarily for debt refinancings and extinguishments and mark-to-market net unrealized losses associated with certain equity investments.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other nonoperating expense, net primarily included $362 million of net special charges principally associated with debt refinancings and extinguishments and mark-to-market net unrealized losses associated with certain equity investments, offset in part by $32 million of non-service related pension and other postretirement benefit plan income.</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2024, we recorded an income tax provision of $308 million with an effective rate of approximately 27%, which was substantially non-cash. Substantially all of our income before income taxes is attributable to the United States. At December 31, 2024, we had approximately $12.9 billion of gross federal NOLs and $5.9 billion of other carryforwards available to reduce future federal taxable income, of which $2.6 billion will expire beginning in 2033 if unused and $16.2 billion can be carried forward indefinitely. We also had approximately $5.2 billion of NOL carryforwards to reduce future state taxable income at December 31, 2024, which will expire in taxable years 2024 through 2044 if unused.</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2023, we recorded an income tax provision of $299 million at an effective rate of approximately 27%, which was substantially non-cash.</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Consolidated Financial Statements in Part II, Item 8A for additional information on income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a comparison of the 2023 to 2022 reporting periods, see Part II, Item 7. Management’s Discussion and Analysis of Financial Condition and Results of Operations – “</w:t>
      </w:r>
      <w:r>
        <w:rPr>
          <w:rFonts w:ascii="Arial" w:cs="Arial" w:eastAsia="Arial" w:hAnsi="Arial"/>
          <w:sz w:val="18"/>
          <w:szCs w:val="18"/>
          <w:i w:val="1"/>
          <w:iCs w:val="1"/>
          <w:color w:val="auto"/>
        </w:rPr>
        <w:t>American’s Results of Operations”</w:t>
      </w:r>
      <w:r>
        <w:rPr>
          <w:rFonts w:ascii="Arial" w:cs="Arial" w:eastAsia="Arial" w:hAnsi="Arial"/>
          <w:sz w:val="18"/>
          <w:szCs w:val="18"/>
          <w:color w:val="auto"/>
        </w:rPr>
        <w:t xml:space="preserve"> of American’s 2023 Form 10-K.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line="20" w:lineRule="exact"/>
              <w:rPr>
                <w:sz w:val="1"/>
                <w:szCs w:val="1"/>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Increase (Decrease)</w:t>
            </w: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5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580" w:type="dxa"/>
            <w:vAlign w:val="bottom"/>
          </w:tcPr>
          <w:p>
            <w:pPr>
              <w:jc w:val="center"/>
              <w:ind w:left="3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5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6"/>
              </w:rPr>
              <w:t>10.3</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580" w:type="dxa"/>
            <w:vAlign w:val="bottom"/>
          </w:tcPr>
          <w:p>
            <w:pPr>
              <w:jc w:val="center"/>
              <w:ind w:left="3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$1.1 billion, or 2.2%, in 2024 from 2023. American’s passenger revenue in 2024 was impacted by certain commercial initiatives it had previously deployed, along with an over-supply of industry capacity in the first half of the year. Mid-year, American took actions to adjust its strategy as well as capacity growth which, combined with</w:t>
      </w:r>
    </w:p>
    <w:p>
      <w:pPr>
        <w:sectPr>
          <w:pgSz w:w="11900" w:h="16838" w:orient="portrait"/>
          <w:cols w:equalWidth="0" w:num="1">
            <w:col w:w="11240"/>
          </w:cols>
          <w:pgMar w:left="320" w:top="363"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industry capacity deceleration, resulted in sequential year-over-year improvement in passenger unit revenue performance in the third and fourth quarters of 2024.</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Cargo revenue decreased $8 million, or 0.9%, in 2024 from 2023 primarily due to a decrease in cargo yield driven by increased air freight capacity, offset in part by an increase in cargo ton miles.</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revenue increased $354 million, or 10.3%, in 2024 from 2023 driven primarily by higher revenue associated with American’s loyalty program. During 2024 and 2023, cash payments from co-branded credit card and other partners were $6.1 billion and $ 5.2 billion, respectively, an increase of 17% year-over-year. Cash remuneration in 2024 included a one-time cash payment related to the new co-branded credit card agreement announced in December 2024. This one-time cash payment will be amortized over the life of the new agreement beginning in 2026.</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Total operating revenues in 2024 increased $1.4 billion, or 2.7%, from 2023 driven primarily by the increase in passenger revenue as described above.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3"/>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1,440</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w w:val="96"/>
              </w:rPr>
              <w:t>16.2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6"/>
              </w:rPr>
              <w:t>12.8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(37.2)</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58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58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detail regarding changes in American’s operating expenses is as follows:</w:t>
      </w:r>
    </w:p>
    <w:p>
      <w:pPr>
        <w:spacing w:after="0" w:line="171"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Aircraft fuel and related taxes decreased $839 million, or 6.8%, in 2024 from 2023 primarily due to a 12.2% decrease in the average price per gallon of aircraft fuel including related taxes to $2.60 in 2024 from $2.96 in 2023, offset in part by a 6.1% increase in gallons of fuel consumed due to increased capacity.</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$1.4 billion, or 9.9%, in 2024 from 2023 primarily driven by higher wage rates and costs for benefit-related items associated with the ratification of new CBAs with American’s mainline pilots in August 2023 and with its mainline flight attendants in September 2024.</w:t>
      </w:r>
    </w:p>
    <w:p>
      <w:pPr>
        <w:spacing w:after="0" w:line="116" w:lineRule="exact"/>
        <w:rPr>
          <w:sz w:val="20"/>
          <w:szCs w:val="20"/>
          <w:color w:val="auto"/>
        </w:rPr>
      </w:pPr>
    </w:p>
    <w:p>
      <w:pPr>
        <w:ind w:right="80" w:firstLine="243"/>
        <w:spacing w:after="0" w:line="286" w:lineRule="auto"/>
        <w:rPr>
          <w:sz w:val="20"/>
          <w:szCs w:val="20"/>
          <w:color w:val="auto"/>
        </w:rPr>
      </w:pPr>
      <w:r>
        <w:rPr>
          <w:rFonts w:ascii="Arial" w:cs="Arial" w:eastAsia="Arial" w:hAnsi="Arial"/>
          <w:sz w:val="18"/>
          <w:szCs w:val="18"/>
          <w:color w:val="auto"/>
        </w:rPr>
        <w:t>Regional expenses increased $390 million, or 8.4%, in 2024 from 2023 primarily due to an increase in regional flight operations and costs at American’s regional carriers.</w:t>
      </w:r>
    </w:p>
    <w:p>
      <w:pPr>
        <w:spacing w:after="0" w:line="100" w:lineRule="exact"/>
        <w:rPr>
          <w:sz w:val="20"/>
          <w:szCs w:val="20"/>
          <w:color w:val="auto"/>
        </w:rPr>
      </w:pPr>
    </w:p>
    <w:p>
      <w:pPr>
        <w:ind w:right="20" w:firstLine="243"/>
        <w:spacing w:after="0" w:line="286" w:lineRule="auto"/>
        <w:rPr>
          <w:sz w:val="20"/>
          <w:szCs w:val="20"/>
          <w:color w:val="auto"/>
        </w:rPr>
      </w:pPr>
      <w:r>
        <w:rPr>
          <w:rFonts w:ascii="Arial" w:cs="Arial" w:eastAsia="Arial" w:hAnsi="Arial"/>
          <w:sz w:val="18"/>
          <w:szCs w:val="18"/>
          <w:color w:val="auto"/>
        </w:rPr>
        <w:t>Maintenance, materials and repairs increased $529 million, or 16.2%, in 2024 from 2023 primarily due to increased costs for engine overhauls, component part repairs and airframe heavy checks driven by higher volume and cost of materials.</w:t>
      </w:r>
    </w:p>
    <w:p>
      <w:pPr>
        <w:spacing w:after="0" w:line="10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Other rent and landing fees increased $375 million, or 12.8%, in 2024 from 2023 primarily driven by rate increases at certain airports as a result of extensive airport redevelopment projects and an increase in the number of departures.</w:t>
      </w:r>
    </w:p>
    <w:p>
      <w:pPr>
        <w:spacing w:after="0" w:line="10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Aircraft rent decreased $127 million, or 9.2%, in 2024 from 2023 primarily due to decreased rental payments associated with aircraft operating lease extensions.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Selling expenses increased $13 million, or 0.7%, in 2024 from 2023 primarily due to higher credit card fees driven by the overall increase in passenger revenues, as well as an increase in advertising expense and booking fees, offset in part by a decrease in commissions expense.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$423 million, or 7.0%, in 2024 from 2023 primarily driven by the increase in flight operations, including increased costs for onboard food and catering, crew travel, ground and cargo handling, passenger accommodation and airport lounge operations, as well as certain general and administrative expenses.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Special Items,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7"/>
                <w:szCs w:val="17"/>
                <w:color w:val="auto"/>
              </w:rPr>
            </w:pPr>
          </w:p>
        </w:tc>
      </w:tr>
      <w:tr>
        <w:trPr>
          <w:trHeight w:val="230"/>
        </w:trPr>
        <w:tc>
          <w:tcPr>
            <w:tcW w:w="7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9"/>
        </w:trPr>
        <w:tc>
          <w:tcPr>
            <w:tcW w:w="7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A330 fleet-related adjustments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9"/>
        </w:trPr>
        <w:tc>
          <w:tcPr>
            <w:tcW w:w="758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3"/>
                <w:szCs w:val="23"/>
                <w:color w:val="auto"/>
                <w:vertAlign w:val="superscript"/>
              </w:rPr>
              <w:t>(3)</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r>
    </w:tbl>
    <w:p>
      <w:pPr>
        <w:spacing w:after="0" w:line="76" w:lineRule="exact"/>
        <w:rPr>
          <w:sz w:val="20"/>
          <w:szCs w:val="20"/>
          <w:color w:val="auto"/>
        </w:rPr>
      </w:pPr>
    </w:p>
    <w:p>
      <w:pPr>
        <w:jc w:val="both"/>
        <w:ind w:left="340" w:hanging="332"/>
        <w:spacing w:after="0" w:line="237"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2024 related to one-time charges resulting from the ratification of new CBAs with American’s mainline flight attendants and passenger service team members, including one-time payments and adjustments to vacation accruals resulting from pay rate increases.</w:t>
      </w:r>
    </w:p>
    <w:p>
      <w:pPr>
        <w:spacing w:after="0" w:line="139" w:lineRule="exact"/>
        <w:rPr>
          <w:rFonts w:ascii="Arial" w:cs="Arial" w:eastAsia="Arial" w:hAnsi="Arial"/>
          <w:sz w:val="23"/>
          <w:szCs w:val="23"/>
          <w:color w:val="auto"/>
          <w:vertAlign w:val="superscript"/>
        </w:rPr>
      </w:pPr>
    </w:p>
    <w:p>
      <w:pPr>
        <w:ind w:left="34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2023 related to one-time charges resulting from the ratification of a new CBA with American’s mainline pilots, including a one-time payment of $754 million as well as adjustments to other benefit-related items of $235 million.</w:t>
      </w:r>
    </w:p>
    <w:p>
      <w:pPr>
        <w:spacing w:after="0" w:line="9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American retired its Airbus A330 fleet in 2020 as a result of the decline in demand for air travel due to the COVID-19 pandemic. In 2022, American recorded a non-cash impairment charge to write down the carrying value of its retired Airbus A330 fleet to their then estimated fair value due to the market conditions for certain used aircraft, and in 2024, American entered into a sales agreement for its remaining Airbus A330 aircraft, resulting in a $42 million gain.</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Regional operating special items, net for 2024 included a $33 million non-cash write down of regional aircraft resulting from the decision to permanently park 43 Embraer 145 aircraft.</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Interest expense, net decreased $177 million, or 8.0%, in 2024 compared to 2023 primarily due to lower outstanding debt in 2024, as American continues its efforts to strengthen the balance sheet.</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other nonoperating income, net included $ 113 million of non-service related pension and other postretirement benefit plan income, offset in part by $47 million of foreign currency losses and $24 million of net special charges primarily for debt refinancings and extinguishments and mark-to-market net unrealized losses associated with certain equity investments.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other nonoperating expense, net primarily included $362 million of net special charges principally associated with debt refinancings and extinguishments and mark-to-market net unrealized losses associated with certain equity investments, offset in part by $33 million of non-service related pension and other postretirement benefit plan income.</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2024, American recorded an income tax provision of $426 million with an effective rate of approximately 25%, which was substantially non-cash. Substantially all of American’s income before income taxes is attributable to the United States. At December 31, 2024, American had approximately $12.8 billion of gross federal NOLs and $4.2 billion of other carryforwards available to reduce future federal taxable income, of which $2.9 billion will expire beginning in 2033 if unused and $14.1 billion can be carried forward indefinitely. American also had approximately $5.0 billion of NOL carryforwards to reduce future state taxable income at December 31, 2024, which will expire in taxable years 2024 through 2044 if unused.</w:t>
      </w:r>
    </w:p>
    <w:p>
      <w:pPr>
        <w:spacing w:after="0" w:line="12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2023, American recorded an income tax provision of $394 million at an effective rate of approximately 25%, which was substantially non-cash.</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Consolidated Financial Statements in Part II, Item 8B for additional information on income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December 31, 2024, AAG had $10.3 billion in total available liquidity and $732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35" w:lineRule="exact"/>
        <w:rPr>
          <w:sz w:val="20"/>
          <w:szCs w:val="20"/>
          <w:color w:val="auto"/>
        </w:rPr>
      </w:pPr>
    </w:p>
    <w:p>
      <w:pPr>
        <w:ind w:left="6800"/>
        <w:spacing w:after="0"/>
        <w:tabs>
          <w:tab w:leader="none" w:pos="9480" w:val="left"/>
        </w:tabs>
        <w:rPr>
          <w:sz w:val="20"/>
          <w:szCs w:val="20"/>
          <w:color w:val="auto"/>
        </w:rPr>
      </w:pPr>
      <w:r>
        <w:rPr>
          <w:rFonts w:ascii="Arial" w:cs="Arial" w:eastAsia="Arial" w:hAnsi="Arial"/>
          <w:sz w:val="14"/>
          <w:szCs w:val="14"/>
          <w:b w:val="1"/>
          <w:bCs w:val="1"/>
          <w:color w:val="auto"/>
        </w:rPr>
        <w:t>AAG</w:t>
      </w:r>
      <w:r>
        <w:rPr>
          <w:sz w:val="20"/>
          <w:szCs w:val="20"/>
          <w:color w:val="auto"/>
        </w:rPr>
        <w:tab/>
      </w:r>
      <w:r>
        <w:rPr>
          <w:rFonts w:ascii="Arial" w:cs="Arial" w:eastAsia="Arial" w:hAnsi="Arial"/>
          <w:sz w:val="14"/>
          <w:szCs w:val="14"/>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23495</wp:posOffset>
            </wp:positionV>
            <wp:extent cx="3570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55"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23495</wp:posOffset>
            </wp:positionV>
            <wp:extent cx="17468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35" w:lineRule="exact"/>
        <w:rPr>
          <w:sz w:val="20"/>
          <w:szCs w:val="20"/>
          <w:color w:val="auto"/>
        </w:rPr>
      </w:pPr>
    </w:p>
    <w:p>
      <w:pPr>
        <w:ind w:left="6080"/>
        <w:spacing w:after="0"/>
        <w:tabs>
          <w:tab w:leader="none" w:pos="75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23495</wp:posOffset>
            </wp:positionV>
            <wp:extent cx="1755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35"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8220" w:space="720"/>
            <w:col w:w="230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6,998</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23"/>
        </w:trPr>
        <w:tc>
          <w:tcPr>
            <w:tcW w:w="5580" w:type="dxa"/>
            <w:vAlign w:val="bottom"/>
          </w:tcPr>
          <w:p>
            <w:pPr>
              <w:ind w:left="340"/>
              <w:spacing w:after="0"/>
              <w:rPr>
                <w:sz w:val="20"/>
                <w:szCs w:val="20"/>
                <w:color w:val="auto"/>
              </w:rPr>
            </w:pPr>
            <w:r>
              <w:rPr>
                <w:rFonts w:ascii="Arial" w:cs="Arial" w:eastAsia="Arial" w:hAnsi="Arial"/>
                <w:sz w:val="18"/>
                <w:szCs w:val="18"/>
                <w:color w:val="auto"/>
              </w:rPr>
              <w:t>Total available liquidity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r>
      <w:tr>
        <w:trPr>
          <w:trHeight w:val="20"/>
        </w:trPr>
        <w:tc>
          <w:tcPr>
            <w:tcW w:w="5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w:t>
      </w:r>
    </w:p>
    <w:p>
      <w:pPr>
        <w:sectPr>
          <w:pgSz w:w="11900" w:h="16838" w:orient="portrait"/>
          <w:cols w:equalWidth="0" w:num="1">
            <w:col w:w="11240"/>
          </w:cols>
          <w:pgMar w:left="320" w:top="363" w:right="339"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early repayment, in whole or in part, of the AAdvantage Financing. As of the most recent applicable measurement dates, we were in compliance with each of the foregoing covenants. For further information regarding our debt covenants, see Note 4 to AAG’s Consolidated Financial Statements in Part II, Item 8A and Note 3 to American’s Consolidated Financial Statements in Part II, Item 8B.</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a comparison of the 2023 and 2022 reporting periods, see Part II, Item 7. Management’s Discussion and Analysis of Financial Condition and Results of Operations – “</w:t>
      </w:r>
      <w:r>
        <w:rPr>
          <w:rFonts w:ascii="Arial" w:cs="Arial" w:eastAsia="Arial" w:hAnsi="Arial"/>
          <w:sz w:val="18"/>
          <w:szCs w:val="18"/>
          <w:i w:val="1"/>
          <w:iCs w:val="1"/>
          <w:color w:val="auto"/>
        </w:rPr>
        <w:t>Sources and Uses of Cash”</w:t>
      </w:r>
      <w:r>
        <w:rPr>
          <w:rFonts w:ascii="Arial" w:cs="Arial" w:eastAsia="Arial" w:hAnsi="Arial"/>
          <w:sz w:val="18"/>
          <w:szCs w:val="18"/>
          <w:color w:val="auto"/>
        </w:rPr>
        <w:t xml:space="preserve"> of our 2023 Form 10-K.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net cash provided by operating activities was $4.0 billion and $3.8 billion in 2024 and 2023, respectively, a $180 million year-over-year increase due to sustained profitability and net changes in working capital.</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$968 million and $502 million in 2024 and 2023,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investing activities in 2024 included $2.7 billion of capital expenditures, which primarily related to the purchase of 16 Embraer 175 aircraft, six Boeing 737-8 MAX aircraft, four Airbus A321neo aircraft, four Boeing 737-800 aircraft lease repurchases, two Bombardier CRJ 900 aircraft, one Airbus A320 aircraft lease repurchase, 48 aircraft engines and aircraft purchase deposits. These cash outflows were offset in part by $819 million in net sales of short-term investments and $654 million of proceeds from sale-leaseback transactions and sale of property and equipment, which primarily related to the modernization of Terminals 4 and 5 at LAX.</w:t>
      </w:r>
    </w:p>
    <w:p>
      <w:pPr>
        <w:spacing w:after="0" w:line="1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principal investing activities in 2023 included $2.6 billion of capital expenditures, which primarily related to the purchase of 17 Boeing 737-8 MAX aircraft, 10 Airbus A321neo aircraft, seven Embraer 175 aircraft, seven Bombardier CRJ 900 aircraft and 28 spare engines. These cash outflows were offset in part by $1.5 billion in net sales of short-term investments and $230 million of proceeds from the sale of property and equipment and sale-leaseback transactions.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$2.8 billion and $3.2 billion in 2024 and 2023,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financing activities in 2024 included $4.5 billion in debt and finance lease repayments, consisting of $3.7 billion in scheduled repayments and the early repayments of $487 million of the outstanding principal amount of the 3.75% Senior Notes and $263 million toward portions of the outstanding principal amounts of the IP Notes and LGA/DCA Notes. These cash outflows were offset in part by $1.7 billion of proceeds from issuance of long-term debt, consisting of $ 990 million from the issuance of equipment loans and other notes payable and $684 million from the issuance of EETCs in connection with the financing of certain aircraft that had previously been delivered.</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principal financing activities in 2023 included $2.9 billion in net repayments of debt and finance lease obligations primarily due to scheduled debt repayments. In February 2023, we refinanced approximately $1.8 billion in aggregate principal amount of term loans outstanding under the 2013 Term Loan Facility through the combination of (i) issuing $750 million in aggregate principal amount of the 7.25% Senior Secured Notes and (ii) extending the maturity of $1.0 billion in term loans under the 2013 Term Loan Facility. In December 2023, we issued $1.0 billion aggregate principal amount of the 8.50% Senior Secured Notes and entered into the 2023 Term Loan Facility in an aggregate principal amount of $1.1 billion. The net proceeds of the 8.50% Senior Secured Notes, together with net proceeds from borrowings under the 2023 Term Loan Facility and cash on hand, were used to redeem all of the outstanding 11.75% Senior Secured Notes. In addition, we borrowed $1.1 billion in connection with the financing of certain aircraft and repurchased $552 million of secured and unsecured notes in the open market.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net cash provided by operating activities was $3.4 billion and $3.7 billion in 2024 and 2023, respectively, a $297 million year-over-year decrease due to a net increase in receivables from related parties including from the early repayment of AAG’s 3.75% Senior Notes. Excluding this net increase in receivables from related parties, American’s operating cash flows increased $320 million compared to 2023 due to sustained profitability and net changes in working capital.</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$909 million and $449 million in 2024 and 2023,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investing activities in 2024 included $2.6 billion of capital expenditures, which primarily related to the purchase of 16 Embraer 175 aircraft, six Boeing 737-8 MAX aircraft, four Airbus A321neo aircraft, four Boeing 737-800 aircraft lease repurchases, two Bombardier CRJ 900 aircraft, one Airbus A320 aircraft lease repurchase, 48 aircraft engines and aircraft purchase deposits. These cash outflows were offset in part by $819 million in net sales of short-term investments and $654 million of proceeds from sale-leaseback transactions and sale of property and equipment, which primarily related to the modernization of Terminals 4 and 5 at LAX.</w:t>
      </w:r>
    </w:p>
    <w:p>
      <w:pPr>
        <w:spacing w:after="0" w:line="1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investing activities in 2023 included $2.5 billion of capital expenditures, which primarily related to the purchase of 17 Boeing 737-8 MAX aircraft, 10 Airbus A321neo aircraft, seven Embraer 175 aircraft, seven Bombardier CRJ 900 aircraft and 28 spare engines. These cash outflows were offset in part by $1.5 billion in net sales of short-term investments and $230 million of proceeds from the sale of property and equipment and sale-leaseback transactions.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$2.3 billion and $3.2 billion in 2024 and 2023,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financing activities in 2024 included $4.0 billion in debt and finance lease repayments, consisting of $3.7 billion in scheduled repayments and the early repayment of $263 million toward portions of the outstanding principal amounts of the IP Notes and LGA/DCA Notes. These cash outflows were offset in part by $1.7 billion of proceeds from issuance of long-term debt, consisting of $ 990 million from the issuance of equipment loans and other notes payable and $684 million from the issuance of EETCs in connection with the financing of certain aircraft that had previously been delivered.</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American’s principal financing activities in 2023 included $2.9 billion in net repayments of debt and finance lease obligations primarily due to scheduled debt repayments. In February 2023, American refinanced approximately $1.8 billion in aggregate principal amount of term loans outstanding under the 2013 Term Loan Facility through the combination of (i) issuing $750 million in aggregate principal amount of the 7.25% Senior Secured Notes and (ii) extending the maturity of $ 1.0 billion in term loans under the 2013 Term Loan Facility. In December 2023, American issued $1.0 billion aggregate principal amount of the 8.50% Senior Secured Notes and entered into the 2023 Term Loan Facility in an aggregate principal amount of $1.1 billion. The net proceeds of the 8.50% Senior Secured Notes, together with net proceeds from borrowings under the 2023 Term Loan Facility and cash on hand, were used to redeem all of the outstanding 11.75% Senior Secured Notes. In addition, American borrowed $1.1 billion in connection with the financing of certain aircraft and repurchased $539 million of secured notes in the open market.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further information regarding our commitments, see the Notes to AAG’s Consolidated Financial Statements in Part II, Item 8A and the Notes to American’s Consolidated Financial Statements in Part II, Item 8B at the referenced footnotes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AAG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American</w:t>
            </w:r>
          </w:p>
        </w:tc>
      </w:tr>
      <w:tr>
        <w:trPr>
          <w:trHeight w:val="22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3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Note 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Note 3</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Leases</w:t>
            </w:r>
          </w:p>
        </w:tc>
        <w:tc>
          <w:tcPr>
            <w:tcW w:w="336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Note 5</w:t>
            </w: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Note 4</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Plans</w:t>
            </w:r>
          </w:p>
        </w:tc>
        <w:tc>
          <w:tcPr>
            <w:tcW w:w="33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7"/>
              </w:rPr>
              <w:t>Note 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8</w:t>
            </w: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Commitments, Contingencies and Guarantees</w:t>
            </w:r>
          </w:p>
        </w:tc>
        <w:tc>
          <w:tcPr>
            <w:tcW w:w="336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Note 11</w:t>
            </w:r>
          </w:p>
        </w:tc>
        <w:tc>
          <w:tcPr>
            <w:tcW w:w="1560" w:type="dxa"/>
            <w:vAlign w:val="bottom"/>
          </w:tcPr>
          <w:p>
            <w:pPr>
              <w:jc w:val="center"/>
              <w:spacing w:after="0"/>
              <w:rPr>
                <w:sz w:val="20"/>
                <w:szCs w:val="20"/>
                <w:color w:val="auto"/>
              </w:rPr>
            </w:pPr>
            <w:r>
              <w:rPr>
                <w:rFonts w:ascii="Arial" w:cs="Arial" w:eastAsia="Arial" w:hAnsi="Arial"/>
                <w:sz w:val="18"/>
                <w:szCs w:val="18"/>
                <w:color w:val="auto"/>
              </w:rPr>
              <w:t>Note 10</w:t>
            </w:r>
          </w:p>
        </w:tc>
      </w:tr>
      <w:tr>
        <w:trPr>
          <w:trHeight w:val="723"/>
        </w:trPr>
        <w:tc>
          <w:tcPr>
            <w:tcW w:w="4620" w:type="dxa"/>
            <w:vAlign w:val="bottom"/>
          </w:tcPr>
          <w:p>
            <w:pPr>
              <w:spacing w:after="0"/>
              <w:rPr>
                <w:sz w:val="24"/>
                <w:szCs w:val="24"/>
                <w:color w:val="auto"/>
              </w:rPr>
            </w:pPr>
          </w:p>
        </w:tc>
        <w:tc>
          <w:tcPr>
            <w:tcW w:w="3360" w:type="dxa"/>
            <w:vAlign w:val="bottom"/>
          </w:tcPr>
          <w:p>
            <w:pPr>
              <w:jc w:val="right"/>
              <w:ind w:right="2170"/>
              <w:spacing w:after="0"/>
              <w:rPr>
                <w:sz w:val="20"/>
                <w:szCs w:val="20"/>
                <w:color w:val="auto"/>
              </w:rPr>
            </w:pPr>
            <w:r>
              <w:rPr>
                <w:rFonts w:ascii="Arial" w:cs="Arial" w:eastAsia="Arial" w:hAnsi="Arial"/>
                <w:sz w:val="18"/>
                <w:szCs w:val="18"/>
                <w:color w:val="auto"/>
              </w:rPr>
              <w:t>72</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1"/>
        </w:trPr>
        <w:tc>
          <w:tcPr>
            <w:tcW w:w="462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currently has 292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2024, $7.3 billion associated with these mortgage financings is reflected as debt in the accompanying consolidated balance sheet.</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provide financial assurance, such as letters of credit and surety bonds, primarily to support projected workers’ compensation obligations and airport commitments. As of December 31, 2024, we had $343 million of letters of credit and surety bonds securing various obligations, of which $98 million is collateralized with our restricted cash. The letters of credit and surety bonds that are subject to expiration will expire on various dates through 2037.</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December 31, 2024 (in millions). The table does not include commitments that are contingent on events or other factors that are uncertain or unknown at this time and is subject to other conventions as set forth in the applicable accompanying footnotes.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2030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18"/>
                <w:szCs w:val="18"/>
                <w:i w:val="1"/>
                <w:iCs w:val="1"/>
                <w:color w:val="auto"/>
              </w:rPr>
              <w:t xml:space="preserve">American </w:t>
            </w:r>
            <w:r>
              <w:rPr>
                <w:rFonts w:ascii="Arial" w:cs="Arial" w:eastAsia="Arial" w:hAnsi="Arial"/>
                <w:sz w:val="23"/>
                <w:szCs w:val="23"/>
                <w:i w:val="1"/>
                <w:iCs w:val="1"/>
                <w:color w:val="auto"/>
                <w:vertAlign w:val="superscript"/>
              </w:rPr>
              <w:t>(a)</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(b), (d)</w:t>
            </w:r>
            <w:r>
              <w:rPr>
                <w:rFonts w:ascii="Arial" w:cs="Arial" w:eastAsia="Arial" w:hAnsi="Arial"/>
                <w:sz w:val="18"/>
                <w:szCs w:val="18"/>
                <w:color w:val="auto"/>
              </w:rPr>
              <w:t xml:space="preserve"> (See Note 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(c), (d)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 (See Note 4)</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line="175" w:lineRule="exact"/>
              <w:rPr>
                <w:sz w:val="20"/>
                <w:szCs w:val="20"/>
                <w:color w:val="auto"/>
              </w:rPr>
            </w:pPr>
            <w:r>
              <w:rPr>
                <w:rFonts w:ascii="Arial" w:cs="Arial" w:eastAsia="Arial" w:hAnsi="Arial"/>
                <w:sz w:val="16"/>
                <w:szCs w:val="16"/>
                <w:color w:val="auto"/>
              </w:rPr>
              <w:t xml:space="preserve">Aircraft and engine purchase commitments </w:t>
            </w:r>
            <w:r>
              <w:rPr>
                <w:rFonts w:ascii="Arial" w:cs="Arial" w:eastAsia="Arial" w:hAnsi="Arial"/>
                <w:sz w:val="20"/>
                <w:szCs w:val="20"/>
                <w:color w:val="auto"/>
                <w:vertAlign w:val="superscript"/>
              </w:rPr>
              <w:t>(e)</w:t>
            </w:r>
            <w:r>
              <w:rPr>
                <w:rFonts w:ascii="Arial" w:cs="Arial" w:eastAsia="Arial" w:hAnsi="Arial"/>
                <w:sz w:val="16"/>
                <w:szCs w:val="16"/>
                <w:color w:val="auto"/>
              </w:rPr>
              <w:t xml:space="preserve"> (See</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26,115</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Note 10(a))</w:t>
            </w: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 (See Note 4)</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line="175" w:lineRule="exact"/>
              <w:rPr>
                <w:sz w:val="20"/>
                <w:szCs w:val="20"/>
                <w:color w:val="auto"/>
              </w:rPr>
            </w:pPr>
            <w:r>
              <w:rPr>
                <w:rFonts w:ascii="Arial" w:cs="Arial" w:eastAsia="Arial" w:hAnsi="Arial"/>
                <w:sz w:val="16"/>
                <w:szCs w:val="16"/>
                <w:color w:val="auto"/>
              </w:rPr>
              <w:t xml:space="preserve">Regional capacity purchase agreements </w:t>
            </w:r>
            <w:r>
              <w:rPr>
                <w:rFonts w:ascii="Arial" w:cs="Arial" w:eastAsia="Arial" w:hAnsi="Arial"/>
                <w:sz w:val="20"/>
                <w:szCs w:val="20"/>
                <w:color w:val="auto"/>
                <w:vertAlign w:val="superscript"/>
              </w:rPr>
              <w:t>(f)</w:t>
            </w:r>
            <w:r>
              <w:rPr>
                <w:rFonts w:ascii="Arial" w:cs="Arial" w:eastAsia="Arial" w:hAnsi="Arial"/>
                <w:sz w:val="16"/>
                <w:szCs w:val="16"/>
                <w:color w:val="auto"/>
              </w:rPr>
              <w:t xml:space="preserve"> (See</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Note 10(b))</w:t>
            </w: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(g)</w:t>
            </w:r>
            <w:r>
              <w:rPr>
                <w:rFonts w:ascii="Arial" w:cs="Arial" w:eastAsia="Arial" w:hAnsi="Arial"/>
                <w:sz w:val="18"/>
                <w:szCs w:val="18"/>
                <w:color w:val="auto"/>
              </w:rPr>
              <w:t xml:space="preserve"> (See Note 8)</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line="175" w:lineRule="exact"/>
              <w:rPr>
                <w:sz w:val="20"/>
                <w:szCs w:val="20"/>
                <w:color w:val="auto"/>
              </w:rPr>
            </w:pPr>
            <w:r>
              <w:rPr>
                <w:rFonts w:ascii="Arial" w:cs="Arial" w:eastAsia="Arial" w:hAnsi="Arial"/>
                <w:sz w:val="16"/>
                <w:szCs w:val="16"/>
                <w:color w:val="auto"/>
              </w:rPr>
              <w:t xml:space="preserve">Retiree medical and other postretirement benefits </w:t>
            </w:r>
            <w:r>
              <w:rPr>
                <w:rFonts w:ascii="Arial" w:cs="Arial" w:eastAsia="Arial" w:hAnsi="Arial"/>
                <w:sz w:val="20"/>
                <w:szCs w:val="20"/>
                <w:color w:val="auto"/>
                <w:vertAlign w:val="superscript"/>
              </w:rPr>
              <w:t>(g)</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(See Note 8)</w:t>
            </w: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(h)</w:t>
            </w:r>
            <w:r>
              <w:rPr>
                <w:rFonts w:ascii="Arial" w:cs="Arial" w:eastAsia="Arial" w:hAnsi="Arial"/>
                <w:sz w:val="18"/>
                <w:szCs w:val="18"/>
                <w:color w:val="auto"/>
              </w:rPr>
              <w:t xml:space="preserve"> (See Note 10(a))</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23"/>
        </w:trPr>
        <w:tc>
          <w:tcPr>
            <w:tcW w:w="4220" w:type="dxa"/>
            <w:vAlign w:val="bottom"/>
          </w:tcPr>
          <w:p>
            <w:pPr>
              <w:ind w:left="340"/>
              <w:spacing w:after="0"/>
              <w:rPr>
                <w:sz w:val="20"/>
                <w:szCs w:val="20"/>
                <w:color w:val="auto"/>
              </w:rPr>
            </w:pPr>
            <w:r>
              <w:rPr>
                <w:rFonts w:ascii="Arial" w:cs="Arial" w:eastAsia="Arial" w:hAnsi="Arial"/>
                <w:sz w:val="18"/>
                <w:szCs w:val="18"/>
                <w:color w:val="auto"/>
              </w:rPr>
              <w:t>Total American Contractual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87,375</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AAG Parent and Other AAG Subsidiaries </w:t>
            </w:r>
            <w:r>
              <w:rPr>
                <w:rFonts w:ascii="Arial" w:cs="Arial" w:eastAsia="Arial" w:hAnsi="Arial"/>
                <w:sz w:val="23"/>
                <w:szCs w:val="23"/>
                <w:i w:val="1"/>
                <w:iCs w:val="1"/>
                <w:color w:val="auto"/>
                <w:vertAlign w:val="superscript"/>
              </w:rPr>
              <w:t>(a)</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(See Note 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Operating lease commitments (See Note 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(g)</w:t>
            </w:r>
            <w:r>
              <w:rPr>
                <w:rFonts w:ascii="Arial" w:cs="Arial" w:eastAsia="Arial" w:hAnsi="Arial"/>
                <w:sz w:val="18"/>
                <w:szCs w:val="18"/>
                <w:color w:val="auto"/>
              </w:rPr>
              <w:t xml:space="preserve"> (See Note 9)</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purchase obligations (See Note 11(a))</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AAG Contractual Obligations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For additional information, see the Notes to AAG’s and American’s Consolidated Financial Statements in Part II, Items 8A and 8B, respectively, referenced in the table above.</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$300 million and $5 million of unamortized debt discount, premium and issuance costs as of December 31, 2024 for American and AAG Parent, respectively.</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December 31, 2024.</w:t>
      </w:r>
    </w:p>
    <w:p>
      <w:pPr>
        <w:spacing w:after="0" w:line="13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$7.3 billion of future principal payments and $883 million of future interest payments as of December 31, 2024, related to EETCs associated with mortgage financings of certain aircraft and spare engines.</w:t>
      </w:r>
    </w:p>
    <w:p>
      <w:pPr>
        <w:spacing w:after="0" w:line="139" w:lineRule="exact"/>
        <w:rPr>
          <w:rFonts w:ascii="Arial" w:cs="Arial" w:eastAsia="Arial" w:hAnsi="Arial"/>
          <w:sz w:val="23"/>
          <w:szCs w:val="23"/>
          <w:color w:val="auto"/>
          <w:vertAlign w:val="superscript"/>
        </w:rPr>
      </w:pPr>
    </w:p>
    <w:p>
      <w:pPr>
        <w:jc w:val="both"/>
        <w:ind w:left="340" w:hanging="332"/>
        <w:spacing w:after="0" w:line="243"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 xml:space="preserve">See Part I, Item 2. Properties –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manufacturer and regulatory concerns. Additionally, the amounts in the table exclude five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line="286" w:lineRule="auto"/>
        <w:rPr>
          <w:sz w:val="20"/>
          <w:szCs w:val="20"/>
          <w:color w:val="auto"/>
        </w:rPr>
      </w:pPr>
      <w:r>
        <w:rPr>
          <w:rFonts w:ascii="Arial" w:cs="Arial" w:eastAsia="Arial" w:hAnsi="Arial"/>
          <w:sz w:val="18"/>
          <w:szCs w:val="18"/>
          <w:color w:val="auto"/>
        </w:rPr>
        <w:t>Boeing 787 Family aircraft scheduled to be delivered in 2025, for which we have obtained committed lease financing. This financing is reflected in the operating lease commitments line above.</w:t>
      </w:r>
    </w:p>
    <w:p>
      <w:pPr>
        <w:spacing w:after="0" w:line="100" w:lineRule="exact"/>
        <w:rPr>
          <w:sz w:val="20"/>
          <w:szCs w:val="20"/>
          <w:color w:val="auto"/>
        </w:rPr>
      </w:pPr>
    </w:p>
    <w:p>
      <w:pPr>
        <w:jc w:val="both"/>
        <w:ind w:left="340" w:hanging="332"/>
        <w:spacing w:after="0" w:line="237" w:lineRule="auto"/>
        <w:tabs>
          <w:tab w:leader="none" w:pos="329"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and expected contributions to our retiree medical and other post-retirement plans based on actuarially determined estimates as of December 31, 2024 and is based on estimated payments through 2034. In January 2025, American made $221 million of required pension contributions.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natural disasters or other causes could reduce the demand for air travel, which would reduce the amount of cash generated by operations. See Part 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for additional discussion.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4 to AAG’s Consolidated Financial Statements in Part II, Item 8A and Note 3 to American’s Consolidated Financial Statements in Part II, Item 8B for information regarding our financing arrangements.</w:t>
      </w:r>
    </w:p>
    <w:p>
      <w:pPr>
        <w:spacing w:after="0" w:line="13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1 to each of AAG’s and American’s Consolidated Financial Statements in Part II, Items 8A and 8B, respectively, for information regarding the basis of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could potentially result in materially different results under different assumptions and conditions. We have identified the following critical accounting policies that impact the preparation of our consolidated financial statements. See the “</w:t>
      </w:r>
      <w:r>
        <w:rPr>
          <w:rFonts w:ascii="Arial" w:cs="Arial" w:eastAsia="Arial" w:hAnsi="Arial"/>
          <w:sz w:val="18"/>
          <w:szCs w:val="18"/>
          <w:i w:val="1"/>
          <w:iCs w:val="1"/>
          <w:color w:val="auto"/>
        </w:rPr>
        <w:t>Basis of Presentation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Note 1 to each of AAG’s and American’s Consolidated Financial Statements in Part II, Items 8A and 8B, respectively,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the application of these estimates and other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contract duration of passenger tickets is generally one year. The majority of tickets sold are nonrefundable. A small percentage of tickets, some of which are partially used tickets, expire unused. The estimate for tickets expected to expire unused is generally based on an analysis of our historical data and other current applicable factors such as policy changes.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our co-branded credit cards,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hotels and car rental companies. Mileage credits can be redeemed for travel on American and other participating partner airlines, as well as non-air travel awards such as hotels and rental cars. For mileage credits earned by AAdvantage program members, we apply the deferred revenue method.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Mileage credits earned through travel</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 For the year ended December 31, 2024, a hypothetical 10% increase in the estimated selling price of mileage credits would have decreased revenues by approximately $140 million as a result of additional amounts deferred from passenger ticket sales to be recognized in future periods.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Mileage credits sold to co-branded credit cards and other partners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remaining terms generally from one to 10 years as of December 31, 2024. Consideration received from the sale of mileage credits is predominantly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most significant mileage credit partner agreements are our co-branded credit card agreements with Citi and Barclaycard US. We identified two revenue elements in these co-branded credit card agreements: the transportation component and the marketing component. In December 2024, we announced a 10-year agreement with Citi to become the exclusive issuer of the AAdvantage co-branded credit card portfolio in the U.S. starting in 2026. This agreement with Citi is expected to increase the cash payments we receive from the co-branded credit card. Based on the revised terms, the products and services delivered are generally consistent with our previous agreement, and we will continue to allocate the consideration received based on the relative selling prices of these products and services.</w:t>
      </w:r>
    </w:p>
    <w:p>
      <w:pPr>
        <w:spacing w:after="0" w:line="126"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and other travel-related benefits. We recognize the marketing component in other revenue in the period of the mileage credit sale following the sales-based royalty method.</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 For the year ended December 31, 2024, a hypothetical 10% increase in our estimate of mileage credits not expected to be redeemed would have increased revenues by approximately $135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Retiree Medical and Other Postretirement Benefits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recognize the funded status (i.e., the difference between the fair value of plan assets and the projected benefit obligations) of our pension and retiree medical and other postretirement benefits plans on the consolidated balance sheets with a corresponding adjustment to accumulated other comprehensive income (loss).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pension and retiree medical and other postretirement benefits costs and liabilities are calculated using various actuarial assumptions and methodologies. We use certain assumptions including, but not limited to, the selection of the discount rate and expected return on plan assets.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December 31, 2024, our weighted average discount rate assumptions were 5.7% and 5.6% for our pension and retiree medical and other postretirement benefits obligations, respectively. When establishing the discount rate to measure our obligations, we match high quality corporate bonds available in the marketplace whose cash flows approximate our projected benefit disbursements. Lowering the discount rate by 50 basis points as of December 31, 2024 would increase our pension and retiree medical and other postretirement benefits obligations by approximately $645 million and $35 million, respectively, and decrease estimated 2025 pension and retiree medical and other postretirement benefits expense by approximately $10 million and $1 million, respectively.</w:t>
      </w:r>
    </w:p>
    <w:p>
      <w:pPr>
        <w:spacing w:after="0" w:line="12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January 1, 2025, our expected rate of return on plan assets is 7.75%. The expected rate of return on plan assets is based upon an evaluation of our historical trends and experience, taking into account current and expected market conditions and our target asset allocation of 35% U.S. fixed income securities, 22% U.S. stocks, 24% private investments, 14% developed international stocks and 5% emerging market stocks. The expected rate of return on plan assets component of our net periodic benefit cost is calculated based on the fair value of plan assets and our target asset allocation. Lowering the expected long-term rate of return on plan assets by 50 basis points would increase estimated 2025 pension expense and retiree medical and other postretirement benefits expense by approximately $60 million and $1 million,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Annually, we review and revise certain economic and demographic assumptions including the pension and retiree medical and other postretirement benefits discount rates, health care costs and certain other retirement assumptions. The net effect of changing these assumptions for the pension plans resulted in a decrease of $699 million in the projected benefit obligation at December 31, 2024. The net effect of changing these assumptions for retiree medical and other postretirement benefits plans resulted in a decrease of $65 million in the accumulated postretirement benefit obligation at December 31, 2024.</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9 to AAG’s Consolidated Financial Statements in Part II, Item 8A and Note 8 to American’s Consolidated Financial Statements in Part II, Item 8B for additional information regarding our employee benefit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2023-09: Income Taxes (Topic 740) Improvements to Income Tax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of income tax information through improvements to income tax disclosures primarily related to the rate reconciliation and income taxes paid information, as well as improvements to the effectiveness and comparability of other income tax disclosures. The amendments in this update are effective for annual periods beginning after December 15, 2024, and early adoption is permitted. We are currently evaluating how the adoption of this standard will impact our income tax disclosures.</w:t>
      </w:r>
    </w:p>
    <w:p>
      <w:pPr>
        <w:spacing w:after="0" w:line="204" w:lineRule="exact"/>
        <w:rPr>
          <w:sz w:val="20"/>
          <w:szCs w:val="20"/>
          <w:color w:val="auto"/>
        </w:rPr>
      </w:pPr>
    </w:p>
    <w:p>
      <w:pPr>
        <w:ind w:right="900" w:firstLine="243"/>
        <w:spacing w:after="0" w:line="284" w:lineRule="auto"/>
        <w:rPr>
          <w:sz w:val="20"/>
          <w:szCs w:val="20"/>
          <w:color w:val="auto"/>
        </w:rPr>
      </w:pPr>
      <w:r>
        <w:rPr>
          <w:rFonts w:ascii="Arial" w:cs="Arial" w:eastAsia="Arial" w:hAnsi="Arial"/>
          <w:sz w:val="18"/>
          <w:szCs w:val="18"/>
          <w:i w:val="1"/>
          <w:iCs w:val="1"/>
          <w:color w:val="auto"/>
        </w:rPr>
        <w:t>ASU 2024-03: Income Statement - Reporting Comprehensive Income - Expense Disaggregation Disclosures (Subtopic 220-04) Disaggregation of Income Statement Expenses</w:t>
      </w:r>
    </w:p>
    <w:p>
      <w:pPr>
        <w:spacing w:after="0" w:line="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in reporting by requiring disaggregation of certain costs and expenses in the notes to financial statements. This update is effective for annual periods beginning after December 15, 2026 and interim periods within annual periods beginning after December 15, 2027, and early adoption is permitted. We are currently evaluating how the adoption of this standard will impact our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risk inherent in our market risk sensitive instruments and positions is the potential loss arising from adverse changes in the price of aircraft fuel, foreign currency exchange rates and interest rates as discussed below. The sensitivity analyses presented do not consider the effects that such adverse changes may have on overall economic activity, nor do they consider additional actions we may take to mitigate our exposure to such changes. Therefore, actual results may differ.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aircraft fuel can have a material effect on our operating results and liquidity. Market prices for aircraft fuel have fluctuated substantially over the past several years and prices continue to be highly volatile, with market spot prices ranging from a low of approximately $1.91 per gallon to a high of approximately $4.40 per gallon during the period from January 1, 2022 to December 31, 2024.</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2024,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2025 forecasted fuel consumption, we estimate that a one cent per gallon increase in the price of aircraft fuel would increase our 2025 annual fuel expense by approximately $45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 We estimate a uniform 10% strengthening in the value of the U.S. dollar from 2024 levels relative to each of the currencies in which we have foreign currency exposure would have resulted in a decrease in pre-tax income of approximately $150 million for the year ended December 31, 2024.</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and other currency risks.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largest exposure with respect to variable-rate debt comes from changes in the relevant benchmark rate underlying such debt financings, principally SOFR. Variable-rate debt instruments represented 30% of our total long-term debt as of December 31, 2024. We currently do not have an interest rate hedge program to hedge our exposure to floating interest rates on our variable-rate debt obligations. If annual interest rates increase 100 basis points, based on our December 31, 2024 variable-rate debt and short-term investments balances, annual interest expense on variable-rate debt would increase by approximately $ 100 million and annual interest income on short-term investments would increase by approximately $70 million. Additionally, the fair value of fixed-rate debt would have decreased by approximately $540 million for AAG and $370 million for American.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right="820" w:hanging="3134"/>
        <w:spacing w:after="0" w:line="437" w:lineRule="auto"/>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American Airlines Group Inc. and subsidiaries (the Company) as of December 31, 2024 and 2023, the related consolidated statements of operations, comprehensive income, cash flows, and stockholders’ deficit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19,</w:t>
      </w:r>
      <w:r>
        <w:rPr>
          <w:rFonts w:ascii="Arial" w:cs="Arial" w:eastAsia="Arial" w:hAnsi="Arial"/>
          <w:sz w:val="18"/>
          <w:szCs w:val="18"/>
          <w:i w:val="1"/>
          <w:iCs w:val="1"/>
          <w:color w:val="auto"/>
        </w:rPr>
        <w:t xml:space="preserve"> </w:t>
      </w:r>
      <w:r>
        <w:rPr>
          <w:rFonts w:ascii="Arial" w:cs="Arial" w:eastAsia="Arial" w:hAnsi="Arial"/>
          <w:sz w:val="18"/>
          <w:szCs w:val="18"/>
          <w:color w:val="auto"/>
        </w:rPr>
        <w:t>2025 expressed an unqualified opinion on the effectiveness of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Sufficiency of audit evidence over the realizability of tax net operating loss and other carryforwards</w:t>
      </w:r>
    </w:p>
    <w:p>
      <w:pPr>
        <w:spacing w:after="0" w:line="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discussed in Notes 1(i) and 6 to the consolidated financial statements, the Company had $ 4.3 billion of tax net operating loss and other carryforwards, which are recorded as deferred tax assets at December 31, 2024. Deferred tax assets are recognized related to tax net operating loss and other carryforwards that will reduce future taxable income. The Company provides a valuation allowance for deferred tax assets when it is more likely than not that some portion, or all of the deferred tax assets, will not be realized. In evaluating the need for a valuation allowance, management considers the weighting of all available positive and negative evidence.</w:t>
      </w:r>
    </w:p>
    <w:p>
      <w:pPr>
        <w:spacing w:after="0" w:line="12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We identified the evaluation of the sufficiency of audit evidence over the realizability of federal tax net operating loss and other carryforwards as a critical audit matter. Evaluating the sufficiency of audit evidence required subjective auditor judgment in order to assess the extent of procedures performed in assessing the realizability of the federal tax net operating loss and other carryforwards.</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deferred tax asset valuation allowance process, including controls related to the realizability of federal tax net operating loss and other carryforwards. We evaluated positive and negative evidence used in assessing whether the federal tax net operating loss and other carryforwards were more likely than not to be realized in the future. We evaluated the reasonableness of management’s projections of future profitability considering historical profitability of the Company, and consistency with industry data. We involved tax professionals with specialized skills and knowledge, who assisted in evaluating the application of tax law. We assessed the sufficiency of audit evidence obtained over the realizability of the federal tax net operating loss and other carryforwards by evaluating the cumulative results of the audit procedures.</w:t>
      </w:r>
    </w:p>
    <w:p>
      <w:pPr>
        <w:spacing w:after="0" w:line="128"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49,586</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44,568</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48,971</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12,972</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1,977</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47,364</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656,996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653,612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650,345</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655,122</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retiree medical and other postretirement benefits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29"/>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Short-term investments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6,180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 and short-term investments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Aircraft fuel, spare parts and supplies, net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00"/>
        </w:trPr>
        <w:tc>
          <w:tcPr>
            <w:tcW w:w="8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current assets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13,572</w:t>
            </w: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Operating property and equipment</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Flight equipment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43,521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41,794</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Ground property and equipment</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10,202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10,307</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Equipment purchase deposits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92"/>
        </w:trPr>
        <w:tc>
          <w:tcPr>
            <w:tcW w:w="8040" w:type="dxa"/>
            <w:vAlign w:val="bottom"/>
          </w:tcPr>
          <w:p>
            <w:pPr>
              <w:ind w:left="480"/>
              <w:spacing w:after="0"/>
              <w:rPr>
                <w:sz w:val="20"/>
                <w:szCs w:val="20"/>
                <w:color w:val="auto"/>
              </w:rPr>
            </w:pPr>
            <w:r>
              <w:rPr>
                <w:rFonts w:ascii="Arial" w:cs="Arial" w:eastAsia="Arial" w:hAnsi="Arial"/>
                <w:sz w:val="14"/>
                <w:szCs w:val="14"/>
                <w:color w:val="auto"/>
              </w:rPr>
              <w:t>Total property and equipment, at cost</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54,735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52,861</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(22,097)</w:t>
            </w:r>
          </w:p>
        </w:tc>
        <w:tc>
          <w:tcPr>
            <w:tcW w:w="0" w:type="dxa"/>
            <w:vAlign w:val="bottom"/>
          </w:tcPr>
          <w:p>
            <w:pPr>
              <w:spacing w:after="0"/>
              <w:rPr>
                <w:sz w:val="1"/>
                <w:szCs w:val="1"/>
                <w:color w:val="auto"/>
              </w:rPr>
            </w:pPr>
          </w:p>
        </w:tc>
      </w:tr>
      <w:tr>
        <w:trPr>
          <w:trHeight w:val="192"/>
        </w:trPr>
        <w:tc>
          <w:tcPr>
            <w:tcW w:w="8040" w:type="dxa"/>
            <w:vAlign w:val="bottom"/>
          </w:tcPr>
          <w:p>
            <w:pPr>
              <w:ind w:left="480"/>
              <w:spacing w:after="0"/>
              <w:rPr>
                <w:sz w:val="20"/>
                <w:szCs w:val="20"/>
                <w:color w:val="auto"/>
              </w:rPr>
            </w:pPr>
            <w:r>
              <w:rPr>
                <w:rFonts w:ascii="Arial" w:cs="Arial" w:eastAsia="Arial" w:hAnsi="Arial"/>
                <w:sz w:val="14"/>
                <w:szCs w:val="14"/>
                <w:color w:val="auto"/>
              </w:rPr>
              <w:t>Total property and equipment, net</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31,127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30,764</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 right-of-use assets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7,939</w:t>
            </w: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Other assets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Intangibles, net of accumulated amortization of $841 and $834, respectively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w:t>
            </w: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other assets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10,783</w:t>
            </w:r>
          </w:p>
        </w:tc>
        <w:tc>
          <w:tcPr>
            <w:tcW w:w="0" w:type="dxa"/>
            <w:vAlign w:val="bottom"/>
          </w:tcPr>
          <w:p>
            <w:pPr>
              <w:spacing w:after="0"/>
              <w:rPr>
                <w:sz w:val="1"/>
                <w:szCs w:val="1"/>
                <w:color w:val="auto"/>
              </w:rPr>
            </w:pPr>
          </w:p>
        </w:tc>
      </w:tr>
      <w:tr>
        <w:trPr>
          <w:trHeight w:val="200"/>
        </w:trPr>
        <w:tc>
          <w:tcPr>
            <w:tcW w:w="8040" w:type="dxa"/>
            <w:vAlign w:val="bottom"/>
          </w:tcPr>
          <w:p>
            <w:pPr>
              <w:ind w:left="680"/>
              <w:spacing w:after="0"/>
              <w:rPr>
                <w:sz w:val="20"/>
                <w:szCs w:val="20"/>
                <w:color w:val="auto"/>
              </w:rPr>
            </w:pPr>
            <w:r>
              <w:rPr>
                <w:rFonts w:ascii="Arial" w:cs="Arial" w:eastAsia="Arial" w:hAnsi="Arial"/>
                <w:sz w:val="14"/>
                <w:szCs w:val="14"/>
                <w:b w:val="1"/>
                <w:bCs w:val="1"/>
                <w:color w:val="auto"/>
              </w:rPr>
              <w:t>Total assets</w:t>
            </w: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61,783</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63,058</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maturities of long-term debt and finance leases</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2,455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2,353</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salaries and wages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Air traffic liability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6,759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6,200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Loyalty program liability</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accrued liabilities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92"/>
        </w:trPr>
        <w:tc>
          <w:tcPr>
            <w:tcW w:w="8040" w:type="dxa"/>
            <w:vAlign w:val="bottom"/>
          </w:tcPr>
          <w:p>
            <w:pPr>
              <w:ind w:left="480"/>
              <w:spacing w:after="0"/>
              <w:rPr>
                <w:sz w:val="20"/>
                <w:szCs w:val="20"/>
                <w:color w:val="auto"/>
              </w:rPr>
            </w:pPr>
            <w:r>
              <w:rPr>
                <w:rFonts w:ascii="Arial" w:cs="Arial" w:eastAsia="Arial" w:hAnsi="Arial"/>
                <w:sz w:val="14"/>
                <w:szCs w:val="14"/>
                <w:color w:val="auto"/>
              </w:rPr>
              <w:t>Total current liabilities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24,295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22,062</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Long-term debt and finance leases, net of current maturities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25,154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29,270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and postretirement benefits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Loyalty program liability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6,498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5,874</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6,452</w:t>
            </w: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00"/>
        </w:trPr>
        <w:tc>
          <w:tcPr>
            <w:tcW w:w="8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noncurrent liabilities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46,198</w:t>
            </w: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11)</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40" w:type="dxa"/>
            <w:vAlign w:val="bottom"/>
          </w:tcPr>
          <w:p>
            <w:pPr>
              <w:ind w:left="220"/>
              <w:spacing w:after="0" w:line="149" w:lineRule="exact"/>
              <w:rPr>
                <w:sz w:val="20"/>
                <w:szCs w:val="20"/>
                <w:color w:val="auto"/>
              </w:rPr>
            </w:pPr>
            <w:r>
              <w:rPr>
                <w:rFonts w:ascii="Arial" w:cs="Arial" w:eastAsia="Arial" w:hAnsi="Arial"/>
                <w:sz w:val="14"/>
                <w:szCs w:val="14"/>
                <w:color w:val="auto"/>
              </w:rPr>
              <w:t>Common stock, $0.01 par value; 1,750,000,000 shares authorized, 657,566,166 shares issued and outstanding at</w:t>
            </w:r>
          </w:p>
        </w:tc>
        <w:tc>
          <w:tcPr>
            <w:tcW w:w="9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8040" w:type="dxa"/>
            <w:vAlign w:val="bottom"/>
          </w:tcPr>
          <w:p>
            <w:pPr>
              <w:ind w:left="220"/>
              <w:spacing w:after="0"/>
              <w:rPr>
                <w:sz w:val="20"/>
                <w:szCs w:val="20"/>
                <w:color w:val="auto"/>
              </w:rPr>
            </w:pPr>
            <w:r>
              <w:rPr>
                <w:rFonts w:ascii="Arial" w:cs="Arial" w:eastAsia="Arial" w:hAnsi="Arial"/>
                <w:sz w:val="14"/>
                <w:szCs w:val="14"/>
                <w:color w:val="auto"/>
              </w:rPr>
              <w:t>December 31, 2024; 654,273,192 shares issued and outstanding at December 31, 2023</w:t>
            </w:r>
          </w:p>
        </w:tc>
        <w:tc>
          <w:tcPr>
            <w:tcW w:w="9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7,374</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(4,565)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(4,894)</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deficit</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(7,689)</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stockholders’ deficit</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(5,202)</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61,783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63,058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363" w:right="3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46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0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2,298</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Debt extinguishment costs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Special items, net non-cash</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Pension and postretirement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Deferred income tax provision</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Share-based compensation, non-cash</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Other, net</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Changes in operating assets and liabilities: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40" w:type="dxa"/>
            <w:vAlign w:val="bottom"/>
            <w:gridSpan w:val="2"/>
          </w:tcPr>
          <w:p>
            <w:pPr>
              <w:ind w:left="340"/>
              <w:spacing w:after="0"/>
              <w:rPr>
                <w:sz w:val="20"/>
                <w:szCs w:val="20"/>
                <w:color w:val="auto"/>
              </w:rPr>
            </w:pPr>
            <w:r>
              <w:rPr>
                <w:rFonts w:ascii="Arial" w:cs="Arial" w:eastAsia="Arial" w:hAnsi="Arial"/>
                <w:sz w:val="14"/>
                <w:szCs w:val="14"/>
                <w:color w:val="auto"/>
              </w:rPr>
              <w:t>Decrease (increase) in accounts receivable</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(637)</w:t>
            </w:r>
          </w:p>
        </w:tc>
      </w:tr>
      <w:tr>
        <w:trPr>
          <w:trHeight w:val="206"/>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Increase in other assets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r>
      <w:tr>
        <w:trPr>
          <w:trHeight w:val="198"/>
        </w:trPr>
        <w:tc>
          <w:tcPr>
            <w:tcW w:w="6740" w:type="dxa"/>
            <w:vAlign w:val="bottom"/>
            <w:gridSpan w:val="2"/>
          </w:tcPr>
          <w:p>
            <w:pPr>
              <w:ind w:left="340"/>
              <w:spacing w:after="0"/>
              <w:rPr>
                <w:sz w:val="20"/>
                <w:szCs w:val="20"/>
                <w:color w:val="auto"/>
              </w:rPr>
            </w:pPr>
            <w:r>
              <w:rPr>
                <w:rFonts w:ascii="Arial" w:cs="Arial" w:eastAsia="Arial" w:hAnsi="Arial"/>
                <w:sz w:val="14"/>
                <w:szCs w:val="14"/>
                <w:color w:val="auto"/>
              </w:rPr>
              <w:t>Increase in accounts payable</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206"/>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Increase (decrease) in air traffic liability</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r>
      <w:tr>
        <w:trPr>
          <w:trHeight w:val="198"/>
        </w:trPr>
        <w:tc>
          <w:tcPr>
            <w:tcW w:w="6740" w:type="dxa"/>
            <w:vAlign w:val="bottom"/>
            <w:gridSpan w:val="2"/>
          </w:tcPr>
          <w:p>
            <w:pPr>
              <w:ind w:left="340"/>
              <w:spacing w:after="0"/>
              <w:rPr>
                <w:sz w:val="20"/>
                <w:szCs w:val="20"/>
                <w:color w:val="auto"/>
              </w:rPr>
            </w:pPr>
            <w:r>
              <w:rPr>
                <w:rFonts w:ascii="Arial" w:cs="Arial" w:eastAsia="Arial" w:hAnsi="Arial"/>
                <w:sz w:val="14"/>
                <w:szCs w:val="14"/>
                <w:color w:val="auto"/>
              </w:rPr>
              <w:t>Increase in loyalty program liability</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6"/>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Contributions to pension plans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6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Increase (decrease) in other liabilities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r>
      <w:tr>
        <w:trPr>
          <w:trHeight w:val="200"/>
        </w:trPr>
        <w:tc>
          <w:tcPr>
            <w:tcW w:w="67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w:t>
            </w:r>
          </w:p>
        </w:tc>
      </w:tr>
      <w:tr>
        <w:trPr>
          <w:trHeight w:val="201"/>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Capital expenditures and aircraft purchase deposits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w:t>
            </w:r>
          </w:p>
        </w:tc>
      </w:tr>
      <w:tr>
        <w:trPr>
          <w:trHeight w:val="198"/>
        </w:trPr>
        <w:tc>
          <w:tcPr>
            <w:tcW w:w="6740" w:type="dxa"/>
            <w:vAlign w:val="bottom"/>
            <w:gridSpan w:val="2"/>
          </w:tcPr>
          <w:p>
            <w:pPr>
              <w:ind w:left="240"/>
              <w:spacing w:after="0"/>
              <w:rPr>
                <w:sz w:val="20"/>
                <w:szCs w:val="20"/>
                <w:color w:val="auto"/>
              </w:rPr>
            </w:pPr>
            <w:r>
              <w:rPr>
                <w:rFonts w:ascii="Arial" w:cs="Arial" w:eastAsia="Arial" w:hAnsi="Arial"/>
                <w:sz w:val="14"/>
                <w:szCs w:val="14"/>
                <w:color w:val="auto"/>
              </w:rPr>
              <w:t>Proceeds from sale-leaseback transactions and sale of property and equipment</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Sales of short-term investments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14,972</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Purchases of short-term investments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(11,257)</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Decrease in restricted short-term investments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Purchase of equity investments</w:t>
            </w:r>
          </w:p>
        </w:tc>
        <w:tc>
          <w:tcPr>
            <w:tcW w:w="9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investing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r>
      <w:tr>
        <w:trPr>
          <w:trHeight w:val="192"/>
        </w:trPr>
        <w:tc>
          <w:tcPr>
            <w:tcW w:w="6740" w:type="dxa"/>
            <w:vAlign w:val="bottom"/>
            <w:gridSpan w:val="2"/>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636</w:t>
            </w:r>
          </w:p>
        </w:tc>
      </w:tr>
      <w:tr>
        <w:trPr>
          <w:trHeight w:val="20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Payments on long-term debt and finance leases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(3,752)</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r>
      <w:tr>
        <w:trPr>
          <w:trHeight w:val="198"/>
        </w:trPr>
        <w:tc>
          <w:tcPr>
            <w:tcW w:w="6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financing activities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00"/>
        </w:trPr>
        <w:tc>
          <w:tcPr>
            <w:tcW w:w="67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(2,631)</w:t>
            </w:r>
          </w:p>
        </w:tc>
      </w:tr>
      <w:tr>
        <w:trPr>
          <w:trHeight w:val="192"/>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Net increase in cash and restricted cash</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02"/>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restricted cash at beginning of year</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200"/>
        </w:trPr>
        <w:tc>
          <w:tcPr>
            <w:tcW w:w="6740" w:type="dxa"/>
            <w:vAlign w:val="bottom"/>
            <w:gridSpan w:val="2"/>
          </w:tcPr>
          <w:p>
            <w:pPr>
              <w:ind w:left="20"/>
              <w:spacing w:after="0" w:line="200" w:lineRule="exact"/>
              <w:rPr>
                <w:sz w:val="20"/>
                <w:szCs w:val="20"/>
                <w:color w:val="auto"/>
              </w:rPr>
            </w:pPr>
            <w:r>
              <w:rPr>
                <w:rFonts w:ascii="Arial" w:cs="Arial" w:eastAsia="Arial" w:hAnsi="Arial"/>
                <w:sz w:val="14"/>
                <w:szCs w:val="14"/>
                <w:color w:val="auto"/>
              </w:rPr>
              <w:t xml:space="preserve">Cash and restricted cash at end of year </w:t>
            </w:r>
            <w:r>
              <w:rPr>
                <w:rFonts w:ascii="Arial" w:cs="Arial" w:eastAsia="Arial" w:hAnsi="Arial"/>
                <w:sz w:val="18"/>
                <w:szCs w:val="18"/>
                <w:color w:val="auto"/>
                <w:vertAlign w:val="superscript"/>
              </w:rPr>
              <w:t>(a)</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r>
      <w:tr>
        <w:trPr>
          <w:trHeight w:val="20"/>
        </w:trPr>
        <w:tc>
          <w:tcPr>
            <w:tcW w:w="2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4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85"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The following table provides a reconciliation of cash and restricted cash to amounts reported within the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9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restricted cash and short-term investments</w:t>
            </w:r>
          </w:p>
        </w:tc>
        <w:tc>
          <w:tcPr>
            <w:tcW w:w="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225"/>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cash and restricted cash</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2,914,866 shares of AAG common stock pursuant to employee</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6"/>
                <w:szCs w:val="16"/>
                <w:b w:val="1"/>
                <w:bCs w:val="1"/>
                <w:color w:val="auto"/>
              </w:rPr>
              <w:t>Balance at December 31, 2022</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Other comprehensive loss, net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3,630,731 shares of AAG common stock pursuant to employee</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6"/>
                <w:szCs w:val="16"/>
                <w:b w:val="1"/>
                <w:bCs w:val="1"/>
                <w:color w:val="auto"/>
              </w:rPr>
              <w:t>Balance at December 31, 2023</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(7,689)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Other comprehensive income, net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3,292,974 shares of AAG common stock pursuant to employee</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Modification of share-based awards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b w:val="1"/>
                <w:bCs w:val="1"/>
                <w:color w:val="auto"/>
              </w:rPr>
              <w:t>Balance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51"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1" w:lineRule="exact"/>
        <w:rPr>
          <w:rFonts w:ascii="Arial" w:cs="Arial" w:eastAsia="Arial" w:hAnsi="Arial"/>
          <w:sz w:val="18"/>
          <w:szCs w:val="18"/>
          <w:b w:val="1"/>
          <w:bCs w:val="1"/>
          <w:color w:val="auto"/>
        </w:rPr>
      </w:pPr>
    </w:p>
    <w:p>
      <w:pPr>
        <w:ind w:left="520" w:hanging="269"/>
        <w:spacing w:after="0"/>
        <w:tabs>
          <w:tab w:leader="none" w:pos="520" w:val="left"/>
        </w:tabs>
        <w:numPr>
          <w:ilvl w:val="1"/>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Airlines Group Inc. (we, us, our and similar terms, or AAG), a Delaware corporation, is a holding company whose primary business activity is the operation of a major network air carrier, providing scheduled air transportation for passengers and cargo through its mainline operating subsidiary, American Airlines, Inc. (American) and its wholly-owned regional airline subsidiaries, Envoy Aviation Group Inc., PSA Airlines, Inc. (PSA) and Piedmont Airlines, Inc. (Piedmont), that operate under the brand American Eagle. All significant intercompany transactions have been eliminated.</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 Certain prior year amounts within “changes in operating assets and liabilities” presented in the consolidated statement of cash flows have been reclassified to conform to current year presentation. This change in the presentation on the consolidated statement of cash flows had no impact on net cash provided by operating activities or net change in cash and restricted cash.</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2023-09: Income Taxes (Topic 740) Improvements to Income Tax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of income tax information through improvements to income tax disclosures primarily related to the rate reconciliation and income taxes paid information, as well as improvements to the effectiveness and comparability of other income tax disclosures. The amendments in this update are effective for annual periods beginning after December 15, 2024, and early adoption is permitted. We are currently evaluating how the adoption of this standard will impact our income tax disclosures.</w:t>
      </w:r>
    </w:p>
    <w:p>
      <w:pPr>
        <w:spacing w:after="0" w:line="204" w:lineRule="exact"/>
        <w:rPr>
          <w:sz w:val="20"/>
          <w:szCs w:val="20"/>
          <w:color w:val="auto"/>
        </w:rPr>
      </w:pPr>
    </w:p>
    <w:p>
      <w:pPr>
        <w:ind w:right="900" w:firstLine="243"/>
        <w:spacing w:after="0" w:line="284" w:lineRule="auto"/>
        <w:rPr>
          <w:sz w:val="20"/>
          <w:szCs w:val="20"/>
          <w:color w:val="auto"/>
        </w:rPr>
      </w:pPr>
      <w:r>
        <w:rPr>
          <w:rFonts w:ascii="Arial" w:cs="Arial" w:eastAsia="Arial" w:hAnsi="Arial"/>
          <w:sz w:val="18"/>
          <w:szCs w:val="18"/>
          <w:i w:val="1"/>
          <w:iCs w:val="1"/>
          <w:color w:val="auto"/>
        </w:rPr>
        <w:t>ASU 2024-03: Income Statement - Reporting Comprehensive Income - Expense Disaggregation Disclosures (Subtopic 220-04) Disaggregation of Income Statement Expenses</w:t>
      </w:r>
    </w:p>
    <w:p>
      <w:pPr>
        <w:spacing w:after="0" w:line="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in reporting by requiring disaggregation of certain costs and expenses in the notes to financial statements. This update is effective for annual periods beginning after December 15, 2026 and interim periods within annual periods beginning after December 15, 2027, and early adoption is permitted. We are currently evaluating how the adoption of this standard will impact our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Investments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Short-term investments primarily include debt securities and are classified as available-for-sale and stated at fair value. Realized gains and losses are recorded as interest income in nonoperating expense, net on our consolidated statements of operations. Unrealized gains and losses are recorded as a component of accumulated other comprehensive loss on our consolidated balance sheets. For investments in an unrealized loss position, we determine whether a credit loss exists by considering information about the collectability of the instrument, current market conditions and reasonable and supportable forecasts of economic conditions. There have been no credit losses.</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Equity investments are accounted for under the equity method if we are able to exercise significant influence over an investee. Equity investments for which we do not have significant influence are recorded at fair value or at cost, if fair value is not readily determinable, with adjustments for observable changes in price or impairments (referred to as the measurement alternative). Our equity investments are reflected in other assets on our consolidated balance sheets. Our share of equity method investees’ financial results and changes in fair value are recorded in nonoperating other income (expense), net on the consolidated statements of operations. See Note 8 for additional information related to our equity investments.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Restricted Cash and Short-term Investments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have restricted cash and short-term investments related primarily to collateral held to support workers’ compensation obligations and collateral associated with the AAdvantage Financing. See Note 4 for further information on the AAdvantage Financing.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Accounts Receivable, Net</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Accounts receivable primarily consist of amounts due from credit card processing companies for tickets sold to individual passengers, amounts due from airline and non-airline business partners, including our co-branded credit card partners and cargo customers. Receivables from ticket sales are short-term, mostly settled within seven days after sale. Receivables from our business partners are typically settled within 30 days. All accounts receivable are reported net of an allowance for credit losses, which was not material as of December 31, 2024 and 2023. We consider past and future financial and qualitative factors, including aging, payment history and other credit monitoring indicators, when establishing the allowance for credit losses.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Aircraft Fuel, Spare Parts and Supplies, Net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which is recognized over the weighted average remaining useful life of the related fleet. We also provide an allowance for spare parts and supplies identified as excess or obsolete to reduce the carrying cost to the lower of cost or net realizable value. Aircraft fuel, spare parts and supplies are expensed when used.</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Operating Property and Equipment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other equipment</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15 years</w:t>
            </w:r>
          </w:p>
        </w:tc>
      </w:tr>
      <w:tr>
        <w:trPr>
          <w:trHeight w:val="239"/>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10 years</w:t>
            </w:r>
          </w:p>
        </w:tc>
      </w:tr>
    </w:tbl>
    <w:p>
      <w:pPr>
        <w:spacing w:after="0" w:line="21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Total mainline and regional depreciation and amortization expense was $2.2 billion for the year ended December 31, 2024 and $2.3 billion for each of the years ended December 31, 2023 and 2022.</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assess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We group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our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Leases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current operating lease liabilities and noncurrent operating lease liabilities on our consolidated balance sheets. Finance leases are included in property and equipment, current maturities of long-term debt and finance leases and long-term debt and finance leases, net of current maturities, on our consolidated balance sheets.</w:t>
      </w:r>
    </w:p>
    <w:p>
      <w:pPr>
        <w:spacing w:after="0" w:line="121"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recognized at the lease commencement date based on the estimated present value of lease payments over the lease term.</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lease payments. We give consideration to our recent debt issuances as well as publicly available data for instruments with similar characteristics when calculating our incremental borrowing rates.</w:t>
      </w:r>
    </w:p>
    <w:p>
      <w:pPr>
        <w:sectPr>
          <w:pgSz w:w="11900" w:h="16838" w:orient="portrait"/>
          <w:cols w:equalWidth="0" w:num="1">
            <w:col w:w="11240"/>
          </w:cols>
          <w:pgMar w:left="320" w:top="121"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Our lease term includes options to extend the lease when it is reasonably certain that we will exercise that option. Leases with a term of 12 months or less are not recorded on our consolidated balance sheets.</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certain of our capacity purchase agreements with third-party regional carriers, we do not own the underlying aircraft. However, since we control the marketing, scheduling, ticketing, pricing and seat inventories of these aircraft and therefore control the asset, the aircraft is deemed to be leased for accounting purposes. For these capacity purchase agreements, we account for the lease and non-lease components separately. The lease component consists of the aircraft and the non-lease components consist of services, such as the crew and maintenance. Where applicable, we allocate the consideration in the capacity purchase agreements to the lease and non-lease components using their estimated relative standalone prices. See Note 11(b) for additional information on our capacity purchase agreements.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real estate, we account for the lease and non-lease components as a single lease component.</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 Income Taxes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on our consolidated balance sheets.</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a valuation allowance for our deferred tax assets, which include our NOLs and other carryforwards,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 Goodwill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represents the purchase price in excess of the fair value of the net assets acquired and liabilities assumed in connection with the 2013 merger with US Airways Group, Inc. (US Airways Group). We have one reporting unit. We assess goodwill for impairment annually or more frequently if events or circumstances indicate that the fair value of goodwill may be lower than the carrying value. Our annual assessment date is October 1.</w:t>
      </w:r>
    </w:p>
    <w:p>
      <w:pPr>
        <w:spacing w:after="0" w:line="1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is assessed for impairment by initially performing a qualitative assessment. If we determine that it is more likely than not that our goodwill may be impaired, we use a quantitative approach to assess the asset’s fair value and the amount of the impairment, if any. Based upon our annual assessment, there was no goodwill impairment in 2024. The carrying value of our goodwill on our consolidated balance sheets was $4.1 billion as of December 31, 2024 and 2023.</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 Other Intangibles, Net</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Intangible assets consist of certain domestic airport slots and gate leasehold rights, international slots and route authorities, commercial agreements, marketing agreements, customer relationships and tradenames.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Definite-lived intangible assets are originally recorded at their acquired fair values, subsequently amortized over their respective estimated useful lives and are assessed for impairment whenever events and circumstances indicate that the assets may be impaired.</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Certain marketing agreements were identified as intangible assets subject to amortization and are amortized on a straight-line basis over approximately 30 years. We had $101 million and $108 million of definite-lived intangible assets, net of accumulated amortization on our consolidated balance sheets as of December 31, 2024 and 2023, respectively. We expect to record amortization expense related to these assets of approximately $6 million for each of the years in 2025 through 2029, and $70 million of amortization expense in 2030 and thereafter until fully amortized.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Indefinite-lived intangible assets include certain domestic airport slots, international slots and route authorities and our commercial agreement with GOL Linhas Aéreas Inteligentes S.A. (GOL). We assess indefinite-lived intangible assets for impairment annually or more frequently if events or circumstances indicate that the fair values of indefinite-lived intangible assets may be lower than their carrying values. Our annual assessment date is October 1.</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If we determine that it is more likely than not that our indefinite-lived intangible assets may be impaired, we use a quantitative approach to assess the asset’s fair value and the amount of the impairment, if any. Based upon our annual assessment, there were no indefinite-lived intangible asset impairments in 2024. We had $1.9 billion of indefinite-lived intangible assets on our consolidated balance sheets as of December 31, 2024 and 2023.</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 Fuel Financing</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December 2024, we entered into a fuel financing facility with a bank pursuant to which the bank pays certain fuel invoices on our behalf. The agreement contains a maximum allowable outstanding principal balance at any time of $1.0 billion and is required to be repaid at least quarterly. The fuel financing facility bears interest at a base rate equal to one-month Secured Overnight Financing Rate (SOFR) plus a margin of 3.75%. Our obligations to the counterparty are secured on a second-priority basis by certain intellectual property of American, including the “American Airlines” trademark and the “aa.com” domain name in the United States and certain foreign jurisdictions, as provided in, and subject to the covenants and conditions of, the Second Lien Brand Collateral Security Agreement. Either American or the bank may terminate this agreement at any time and with immediate effect upon sixty days’ prior written notice to the other party. As of December 31, 2024, we had $74 million in fuel financing obligations included within other accrued liabilities on our consolidated balance sheet. During the year ended December 31, 2024, we recognized a nominal amount of interest expense related to this agreement.</w:t>
      </w:r>
    </w:p>
    <w:p>
      <w:pPr>
        <w:spacing w:after="0" w:line="13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include payments to designated fuel suppliers as an operating activity in the consolidated statement of cash flows. Proceeds and payments related to fuel financing transactions are presented net as a financing activity in the consolidated statement of cash flows.</w:t>
      </w:r>
    </w:p>
    <w:p>
      <w:pPr>
        <w:spacing w:after="0" w:line="183" w:lineRule="exact"/>
        <w:rPr>
          <w:sz w:val="20"/>
          <w:szCs w:val="20"/>
          <w:color w:val="auto"/>
        </w:rPr>
      </w:pPr>
    </w:p>
    <w:p>
      <w:pPr>
        <w:ind w:left="260" w:right="8820" w:hanging="9"/>
        <w:spacing w:after="0" w:line="342" w:lineRule="auto"/>
        <w:tabs>
          <w:tab w:leader="none" w:pos="589"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spacing w:after="0" w:line="1"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our operating revenues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1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45,743</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44,914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41,425</w:t>
            </w:r>
          </w:p>
        </w:tc>
      </w:tr>
      <w:tr>
        <w:trPr>
          <w:trHeight w:val="229"/>
        </w:trPr>
        <w:tc>
          <w:tcPr>
            <w:tcW w:w="6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r>
      <w:tr>
        <w:trPr>
          <w:trHeight w:val="223"/>
        </w:trPr>
        <w:tc>
          <w:tcPr>
            <w:tcW w:w="64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44,568</w:t>
            </w:r>
          </w:p>
        </w:tc>
      </w:tr>
      <w:tr>
        <w:trPr>
          <w:trHeight w:val="22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29"/>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6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23"/>
        </w:trPr>
        <w:tc>
          <w:tcPr>
            <w:tcW w:w="64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48,971</w:t>
            </w:r>
          </w:p>
        </w:tc>
      </w:tr>
      <w:tr>
        <w:trPr>
          <w:trHeight w:val="20"/>
        </w:trPr>
        <w:tc>
          <w:tcPr>
            <w:tcW w:w="2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below for further discussion on these mileage credits.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6,150</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48"/>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Passenger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The estimate for tickets expected to expire unused is generally based on an analysis of our historical data and other current applicable factors such as policy changes.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2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Loyalty Revenue</w:t>
      </w:r>
    </w:p>
    <w:p>
      <w:pPr>
        <w:spacing w:after="0" w:line="90"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8"/>
          <w:szCs w:val="18"/>
          <w:color w:val="auto"/>
        </w:rPr>
        <w:t>We currently operate the loyalty program,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our co-branded credit cards,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hotels and car rental companies. Mileage credits can be redeemed for travel on American and other participating partner airlines, as well as non-air travel awards such as hotels and rental cars. For mileage credits earned by AAdvantage program members, we apply the deferred revenue method.</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remaining terms generally from one to 10 years as of December 31, 2024. Consideration received from the sale of mileage credits is predominantly variable and payment terms typically are within 30 days subsequent to the month of mileage sale. Sales of mileage credits to non-airline business partners are comprised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of two components, transportation and marketing. We allocate the consideration received from these sales of mileage credits based on the relative selling price of each product or service delivered.</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most significant mileage credit partner agreements are our co-branded credit card agreements with Citibank N.A. (Citi) and Barclaycard US. We identified two revenue elements in these co-branded credit card agreements: the transportation component and the marketing component. In December 2024, we announced a 10-year agreement with Citi to become the exclusive issuer of the AAdvantage co-branded credit card portfolio in the U.S. starting in 2026. Based on the revised terms, the products and services delivered are generally consistent with our previous agreement, and we will continue to allocate the consideration received based on the relative selling prices of these products and services.</w:t>
      </w:r>
    </w:p>
    <w:p>
      <w:pPr>
        <w:spacing w:after="0" w:line="126"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and other travel-related benefits. We recognize the marketing component in other revenue in the period of the mileage credit sale following the sales-based royalty method.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Cargo Revenue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other commission revenue, advertising and vacation-related services.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air travel, non-air travel and other awards, reported as loyalty program liability on our consolidated balance sheets and (2) ticket sales for transportation that has not yet been provided, reported as air traffic liability on our consolidated balance sheets.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196"/>
        </w:trPr>
        <w:tc>
          <w:tcPr>
            <w:tcW w:w="7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-615950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ectPr>
          <w:pgSz w:w="11900" w:h="16838" w:orient="portrait"/>
          <w:cols w:equalWidth="0" w:num="1">
            <w:col w:w="11240"/>
          </w:cols>
          <w:pgMar w:left="320" w:top="121"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Balance at December 31, 2024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242" w:hanging="1242"/>
        <w:spacing w:after="0"/>
        <w:tabs>
          <w:tab w:leader="none" w:pos="12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9,327</w:t>
      </w:r>
    </w:p>
    <w:p>
      <w:pPr>
        <w:spacing w:after="0" w:line="31" w:lineRule="exact"/>
        <w:rPr>
          <w:rFonts w:ascii="Arial" w:cs="Arial" w:eastAsia="Arial" w:hAnsi="Arial"/>
          <w:sz w:val="18"/>
          <w:szCs w:val="18"/>
          <w:color w:val="auto"/>
        </w:rPr>
      </w:pPr>
    </w:p>
    <w:p>
      <w:pPr>
        <w:ind w:left="1242"/>
        <w:spacing w:after="0"/>
        <w:rPr>
          <w:rFonts w:ascii="Arial" w:cs="Arial" w:eastAsia="Arial" w:hAnsi="Arial"/>
          <w:sz w:val="18"/>
          <w:szCs w:val="18"/>
          <w:color w:val="auto"/>
        </w:rPr>
      </w:pPr>
      <w:r>
        <w:rPr>
          <w:rFonts w:ascii="Arial" w:cs="Arial" w:eastAsia="Arial" w:hAnsi="Arial"/>
          <w:sz w:val="18"/>
          <w:szCs w:val="18"/>
          <w:color w:val="auto"/>
        </w:rPr>
        <w:t>4,482</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130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6" w:lineRule="exact"/>
        <w:rPr>
          <w:sz w:val="20"/>
          <w:szCs w:val="20"/>
          <w:color w:val="auto"/>
        </w:rPr>
      </w:pPr>
    </w:p>
    <w:p>
      <w:pPr>
        <w:ind w:left="1142" w:hanging="1142"/>
        <w:spacing w:after="0"/>
        <w:tabs>
          <w:tab w:leader="none" w:pos="11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1130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303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303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758" w:space="720"/>
            <w:col w:w="1762"/>
          </w:cols>
          <w:pgMar w:left="320" w:top="121" w:right="339" w:bottom="1440" w:gutter="0" w:footer="0" w:header="0"/>
          <w:type w:val="continuous"/>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13100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340" w:hanging="332"/>
        <w:spacing w:after="0"/>
        <w:tabs>
          <w:tab w:leader="none" w:pos="334"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39"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December 31, 2024, our current loyalty program liability was $3.6 billion and represents our current estimate of revenue expected to be recognized in the next 12 months based on historical trends, with the balance reflected in long-term loyalty program liability expected to be recognized as revenue in periods thereafter. Additionally, as of December 31, 2024, our loyalty program liability includes a one-time cash payment related to the new co-branded credit card agreement announced in December 2024, which will be amortized over the life of the new agreement beginning in 2026.</w:t>
      </w:r>
    </w:p>
    <w:p>
      <w:pPr>
        <w:spacing w:after="0" w:line="14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2024, $4.9 billion of revenue was recognized in passenger revenue that was included in our air traffic liability at December 31, 2023.</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 Maintenance, Materials and Repairs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certain power-by-the-hour maintenance agreements, which are charged to operating expense based on contractual terms when an obligation exists.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 Selling Expenses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$143 million, $114 million and $105 million for the years ended December 31, 2024, 2023 and 2022, respectively.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 Share-based Compensation</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account for our share-based compensation expense based on the fair value of the equity award at the time of grant, which is recognized ratably over the vesting period of the award. Certain awards have performance conditions that must be achieved prior to vesting and are expensed based on the expected achievement at each reporting period. The majority of our equity awards are time vested restricted stock units. For equity-classified awards, the fair value of such awards is based on the market price of the underlying shares of AAG common stock on the date of grant and is not subsequently remeasured unless modified. For liability-classified awards, the fair value of such awards is remeasured at the end of each reporting period until settled. See Note 14 for further discussion of share-based compensation.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 Foreign Currency Gains and Losses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Foreign currency gains and losses are recorded as part of other income (expense), net within total nonoperating expense, net on our consolidated statements of operations. For the years ended December 31, 2024, 2023 and 2022, foreign currency losses were $48 million, $30 million and $38 million, respectively.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 Other Operating Expenses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Other operating expenses includes costs associated with onboard food and catering, crew travel, ground and cargo handling, passenger accommodation, international navigation fees, aircraft cleaning, airport lounge operations and certain general and administrative expenses.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 Regional Expenses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in the form of capacity purchase agreements with our third-party regional partners and similar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arrangements with our wholly-owned regional affiliates. Expenses associated with American Eagle operations are classified as regional expenses on the consolidated statements of operations.</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Regional expenses for the years ended December 31, 2024, 2023 and 2022 include $319 million, $318 million and $321 million of depreciation and amortization, respectively, and $9 million, $7 million and $5 million of aircraft rent, respectively.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2023 and 2022, we recognized $612 million, $636 million and $592 million, respectively, of expense under our capacity purchase agreement with Republic Airways Inc. (Republic). We hold a 25% equity interest in Republic Airways Holdings Inc. (Republic Holdings), the parent company of Republic.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on our consolidated statements of operations consisted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A330 fleet-related adjustments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4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3"/>
                <w:szCs w:val="23"/>
                <w:color w:val="auto"/>
                <w:vertAlign w:val="superscript"/>
              </w:rPr>
              <w:t>(3)</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6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Debt refinancing and extinguishment </w:t>
            </w:r>
            <w:r>
              <w:rPr>
                <w:rFonts w:ascii="Arial" w:cs="Arial" w:eastAsia="Arial" w:hAnsi="Arial"/>
                <w:sz w:val="23"/>
                <w:szCs w:val="23"/>
                <w:color w:val="auto"/>
                <w:vertAlign w:val="superscript"/>
              </w:rPr>
              <w:t>(4)</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Nonoperating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6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3100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jc w:val="both"/>
        <w:ind w:left="340" w:hanging="332"/>
        <w:spacing w:after="0" w:line="237" w:lineRule="auto"/>
        <w:tabs>
          <w:tab w:leader="none" w:pos="33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2024 related to one-time charges resulting from the ratification of new collective bargaining agreements (CBAs) with our mainline flight attendants and passenger service team members, including one-time payments and adjustments to vacation accruals resulting from pay rate increases.</w:t>
      </w:r>
    </w:p>
    <w:p>
      <w:pPr>
        <w:spacing w:after="0" w:line="139" w:lineRule="exact"/>
        <w:rPr>
          <w:rFonts w:ascii="Arial" w:cs="Arial" w:eastAsia="Arial" w:hAnsi="Arial"/>
          <w:sz w:val="23"/>
          <w:szCs w:val="23"/>
          <w:color w:val="auto"/>
          <w:vertAlign w:val="superscript"/>
        </w:rPr>
      </w:pPr>
    </w:p>
    <w:p>
      <w:pPr>
        <w:ind w:left="340" w:right="2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2023 related to one-time charges resulting from the ratification of a new CBA with our mainline pilots, including a one-time payment of $754 million as well as adjustments to other benefit-related items of $235 million.</w:t>
      </w:r>
    </w:p>
    <w:p>
      <w:pPr>
        <w:spacing w:after="0" w:line="9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We retired our Airbus A330 fleet in 2020 as a result of the decline in demand for air travel due to the COVID-19 pandemic. In 2022, we recorded a non-cash impairment charge to write down the carrying value of our retired Airbus A330 fleet to their then estimated fair value due to the market conditions for certain used aircraft, and in 2024, we entered into a sales agreement for our remaining Airbus A330 aircraft, resulting in a $42 million gain.</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Regional operating special items, net for 2024 included a $33 million non-cash write down of regional aircraft resulting from the decision to permanently park 43 Embraer 145 aircraft.</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Debt refinancing and extinguishment costs in 2023 primarily included cash charges for premiums paid in connection with the early repayment of debt.</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net unrealized gains and losses associated with certain equity investments. See Note 8 for further information related to our equity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following table provides the computation of basic and diluted earnings per common share (EPS) (in millions,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846</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656,996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653,612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650,345</w:t>
            </w:r>
          </w:p>
        </w:tc>
        <w:tc>
          <w:tcPr>
            <w:tcW w:w="0" w:type="dxa"/>
            <w:vAlign w:val="bottom"/>
          </w:tcPr>
          <w:p>
            <w:pPr>
              <w:spacing w:after="0"/>
              <w:rPr>
                <w:sz w:val="1"/>
                <w:szCs w:val="1"/>
                <w:color w:val="auto"/>
              </w:rPr>
            </w:pP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Basic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purposes of computing diluted EPS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650,345</w:t>
            </w: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Dilutive effect of restricted stock unit awards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certain PSP Warrants and Treasury Loan Warrants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Assumed conversion of 6.50% convertible senior notes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721,300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719,669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655,122</w:t>
            </w:r>
          </w:p>
        </w:tc>
        <w:tc>
          <w:tcPr>
            <w:tcW w:w="0" w:type="dxa"/>
            <w:vAlign w:val="bottom"/>
          </w:tcPr>
          <w:p>
            <w:pPr>
              <w:spacing w:after="0"/>
              <w:rPr>
                <w:sz w:val="1"/>
                <w:szCs w:val="1"/>
                <w:color w:val="auto"/>
              </w:rPr>
            </w:pPr>
          </w:p>
        </w:tc>
      </w:tr>
      <w:tr>
        <w:trPr>
          <w:trHeight w:val="223"/>
        </w:trPr>
        <w:tc>
          <w:tcPr>
            <w:tcW w:w="644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14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6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6.50% convertible senior notes</w:t>
            </w:r>
          </w:p>
        </w:tc>
        <w:tc>
          <w:tcPr>
            <w:tcW w:w="1620" w:type="dxa"/>
            <w:vAlign w:val="bottom"/>
            <w:gridSpan w:val="3"/>
          </w:tcPr>
          <w:p>
            <w:pPr>
              <w:jc w:val="right"/>
              <w:ind w:right="1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61,728</w:t>
            </w:r>
          </w:p>
        </w:tc>
      </w:tr>
    </w:tbl>
    <w:p>
      <w:pPr>
        <w:spacing w:after="0" w:line="2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for the years ended December 31, 2024, 2023 and 2022, excluded from the calculation of diluted EPS because inclusion of such shares would be antidilutive, are certain shares underlying the warrants issued pursuant to (i) the payroll support program established under the Coronavirus Aid, Relief, and Economic Security Act (PSP1), (ii) the payroll support program established under the Subtitle A of Title IV of Division N of the Consolidated Appropriations Act, 2021 (PSP2), (iii) the payroll support program established under the American Rescue Plan Act of 2021 (PSP3) (collectively, the PSP Warrants) and (iv) the Loan and Guarantee Agreement with the U.S. Department of Treasury (Treasury Loan Warrants).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provides a summary of the PSP Warrants and the Treasury Loan Warrants: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2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Warrants Issued (shares, in</w:t>
            </w:r>
          </w:p>
        </w:tc>
        <w:tc>
          <w:tcPr>
            <w:tcW w:w="21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Exercise Price ($)</w:t>
            </w:r>
          </w:p>
        </w:tc>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3300" w:type="dxa"/>
            <w:vAlign w:val="bottom"/>
            <w:gridSpan w:val="2"/>
            <w:vMerge w:val="continue"/>
          </w:tcPr>
          <w:p>
            <w:pPr>
              <w:spacing w:after="0"/>
              <w:rPr>
                <w:sz w:val="17"/>
                <w:szCs w:val="17"/>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xml:space="preserve">thousands) </w:t>
            </w:r>
            <w:r>
              <w:rPr>
                <w:rFonts w:ascii="Arial" w:cs="Arial" w:eastAsia="Arial" w:hAnsi="Arial"/>
                <w:sz w:val="9"/>
                <w:szCs w:val="9"/>
                <w:b w:val="1"/>
                <w:bCs w:val="1"/>
                <w:color w:val="auto"/>
              </w:rPr>
              <w:t>(1)</w:t>
            </w:r>
          </w:p>
        </w:tc>
        <w:tc>
          <w:tcPr>
            <w:tcW w:w="2120" w:type="dxa"/>
            <w:vAlign w:val="bottom"/>
            <w:gridSpan w:val="2"/>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PSP1 Warrants</w:t>
            </w: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April 2025 to September 2025</w:t>
            </w:r>
          </w:p>
        </w:tc>
        <w:tc>
          <w:tcPr>
            <w:tcW w:w="0" w:type="dxa"/>
            <w:vAlign w:val="bottom"/>
          </w:tcPr>
          <w:p>
            <w:pPr>
              <w:spacing w:after="0"/>
              <w:rPr>
                <w:sz w:val="1"/>
                <w:szCs w:val="1"/>
                <w:color w:val="auto"/>
              </w:rPr>
            </w:pPr>
          </w:p>
        </w:tc>
      </w:tr>
      <w:tr>
        <w:trPr>
          <w:trHeight w:val="229"/>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PSP2 Warrants</w:t>
            </w:r>
          </w:p>
        </w:tc>
        <w:tc>
          <w:tcPr>
            <w:tcW w:w="2120" w:type="dxa"/>
            <w:vAlign w:val="bottom"/>
          </w:tcPr>
          <w:p>
            <w:pPr>
              <w:jc w:val="right"/>
              <w:spacing w:after="0"/>
              <w:rPr>
                <w:sz w:val="20"/>
                <w:szCs w:val="20"/>
                <w:color w:val="auto"/>
              </w:rPr>
            </w:pPr>
            <w:r>
              <w:rPr>
                <w:rFonts w:ascii="Arial" w:cs="Arial" w:eastAsia="Arial" w:hAnsi="Arial"/>
                <w:sz w:val="18"/>
                <w:szCs w:val="18"/>
                <w:color w:val="auto"/>
              </w:rPr>
              <w:t>6,576</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January 2026 to April 2026</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PSP3 Warrants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April 2026 to June 2026</w:t>
            </w:r>
          </w:p>
        </w:tc>
        <w:tc>
          <w:tcPr>
            <w:tcW w:w="0" w:type="dxa"/>
            <w:vAlign w:val="bottom"/>
          </w:tcPr>
          <w:p>
            <w:pPr>
              <w:spacing w:after="0"/>
              <w:rPr>
                <w:sz w:val="1"/>
                <w:szCs w:val="1"/>
                <w:color w:val="auto"/>
              </w:rPr>
            </w:pPr>
          </w:p>
        </w:tc>
      </w:tr>
      <w:tr>
        <w:trPr>
          <w:trHeight w:val="239"/>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Treasury Loan Warrants</w:t>
            </w:r>
          </w:p>
        </w:tc>
        <w:tc>
          <w:tcPr>
            <w:tcW w:w="2120" w:type="dxa"/>
            <w:vAlign w:val="bottom"/>
          </w:tcPr>
          <w:p>
            <w:pPr>
              <w:jc w:val="right"/>
              <w:spacing w:after="0"/>
              <w:rPr>
                <w:sz w:val="20"/>
                <w:szCs w:val="20"/>
                <w:color w:val="auto"/>
              </w:rPr>
            </w:pPr>
            <w:r>
              <w:rPr>
                <w:rFonts w:ascii="Arial" w:cs="Arial" w:eastAsia="Arial" w:hAnsi="Arial"/>
                <w:sz w:val="18"/>
                <w:szCs w:val="18"/>
                <w:color w:val="auto"/>
              </w:rPr>
              <w:t>4,396</w:t>
            </w:r>
          </w:p>
        </w:tc>
        <w:tc>
          <w:tcPr>
            <w:tcW w:w="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rPr>
              <w:t>September 2025</w:t>
            </w:r>
          </w:p>
        </w:tc>
        <w:tc>
          <w:tcPr>
            <w:tcW w:w="0" w:type="dxa"/>
            <w:vAlign w:val="bottom"/>
          </w:tcPr>
          <w:p>
            <w:pPr>
              <w:spacing w:after="0"/>
              <w:rPr>
                <w:sz w:val="1"/>
                <w:szCs w:val="1"/>
                <w:color w:val="auto"/>
              </w:rPr>
            </w:pPr>
          </w:p>
        </w:tc>
      </w:tr>
      <w:tr>
        <w:trPr>
          <w:trHeight w:val="723"/>
        </w:trPr>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jc w:val="right"/>
              <w:ind w:right="1733"/>
              <w:spacing w:after="0"/>
              <w:rPr>
                <w:sz w:val="20"/>
                <w:szCs w:val="20"/>
                <w:color w:val="auto"/>
              </w:rPr>
            </w:pPr>
            <w:r>
              <w:rPr>
                <w:rFonts w:ascii="Arial" w:cs="Arial" w:eastAsia="Arial" w:hAnsi="Arial"/>
                <w:sz w:val="18"/>
                <w:szCs w:val="18"/>
                <w:color w:val="auto"/>
                <w:w w:val="99"/>
              </w:rPr>
              <w:t>95</w:t>
            </w: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13100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340" w:hanging="332"/>
        <w:spacing w:after="0" w:line="242" w:lineRule="auto"/>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The PSP Warrants and the Treasury Loan Warrants are subject to certain anti-dilution provisions, do not have any voting rights and are freely transferable, with registration rights. Each warrant will be exercisable either through net share settlement or cash, at our option. The warrants were issued solely as compensation to the U.S. Government related to entry into the PSP and Treasury Loan Agreements. No separate proceeds (apart from the financial assistance previously received in 2021 and 2020) were received upon issuance of the warrants or will be received upon exercise thereof.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on our consolidated balance sheets consisted of (in millions):</w:t>
      </w:r>
    </w:p>
    <w:p>
      <w:pPr>
        <w:spacing w:after="0" w:line="18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23495</wp:posOffset>
            </wp:positionV>
            <wp:extent cx="19005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48"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ectPr>
          <w:pgSz w:w="11900" w:h="16838" w:orient="portrait"/>
          <w:cols w:equalWidth="0" w:num="1">
            <w:col w:w="11240"/>
          </w:cols>
          <w:pgMar w:left="320" w:top="122" w:right="33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tabs>
          <w:tab w:leader="none" w:pos="8240" w:val="left"/>
        </w:tabs>
        <w:rPr>
          <w:sz w:val="20"/>
          <w:szCs w:val="20"/>
          <w:color w:val="auto"/>
        </w:rPr>
      </w:pPr>
      <w:r>
        <w:rPr>
          <w:rFonts w:ascii="Arial" w:cs="Arial" w:eastAsia="Arial" w:hAnsi="Arial"/>
          <w:sz w:val="18"/>
          <w:szCs w:val="18"/>
          <w:color w:val="auto"/>
        </w:rPr>
        <w:t xml:space="preserve">2013 Term Loan Facility, variable interest rate of 6.65%, installments until due in February 2028 </w:t>
      </w:r>
      <w:r>
        <w:rPr>
          <w:rFonts w:ascii="Arial" w:cs="Arial" w:eastAsia="Arial" w:hAnsi="Arial"/>
          <w:sz w:val="23"/>
          <w:szCs w:val="23"/>
          <w:color w:val="auto"/>
          <w:vertAlign w:val="superscript"/>
        </w:rPr>
        <w:t>(a)</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08" w:lineRule="auto"/>
        <w:rPr>
          <w:sz w:val="20"/>
          <w:szCs w:val="20"/>
          <w:color w:val="auto"/>
        </w:rPr>
      </w:pPr>
      <w:r>
        <w:rPr>
          <w:rFonts w:ascii="Arial" w:cs="Arial" w:eastAsia="Arial" w:hAnsi="Arial"/>
          <w:sz w:val="18"/>
          <w:szCs w:val="18"/>
          <w:color w:val="auto"/>
        </w:rPr>
        <w:t xml:space="preserve">2014 Term Loan Facility, variable interest rate of 6.17%, installments until due in January 2027 </w:t>
      </w:r>
      <w:r>
        <w:rPr>
          <w:rFonts w:ascii="Arial" w:cs="Arial" w:eastAsia="Arial" w:hAnsi="Arial"/>
          <w:sz w:val="23"/>
          <w:szCs w:val="23"/>
          <w:color w:val="auto"/>
          <w:vertAlign w:val="superscript"/>
        </w:rPr>
        <w:t>(a)</w:t>
      </w:r>
    </w:p>
    <w:p>
      <w:pPr>
        <w:ind w:left="240"/>
        <w:spacing w:after="0" w:line="208" w:lineRule="auto"/>
        <w:rPr>
          <w:sz w:val="20"/>
          <w:szCs w:val="20"/>
          <w:color w:val="auto"/>
        </w:rPr>
      </w:pPr>
      <w:r>
        <w:rPr>
          <w:rFonts w:ascii="Arial" w:cs="Arial" w:eastAsia="Arial" w:hAnsi="Arial"/>
          <w:sz w:val="18"/>
          <w:szCs w:val="18"/>
          <w:color w:val="auto"/>
        </w:rPr>
        <w:t xml:space="preserve">2023 Term Loan Facility, variable interest rate of 6.96%, installments until due in June 2029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18" w:lineRule="auto"/>
        <w:rPr>
          <w:sz w:val="20"/>
          <w:szCs w:val="20"/>
          <w:color w:val="auto"/>
        </w:rPr>
      </w:pPr>
      <w:r>
        <w:rPr>
          <w:rFonts w:ascii="Arial" w:cs="Arial" w:eastAsia="Arial" w:hAnsi="Arial"/>
          <w:sz w:val="18"/>
          <w:szCs w:val="18"/>
          <w:color w:val="auto"/>
        </w:rPr>
        <w:t xml:space="preserve">10.75% senior secured IP notes, interest and principal payments due through February 2026 </w:t>
      </w:r>
      <w:r>
        <w:rPr>
          <w:rFonts w:ascii="Arial" w:cs="Arial" w:eastAsia="Arial" w:hAnsi="Arial"/>
          <w:sz w:val="23"/>
          <w:szCs w:val="23"/>
          <w:color w:val="auto"/>
          <w:vertAlign w:val="superscript"/>
        </w:rPr>
        <w:t>(b)</w:t>
      </w:r>
    </w:p>
    <w:p>
      <w:pPr>
        <w:ind w:left="240"/>
        <w:spacing w:after="0" w:line="200" w:lineRule="auto"/>
        <w:rPr>
          <w:sz w:val="20"/>
          <w:szCs w:val="20"/>
          <w:color w:val="auto"/>
        </w:rPr>
      </w:pPr>
      <w:r>
        <w:rPr>
          <w:rFonts w:ascii="Arial" w:cs="Arial" w:eastAsia="Arial" w:hAnsi="Arial"/>
          <w:sz w:val="13"/>
          <w:szCs w:val="13"/>
          <w:color w:val="auto"/>
        </w:rPr>
        <w:t>10.75% senior secured LGA/DCA notes, interest and principal payments due through February 2026</w:t>
      </w:r>
    </w:p>
    <w:p>
      <w:pPr>
        <w:ind w:left="400"/>
        <w:spacing w:after="0"/>
        <w:rPr>
          <w:sz w:val="20"/>
          <w:szCs w:val="20"/>
          <w:color w:val="auto"/>
        </w:rPr>
      </w:pPr>
      <w:r>
        <w:rPr>
          <w:rFonts w:ascii="Arial" w:cs="Arial" w:eastAsia="Arial" w:hAnsi="Arial"/>
          <w:sz w:val="12"/>
          <w:szCs w:val="12"/>
          <w:color w:val="auto"/>
        </w:rPr>
        <w:t>(b)</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7.25% senior secured notes, interest only payments until due in February 2028 </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08" w:lineRule="auto"/>
        <w:rPr>
          <w:sz w:val="20"/>
          <w:szCs w:val="20"/>
          <w:color w:val="auto"/>
        </w:rPr>
      </w:pPr>
      <w:r>
        <w:rPr>
          <w:rFonts w:ascii="Arial" w:cs="Arial" w:eastAsia="Arial" w:hAnsi="Arial"/>
          <w:sz w:val="18"/>
          <w:szCs w:val="18"/>
          <w:color w:val="auto"/>
        </w:rPr>
        <w:t xml:space="preserve">8.50% senior secured notes, interest only payments until due in May 2029 </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08" w:lineRule="auto"/>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(c)</w:t>
      </w:r>
    </w:p>
    <w:p>
      <w:pPr>
        <w:ind w:left="240"/>
        <w:spacing w:after="0" w:line="208" w:lineRule="auto"/>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17" w:lineRule="auto"/>
        <w:rPr>
          <w:sz w:val="20"/>
          <w:szCs w:val="20"/>
          <w:color w:val="auto"/>
        </w:rPr>
      </w:pPr>
      <w:r>
        <w:rPr>
          <w:rFonts w:ascii="Arial" w:cs="Arial" w:eastAsia="Arial" w:hAnsi="Arial"/>
          <w:sz w:val="18"/>
          <w:szCs w:val="18"/>
          <w:color w:val="auto"/>
        </w:rPr>
        <w:t xml:space="preserve">AAdvantage Term Loan Facility, variable interest rate of 9.63%, installments until due in April 2028 </w:t>
      </w:r>
      <w:r>
        <w:rPr>
          <w:rFonts w:ascii="Arial" w:cs="Arial" w:eastAsia="Arial" w:hAnsi="Arial"/>
          <w:sz w:val="23"/>
          <w:szCs w:val="23"/>
          <w:color w:val="auto"/>
          <w:vertAlign w:val="superscript"/>
        </w:rPr>
        <w:t>(c)</w:t>
      </w:r>
    </w:p>
    <w:p>
      <w:pPr>
        <w:spacing w:after="0" w:line="1" w:lineRule="exact"/>
        <w:rPr>
          <w:sz w:val="20"/>
          <w:szCs w:val="20"/>
          <w:color w:val="auto"/>
        </w:rPr>
      </w:pPr>
    </w:p>
    <w:p>
      <w:pPr>
        <w:ind w:left="400" w:right="380" w:hanging="161"/>
        <w:spacing w:after="0" w:line="212" w:lineRule="auto"/>
        <w:rPr>
          <w:sz w:val="20"/>
          <w:szCs w:val="20"/>
          <w:color w:val="auto"/>
        </w:rPr>
      </w:pPr>
      <w:r>
        <w:rPr>
          <w:rFonts w:ascii="Arial" w:cs="Arial" w:eastAsia="Arial" w:hAnsi="Arial"/>
          <w:sz w:val="18"/>
          <w:szCs w:val="18"/>
          <w:color w:val="auto"/>
        </w:rPr>
        <w:t xml:space="preserve">Enhanced equipment trust certificates (EETCs), fixed interest rates ranging from 2.88% to 7.15%, averaging 3.84%, maturing from 2025 to 2034 </w:t>
      </w:r>
      <w:r>
        <w:rPr>
          <w:rFonts w:ascii="Arial" w:cs="Arial" w:eastAsia="Arial" w:hAnsi="Arial"/>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5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400" w:right="380" w:hanging="161"/>
        <w:spacing w:after="0" w:line="212" w:lineRule="auto"/>
        <w:rPr>
          <w:sz w:val="20"/>
          <w:szCs w:val="20"/>
          <w:color w:val="auto"/>
        </w:rPr>
      </w:pPr>
      <w:r>
        <w:rPr>
          <w:rFonts w:ascii="Arial" w:cs="Arial" w:eastAsia="Arial" w:hAnsi="Arial"/>
          <w:sz w:val="18"/>
          <w:szCs w:val="18"/>
          <w:color w:val="auto"/>
        </w:rPr>
        <w:t xml:space="preserve">Equipment loans and other notes payable, fixed and variable interest rates ranging from 2.55% to 7.25%, averaging 6.17%, maturing from 2025 to 2036 </w:t>
      </w:r>
      <w:r>
        <w:rPr>
          <w:rFonts w:ascii="Arial" w:cs="Arial" w:eastAsia="Arial" w:hAnsi="Arial"/>
          <w:sz w:val="23"/>
          <w:szCs w:val="23"/>
          <w:color w:val="auto"/>
          <w:vertAlign w:val="superscript"/>
        </w:rPr>
        <w:t>(e)</w:t>
      </w:r>
    </w:p>
    <w:p>
      <w:pPr>
        <w:spacing w:after="0" w:line="2" w:lineRule="exact"/>
        <w:rPr>
          <w:sz w:val="20"/>
          <w:szCs w:val="20"/>
          <w:color w:val="auto"/>
        </w:rPr>
      </w:pPr>
    </w:p>
    <w:p>
      <w:pPr>
        <w:ind w:left="400" w:right="140" w:hanging="161"/>
        <w:spacing w:after="0" w:line="229" w:lineRule="auto"/>
        <w:rPr>
          <w:sz w:val="20"/>
          <w:szCs w:val="20"/>
          <w:color w:val="auto"/>
        </w:rPr>
      </w:pPr>
      <w:r>
        <w:rPr>
          <w:rFonts w:ascii="Arial" w:cs="Arial" w:eastAsia="Arial" w:hAnsi="Arial"/>
          <w:sz w:val="18"/>
          <w:szCs w:val="18"/>
          <w:color w:val="auto"/>
        </w:rPr>
        <w:t>Special facility revenue bonds, fixed interest rates ranging from 2.25% to 5.38%, maturing from 2026 to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Unsecured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29"/>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29"/>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1,171</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1,089</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9"/>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6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341"/>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1,000</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1,750</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2,917</w:t>
            </w:r>
          </w:p>
        </w:tc>
      </w:tr>
      <w:tr>
        <w:trPr>
          <w:trHeight w:val="229"/>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3,000</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9"/>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2,450</w:t>
            </w:r>
          </w:p>
        </w:tc>
        <w:tc>
          <w:tcPr>
            <w:tcW w:w="6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3,150</w:t>
            </w:r>
          </w:p>
        </w:tc>
      </w:tr>
      <w:tr>
        <w:trPr>
          <w:trHeight w:val="418"/>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7,271</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7,657</w:t>
            </w:r>
          </w:p>
        </w:tc>
      </w:tr>
      <w:tr>
        <w:trPr>
          <w:trHeight w:val="418"/>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4,094</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3,612</w:t>
            </w:r>
          </w:p>
        </w:tc>
      </w:tr>
    </w:tbl>
    <w:p>
      <w:pPr>
        <w:spacing w:after="0" w:line="179" w:lineRule="exact"/>
        <w:rPr>
          <w:sz w:val="20"/>
          <w:szCs w:val="20"/>
          <w:color w:val="auto"/>
        </w:rPr>
      </w:pPr>
    </w:p>
    <w:p>
      <w:pPr>
        <w:ind w:left="1800" w:hanging="1547"/>
        <w:spacing w:after="0"/>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967</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25,372</w:t>
      </w:r>
      <w:r>
        <w:rPr>
          <w:rFonts w:ascii="Arial" w:cs="Arial" w:eastAsia="Arial" w:hAnsi="Arial"/>
          <w:sz w:val="17"/>
          <w:szCs w:val="17"/>
          <w:color w:val="auto"/>
        </w:rPr>
        <w:t>27,526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17780</wp:posOffset>
            </wp:positionV>
            <wp:extent cx="19005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8360" w:space="700"/>
            <w:col w:w="21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8240" w:type="dxa"/>
            <w:vAlign w:val="bottom"/>
            <w:shd w:val="clear" w:color="auto" w:fill="CCEEFF"/>
          </w:tcPr>
          <w:p>
            <w:pPr>
              <w:ind w:left="240"/>
              <w:spacing w:after="0" w:line="255" w:lineRule="exact"/>
              <w:rPr>
                <w:sz w:val="20"/>
                <w:szCs w:val="20"/>
                <w:color w:val="auto"/>
              </w:rPr>
            </w:pPr>
            <w:r>
              <w:rPr>
                <w:rFonts w:ascii="Arial" w:cs="Arial" w:eastAsia="Arial" w:hAnsi="Arial"/>
                <w:sz w:val="18"/>
                <w:szCs w:val="18"/>
                <w:color w:val="auto"/>
              </w:rPr>
              <w:t xml:space="preserve">PSP1 Promissory Note, interest only payments until due in April 2030 </w:t>
            </w:r>
            <w:r>
              <w:rPr>
                <w:rFonts w:ascii="Arial" w:cs="Arial" w:eastAsia="Arial" w:hAnsi="Arial"/>
                <w:sz w:val="23"/>
                <w:szCs w:val="23"/>
                <w:color w:val="auto"/>
                <w:vertAlign w:val="superscript"/>
              </w:rPr>
              <w:t>(f)</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PSP2 Promissory Note, interest only payments until due in January 2031 </w:t>
            </w:r>
            <w:r>
              <w:rPr>
                <w:rFonts w:ascii="Arial" w:cs="Arial" w:eastAsia="Arial" w:hAnsi="Arial"/>
                <w:sz w:val="23"/>
                <w:szCs w:val="23"/>
                <w:color w:val="auto"/>
                <w:vertAlign w:val="superscript"/>
              </w:rPr>
              <w:t>(f)</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PSP3 Promissory Note, interest only payments until due in April 2031 </w:t>
            </w:r>
            <w:r>
              <w:rPr>
                <w:rFonts w:ascii="Arial" w:cs="Arial" w:eastAsia="Arial" w:hAnsi="Arial"/>
                <w:sz w:val="23"/>
                <w:szCs w:val="23"/>
                <w:color w:val="auto"/>
                <w:vertAlign w:val="superscript"/>
              </w:rPr>
              <w:t>(f)</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6.50% convertible senior notes, interest only payments until due in July 2025 </w:t>
            </w:r>
            <w:r>
              <w:rPr>
                <w:rFonts w:ascii="Arial" w:cs="Arial" w:eastAsia="Arial" w:hAnsi="Arial"/>
                <w:sz w:val="23"/>
                <w:szCs w:val="23"/>
                <w:color w:val="auto"/>
                <w:vertAlign w:val="superscript"/>
              </w:rPr>
              <w:t>(g)</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3.75% senior notes, interest only payments until due in March 2025 </w:t>
            </w:r>
            <w:r>
              <w:rPr>
                <w:rFonts w:ascii="Arial" w:cs="Arial" w:eastAsia="Arial" w:hAnsi="Arial"/>
                <w:sz w:val="23"/>
                <w:szCs w:val="23"/>
                <w:color w:val="auto"/>
                <w:vertAlign w:val="superscript"/>
              </w:rPr>
              <w:t>(h)</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32,759</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Less: Total unamortized debt discount, premium and issuance costs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maturities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Arial" w:cs="Arial" w:eastAsia="Arial" w:hAnsi="Arial"/>
                <w:sz w:val="18"/>
                <w:szCs w:val="18"/>
                <w:color w:val="auto"/>
              </w:rPr>
              <w:t>Long-term debt, net of current maturities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28,895</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520"/>
              <w:spacing w:after="0"/>
              <w:rPr>
                <w:sz w:val="20"/>
                <w:szCs w:val="20"/>
                <w:color w:val="auto"/>
              </w:rPr>
            </w:pPr>
            <w:r>
              <w:rPr>
                <w:rFonts w:ascii="Arial" w:cs="Arial" w:eastAsia="Arial" w:hAnsi="Arial"/>
                <w:sz w:val="18"/>
                <w:szCs w:val="18"/>
                <w:color w:val="auto"/>
              </w:rPr>
              <w:t>96</w:t>
            </w: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8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2024, the maximum availability under our revolving credit and other facilities is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2024, American entered into a revolving credit facility that provides for borrowing capacity of up to $350 million, maturing in March 2027 with an option to extend for an additional year. As of December 31, 2024, there were no amounts drawn under this facility. Additionally, American currently has $49 million of available borrowing base under a cargo receivables facility that is set to expire in December 2025. As further described below, the aggregate commitments under the 2013, 2014, and 2023 Revolving Facilities are $2.9 billion through June 4, 2029.</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ind w:left="260"/>
              <w:spacing w:after="0"/>
              <w:rPr>
                <w:sz w:val="20"/>
                <w:szCs w:val="20"/>
                <w:color w:val="auto"/>
              </w:rPr>
            </w:pPr>
            <w:r>
              <w:rPr>
                <w:rFonts w:ascii="Arial" w:cs="Arial" w:eastAsia="Arial" w:hAnsi="Arial"/>
                <w:sz w:val="18"/>
                <w:szCs w:val="18"/>
                <w:color w:val="auto"/>
              </w:rPr>
              <w:t>At December 31, 2024, the maturities of long-term debt are as follows (in millions):</w:t>
            </w: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5"/>
        </w:trPr>
        <w:tc>
          <w:tcPr>
            <w:tcW w:w="9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4,201</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2028</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2030 and thereafter</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260" w:right="7620" w:hanging="9"/>
        <w:spacing w:after="0" w:line="342" w:lineRule="auto"/>
        <w:tabs>
          <w:tab w:leader="none" w:pos="53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and 2023 Credit Facilities </w:t>
      </w:r>
      <w:r>
        <w:rPr>
          <w:rFonts w:ascii="Arial" w:cs="Arial" w:eastAsia="Arial" w:hAnsi="Arial"/>
          <w:sz w:val="18"/>
          <w:szCs w:val="18"/>
          <w:i w:val="1"/>
          <w:iCs w:val="1"/>
          <w:u w:val="single" w:color="auto"/>
          <w:color w:val="auto"/>
        </w:rPr>
        <w:t>2013 Credit Facilities</w:t>
      </w:r>
    </w:p>
    <w:p>
      <w:pPr>
        <w:spacing w:after="0" w:line="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Amended and Restated Credit and Guaranty Agreement dated as of May 21, 2015, as amended (the 2013 Credit Agreement), includes a revolving credit facility (the 2013 Revolving Facility) and a term loan facility (the 2013 Term Loan Facility), collectively referred to as the 2013 Credit Facilities.</w:t>
      </w:r>
    </w:p>
    <w:p>
      <w:pPr>
        <w:spacing w:after="0" w:line="11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Ninth Amendment to Amended and Restated Credit and Guaranty Agreement (the Ninth Amendment), amending the 2013 Credit Agreement, pursuant to which American terminated all existing revolving commitments and letter of credit commitments available under the 2013 Credit Agreement and established new revolving commitments in an aggregate amount of $500 million (which includes the ability to issue letters of credit in an aggregate amount of $ 100 million) (the newly established commitments, the 2013 Revolving Facility), which have a maturity date of June 4, 2029. Additionally, as a result of the Ninth Amendment, the 2013 Revolving Facility bears interest at a base rate (subject to a floor of 1.00%) plus an applicable margin of 2.00%, 2.25% or 2.50%, depending on AAG’s public corporate credit rating, or, at American’s option, SOFR for a tenor of one, three or six months, depending on the interest period selected by American (subject to a floor of 0.00%), plus an applicable margin of 3.00%, 3.25% or 3.50%, depending on AAG’s public corporate credit rating. Pursuant to the Ninth Amendment, SOFR borrowings under the 2013 Revolving Facility are not subject to a credit spread adjustment. As of December 31, 2024, there were no borrowings or letters of credit outstanding under the 2013 Revolving Facility.</w:t>
      </w:r>
    </w:p>
    <w:p>
      <w:pPr>
        <w:spacing w:after="0" w:line="13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December 19, 2024, American and AAG entered into the Tenth Amendment to Amended and Restated Credit and Guaranty Agreement (the 2013 Credit Agreement Tenth Amendment), amending the 2013 Credit Agreement. As a result of the 2013 Credit Agreement Tenth Amendment, the term loans outstanding under the 2013 Credit Agreement with an outstanding principal amount of $980 million were replaced with term loans with a principal amount of $980 million. Pursuant to the 2013 Credit Agreement Tenth Amendment, the 2013 Term Loan Facility bears interest at a base rate (subject to a floor of 1.00%) plus an applicable margin of 1.25% per annum or, at American’s option, the SOFR rate for a tenor of one, three or six months, depending on the interest period selected by American (subject to a floor of 0.00%), plus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applicable margin of 2.25% per annum. Additionally, the 2013 Credit Agreement Tenth Amendment amended certain other terms of the 2013 Credit Agreement, including, among other things, reducing the minimum liquidity financial covenant threshold from $ 2.2 billion to $2.0 billion and removing the cost spread adjustment on the 2013 Term Loan Facility. As of December 31, 2024, the margin elected was 2.25% per annum.</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Amended and Restated Credit and Guaranty Agreement, dated as of April 20, 2015, as amended (the 2014 Credit Agreement), includes a revolving credit facility (the 2014 Revolving Facility) and term loan facility (the 2014 Term Loan Facility), collectively referred to as the 2014 Credit Facilities. The 2014 Term Loan Facility bears interest at a base rate (subject to a floor of 1.00%) plus an applicable margin of 0.75% or, at American’s option, the SOFR rate for a tenor of one, three or six months, depending on the interest period selected by American, plus the SOFR adjustment applicable to such interest period (with such SOFR rate plus SOFR adjustment being subject to a floor of 0.00%) plus an applicable margin of 1.75%. As of December 31, 2024, the margin elected was 1.75% per annum.</w:t>
      </w:r>
    </w:p>
    <w:p>
      <w:pPr>
        <w:spacing w:after="0" w:line="12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Tenth Amendment to Amended and Restated Credit and Guaranty Agreement (the 2014 Credit Agreement Tenth Amendment), amending the 2014 Credit Agreement, pursuant to which American terminated all existing revolving commitments and letter of credit commitments available under the 2014 Credit Agreement and established new revolving commitments in an aggregate amount of $1.5 billion (which includes the ability to issue letters of credit in an aggregate amount of $ 200 million) (the newly established commitments, the 2014 Revolving Facility), which have a maturity date of June 4, 2029. Additionally, as a result of the 2014 Credit Agreement Tenth Amendment, the 2014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The 2014 Credit Agreement Tenth Amendment also reduced the minimum liquidity financial covenant threshold from $2.2 billion to $ 2.0 billion and reduced the liquidity requirement for making certain restricted payments from $4.2 billion to $4.0 billion. Pursuant to the 2014 Credit Agreement Tenth Amendment, SOFR borrowings under the 2014 Revolving Facility are not subject to a credit spread adjustment. As of December 31, 2024, there were no borrowings or letters of credit outstanding under the 2014 Revolving Facility.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2023 Credit Facilities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December 2023, American and AAG entered into a credit and guaranty agreement (the 2023 Credit Agreement) that provided for a term loan facility (the 2023 Term Loan Facility) in an aggregate principal amount of $1.1 billion, maturing in June 2029.</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First Amendment to Credit and Guaranty Agreement (the First Amendment) and the Second Amendment to Credit and Guaranty Agreement (the Second Amendment), each amending the 2023 Credit Agreement. Pursuant to the First Amendment, American established a revolving credit facility (the 2023 Revolving Facility, collectively with the 2023 Term Loan Facility, referred to as the 2023 Credit Facilities) in an aggregate amount of $ 890 million, maturing June 4, 2029. The 2023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2023 Revolving Facility are not subject to a credit spread adjustment. As of December 31, 2024, there were no borrowings outstanding under the 2023 Revolving Facility. Pursuant to the Second Amendment, American replaced the $1.1 billion of initial term loans made pursuant to the 2023 Credit Agreement with new term loans in a principal amount of $1.1 billion.</w:t>
      </w:r>
    </w:p>
    <w:p>
      <w:pPr>
        <w:spacing w:after="0" w:line="3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December 23, 2024, American and AAG entered into the Third Amendment to Credit and Guaranty Agreement (the Third Amendment), amending the 2023 Credit Agreement. As a result of the Third Amendment, the term loans outstanding under the 2023 Credit Agreement with an outstanding principal amount of $1.1 billion were replaced with term loans with a principal amount of $1.1 billion. Pursuant to the Third Amendment, the 2023 Term Loan Facility bears interest at a base rate (subject to a floor of 1.00%) plus an applicable margin of 1.25% per annum or, at American’s option, the SOFR rate for a tenor of one, three or six months, depending on the interest period selected by American (subject to a floor of 0.00%), plus an applicable margin of 2.25% per annum. SOFR borrowings under the 2023 Term Loan Facility are not subject to a credit spread adjustment. As of December 31, 2024, the margin elected was 2.25% per annum.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April 2016 Revolving Facility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June 4, 2024, American terminated all revolving commitments under the Credit and Guaranty Agreement, dated as of April 29, 2016 (as amended, the April 2016 Credit Agreement). As a result, the April 2016 Credit Agreement was terminated and all liens securing the April 2016 Credit Agreement were released.</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2013, 2014 and 2023 Credit Facilities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term loans under the 2013, 2014 and 2023 Credit Facilities (collectively referred to as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2013, 2014 and 2023 Revolving Facilities provide that American may from time to time borrow, repay and reborrow loans thereunder.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2013, 2014 and 2023 Revolving Facilities are each subject to an undrawn annual fee of 0.750%.</w:t>
      </w:r>
    </w:p>
    <w:p>
      <w:pPr>
        <w:spacing w:after="0" w:line="15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limitations and exceptions, the Credit Facilities are secured by collateral, including certain slots, route authorities, simulators and leasehold rights. American has the ability to make future modifications to the collateral pledged, subject to certain restrictions. American’s obligations under the Credit Facilities are guaranteed by AAG, and such guarantee is AAG’s senior unsecured obligations (all of the collateral is owned by American, and AAG has not granted a security interest in any assets to secure any of the foregoing obligations). The Credit Facilities contain events of default customary for similar financings, including cross default and cross-acceleration to other material indebtedness.</w:t>
      </w:r>
    </w:p>
    <w:p>
      <w:pPr>
        <w:spacing w:after="0" w:line="209" w:lineRule="exact"/>
        <w:rPr>
          <w:sz w:val="20"/>
          <w:szCs w:val="20"/>
          <w:color w:val="auto"/>
        </w:rPr>
      </w:pPr>
    </w:p>
    <w:p>
      <w:pPr>
        <w:ind w:left="540" w:hanging="289"/>
        <w:spacing w:after="0"/>
        <w:tabs>
          <w:tab w:leader="none" w:pos="54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Secured Notes</w:t>
      </w:r>
    </w:p>
    <w:p>
      <w:pPr>
        <w:spacing w:after="0" w:line="89"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10.75%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September 25, 2020 (the 10.75% Senior Secured Notes Closing Date), American issued $ 1.0 billion in initial principal amount of senior secured IP notes (the IP Notes) and $200 million in initial principal amount of senior secured LGA/DCA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Interest on the 10.75% Senior Secured Notes is payable semiannually in arrears on September 1 and March 1 of each year, which began on March 1, 2021. The 10.75% Senior Secured Notes will mature on February 15, 2026.</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LGA/DCA Notes are secured by a first lien security interest in the LGA/DCA Collateral.</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thereon, if any. After the fifth anniversary of the 10.75% Senior Secured Notes Closing Date, American may redeem all or any part of the 10.75% Senior Secured Notes, at its option, at par, together with accrued and unpaid interest thereon, if any. In December 2024, American redeemed an aggregate amount of $ 263 million toward portions of the outstanding principal amounts of the 10.75% Senior Secured Notes and agreed to redeem an aggregate amount of $308 million by no later than April 15, 2025. American redeemed the aggregate amount of $308 million on February 4, 2025.</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7.25%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15, 2023, American issued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w:t>
      </w:r>
    </w:p>
    <w:p>
      <w:pPr>
        <w:sectPr>
          <w:pgSz w:w="11900" w:h="16838" w:orient="portrait"/>
          <w:cols w:equalWidth="0" w:num="1">
            <w:col w:w="11240"/>
          </w:cols>
          <w:pgMar w:left="320" w:top="122"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certain countries in South America and New Zealand (collectively, the 7.25% Senior Secured Notes Collateral). The 7.25% Senior Secured Notes Collateral also secures, on a first lien, pari passu basis with the 7.25% Senior Secured Notes, the 2013 Credit Facilities.</w:t>
      </w:r>
    </w:p>
    <w:p>
      <w:pPr>
        <w:spacing w:after="0" w:line="12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8.50%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December 4, 2023, American issued $1.0 billion aggregate principal amount of 8.50% senior secured notes due 2029 (the 8.50% Senior Secured Notes) in a private offering. The 8.50% Senior Secured Notes were issued at par and bear interest at a rate of 8.50% per annum (subject to increase if the collateral coverage ratio described below is not met). Interest on the 8.50% Senior Secured Notes is payable semiannually in arrears on May 15 and November 15 of each year, which began on May 15, 2024. The 8.50% Senior Secured Notes will mature on May 15, 2029. The obligations of American under the 8.50% Senior Secured Notes are fully and unconditionally guaranteed on a senior unsecured basis by AAG.</w:t>
      </w:r>
    </w:p>
    <w:p>
      <w:pPr>
        <w:spacing w:after="0" w:line="12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8.50% Senior Secured Notes were issued pursuant to an indenture, dated as of December 4, 2023 (the 8.50% Senior Secured Notes Indenture), by and among American, AAG and Wilmington Trust, National Association, as trustee and collateral agent. The 8.50%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certain airports in Australia, Canada, the Caribbean, Central America, China, Hong Kong, Japan, Mexico, South Korea and Switzerland (collectively, the 8.50% Senior Secured Notes Collateral). The 8.50% Senior Secured Notes Collateral also secures, on a first lien, pari passu basis with the 8.50% Senior Secured Notes, the 2023 Term Loan Facility.</w:t>
      </w:r>
    </w:p>
    <w:p>
      <w:pPr>
        <w:spacing w:after="0" w:line="1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may redeem the 8.50% Senior Secured Notes, in whole at any time or in part from time to time prior to November 15, 2025, at a redemption price equal to 100% of the principal amount of the 8.50% Senior Secured Notes to be redeemed, plus a “make-whole” premium, plus any accrued and unpaid interest thereon to but excluding the date of redemption. At any time on or after November 15, 2025, American may redeem all or any of the 8.50% Senior Secured Notes in whole at any time, or in part from time to time, at the redemption prices described in the 8.50% Senior Secured Notes Indenture, plus any accrued and unpaid interest thereon to but excluding the date of redemption. In addition, at any time prior to November 15, 2025, American may redeem up to 40% of the original aggregate principal amount of the 8.50% Senior Secured Notes (calculated after giving effect to any issuance of additional notes) with the net cash proceeds of certain equity offerings, at a redemption price equal to 108.50% of the aggregate principal amount of the 8.50% Senior Secured Notes to be redeemed, plus any accrued and unpaid interest thereon to but excluding the date of redemption. 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addition, during each twelve-month period beginning on December 4, 2023 and ending on or prior to November 15, 2025, American may redeem up to 10% of the original aggregate principal amount of the 8.50% Senior Secured Notes at a redemption price of 103% of the principal amount thereof, plus any accrued and unpaid interest thereon to, but excluding, the applicable date of redemption.</w:t>
      </w:r>
    </w:p>
    <w:p>
      <w:pPr>
        <w:spacing w:after="0" w:line="1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Twice per year, American is required to deliver an appraisal of the 8.50% Senior Secured Notes Collateral and an officer’s certificate demonstrating the calculation of a collateral coverage ratio in relation to the 8.50% Senior Secured Notes Collateral (the 8.50% Senior Secured Notes Collateral Coverage Ratio) as of the date of delivery of the appraisal for the applicable period. If the 8.50% Senior Secured Notes Collateral Coverage Ratio is less than 1.6 to 1.0 as of the date of delivery of the appraisal for the applicable period, then, subject to a cure period in which additional collateral can be provided or debt repaid such that American meets the required 8.50% Senior Secured Notes Collateral Coverage Ratio, American will be required to pay special interest in an additional amount equal to 2.0% per annum of the principal amount of the 8.50% Senior Secured Notes until the 8.50% Senior Secured Notes Collateral Coverage Ratio is established to be at least 1.6 to 1.0.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AAdvantage Financing</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March 24, 2021 (the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by the SPV Guarantors and AAG.</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as amended,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SPV Guarantors and AAG.</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intellectual property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which began in July 2023. The outstanding principal on the 2029 Notes will be repaid in quarterly installments of $250 million on each AAdvantage Payment Date, beginning on July 20, 2026.</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outstanding principal on the AAdvantage Loans will be repaid in quarterly installments of $175 million, on each AAdvantage Payment Date, which began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mileage credit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12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AAdvantage Term Loan Facility bears interest at a base rate (subject to a floor of 0.00%) plus an applicable margin of 3.75% or, at American’s option, the SOFR rate for a tenor of three months, plus a 0.26161% credit spread adjustment (with such SOFR rate plus SOFR adjustment being subject to a floor of 0.75%) and an applicable margin of 4.75%. As of December 31, 2024, the margin elected was 4.75%.</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EETCs issued in 2024</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American entered into agreements under which it borrowed $684 million in connection with the financing of certain aircraft that had been previously delivered. Debt incurred under these agreements is junior to existing equipment notes, matures in 2027 through 2028 and bears interest at fixed rates averaging 7.10%.</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Equipment Loans and Other Notes Payable Issued in 2024</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American entered into agreements under which it borrowed $990 million in connection with the financing of certain aircraft. Debt incurred under these agreements matures in 2030 through 2036 and bears interest at variable rates (comprised of SOFR plus an applicable margin) averaging 6.28% as of December 31, 2024.</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PSP Promissory Notes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 Agreements, AAG issued promissory notes to Treasury (PSP1 Promissory Note, PSP2 Promissory Note and PSP3 Promissory Note, collectively the PSP Promissory Notes), in the aggregate principal amount of $3.7 billion which provides for the guarantee of our obligations under the PSP Promissory Notes by AAG’s subsidiaries American, Envoy Air Inc., Piedmont and PSA (together, the Subsidiaries).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PSP Promissory Notes bear interest on the outstanding principal amount at a rate equal to 1.00% per annum until the fifth anniversary of the applicable PSP closing date and 2.00% plus an interest rate based on SOFR per annum or other benchmark replacement rate consistent with customary market conventions (but not to be less than 0.00%) thereafter until maturity on the tenth anniversary of the applicable PSP closing date, and interest accrued thereon is payable in arrears on the last business day of March and September of each year. The aggregate principal amount outstanding under the PSP Promissory Notes, together with all accrued and unpaid interest thereon and all other amounts payable under the PSP Promissory Notes, will be due and payable on the applicable maturity date.</w:t>
      </w:r>
    </w:p>
    <w:p>
      <w:pPr>
        <w:spacing w:after="0" w:line="12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PSP Promissory Notes are our senior unsecured obligation and each guarantee of the PSP Promissory Notes is the senior unsecured obligation of each of the Subsidiaries, respectively.</w:t>
      </w:r>
    </w:p>
    <w:p>
      <w:pPr>
        <w:spacing w:after="0" w:line="10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at any time and from time to time, voluntarily prepay amounts outstanding under the PSP Promissory Notes, in whole or in part, without penalty or premium. Within 30 days of the occurrence of certain change of control triggering events, we are required to prepay the aggregate outstanding principal amount of the PSP Promissory Notes at such time, together with any accrued interest or other amounts owing under the PSP Promissory Notes at such time.</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6.50% Convertible Senior Notes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June 2020, AAG completed the public offering of $1.0 billion aggregate principal amount of AAG’s 6.50% convertible senior notes due 2025 (the Convertible Notes). The Convertible Notes are fully and unconditionally guaranteed by American on a senior unsecured basis (the Convertible Notes Guarantee). The net proceeds from the Convertible Notes were approximately $970 million, after deducting the underwriters’ discounts and commissions and our offering expenses.</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Convertible Notes bear interest at a rate of 6.50% per annum. Interest on the Convertible Notes is payable semiannually in arrears on January 1 and July 1 of each year, which began on January 1, 2021. The Convertible Notes will mature on July 1, 2025, unless earlier converted, redeemed or repurchased by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Upon conversion, AAG will pay or deliver, as the case may be, cash, shares of AAG common stock or a combination of cash and shares of AAG common stock, at AAG’s election. The initial conversion rate is 61.7284 shares of AAG common stock per $1,000 principal amount of Convertible Notes (equivalent to an initial conversion price of approximately $16.20 per share of AAG common stock). The conversion rate is subject to adjustment in some events as described in the Convertible Notes Indenture.</w:t>
      </w:r>
    </w:p>
    <w:p>
      <w:pPr>
        <w:spacing w:after="0" w:line="12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Holders may convert their Convertible Notes at their option only in the following circumstances: (1) during any calendar quarter (and only during such calendar quarter) commencing after the calendar quarter ending on September 30, 2020, if the last reported sale price per share of AAG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Convertible Notes for each trading day of the measurement period was less than 98% of the product of the last reported sale price per share of AAG common stock on such trading day and the conversion rate on such trading day; (3) upon the occurrence of certain corporate events or distributions on AAG common stock; (4) if AAG calls such Convertible Notes for redemption; and (5) at any time from, and including, April 1, 2025 until the close of business on the scheduled trading day immediately before the maturity date of the Convertible Notes.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following certain corporate events that occur prior to the maturity date or upon AAG’s issuance of a notice of redemption, AAG will increase the conversion rate for a holder who elects to convert its Convertible Notes in connection with such corporate event or during the related redemption period in certain circumstances by a specified number of shares of AAG common stock as described in the Convertible Notes Indenture.</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or after July 5, 2023 and on or before the 20th scheduled trading day immediately before the maturity date, AAG may redeem the Convertible Notes, in whole or in part, if the last reported sale price of AAG common stock has been at least 130% of the conversion price then in effect on (1) each of at least 20 trading days (whether or not consecutive) during the 30 consecutive trading days ending on, and including, the trading day immediately before the date AAG sends the related redemption notice; and (2) the trading day immediately before the date AAG sends such notice. In the case of any optional redemption, AAG will redeem the Convertible Notes at a redemption price equal to 100% of the principal amount of such Convertible Notes to be redeemed, plus accrued and unpaid interest to, but excluding, the redemption date.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relating to the Convertible Notes as of December 31, 2024 and 2023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209"/>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effective interest rate for the Convertible Notes was 7% for each of the years ended December 31, 2024, 2023 and 2022. Interest recognized for the Convertible Notes is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9"/>
        </w:trPr>
        <w:tc>
          <w:tcPr>
            <w:tcW w:w="64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coupon interest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amortization of debt discount</w:t>
            </w: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At December 31, 2024, the if-converted value of the Convertible Notes exceeded the principal amount by $76 million. The last reported sale price per share of our common stock (as defined in the Convertible Notes Indenture) did not exceed 130% of the conversion price of the Convertible Notes for at least 20 of the 30 consecutive trading days ending on December 31, 2024. Accordingly, pursuant to the terms of the Convertible Notes Indenture, the holders of the Convertible Notes cannot convert at their option at any time during the quarter ending March 31, 2025. Each $1,000 principal amount of Convertible Notes is convertible at a rate of 61.7284 shares of our common stock, subject to adjustment as provided in the Convertible Notes Indenture. We may settle conversions by paying or delivering, as applicable, cash, shares of our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common stock or a combination of cash and shares of our common stock, at our election. If certain conditions are not met at maturity, cash settlement is required.</w:t>
      </w:r>
    </w:p>
    <w:p>
      <w:pPr>
        <w:spacing w:after="0" w:line="183" w:lineRule="exact"/>
        <w:rPr>
          <w:sz w:val="20"/>
          <w:szCs w:val="20"/>
          <w:color w:val="auto"/>
        </w:rPr>
      </w:pPr>
    </w:p>
    <w:p>
      <w:pPr>
        <w:ind w:left="260" w:right="8620" w:hanging="9"/>
        <w:spacing w:after="0" w:line="342" w:lineRule="auto"/>
        <w:tabs>
          <w:tab w:leader="none" w:pos="539"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Unsecured Senior Notes </w:t>
      </w:r>
      <w:r>
        <w:rPr>
          <w:rFonts w:ascii="Arial" w:cs="Arial" w:eastAsia="Arial" w:hAnsi="Arial"/>
          <w:sz w:val="18"/>
          <w:szCs w:val="18"/>
          <w:i w:val="1"/>
          <w:iCs w:val="1"/>
          <w:u w:val="single" w:color="auto"/>
          <w:color w:val="auto"/>
        </w:rPr>
        <w:t>3.75% Senior Notes</w:t>
      </w:r>
    </w:p>
    <w:p>
      <w:pPr>
        <w:spacing w:after="0" w:line="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In February 2020, AAG issued $500 million aggregate principal amount of 3.75% senior notes due 2025 (the 3.75% Senior Notes). In December 2024, AAG repaid the outstanding principal amount of the 3.75% Senior Notes in advance of the March 2025 maturity.</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Guarantees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As of December 31, 2024, AAG had issued guarantees covering approximately $15.2 billion of American’s secured debt (and interest thereon), including the Credit Facilities, the AAdvantage Financing, certain EETC financings and special facility revenue bonds.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w:t>
      </w:r>
    </w:p>
    <w:p>
      <w:pPr>
        <w:spacing w:after="0" w:line="13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Specifically, we are required to meet certain collateral coverage tests for our Credit Facilities, 7.25% Senior Secured Notes, 8.50% Senior Secured Notes and 10.75% Senior Secured Notes, as described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LTV Requirement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268"/>
              <w:spacing w:after="0"/>
              <w:rPr>
                <w:sz w:val="20"/>
                <w:szCs w:val="20"/>
                <w:color w:val="auto"/>
              </w:rPr>
            </w:pPr>
            <w:r>
              <w:rPr>
                <w:rFonts w:ascii="Arial" w:cs="Arial" w:eastAsia="Arial" w:hAnsi="Arial"/>
                <w:sz w:val="14"/>
                <w:szCs w:val="14"/>
                <w:b w:val="1"/>
                <w:bCs w:val="1"/>
                <w:color w:val="auto"/>
              </w:rPr>
              <w:t>2013 Credit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7.25% Senior</w:t>
            </w:r>
          </w:p>
        </w:tc>
        <w:tc>
          <w:tcPr>
            <w:tcW w:w="1340" w:type="dxa"/>
            <w:vAlign w:val="bottom"/>
          </w:tcPr>
          <w:p>
            <w:pPr>
              <w:jc w:val="center"/>
              <w:ind w:left="8"/>
              <w:spacing w:after="0"/>
              <w:rPr>
                <w:sz w:val="20"/>
                <w:szCs w:val="20"/>
                <w:color w:val="auto"/>
              </w:rPr>
            </w:pPr>
            <w:r>
              <w:rPr>
                <w:rFonts w:ascii="Arial" w:cs="Arial" w:eastAsia="Arial" w:hAnsi="Arial"/>
                <w:sz w:val="14"/>
                <w:szCs w:val="14"/>
                <w:b w:val="1"/>
                <w:bCs w:val="1"/>
                <w:color w:val="auto"/>
              </w:rPr>
              <w:t>2014 Credit</w:t>
            </w:r>
          </w:p>
        </w:tc>
        <w:tc>
          <w:tcPr>
            <w:tcW w:w="18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2023 Credit Facilities</w:t>
            </w:r>
          </w:p>
        </w:tc>
        <w:tc>
          <w:tcPr>
            <w:tcW w:w="1440" w:type="dxa"/>
            <w:vAlign w:val="bottom"/>
          </w:tcPr>
          <w:p>
            <w:pPr>
              <w:jc w:val="center"/>
              <w:ind w:right="48"/>
              <w:spacing w:after="0"/>
              <w:rPr>
                <w:sz w:val="20"/>
                <w:szCs w:val="20"/>
                <w:color w:val="auto"/>
              </w:rPr>
            </w:pPr>
            <w:r>
              <w:rPr>
                <w:rFonts w:ascii="Arial" w:cs="Arial" w:eastAsia="Arial" w:hAnsi="Arial"/>
                <w:sz w:val="14"/>
                <w:szCs w:val="14"/>
                <w:b w:val="1"/>
                <w:bCs w:val="1"/>
                <w:color w:val="auto"/>
              </w:rPr>
              <w:t>8.50% Senior</w:t>
            </w:r>
          </w:p>
        </w:tc>
        <w:tc>
          <w:tcPr>
            <w:tcW w:w="1280" w:type="dxa"/>
            <w:vAlign w:val="bottom"/>
          </w:tcPr>
          <w:p>
            <w:pPr>
              <w:ind w:left="280"/>
              <w:spacing w:after="0"/>
              <w:rPr>
                <w:sz w:val="20"/>
                <w:szCs w:val="20"/>
                <w:color w:val="auto"/>
              </w:rPr>
            </w:pPr>
            <w:r>
              <w:rPr>
                <w:rFonts w:ascii="Arial" w:cs="Arial" w:eastAsia="Arial" w:hAnsi="Arial"/>
                <w:sz w:val="14"/>
                <w:szCs w:val="14"/>
                <w:b w:val="1"/>
                <w:bCs w:val="1"/>
                <w:color w:val="auto"/>
              </w:rPr>
              <w:t>10.75% Senior</w:t>
            </w:r>
          </w:p>
        </w:tc>
        <w:tc>
          <w:tcPr>
            <w:tcW w:w="0" w:type="dxa"/>
            <w:vAlign w:val="bottom"/>
          </w:tcPr>
          <w:p>
            <w:pPr>
              <w:spacing w:after="0"/>
              <w:rPr>
                <w:sz w:val="1"/>
                <w:szCs w:val="1"/>
                <w:color w:val="auto"/>
              </w:rPr>
            </w:pPr>
          </w:p>
        </w:tc>
      </w:tr>
      <w:tr>
        <w:trPr>
          <w:trHeight w:val="196"/>
        </w:trPr>
        <w:tc>
          <w:tcPr>
            <w:tcW w:w="1120" w:type="dxa"/>
            <w:vAlign w:val="bottom"/>
          </w:tcPr>
          <w:p>
            <w:pPr>
              <w:jc w:val="center"/>
              <w:ind w:right="228"/>
              <w:spacing w:after="0"/>
              <w:rPr>
                <w:sz w:val="20"/>
                <w:szCs w:val="20"/>
                <w:color w:val="auto"/>
              </w:rPr>
            </w:pPr>
            <w:r>
              <w:rPr>
                <w:rFonts w:ascii="Arial" w:cs="Arial" w:eastAsia="Arial" w:hAnsi="Arial"/>
                <w:sz w:val="14"/>
                <w:szCs w:val="14"/>
                <w:b w:val="1"/>
                <w:bCs w:val="1"/>
                <w:color w:val="auto"/>
              </w:rPr>
              <w:t>Facilities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Secured Notes</w:t>
            </w:r>
          </w:p>
        </w:tc>
        <w:tc>
          <w:tcPr>
            <w:tcW w:w="1340" w:type="dxa"/>
            <w:vAlign w:val="bottom"/>
          </w:tcPr>
          <w:p>
            <w:pPr>
              <w:jc w:val="center"/>
              <w:ind w:left="48"/>
              <w:spacing w:after="0"/>
              <w:rPr>
                <w:sz w:val="20"/>
                <w:szCs w:val="20"/>
                <w:color w:val="auto"/>
              </w:rPr>
            </w:pPr>
            <w:r>
              <w:rPr>
                <w:rFonts w:ascii="Arial" w:cs="Arial" w:eastAsia="Arial" w:hAnsi="Arial"/>
                <w:sz w:val="14"/>
                <w:szCs w:val="14"/>
                <w:b w:val="1"/>
                <w:bCs w:val="1"/>
                <w:color w:val="auto"/>
              </w:rPr>
              <w:t>Facilities</w:t>
            </w:r>
          </w:p>
        </w:tc>
        <w:tc>
          <w:tcPr>
            <w:tcW w:w="1840" w:type="dxa"/>
            <w:vAlign w:val="bottom"/>
            <w:vMerge w:val="continue"/>
          </w:tcPr>
          <w:p>
            <w:pPr>
              <w:spacing w:after="0"/>
              <w:rPr>
                <w:sz w:val="17"/>
                <w:szCs w:val="17"/>
                <w:color w:val="auto"/>
              </w:rPr>
            </w:pPr>
          </w:p>
        </w:tc>
        <w:tc>
          <w:tcPr>
            <w:tcW w:w="1440" w:type="dxa"/>
            <w:vAlign w:val="bottom"/>
          </w:tcPr>
          <w:p>
            <w:pPr>
              <w:jc w:val="center"/>
              <w:ind w:right="48"/>
              <w:spacing w:after="0"/>
              <w:rPr>
                <w:sz w:val="20"/>
                <w:szCs w:val="20"/>
                <w:color w:val="auto"/>
              </w:rPr>
            </w:pPr>
            <w:r>
              <w:rPr>
                <w:rFonts w:ascii="Arial" w:cs="Arial" w:eastAsia="Arial" w:hAnsi="Arial"/>
                <w:sz w:val="14"/>
                <w:szCs w:val="14"/>
                <w:b w:val="1"/>
                <w:bCs w:val="1"/>
                <w:color w:val="auto"/>
              </w:rPr>
              <w:t>Secured Notes</w:t>
            </w: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Secured Notes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-6985</wp:posOffset>
            </wp:positionV>
            <wp:extent cx="709803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4"/>
          <w:szCs w:val="14"/>
          <w:color w:val="auto"/>
        </w:rPr>
        <w:t>1.6x Collateral valuation to amount of debt outstanding (62.5% LTV)</w:t>
      </w:r>
    </w:p>
    <w:p>
      <w:pPr>
        <w:spacing w:after="0" w:line="41" w:lineRule="exact"/>
        <w:rPr>
          <w:sz w:val="20"/>
          <w:szCs w:val="20"/>
          <w:color w:val="auto"/>
        </w:rPr>
      </w:pPr>
    </w:p>
    <w:p>
      <w:pPr>
        <w:sectPr>
          <w:pgSz w:w="11900" w:h="16838" w:orient="portrait"/>
          <w:cols w:equalWidth="0" w:num="2">
            <w:col w:w="1560" w:space="720"/>
            <w:col w:w="8960"/>
          </w:cols>
          <w:pgMar w:left="320" w:top="121" w:right="339" w:bottom="1440" w:gutter="0" w:footer="0" w:header="0"/>
          <w:type w:val="continuous"/>
        </w:sectPr>
      </w:pPr>
    </w:p>
    <w:p>
      <w:pPr>
        <w:ind w:left="100" w:hanging="80"/>
        <w:spacing w:after="0" w:line="252" w:lineRule="auto"/>
        <w:rPr>
          <w:sz w:val="20"/>
          <w:szCs w:val="20"/>
          <w:color w:val="auto"/>
        </w:rPr>
      </w:pPr>
      <w:r>
        <w:rPr>
          <w:rFonts w:ascii="Arial" w:cs="Arial" w:eastAsia="Arial" w:hAnsi="Arial"/>
          <w:sz w:val="14"/>
          <w:szCs w:val="14"/>
          <w:color w:val="auto"/>
        </w:rPr>
        <w:t>LTV as of Last Measurement Date</w:t>
      </w:r>
    </w:p>
    <w:p>
      <w:pPr>
        <w:ind w:left="100" w:right="120" w:hanging="80"/>
        <w:spacing w:after="0" w:line="262" w:lineRule="auto"/>
        <w:rPr>
          <w:sz w:val="20"/>
          <w:szCs w:val="20"/>
          <w:color w:val="auto"/>
        </w:rPr>
      </w:pPr>
      <w:r>
        <w:rPr>
          <w:rFonts w:ascii="Arial" w:cs="Arial" w:eastAsia="Arial" w:hAnsi="Arial"/>
          <w:sz w:val="14"/>
          <w:szCs w:val="14"/>
          <w:color w:val="auto"/>
        </w:rPr>
        <w:t>Frequency of Appraisals of Appraised Collateral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Collateral Description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jc w:val="center"/>
              <w:ind w:right="8"/>
              <w:spacing w:after="0"/>
              <w:rPr>
                <w:sz w:val="20"/>
                <w:szCs w:val="20"/>
                <w:color w:val="auto"/>
              </w:rPr>
            </w:pPr>
            <w:r>
              <w:rPr>
                <w:rFonts w:ascii="Arial" w:cs="Arial" w:eastAsia="Arial" w:hAnsi="Arial"/>
                <w:sz w:val="14"/>
                <w:szCs w:val="14"/>
                <w:color w:val="auto"/>
              </w:rPr>
              <w:t>35.0%</w:t>
            </w:r>
          </w:p>
        </w:tc>
        <w:tc>
          <w:tcPr>
            <w:tcW w:w="1540" w:type="dxa"/>
            <w:vAlign w:val="bottom"/>
          </w:tcPr>
          <w:p>
            <w:pPr>
              <w:jc w:val="center"/>
              <w:spacing w:after="0"/>
              <w:rPr>
                <w:sz w:val="20"/>
                <w:szCs w:val="20"/>
                <w:color w:val="auto"/>
              </w:rPr>
            </w:pPr>
            <w:r>
              <w:rPr>
                <w:rFonts w:ascii="Arial" w:cs="Arial" w:eastAsia="Arial" w:hAnsi="Arial"/>
                <w:sz w:val="14"/>
                <w:szCs w:val="14"/>
                <w:color w:val="auto"/>
              </w:rPr>
              <w:t>15.8%</w:t>
            </w:r>
          </w:p>
        </w:tc>
        <w:tc>
          <w:tcPr>
            <w:tcW w:w="3040" w:type="dxa"/>
            <w:vAlign w:val="bottom"/>
          </w:tcPr>
          <w:p>
            <w:pPr>
              <w:jc w:val="center"/>
              <w:ind w:left="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337"/>
        </w:trPr>
        <w:tc>
          <w:tcPr>
            <w:tcW w:w="30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Semi-Annual</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Generally, certain</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40" w:type="dxa"/>
            <w:vAlign w:val="bottom"/>
          </w:tcPr>
          <w:p>
            <w:pPr>
              <w:jc w:val="center"/>
              <w:spacing w:after="0" w:line="144" w:lineRule="exact"/>
              <w:rPr>
                <w:sz w:val="20"/>
                <w:szCs w:val="20"/>
                <w:color w:val="auto"/>
              </w:rPr>
            </w:pPr>
            <w:r>
              <w:rPr>
                <w:rFonts w:ascii="Arial" w:cs="Arial" w:eastAsia="Arial" w:hAnsi="Arial"/>
                <w:sz w:val="14"/>
                <w:szCs w:val="14"/>
                <w:color w:val="auto"/>
              </w:rPr>
              <w:t>slots, route authorities</w:t>
            </w:r>
          </w:p>
        </w:tc>
        <w:tc>
          <w:tcPr>
            <w:tcW w:w="3040" w:type="dxa"/>
            <w:vAlign w:val="bottom"/>
            <w:vMerge w:val="restart"/>
          </w:tcPr>
          <w:p>
            <w:pPr>
              <w:jc w:val="center"/>
              <w:ind w:left="8"/>
              <w:spacing w:after="0"/>
              <w:rPr>
                <w:sz w:val="20"/>
                <w:szCs w:val="20"/>
                <w:color w:val="auto"/>
              </w:rPr>
            </w:pPr>
            <w:r>
              <w:rPr>
                <w:rFonts w:ascii="Arial" w:cs="Arial" w:eastAsia="Arial" w:hAnsi="Arial"/>
                <w:sz w:val="14"/>
                <w:szCs w:val="14"/>
                <w:color w:val="auto"/>
              </w:rPr>
              <w:t>Generally, certain slots, route authorities and</w:t>
            </w:r>
          </w:p>
        </w:tc>
        <w:tc>
          <w:tcPr>
            <w:tcW w:w="0" w:type="dxa"/>
            <w:vAlign w:val="bottom"/>
          </w:tcPr>
          <w:p>
            <w:pPr>
              <w:spacing w:after="0"/>
              <w:rPr>
                <w:sz w:val="1"/>
                <w:szCs w:val="1"/>
                <w:color w:val="auto"/>
              </w:rPr>
            </w:pPr>
          </w:p>
        </w:tc>
      </w:tr>
      <w:tr>
        <w:trPr>
          <w:trHeight w:val="139"/>
        </w:trPr>
        <w:tc>
          <w:tcPr>
            <w:tcW w:w="3040" w:type="dxa"/>
            <w:vAlign w:val="bottom"/>
            <w:vMerge w:val="restart"/>
          </w:tcPr>
          <w:p>
            <w:pPr>
              <w:jc w:val="center"/>
              <w:ind w:right="8"/>
              <w:spacing w:after="0"/>
              <w:rPr>
                <w:sz w:val="20"/>
                <w:szCs w:val="20"/>
                <w:color w:val="auto"/>
              </w:rPr>
            </w:pPr>
            <w:r>
              <w:rPr>
                <w:rFonts w:ascii="Arial" w:cs="Arial" w:eastAsia="Arial" w:hAnsi="Arial"/>
                <w:sz w:val="14"/>
                <w:szCs w:val="14"/>
                <w:color w:val="auto"/>
              </w:rPr>
              <w:t>Generally, certain slots, route authorities and</w:t>
            </w:r>
          </w:p>
        </w:tc>
        <w:tc>
          <w:tcPr>
            <w:tcW w:w="1540" w:type="dxa"/>
            <w:vAlign w:val="bottom"/>
          </w:tcPr>
          <w:p>
            <w:pPr>
              <w:jc w:val="center"/>
              <w:spacing w:after="0" w:line="139" w:lineRule="exact"/>
              <w:rPr>
                <w:sz w:val="20"/>
                <w:szCs w:val="20"/>
                <w:color w:val="auto"/>
              </w:rPr>
            </w:pPr>
            <w:r>
              <w:rPr>
                <w:rFonts w:ascii="Arial" w:cs="Arial" w:eastAsia="Arial" w:hAnsi="Arial"/>
                <w:sz w:val="14"/>
                <w:szCs w:val="14"/>
                <w:color w:val="auto"/>
              </w:rPr>
              <w:t>and airport gate</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vMerge w:val="continue"/>
          </w:tcPr>
          <w:p>
            <w:pPr>
              <w:spacing w:after="0"/>
              <w:rPr>
                <w:sz w:val="12"/>
                <w:szCs w:val="12"/>
                <w:color w:val="auto"/>
              </w:rPr>
            </w:pPr>
          </w:p>
        </w:tc>
        <w:tc>
          <w:tcPr>
            <w:tcW w:w="1540" w:type="dxa"/>
            <w:vAlign w:val="bottom"/>
          </w:tcPr>
          <w:p>
            <w:pPr>
              <w:jc w:val="center"/>
              <w:spacing w:after="0" w:line="144" w:lineRule="exact"/>
              <w:rPr>
                <w:sz w:val="20"/>
                <w:szCs w:val="20"/>
                <w:color w:val="auto"/>
              </w:rPr>
            </w:pPr>
            <w:r>
              <w:rPr>
                <w:rFonts w:ascii="Arial" w:cs="Arial" w:eastAsia="Arial" w:hAnsi="Arial"/>
                <w:sz w:val="14"/>
                <w:szCs w:val="14"/>
                <w:color w:val="auto"/>
              </w:rPr>
              <w:t>leasehold rights used</w:t>
            </w:r>
          </w:p>
        </w:tc>
        <w:tc>
          <w:tcPr>
            <w:tcW w:w="3040" w:type="dxa"/>
            <w:vAlign w:val="bottom"/>
          </w:tcPr>
          <w:p>
            <w:pPr>
              <w:jc w:val="center"/>
              <w:ind w:left="8"/>
              <w:spacing w:after="0" w:line="144" w:lineRule="exact"/>
              <w:rPr>
                <w:sz w:val="20"/>
                <w:szCs w:val="20"/>
                <w:color w:val="auto"/>
              </w:rPr>
            </w:pPr>
            <w:r>
              <w:rPr>
                <w:rFonts w:ascii="Arial" w:cs="Arial" w:eastAsia="Arial" w:hAnsi="Arial"/>
                <w:sz w:val="14"/>
                <w:szCs w:val="14"/>
                <w:color w:val="auto"/>
              </w:rPr>
              <w:t>airport gate leasehold rights used by American</w:t>
            </w:r>
          </w:p>
        </w:tc>
        <w:tc>
          <w:tcPr>
            <w:tcW w:w="0" w:type="dxa"/>
            <w:vAlign w:val="bottom"/>
          </w:tcPr>
          <w:p>
            <w:pPr>
              <w:spacing w:after="0"/>
              <w:rPr>
                <w:sz w:val="1"/>
                <w:szCs w:val="1"/>
                <w:color w:val="auto"/>
              </w:rPr>
            </w:pPr>
          </w:p>
        </w:tc>
      </w:tr>
      <w:tr>
        <w:trPr>
          <w:trHeight w:val="148"/>
        </w:trPr>
        <w:tc>
          <w:tcPr>
            <w:tcW w:w="3040" w:type="dxa"/>
            <w:vAlign w:val="bottom"/>
          </w:tcPr>
          <w:p>
            <w:pPr>
              <w:jc w:val="center"/>
              <w:ind w:right="8"/>
              <w:spacing w:after="0" w:line="149" w:lineRule="exact"/>
              <w:rPr>
                <w:sz w:val="20"/>
                <w:szCs w:val="20"/>
                <w:color w:val="auto"/>
              </w:rPr>
            </w:pPr>
            <w:r>
              <w:rPr>
                <w:rFonts w:ascii="Arial" w:cs="Arial" w:eastAsia="Arial" w:hAnsi="Arial"/>
                <w:sz w:val="14"/>
                <w:szCs w:val="14"/>
                <w:color w:val="auto"/>
              </w:rPr>
              <w:t>airport gate leasehold rights used by American</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rPr>
              <w:t>by American to</w:t>
            </w:r>
          </w:p>
        </w:tc>
        <w:tc>
          <w:tcPr>
            <w:tcW w:w="304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 operate certain services between the U.S.</w:t>
            </w:r>
          </w:p>
        </w:tc>
        <w:tc>
          <w:tcPr>
            <w:tcW w:w="0" w:type="dxa"/>
            <w:vAlign w:val="bottom"/>
          </w:tcPr>
          <w:p>
            <w:pPr>
              <w:spacing w:after="0"/>
              <w:rPr>
                <w:sz w:val="1"/>
                <w:szCs w:val="1"/>
                <w:color w:val="auto"/>
              </w:rPr>
            </w:pPr>
          </w:p>
        </w:tc>
      </w:tr>
      <w:tr>
        <w:trPr>
          <w:trHeight w:val="139"/>
        </w:trPr>
        <w:tc>
          <w:tcPr>
            <w:tcW w:w="3040" w:type="dxa"/>
            <w:vAlign w:val="bottom"/>
          </w:tcPr>
          <w:p>
            <w:pPr>
              <w:jc w:val="center"/>
              <w:ind w:right="8"/>
              <w:spacing w:after="0" w:line="139" w:lineRule="exact"/>
              <w:rPr>
                <w:sz w:val="20"/>
                <w:szCs w:val="20"/>
                <w:color w:val="auto"/>
              </w:rPr>
            </w:pPr>
            <w:r>
              <w:rPr>
                <w:rFonts w:ascii="Arial" w:cs="Arial" w:eastAsia="Arial" w:hAnsi="Arial"/>
                <w:sz w:val="14"/>
                <w:szCs w:val="14"/>
                <w:color w:val="auto"/>
              </w:rPr>
              <w:t>to operate certain services between the U.S.</w:t>
            </w:r>
          </w:p>
        </w:tc>
        <w:tc>
          <w:tcPr>
            <w:tcW w:w="1540" w:type="dxa"/>
            <w:vAlign w:val="bottom"/>
          </w:tcPr>
          <w:p>
            <w:pPr>
              <w:jc w:val="center"/>
              <w:spacing w:after="0" w:line="139" w:lineRule="exact"/>
              <w:rPr>
                <w:sz w:val="20"/>
                <w:szCs w:val="20"/>
                <w:color w:val="auto"/>
              </w:rPr>
            </w:pPr>
            <w:r>
              <w:rPr>
                <w:rFonts w:ascii="Arial" w:cs="Arial" w:eastAsia="Arial" w:hAnsi="Arial"/>
                <w:sz w:val="14"/>
                <w:szCs w:val="14"/>
                <w:color w:val="auto"/>
              </w:rPr>
              <w:t>operate certain</w:t>
            </w:r>
          </w:p>
        </w:tc>
        <w:tc>
          <w:tcPr>
            <w:tcW w:w="3040" w:type="dxa"/>
            <w:vAlign w:val="bottom"/>
          </w:tcPr>
          <w:p>
            <w:pPr>
              <w:jc w:val="center"/>
              <w:ind w:left="28"/>
              <w:spacing w:after="0" w:line="139" w:lineRule="exact"/>
              <w:rPr>
                <w:sz w:val="20"/>
                <w:szCs w:val="20"/>
                <w:color w:val="auto"/>
              </w:rPr>
            </w:pPr>
            <w:r>
              <w:rPr>
                <w:rFonts w:ascii="Arial" w:cs="Arial" w:eastAsia="Arial" w:hAnsi="Arial"/>
                <w:sz w:val="14"/>
                <w:szCs w:val="14"/>
                <w:color w:val="auto"/>
              </w:rPr>
              <w:t>and Australia, Canada, the Caribbean, Central</w:t>
            </w:r>
          </w:p>
        </w:tc>
        <w:tc>
          <w:tcPr>
            <w:tcW w:w="0" w:type="dxa"/>
            <w:vAlign w:val="bottom"/>
          </w:tcPr>
          <w:p>
            <w:pPr>
              <w:spacing w:after="0"/>
              <w:rPr>
                <w:sz w:val="1"/>
                <w:szCs w:val="1"/>
                <w:color w:val="auto"/>
              </w:rPr>
            </w:pPr>
          </w:p>
        </w:tc>
      </w:tr>
      <w:tr>
        <w:trPr>
          <w:trHeight w:val="144"/>
        </w:trPr>
        <w:tc>
          <w:tcPr>
            <w:tcW w:w="3040" w:type="dxa"/>
            <w:vAlign w:val="bottom"/>
          </w:tcPr>
          <w:p>
            <w:pPr>
              <w:jc w:val="center"/>
              <w:ind w:right="8"/>
              <w:spacing w:after="0" w:line="144" w:lineRule="exact"/>
              <w:rPr>
                <w:sz w:val="20"/>
                <w:szCs w:val="20"/>
                <w:color w:val="auto"/>
              </w:rPr>
            </w:pPr>
            <w:r>
              <w:rPr>
                <w:rFonts w:ascii="Arial" w:cs="Arial" w:eastAsia="Arial" w:hAnsi="Arial"/>
                <w:sz w:val="14"/>
                <w:szCs w:val="14"/>
                <w:color w:val="auto"/>
              </w:rPr>
              <w:t>and South America and New Zealand</w:t>
            </w:r>
          </w:p>
        </w:tc>
        <w:tc>
          <w:tcPr>
            <w:tcW w:w="1540" w:type="dxa"/>
            <w:vAlign w:val="bottom"/>
          </w:tcPr>
          <w:p>
            <w:pPr>
              <w:jc w:val="center"/>
              <w:spacing w:after="0" w:line="144" w:lineRule="exact"/>
              <w:rPr>
                <w:sz w:val="20"/>
                <w:szCs w:val="20"/>
                <w:color w:val="auto"/>
              </w:rPr>
            </w:pPr>
            <w:r>
              <w:rPr>
                <w:rFonts w:ascii="Arial" w:cs="Arial" w:eastAsia="Arial" w:hAnsi="Arial"/>
                <w:sz w:val="14"/>
                <w:szCs w:val="14"/>
                <w:color w:val="auto"/>
              </w:rPr>
              <w:t>services between the</w:t>
            </w:r>
          </w:p>
        </w:tc>
        <w:tc>
          <w:tcPr>
            <w:tcW w:w="3040" w:type="dxa"/>
            <w:vAlign w:val="bottom"/>
          </w:tcPr>
          <w:p>
            <w:pPr>
              <w:jc w:val="center"/>
              <w:ind w:left="28"/>
              <w:spacing w:after="0" w:line="144" w:lineRule="exact"/>
              <w:rPr>
                <w:sz w:val="20"/>
                <w:szCs w:val="20"/>
                <w:color w:val="auto"/>
              </w:rPr>
            </w:pPr>
            <w:r>
              <w:rPr>
                <w:rFonts w:ascii="Arial" w:cs="Arial" w:eastAsia="Arial" w:hAnsi="Arial"/>
                <w:sz w:val="14"/>
                <w:szCs w:val="14"/>
                <w:color w:val="auto"/>
              </w:rPr>
              <w:t>America, China, Hong Kong, Japan, Mexico,</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rPr>
              <w:t>U.S. and European</w:t>
            </w:r>
          </w:p>
        </w:tc>
        <w:tc>
          <w:tcPr>
            <w:tcW w:w="3040" w:type="dxa"/>
            <w:vAlign w:val="bottom"/>
          </w:tcPr>
          <w:p>
            <w:pPr>
              <w:jc w:val="center"/>
              <w:ind w:left="28"/>
              <w:spacing w:after="0" w:line="149" w:lineRule="exact"/>
              <w:rPr>
                <w:sz w:val="20"/>
                <w:szCs w:val="20"/>
                <w:color w:val="auto"/>
              </w:rPr>
            </w:pPr>
            <w:r>
              <w:rPr>
                <w:rFonts w:ascii="Arial" w:cs="Arial" w:eastAsia="Arial" w:hAnsi="Arial"/>
                <w:sz w:val="14"/>
                <w:szCs w:val="14"/>
                <w:color w:val="auto"/>
              </w:rPr>
              <w:t>South Korea and Switzerland</w:t>
            </w: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1540" w:type="dxa"/>
            <w:vAlign w:val="bottom"/>
          </w:tcPr>
          <w:p>
            <w:pPr>
              <w:jc w:val="center"/>
              <w:spacing w:after="0" w:line="139" w:lineRule="exact"/>
              <w:rPr>
                <w:sz w:val="20"/>
                <w:szCs w:val="20"/>
                <w:color w:val="auto"/>
              </w:rPr>
            </w:pPr>
            <w:r>
              <w:rPr>
                <w:rFonts w:ascii="Arial" w:cs="Arial" w:eastAsia="Arial" w:hAnsi="Arial"/>
                <w:sz w:val="14"/>
                <w:szCs w:val="14"/>
                <w:color w:val="auto"/>
              </w:rPr>
              <w:t>Union (including</w:t>
            </w:r>
          </w:p>
        </w:tc>
        <w:tc>
          <w:tcPr>
            <w:tcW w:w="3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London Heathrow)</w:t>
            </w: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-1158875</wp:posOffset>
            </wp:positionV>
            <wp:extent cx="7098030" cy="2139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98030" cy="213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5.2%</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Annual</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Generally, certain</w:t>
      </w:r>
    </w:p>
    <w:p>
      <w:pPr>
        <w:spacing w:after="0" w:line="1" w:lineRule="exact"/>
        <w:rPr>
          <w:sz w:val="20"/>
          <w:szCs w:val="20"/>
          <w:color w:val="auto"/>
        </w:rPr>
      </w:pPr>
    </w:p>
    <w:p>
      <w:pPr>
        <w:ind w:left="140" w:right="220" w:hanging="7"/>
        <w:spacing w:after="0" w:line="211" w:lineRule="auto"/>
        <w:rPr>
          <w:sz w:val="20"/>
          <w:szCs w:val="20"/>
          <w:color w:val="auto"/>
        </w:rPr>
      </w:pPr>
      <w:r>
        <w:rPr>
          <w:rFonts w:ascii="Arial" w:cs="Arial" w:eastAsia="Arial" w:hAnsi="Arial"/>
          <w:sz w:val="14"/>
          <w:szCs w:val="14"/>
          <w:color w:val="auto"/>
        </w:rPr>
        <w:t>DCA slots, certain LGA slots, certain</w:t>
      </w:r>
    </w:p>
    <w:p>
      <w:pPr>
        <w:spacing w:after="0" w:line="221" w:lineRule="auto"/>
        <w:rPr>
          <w:sz w:val="20"/>
          <w:szCs w:val="20"/>
          <w:color w:val="auto"/>
        </w:rPr>
      </w:pPr>
      <w:r>
        <w:rPr>
          <w:rFonts w:ascii="Arial" w:cs="Arial" w:eastAsia="Arial" w:hAnsi="Arial"/>
          <w:sz w:val="14"/>
          <w:szCs w:val="14"/>
          <w:color w:val="auto"/>
        </w:rPr>
        <w:t>simulators and certain</w:t>
      </w:r>
    </w:p>
    <w:p>
      <w:pPr>
        <w:ind w:left="80" w:right="120" w:hanging="27"/>
        <w:spacing w:after="0" w:line="211" w:lineRule="auto"/>
        <w:rPr>
          <w:sz w:val="20"/>
          <w:szCs w:val="20"/>
          <w:color w:val="auto"/>
        </w:rPr>
      </w:pPr>
      <w:r>
        <w:rPr>
          <w:rFonts w:ascii="Arial" w:cs="Arial" w:eastAsia="Arial" w:hAnsi="Arial"/>
          <w:sz w:val="14"/>
          <w:szCs w:val="14"/>
          <w:color w:val="auto"/>
        </w:rPr>
        <w:t>leasehold rights and, in the case of the IP</w:t>
      </w:r>
    </w:p>
    <w:p>
      <w:pPr>
        <w:ind w:left="260"/>
        <w:spacing w:after="0" w:line="221" w:lineRule="auto"/>
        <w:rPr>
          <w:sz w:val="20"/>
          <w:szCs w:val="20"/>
          <w:color w:val="auto"/>
        </w:rPr>
      </w:pPr>
      <w:r>
        <w:rPr>
          <w:rFonts w:ascii="Arial" w:cs="Arial" w:eastAsia="Arial" w:hAnsi="Arial"/>
          <w:sz w:val="14"/>
          <w:szCs w:val="14"/>
          <w:color w:val="auto"/>
        </w:rPr>
        <w:t>Notes, certain</w:t>
      </w:r>
    </w:p>
    <w:p>
      <w:pPr>
        <w:spacing w:after="0" w:line="201" w:lineRule="auto"/>
        <w:rPr>
          <w:sz w:val="20"/>
          <w:szCs w:val="20"/>
          <w:color w:val="auto"/>
        </w:rPr>
      </w:pPr>
      <w:r>
        <w:rPr>
          <w:rFonts w:ascii="Arial" w:cs="Arial" w:eastAsia="Arial" w:hAnsi="Arial"/>
          <w:sz w:val="14"/>
          <w:szCs w:val="14"/>
          <w:color w:val="auto"/>
        </w:rPr>
        <w:t>intellectual property of</w:t>
      </w:r>
    </w:p>
    <w:p>
      <w:pPr>
        <w:ind w:left="400"/>
        <w:spacing w:after="0"/>
        <w:rPr>
          <w:sz w:val="20"/>
          <w:szCs w:val="20"/>
          <w:color w:val="auto"/>
        </w:rPr>
      </w:pPr>
      <w:r>
        <w:rPr>
          <w:rFonts w:ascii="Arial" w:cs="Arial" w:eastAsia="Arial" w:hAnsi="Arial"/>
          <w:sz w:val="14"/>
          <w:szCs w:val="14"/>
          <w:color w:val="auto"/>
        </w:rPr>
        <w:t>American</w:t>
      </w:r>
    </w:p>
    <w:p>
      <w:pPr>
        <w:spacing w:after="0" w:line="295" w:lineRule="exact"/>
        <w:rPr>
          <w:sz w:val="20"/>
          <w:szCs w:val="20"/>
          <w:color w:val="auto"/>
        </w:rPr>
      </w:pPr>
    </w:p>
    <w:p>
      <w:pPr>
        <w:sectPr>
          <w:pgSz w:w="11900" w:h="16838" w:orient="portrait"/>
          <w:cols w:equalWidth="0" w:num="3">
            <w:col w:w="1860" w:space="120"/>
            <w:col w:w="7620" w:space="140"/>
            <w:col w:w="1500"/>
          </w:cols>
          <w:pgMar w:left="320" w:top="121" w:right="339" w:bottom="1440" w:gutter="0" w:footer="0" w:header="0"/>
          <w:type w:val="continuous"/>
        </w:sectPr>
      </w:pPr>
    </w:p>
    <w:p>
      <w:pPr>
        <w:spacing w:after="0" w:line="4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 December 31, 2024, we were in compliance with the applicable collateral coverage tests as of the most recent measurement dates.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lease certain aircraft and engines, including aircraft under capacity purchase agreements. As of December 31, 2024, we operated 716 leased aircraft, including 210 aircraft leased under capacity purchase agreements, with remaining terms ranging from less than one year to approximately 11 years.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Because of the variable nature of these rates, these leases are not recorded on our consolidated balance sheets as a ROU asset or a lease liability. Additionally, at our hub locations and in certain other cities we serve, we lease administrative offices, catering, cargo, training, maintenance and other facilities.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Included in the table above is $225 million, $274 million and $ 242 million of operating lease cost under our capacity purchase agreement with Republic for the years ended December 31, 2024, 2023 and 2022, respectively. We hold a 25% equity interest in Republic Holdings, the parent company of Republic.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2023</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7,333</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7,939</w:t>
            </w: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1,092</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1,309</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5,976</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6,452</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7,068</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7,761</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at cost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1,632</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1,380</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amortization</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(891)</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680</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489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finance lease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132</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131</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finance lease liabilities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531</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375</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6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463"/>
        </w:trPr>
        <w:tc>
          <w:tcPr>
            <w:tcW w:w="7500" w:type="dxa"/>
            <w:vAlign w:val="bottom"/>
            <w:gridSpan w:val="3"/>
          </w:tcPr>
          <w:p>
            <w:pPr>
              <w:ind w:left="260"/>
              <w:spacing w:after="0"/>
              <w:rPr>
                <w:sz w:val="20"/>
                <w:szCs w:val="20"/>
                <w:color w:val="auto"/>
              </w:rPr>
            </w:pPr>
            <w:r>
              <w:rPr>
                <w:rFonts w:ascii="Arial" w:cs="Arial" w:eastAsia="Arial" w:hAnsi="Arial"/>
                <w:sz w:val="18"/>
                <w:szCs w:val="18"/>
                <w:color w:val="auto"/>
                <w:w w:val="99"/>
              </w:rPr>
              <w:t>Supplemental cash flow and other information related to leases was as follows (in millions):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9"/>
        </w:trPr>
        <w:tc>
          <w:tcPr>
            <w:tcW w:w="6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196"/>
        </w:trPr>
        <w:tc>
          <w:tcPr>
            <w:tcW w:w="65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tcPr>
          <w:p>
            <w:pPr>
              <w:jc w:val="right"/>
              <w:ind w:right="5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1,830</w:t>
            </w:r>
          </w:p>
        </w:tc>
        <w:tc>
          <w:tcPr>
            <w:tcW w:w="1100" w:type="dxa"/>
            <w:vAlign w:val="bottom"/>
            <w:gridSpan w:val="3"/>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gridSpan w:val="3"/>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8"/>
                <w:szCs w:val="18"/>
                <w:color w:val="auto"/>
              </w:rPr>
              <w:t>Gain on sale leaseback transactions, net</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36"/>
        </w:trPr>
        <w:tc>
          <w:tcPr>
            <w:tcW w:w="6540" w:type="dxa"/>
            <w:vAlign w:val="bottom"/>
          </w:tcPr>
          <w:p>
            <w:pPr>
              <w:ind w:left="5480"/>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1"/>
        </w:trPr>
        <w:tc>
          <w:tcPr>
            <w:tcW w:w="65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7"/>
                <w:szCs w:val="17"/>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Finance Leases</w:t>
            </w:r>
          </w:p>
        </w:tc>
      </w:tr>
      <w:tr>
        <w:trPr>
          <w:trHeight w:val="224"/>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2030 and thereafter</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lease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As of December 31, 2024, we had additional operating lease commitments that have not yet commenced of approximately $693 million for five Boeing 787 Family aircraft scheduled to be delivered in 2025 with lease terms of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components of the income tax provision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State, local and foreign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 provision</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differed from amounts computed at the statutory federal income tax rate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income tax provision</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State, local and foreign income tax provision, net of federal tax effect</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expenses not deductible for tax purposes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5480"/>
              <w:spacing w:after="0"/>
              <w:rPr>
                <w:sz w:val="20"/>
                <w:szCs w:val="20"/>
                <w:color w:val="auto"/>
              </w:rPr>
            </w:pPr>
            <w:r>
              <w:rPr>
                <w:rFonts w:ascii="Arial" w:cs="Arial" w:eastAsia="Arial" w:hAnsi="Arial"/>
                <w:sz w:val="18"/>
                <w:szCs w:val="18"/>
                <w:color w:val="auto"/>
              </w:rPr>
              <w:t>107</w:t>
            </w: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6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4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our deferred tax assets and liabilities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Net operating loss and other carryforwards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4,238</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Loyalty program liability</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benefits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Postretirement benefits other than pension benefits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r>
      <w:tr>
        <w:trPr>
          <w:trHeight w:val="229"/>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Valuation allowance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depreciation and amortization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2024, we had approximately $12.9 billion of gross federal net operating losses (NOLs) and $5.9 billion of other carryforwards available to reduce future federal taxable income, of which $2.6 billion will expire beginning in 2033 if unused and $ 16.2 billion can be carried forward indefinitely. We also had approximately $5.2 billion of NOL carryforwards to reduce future state taxable income at December 31, 2024, which will expire in taxable years 2024 through 2044 if unused.</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12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2024, we recorded an income tax provision of $308 million with an effective rate of approximately 27%, which was substantially non-cash. Substantially all of our income before income taxes is attributable to the United States.</w:t>
      </w:r>
    </w:p>
    <w:p>
      <w:pPr>
        <w:spacing w:after="0" w:line="10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file our tax returns as prescribed by the tax laws of the jurisdictions in which we operate. Our 2021 through 2023 tax years are still subject to examination by the Internal Revenue Service. Various state, local and foreign jurisdiction tax years remain open to examination, and we are under examination, in administrative appeals or engaged in tax litigation in certain jurisdictions. We believe that the effect of any assessments will not be material to our consolidated financial statements.</w:t>
      </w:r>
    </w:p>
    <w:p>
      <w:pPr>
        <w:spacing w:after="0" w:line="12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amount of, and changes to, our uncertain tax positions were not material in any of the years presented. We accrue interest and penalties related to unrecognized tax benefits in interest expense and operating expense,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70" w:lineRule="exact"/>
        <w:rPr>
          <w:sz w:val="20"/>
          <w:szCs w:val="20"/>
          <w:color w:val="auto"/>
        </w:rPr>
      </w:pPr>
    </w:p>
    <w:p>
      <w:pPr>
        <w:ind w:left="1300" w:hanging="64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6" w:lineRule="exact"/>
        <w:rPr>
          <w:rFonts w:ascii="Arial" w:cs="Arial" w:eastAsia="Arial" w:hAnsi="Arial"/>
          <w:sz w:val="18"/>
          <w:szCs w:val="18"/>
          <w:color w:val="auto"/>
        </w:rPr>
      </w:pPr>
    </w:p>
    <w:p>
      <w:pPr>
        <w:ind w:left="1300" w:hanging="64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6"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When available, we use quoted market prices to determine the fair value of our financial assets. If quoted market prices are not available, we measure fair value using valuation techniques that use, when possible, current market-based or independently-sourced market parameters, such as interest rates and currency rates.</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year ended December 31, 2024.</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2024</w:t>
            </w:r>
          </w:p>
        </w:tc>
        <w:tc>
          <w:tcPr>
            <w:tcW w:w="1200" w:type="dxa"/>
            <w:vAlign w:val="bottom"/>
            <w:tcBorders>
              <w:bottom w:val="single" w:sz="8" w:color="auto"/>
            </w:tcBorders>
          </w:tcPr>
          <w:p>
            <w:pPr>
              <w:spacing w:after="0"/>
              <w:rPr>
                <w:sz w:val="17"/>
                <w:szCs w:val="17"/>
                <w:color w:val="auto"/>
              </w:rPr>
            </w:pP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1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04"/>
        </w:trPr>
        <w:tc>
          <w:tcPr>
            <w:tcW w:w="5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2023</w:t>
            </w:r>
          </w:p>
        </w:tc>
        <w:tc>
          <w:tcPr>
            <w:tcW w:w="1200" w:type="dxa"/>
            <w:vAlign w:val="bottom"/>
            <w:tcBorders>
              <w:bottom w:val="single" w:sz="8" w:color="auto"/>
            </w:tcBorders>
          </w:tcPr>
          <w:p>
            <w:pPr>
              <w:spacing w:after="0"/>
              <w:rPr>
                <w:sz w:val="24"/>
                <w:szCs w:val="24"/>
                <w:color w:val="auto"/>
              </w:rPr>
            </w:pPr>
          </w:p>
        </w:tc>
      </w:tr>
      <w:tr>
        <w:trPr>
          <w:trHeight w:val="209"/>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1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U.S. government and agency obligations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9"/>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69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13100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20" w:hanging="332"/>
        <w:spacing w:after="0" w:line="231" w:lineRule="auto"/>
        <w:tabs>
          <w:tab w:leader="none" w:pos="33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as of December 31, 2024 mature in one year or less.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$155 million and $218 million as of December 31, 2024 and December 31, 2023, respectively.</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Company Limited (China Southern Airlines), Vertical Aerospace Ltd. (Vertical) and GOL. See Note 8 for further information on our equity investments.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The fair value of the Convertible Notes, which would have been classified as Level 2, was $1.2 billion and $1.1 billion as of December 31, 2024 and December 31, 2023, respectively.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7"/>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3</w:t>
            </w: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4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7"/>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Level 3</w:t>
            </w: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32,396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equity investments, ownership interest and carrying value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rPr>
              <w:t>Ownership Interest</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Carrying Value (in millions)</w:t>
            </w:r>
          </w:p>
        </w:tc>
      </w:tr>
      <w:tr>
        <w:trPr>
          <w:trHeight w:val="200"/>
        </w:trPr>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7"/>
        </w:trPr>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Accounting Treatment</w:t>
            </w:r>
          </w:p>
        </w:tc>
        <w:tc>
          <w:tcPr>
            <w:tcW w:w="1540" w:type="dxa"/>
            <w:vAlign w:val="bottom"/>
          </w:tcPr>
          <w:p>
            <w:pPr>
              <w:jc w:val="right"/>
              <w:ind w:right="54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536"/>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224"/>
        </w:trPr>
        <w:tc>
          <w:tcPr>
            <w:tcW w:w="2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Republic Holdings</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Equity Method</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Fair Value</w:t>
            </w:r>
          </w:p>
        </w:tc>
        <w:tc>
          <w:tcPr>
            <w:tcW w:w="15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2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24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0"/>
        </w:trPr>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Holdings Limited, which is accounted for under the equity method, and our investments in Vertical and GOL, which are each accounted for at fair value.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sponsor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our defined benefit pension plans were frozen and we began providing enhanced benefits under our defined contribution pension plans for certain employee groups. We use a December 31 measurement date for all of our defined benefit pension plans. We also provide certain retiree medical and other postretirement benefits, including health care and life insurance benefits to retired employees and notional retiree health reimbursement arrangements for eligible participants.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funded status as of December 31, 2024 and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6"/>
          </w:tcPr>
          <w:p>
            <w:pPr>
              <w:jc w:val="right"/>
              <w:ind w:right="75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37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Actuarial loss (gain) </w:t>
            </w:r>
            <w:r>
              <w:rPr>
                <w:rFonts w:ascii="Arial" w:cs="Arial" w:eastAsia="Arial" w:hAnsi="Arial"/>
                <w:sz w:val="23"/>
                <w:szCs w:val="23"/>
                <w:color w:val="auto"/>
                <w:vertAlign w:val="superscript"/>
              </w:rPr>
              <w:t>(1), (2)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Plan amendments </w:t>
            </w:r>
            <w:r>
              <w:rPr>
                <w:rFonts w:ascii="Arial" w:cs="Arial" w:eastAsia="Arial" w:hAnsi="Arial"/>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Benefit payments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13,349</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Actual return on plan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Benefit payments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at end of period</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at end of period</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The 2024 and 2023 pension actuarial loss (gain) primarily relates to the change in our weighted average discount rate assumption.</w:t>
      </w:r>
    </w:p>
    <w:p>
      <w:pPr>
        <w:spacing w:after="0" w:line="13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The 2024 retiree medical and other postretirement benefits actuarial gain primarily relates to changes in certain retirement and weighted average discount rate assumptions, offset by increases in health care premiums and health care cost assumptions.</w:t>
      </w:r>
    </w:p>
    <w:p>
      <w:pPr>
        <w:spacing w:after="0" w:line="139" w:lineRule="exact"/>
        <w:rPr>
          <w:rFonts w:ascii="Arial" w:cs="Arial" w:eastAsia="Arial" w:hAnsi="Arial"/>
          <w:sz w:val="23"/>
          <w:szCs w:val="23"/>
          <w:color w:val="auto"/>
          <w:vertAlign w:val="superscript"/>
        </w:rPr>
      </w:pPr>
    </w:p>
    <w:p>
      <w:pPr>
        <w:ind w:left="34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The 2023 retiree medical and other postretirement benefits actuarial loss primarily relates to the change in our weighted average discount rate assumption and change in health care cost assumptions.</w:t>
      </w:r>
    </w:p>
    <w:p>
      <w:pPr>
        <w:spacing w:after="0" w:line="9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We remeasured our retiree medical and other postretirement benefits to account for enhanced retirement benefits pursuant to the ratification of new CBAs. As a result, in 2024 and 2023, we increased our postretirement benefits obligation by $55 million and $339 million, respectively, which was included as a component of prior service cost in accumulated other comprehensive loss.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In 2024, we made required contributions of $285 million and supplemental contributions of $15 million to our defined benefit pension plans, and in 2023, we made required contributions of $69 million and supplemental contributions of $4 million to our defined benefit pension plans.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7"/>
          </w:tcPr>
          <w:p>
            <w:pPr>
              <w:jc w:val="center"/>
              <w:ind w:right="35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142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7"/>
          </w:tcPr>
          <w:p>
            <w:pPr>
              <w:jc w:val="center"/>
              <w:ind w:right="35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actuarial loss (gain)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accumulated other comprehensive loss (income), pre-tax</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7260" w:type="dxa"/>
            <w:vAlign w:val="bottom"/>
            <w:gridSpan w:val="6"/>
          </w:tcPr>
          <w:p>
            <w:pPr>
              <w:ind w:left="240"/>
              <w:spacing w:after="0"/>
              <w:rPr>
                <w:sz w:val="20"/>
                <w:szCs w:val="20"/>
                <w:color w:val="auto"/>
              </w:rPr>
            </w:pPr>
            <w:r>
              <w:rPr>
                <w:rFonts w:ascii="Arial" w:cs="Arial" w:eastAsia="Arial" w:hAnsi="Arial"/>
                <w:sz w:val="18"/>
                <w:szCs w:val="18"/>
                <w:b w:val="1"/>
                <w:bCs w:val="1"/>
                <w:i w:val="1"/>
                <w:iCs w:val="1"/>
                <w:color w:val="auto"/>
              </w:rPr>
              <w:t>Plans with Projected Benefit Obligations Exceeding Fair Value of Plan Assets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Pension Benefits</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5"/>
          </w:tcPr>
          <w:p>
            <w:pPr>
              <w:jc w:val="center"/>
              <w:ind w:left="221"/>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Projected benefit obligation</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13,349</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12,254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260" w:type="dxa"/>
            <w:vAlign w:val="bottom"/>
            <w:gridSpan w:val="6"/>
          </w:tcPr>
          <w:p>
            <w:pPr>
              <w:ind w:left="24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60" w:type="dxa"/>
            <w:vAlign w:val="bottom"/>
            <w:gridSpan w:val="7"/>
          </w:tcPr>
          <w:p>
            <w:pPr>
              <w:jc w:val="center"/>
              <w:ind w:right="35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14,403</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12,254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12,431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Periodic Benefit Cost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center"/>
              <w:ind w:left="295"/>
              <w:spacing w:after="0"/>
              <w:rPr>
                <w:sz w:val="20"/>
                <w:szCs w:val="20"/>
                <w:color w:val="auto"/>
              </w:rPr>
            </w:pPr>
            <w:r>
              <w:rPr>
                <w:rFonts w:ascii="Arial" w:cs="Arial" w:eastAsia="Arial" w:hAnsi="Arial"/>
                <w:sz w:val="14"/>
                <w:szCs w:val="14"/>
                <w:b w:val="1"/>
                <w:bCs w:val="1"/>
                <w:color w:val="auto"/>
              </w:rPr>
              <w:t>Other Postretirement Benefits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For the years ended December 31:</w:t>
            </w:r>
          </w:p>
        </w:tc>
        <w:tc>
          <w:tcPr>
            <w:tcW w:w="9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Defined benefit plans: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9"/>
              </w:rPr>
              <w:t>29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center"/>
              <w:ind w:left="315"/>
              <w:spacing w:after="0"/>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3"/>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center"/>
              <w:ind w:left="313"/>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Expected return on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Prior service cost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75"/>
              <w:spacing w:after="0"/>
              <w:rPr>
                <w:sz w:val="20"/>
                <w:szCs w:val="20"/>
                <w:color w:val="auto"/>
              </w:rPr>
            </w:pPr>
            <w:r>
              <w:rPr>
                <w:rFonts w:ascii="Arial" w:cs="Arial" w:eastAsia="Arial" w:hAnsi="Arial"/>
                <w:sz w:val="18"/>
                <w:szCs w:val="18"/>
                <w:color w:val="auto"/>
                <w:w w:val="99"/>
              </w:rPr>
              <w:t>(31)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9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33"/>
              <w:spacing w:after="0"/>
              <w:rPr>
                <w:sz w:val="20"/>
                <w:szCs w:val="20"/>
                <w:color w:val="auto"/>
              </w:rPr>
            </w:pPr>
            <w:r>
              <w:rPr>
                <w:rFonts w:ascii="Arial" w:cs="Arial" w:eastAsia="Arial" w:hAnsi="Arial"/>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on our consolidated statements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Assumptions</w:t>
      </w:r>
    </w:p>
    <w:p>
      <w:pPr>
        <w:spacing w:after="0" w:line="88" w:lineRule="exact"/>
        <w:rPr>
          <w:sz w:val="20"/>
          <w:szCs w:val="20"/>
          <w:color w:val="auto"/>
        </w:rPr>
      </w:pPr>
    </w:p>
    <w:p>
      <w:pPr>
        <w:ind w:right="20" w:firstLine="243"/>
        <w:spacing w:after="0" w:line="286" w:lineRule="auto"/>
        <w:rPr>
          <w:sz w:val="20"/>
          <w:szCs w:val="20"/>
          <w:color w:val="auto"/>
        </w:rPr>
      </w:pPr>
      <w:r>
        <w:rPr>
          <w:rFonts w:ascii="Arial" w:cs="Arial" w:eastAsia="Arial" w:hAnsi="Arial"/>
          <w:sz w:val="18"/>
          <w:szCs w:val="18"/>
          <w:color w:val="auto"/>
        </w:rPr>
        <w:t>The following actuarial assumptions were used to determine our benefit obligations and net periodic benefit cost (income) for the periods presented: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Pension Benefits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6"/>
          </w:tcPr>
          <w:p>
            <w:pPr>
              <w:jc w:val="center"/>
              <w:ind w:right="69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8"/>
            <w:vMerge w:val="continue"/>
          </w:tcPr>
          <w:p>
            <w:pPr>
              <w:spacing w:after="0"/>
              <w:rPr>
                <w:sz w:val="16"/>
                <w:szCs w:val="16"/>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9"/>
              </w:rPr>
              <w:t>Benefit obligations as of December 31:</w:t>
            </w:r>
          </w:p>
        </w:tc>
        <w:tc>
          <w:tcPr>
            <w:tcW w:w="1700" w:type="dxa"/>
            <w:vAlign w:val="bottom"/>
            <w:tcBorders>
              <w:bottom w:val="single" w:sz="8" w:color="CCEEFF"/>
            </w:tcBorders>
            <w:gridSpan w:val="2"/>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3"/>
          </w:tcPr>
          <w:p>
            <w:pPr>
              <w:jc w:val="right"/>
              <w:ind w:right="419"/>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16"/>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41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gridSpan w:val="7"/>
          </w:tcPr>
          <w:p>
            <w:pPr>
              <w:jc w:val="center"/>
              <w:ind w:right="61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11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2024</w:t>
            </w:r>
          </w:p>
        </w:tc>
        <w:tc>
          <w:tcPr>
            <w:tcW w:w="10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1360" w:type="dxa"/>
            <w:vAlign w:val="bottom"/>
            <w:gridSpan w:val="5"/>
          </w:tcPr>
          <w:p>
            <w:pPr>
              <w:jc w:val="center"/>
              <w:ind w:lef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4800" w:type="dxa"/>
            <w:vAlign w:val="bottom"/>
            <w:tcBorders>
              <w:top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Net periodic benefit cost (income) for the years ended</w:t>
            </w: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9"/>
              </w:rPr>
              <w:t>December 31:</w:t>
            </w:r>
          </w:p>
        </w:tc>
        <w:tc>
          <w:tcPr>
            <w:tcW w:w="31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800" w:type="dxa"/>
            <w:vAlign w:val="bottom"/>
            <w:gridSpan w:val="2"/>
          </w:tcPr>
          <w:p>
            <w:pPr>
              <w:jc w:val="center"/>
              <w:ind w:left="95"/>
              <w:spacing w:after="0"/>
              <w:rPr>
                <w:sz w:val="20"/>
                <w:szCs w:val="20"/>
                <w:color w:val="auto"/>
              </w:rPr>
            </w:pPr>
            <w:r>
              <w:rPr>
                <w:rFonts w:ascii="Arial" w:cs="Arial" w:eastAsia="Arial" w:hAnsi="Arial"/>
                <w:sz w:val="18"/>
                <w:szCs w:val="18"/>
                <w:color w:val="auto"/>
              </w:rPr>
              <w:t>5.2%</w:t>
            </w:r>
          </w:p>
        </w:tc>
        <w:tc>
          <w:tcPr>
            <w:tcW w:w="1020" w:type="dxa"/>
            <w:vAlign w:val="bottom"/>
            <w:gridSpan w:val="3"/>
          </w:tcPr>
          <w:p>
            <w:pPr>
              <w:jc w:val="center"/>
              <w:ind w:left="437"/>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5.3%</w:t>
            </w:r>
          </w:p>
        </w:tc>
        <w:tc>
          <w:tcPr>
            <w:tcW w:w="1360" w:type="dxa"/>
            <w:vAlign w:val="bottom"/>
            <w:gridSpan w:val="5"/>
          </w:tcPr>
          <w:p>
            <w:pPr>
              <w:jc w:val="center"/>
              <w:ind w:left="318"/>
              <w:spacing w:after="0"/>
              <w:rPr>
                <w:sz w:val="20"/>
                <w:szCs w:val="20"/>
                <w:color w:val="auto"/>
              </w:rPr>
            </w:pPr>
            <w:r>
              <w:rPr>
                <w:rFonts w:ascii="Arial" w:cs="Arial" w:eastAsia="Arial" w:hAnsi="Arial"/>
                <w:sz w:val="18"/>
                <w:szCs w:val="18"/>
                <w:color w:val="auto"/>
                <w:w w:val="97"/>
              </w:rPr>
              <w:t>5.7%</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expected rate of return on plan assets</w:t>
            </w:r>
          </w:p>
        </w:tc>
        <w:tc>
          <w:tcPr>
            <w:tcW w:w="800" w:type="dxa"/>
            <w:vAlign w:val="bottom"/>
            <w:gridSpan w:val="2"/>
            <w:shd w:val="clear" w:color="auto" w:fill="CCEEFF"/>
          </w:tcPr>
          <w:p>
            <w:pPr>
              <w:jc w:val="center"/>
              <w:ind w:left="95"/>
              <w:spacing w:after="0"/>
              <w:rPr>
                <w:sz w:val="20"/>
                <w:szCs w:val="20"/>
                <w:color w:val="auto"/>
              </w:rPr>
            </w:pPr>
            <w:r>
              <w:rPr>
                <w:rFonts w:ascii="Arial" w:cs="Arial" w:eastAsia="Arial" w:hAnsi="Arial"/>
                <w:sz w:val="18"/>
                <w:szCs w:val="18"/>
                <w:color w:val="auto"/>
              </w:rPr>
              <w:t>8.0%</w:t>
            </w:r>
          </w:p>
        </w:tc>
        <w:tc>
          <w:tcPr>
            <w:tcW w:w="1020" w:type="dxa"/>
            <w:vAlign w:val="bottom"/>
            <w:gridSpan w:val="3"/>
            <w:shd w:val="clear" w:color="auto" w:fill="CCEEFF"/>
          </w:tcPr>
          <w:p>
            <w:pPr>
              <w:jc w:val="center"/>
              <w:ind w:left="437"/>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1360" w:type="dxa"/>
            <w:vAlign w:val="bottom"/>
            <w:gridSpan w:val="5"/>
            <w:shd w:val="clear" w:color="auto" w:fill="CCEEFF"/>
          </w:tcPr>
          <w:p>
            <w:pPr>
              <w:jc w:val="center"/>
              <w:ind w:left="318"/>
              <w:spacing w:after="0"/>
              <w:rPr>
                <w:sz w:val="20"/>
                <w:szCs w:val="20"/>
                <w:color w:val="auto"/>
              </w:rPr>
            </w:pPr>
            <w:r>
              <w:rPr>
                <w:rFonts w:ascii="Arial" w:cs="Arial" w:eastAsia="Arial" w:hAnsi="Arial"/>
                <w:sz w:val="18"/>
                <w:szCs w:val="18"/>
                <w:color w:val="auto"/>
                <w:w w:val="97"/>
              </w:rPr>
              <w:t>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0" w:type="dxa"/>
            <w:vAlign w:val="bottom"/>
            <w:gridSpan w:val="4"/>
          </w:tcPr>
          <w:p>
            <w:pPr>
              <w:spacing w:after="0" w:line="181" w:lineRule="exact"/>
              <w:rPr>
                <w:sz w:val="20"/>
                <w:szCs w:val="20"/>
                <w:color w:val="auto"/>
              </w:rPr>
            </w:pPr>
            <w:r>
              <w:rPr>
                <w:rFonts w:ascii="Arial" w:cs="Arial" w:eastAsia="Arial" w:hAnsi="Arial"/>
                <w:sz w:val="18"/>
                <w:szCs w:val="18"/>
                <w:color w:val="auto"/>
              </w:rPr>
              <w:t>Weighted average health care cost trend rate assumed for</w:t>
            </w:r>
          </w:p>
        </w:tc>
        <w:tc>
          <w:tcPr>
            <w:tcW w:w="800" w:type="dxa"/>
            <w:vAlign w:val="bottom"/>
            <w:gridSpan w:val="2"/>
            <w:vMerge w:val="restart"/>
          </w:tcPr>
          <w:p>
            <w:pPr>
              <w:ind w:left="3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vMerge w:val="restart"/>
          </w:tcPr>
          <w:p>
            <w:pPr>
              <w:jc w:val="center"/>
              <w:ind w:right="100"/>
              <w:spacing w:after="0"/>
              <w:rPr>
                <w:sz w:val="20"/>
                <w:szCs w:val="20"/>
                <w:color w:val="auto"/>
              </w:rPr>
            </w:pPr>
            <w:r>
              <w:rPr>
                <w:rFonts w:ascii="Arial" w:cs="Arial" w:eastAsia="Arial" w:hAnsi="Arial"/>
                <w:sz w:val="18"/>
                <w:szCs w:val="18"/>
                <w:color w:val="auto"/>
                <w:w w:val="99"/>
              </w:rPr>
              <w:t>N/A</w:t>
            </w:r>
          </w:p>
        </w:tc>
        <w:tc>
          <w:tcPr>
            <w:tcW w:w="1300" w:type="dxa"/>
            <w:vAlign w:val="bottom"/>
            <w:gridSpan w:val="4"/>
            <w:vMerge w:val="restart"/>
          </w:tcPr>
          <w:p>
            <w:pPr>
              <w:ind w:left="340"/>
              <w:spacing w:after="0"/>
              <w:rPr>
                <w:sz w:val="20"/>
                <w:szCs w:val="20"/>
                <w:color w:val="auto"/>
              </w:rPr>
            </w:pPr>
            <w:r>
              <w:rPr>
                <w:rFonts w:ascii="Arial" w:cs="Arial" w:eastAsia="Arial" w:hAnsi="Arial"/>
                <w:sz w:val="18"/>
                <w:szCs w:val="18"/>
                <w:color w:val="auto"/>
              </w:rPr>
              <w:t>N/A</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7"/>
              </w:rPr>
              <w:t>6.5%</w:t>
            </w:r>
          </w:p>
        </w:tc>
        <w:tc>
          <w:tcPr>
            <w:tcW w:w="1360" w:type="dxa"/>
            <w:vAlign w:val="bottom"/>
            <w:gridSpan w:val="5"/>
            <w:vMerge w:val="restart"/>
          </w:tcPr>
          <w:p>
            <w:pPr>
              <w:jc w:val="center"/>
              <w:ind w:left="318"/>
              <w:spacing w:after="0"/>
              <w:rPr>
                <w:sz w:val="20"/>
                <w:szCs w:val="20"/>
                <w:color w:val="auto"/>
              </w:rPr>
            </w:pPr>
            <w:r>
              <w:rPr>
                <w:rFonts w:ascii="Arial" w:cs="Arial" w:eastAsia="Arial" w:hAnsi="Arial"/>
                <w:sz w:val="18"/>
                <w:szCs w:val="18"/>
                <w:color w:val="auto"/>
                <w:w w:val="97"/>
              </w:rPr>
              <w:t>6.5%</w:t>
            </w:r>
          </w:p>
        </w:tc>
        <w:tc>
          <w:tcPr>
            <w:tcW w:w="1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800" w:type="dxa"/>
            <w:vAlign w:val="bottom"/>
            <w:gridSpan w:val="4"/>
          </w:tcPr>
          <w:p>
            <w:pPr>
              <w:ind w:left="160"/>
              <w:spacing w:after="0"/>
              <w:rPr>
                <w:sz w:val="20"/>
                <w:szCs w:val="20"/>
                <w:color w:val="auto"/>
              </w:rPr>
            </w:pPr>
            <w:r>
              <w:rPr>
                <w:rFonts w:ascii="Arial" w:cs="Arial" w:eastAsia="Arial" w:hAnsi="Arial"/>
                <w:sz w:val="18"/>
                <w:szCs w:val="18"/>
                <w:color w:val="auto"/>
              </w:rPr>
              <w:t xml:space="preserve">next year </w:t>
            </w:r>
            <w:r>
              <w:rPr>
                <w:rFonts w:ascii="Arial" w:cs="Arial" w:eastAsia="Arial" w:hAnsi="Arial"/>
                <w:sz w:val="23"/>
                <w:szCs w:val="23"/>
                <w:color w:val="auto"/>
                <w:vertAlign w:val="superscript"/>
              </w:rPr>
              <w:t>(1)</w:t>
            </w:r>
          </w:p>
        </w:tc>
        <w:tc>
          <w:tcPr>
            <w:tcW w:w="8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1300" w:type="dxa"/>
            <w:vAlign w:val="bottom"/>
            <w:gridSpan w:val="4"/>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13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3100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71" w:lineRule="exact"/>
        <w:rPr>
          <w:sz w:val="20"/>
          <w:szCs w:val="20"/>
          <w:color w:val="auto"/>
        </w:rPr>
      </w:pPr>
    </w:p>
    <w:p>
      <w:pPr>
        <w:ind w:left="340" w:hanging="332"/>
        <w:spacing w:after="0" w:line="231"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The weighted average health care cost trend rate at December 31, 2024 is assumed to decline gradually to 4.5% by 2033 and remain level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January 1, 2025, our estimate of the long-term rate of return on plan assets is 7.75%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the Employee Retirement Income Security Act of 1974 (ERISA) and various other laws for U.S. based plans as well as underfunding rules specific to countries where we maintain defined benefit pension plans. Based on current funding assumptions, we have minimum required contributions of $224 million for 2025 including contributions to defined benefit pension plans for our wholly-owned subsidiaries. Our future funding obligations will depend on the performance of our investments held in a trust by the pension plans, interest rates for determining funding targets, the amount of and timing of any supplemental contributions and our actuarial experience.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2030-2034</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39"/>
        </w:trPr>
        <w:tc>
          <w:tcPr>
            <w:tcW w:w="528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w:t>
            </w:r>
          </w:p>
        </w:tc>
      </w:tr>
    </w:tbl>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 Assets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objectives of our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with the corresponding allowed range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Asset Class/Sub-Class</w:t>
            </w:r>
          </w:p>
        </w:tc>
        <w:tc>
          <w:tcPr>
            <w:tcW w:w="2200" w:type="dxa"/>
            <w:vAlign w:val="bottom"/>
            <w:gridSpan w:val="2"/>
          </w:tcPr>
          <w:p>
            <w:pPr>
              <w:ind w:left="460"/>
              <w:spacing w:after="0"/>
              <w:rPr>
                <w:sz w:val="20"/>
                <w:szCs w:val="20"/>
                <w:color w:val="auto"/>
              </w:rPr>
            </w:pPr>
            <w:r>
              <w:rPr>
                <w:rFonts w:ascii="Arial" w:cs="Arial" w:eastAsia="Arial" w:hAnsi="Arial"/>
                <w:sz w:val="14"/>
                <w:szCs w:val="14"/>
                <w:b w:val="1"/>
                <w:bCs w:val="1"/>
                <w:color w:val="auto"/>
              </w:rPr>
              <w:t>Target Allocation</w:t>
            </w:r>
          </w:p>
        </w:tc>
        <w:tc>
          <w:tcPr>
            <w:tcW w:w="1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U.S.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International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Emerging Markets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20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56"/>
        </w:trPr>
        <w:tc>
          <w:tcPr>
            <w:tcW w:w="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554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- 70%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Public U.S. Fixed Income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256"/>
        </w:trPr>
        <w:tc>
          <w:tcPr>
            <w:tcW w:w="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554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 - 5%</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bl>
    <w:p>
      <w:pPr>
        <w:spacing w:after="0" w:line="23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fair value of our pension plan assets at December 31, 2024 and 2023, by asset category, were as follows (in millions)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24"/>
        </w:trPr>
        <w:tc>
          <w:tcPr>
            <w:tcW w:w="270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3"/>
                <w:szCs w:val="23"/>
                <w:color w:val="auto"/>
                <w:vertAlign w:val="superscript"/>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r>
      <w:tr>
        <w:trPr>
          <w:trHeight w:val="229"/>
        </w:trPr>
        <w:tc>
          <w:tcPr>
            <w:tcW w:w="2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3,498</w:t>
            </w:r>
          </w:p>
        </w:tc>
      </w:tr>
      <w:tr>
        <w:trPr>
          <w:trHeight w:val="229"/>
        </w:trPr>
        <w:tc>
          <w:tcPr>
            <w:tcW w:w="2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2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Measured at NAV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Common collective trusts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2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Private investments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4,081</w:t>
            </w:r>
          </w:p>
        </w:tc>
      </w:tr>
      <w:tr>
        <w:trPr>
          <w:trHeight w:val="248"/>
        </w:trPr>
        <w:tc>
          <w:tcPr>
            <w:tcW w:w="270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plan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73"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rPr>
          <w:sz w:val="20"/>
          <w:szCs w:val="20"/>
          <w:color w:val="auto"/>
        </w:rPr>
      </w:pPr>
      <w:r>
        <w:rPr>
          <w:rFonts w:ascii="Arial" w:cs="Arial" w:eastAsia="Arial" w:hAnsi="Arial"/>
          <w:sz w:val="12"/>
          <w:szCs w:val="12"/>
          <w:color w:val="auto"/>
        </w:rPr>
        <w:t>(1)</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7 for a description of the levels within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Equity investments include domestic and international common stock and preferred stock.</w:t>
      </w:r>
    </w:p>
    <w:p>
      <w:pPr>
        <w:spacing w:after="0" w:line="182" w:lineRule="exact"/>
        <w:rPr>
          <w:sz w:val="20"/>
          <w:szCs w:val="20"/>
          <w:color w:val="auto"/>
        </w:rPr>
      </w:pPr>
    </w:p>
    <w:p>
      <w:pPr>
        <w:sectPr>
          <w:pgSz w:w="11900" w:h="16838" w:orient="portrait"/>
          <w:cols w:equalWidth="0" w:num="2">
            <w:col w:w="160" w:space="160"/>
            <w:col w:w="10920"/>
          </w:cols>
          <w:pgMar w:left="320" w:top="122" w:right="339" w:bottom="1440" w:gutter="0" w:footer="0" w:header="0"/>
          <w:type w:val="continuous"/>
        </w:sectPr>
      </w:pPr>
    </w:p>
    <w:p>
      <w:pPr>
        <w:ind w:left="340" w:hanging="332"/>
        <w:spacing w:after="0" w:line="231" w:lineRule="auto"/>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Fixed income investments include corporate, government and U.S. municipal bonds, as well as mutual funds invested in fixed income securities.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a short-term investment fund, net receivables and payables of the master trust for dividends, interest and amounts due to or from the sale and purchase of securities and cash and cash equivalents.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Includes investments that were measured at NAV per share (or its equivalent) as a practical expedient that have not been classified in the fair value hierarchy.</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Common collective trusts include commingled funds primarily invested in equity securities. For some trusts, requests for withdrawals must meet specific requirements with advance notice of redemption preferred.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2024, the pension plan’s master trust has future funding commitments to these limited partnerships of approximately $1.1 billion, most of which are expected to be called over the next five years.</w:t>
      </w:r>
    </w:p>
    <w:p>
      <w:pPr>
        <w:spacing w:after="0" w:line="13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Changes in fair value measurements of Level 3 investments during the years ended December 31, 2024 and 2023, were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44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3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Actual gain (loss) on plan assets:</w:t>
            </w:r>
          </w:p>
        </w:tc>
        <w:tc>
          <w:tcPr>
            <w:tcW w:w="3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Relating to assets still held at the reporting date</w:t>
            </w:r>
          </w:p>
        </w:tc>
        <w:tc>
          <w:tcPr>
            <w:tcW w:w="3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60" w:type="dxa"/>
            <w:vAlign w:val="bottom"/>
            <w:vMerge w:val="restart"/>
          </w:tcPr>
          <w:p>
            <w:pPr>
              <w:jc w:val="right"/>
              <w:ind w:right="2219"/>
              <w:spacing w:after="0"/>
              <w:rPr>
                <w:sz w:val="20"/>
                <w:szCs w:val="20"/>
                <w:color w:val="auto"/>
              </w:rPr>
            </w:pPr>
            <w:r>
              <w:rPr>
                <w:rFonts w:ascii="Arial" w:cs="Arial" w:eastAsia="Arial" w:hAnsi="Arial"/>
                <w:sz w:val="18"/>
                <w:szCs w:val="18"/>
                <w:color w:val="auto"/>
              </w:rPr>
              <w:t>115</w:t>
            </w: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47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0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costs associated with our defined contribution plans were $1.4 billion, $1.1 billion and $949 million for the years ended December 31, 2024, 2023 and 2022, respectively.</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participate in the International Association of Machinists &amp; Aerospace Workers (IAM) National Pension Fund, Employer Identification No. 51-6031295 and Plan No. 002 (the IAM Pension Fund). Our contributions to the IAM Pension Fund were $57 million, $52 million and $46 million for the years ended December 31, 2024, 2023 and 2022, respectively. The IAM Pension Fund reported $570 million in employers’ contributions for the year ended December 31, 2023, which is the most recent year for which such information is available. For 2023, our contributions represented more than 5% of total contributions to the IAM Pension Fund.</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we were subject to an immaterial contribution surcharge, which ceased to apply June 14, 2019 upon our mandatory adoption of a contribution schedule under the Rehabilitation Plan. The contribution schedule requires 2.5% annual increases to our contribution rate. This contribution schedule will remain in effect through the earlier of December 31, 2031 or the date the IAM Pension Fund emerges from critical status. As of the most recent data available, the IAM Pension Fund remains in critical status.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accrue a percentage of our pre-tax income excluding net special items for our profit sharing program. For the year ended December 31, 2024, we accrued $228 million for this program, which will be distributed to employees in the first quarter of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AOCI are as follows (in millions):</w:t>
      </w:r>
    </w:p>
    <w:p>
      <w:pPr>
        <w:spacing w:after="0" w:line="141"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Pension,</w:t>
      </w:r>
    </w:p>
    <w:p>
      <w:pPr>
        <w:jc w:val="center"/>
        <w:ind w:left="1400"/>
        <w:spacing w:after="0" w:line="221" w:lineRule="auto"/>
        <w:rPr>
          <w:sz w:val="20"/>
          <w:szCs w:val="20"/>
          <w:color w:val="auto"/>
        </w:rPr>
      </w:pPr>
      <w:r>
        <w:rPr>
          <w:rFonts w:ascii="Arial" w:cs="Arial" w:eastAsia="Arial" w:hAnsi="Arial"/>
          <w:sz w:val="14"/>
          <w:szCs w:val="14"/>
          <w:b w:val="1"/>
          <w:bCs w:val="1"/>
          <w:color w:val="auto"/>
        </w:rPr>
        <w:t>Retiree</w:t>
      </w:r>
    </w:p>
    <w:tbl>
      <w:tblPr>
        <w:tblLayout w:type="fixed"/>
        <w:tblInd w:w="0" w:type="dxa"/>
        <w:tblCellMar>
          <w:top w:w="0" w:type="dxa"/>
          <w:left w:w="0" w:type="dxa"/>
          <w:bottom w:w="0" w:type="dxa"/>
          <w:right w:w="0" w:type="dxa"/>
        </w:tblCellMar>
      </w:tblPr>
      <w:tr>
        <w:trPr>
          <w:trHeight w:val="134"/>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Medical and</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1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Other</w:t>
            </w: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1"/>
                <w:szCs w:val="11"/>
                <w:color w:val="auto"/>
              </w:rPr>
            </w:pPr>
          </w:p>
        </w:tc>
        <w:tc>
          <w:tcPr>
            <w:tcW w:w="1140" w:type="dxa"/>
            <w:vAlign w:val="bottom"/>
          </w:tcPr>
          <w:p>
            <w:pPr>
              <w:jc w:val="center"/>
              <w:ind w:right="95"/>
              <w:spacing w:after="0" w:line="137"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7"/>
                <w:szCs w:val="17"/>
                <w:color w:val="auto"/>
              </w:rPr>
            </w:pPr>
          </w:p>
        </w:tc>
        <w:tc>
          <w:tcPr>
            <w:tcW w:w="1140" w:type="dxa"/>
            <w:vAlign w:val="bottom"/>
          </w:tcPr>
          <w:p>
            <w:pPr>
              <w:jc w:val="center"/>
              <w:ind w:right="75"/>
              <w:spacing w:after="0" w:line="201"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our consolidated statements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for the years ended December 31, 2024 and 2023 are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Amounts reclassified from AOCI</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AOCI Components</w:t>
            </w:r>
          </w:p>
        </w:tc>
        <w:tc>
          <w:tcPr>
            <w:tcW w:w="9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Amortization of pension, retiree medical and other</w:t>
            </w:r>
          </w:p>
        </w:tc>
        <w:tc>
          <w:tcPr>
            <w:tcW w:w="9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postretirement benefits:</w:t>
            </w:r>
          </w:p>
        </w:tc>
        <w:tc>
          <w:tcPr>
            <w:tcW w:w="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Prior service cost</w:t>
            </w:r>
          </w:p>
        </w:tc>
        <w:tc>
          <w:tcPr>
            <w:tcW w:w="940" w:type="dxa"/>
            <w:vAlign w:val="bottom"/>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Nonoperating other income (expense), net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Actuarial loss</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income (expense),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1" w:lineRule="exact"/>
        <w:rPr>
          <w:rFonts w:ascii="Arial" w:cs="Arial" w:eastAsia="Arial" w:hAnsi="Arial"/>
          <w:sz w:val="18"/>
          <w:szCs w:val="18"/>
          <w:b w:val="1"/>
          <w:bCs w:val="1"/>
          <w:color w:val="auto"/>
        </w:rPr>
      </w:pPr>
    </w:p>
    <w:p>
      <w:pPr>
        <w:ind w:left="520" w:hanging="269"/>
        <w:spacing w:after="0"/>
        <w:tabs>
          <w:tab w:leader="none" w:pos="520" w:val="left"/>
        </w:tabs>
        <w:numPr>
          <w:ilvl w:val="1"/>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88"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Under all of our aircraft and engine purchase agreements, our total future commitments as of December 31, 2024 are expected to be as follows (approximately,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2030 and</w:t>
            </w:r>
          </w:p>
        </w:tc>
        <w:tc>
          <w:tcPr>
            <w:tcW w:w="200" w:type="dxa"/>
            <w:vAlign w:val="bottom"/>
          </w:tcPr>
          <w:p>
            <w:pPr>
              <w:spacing w:after="0"/>
              <w:rPr>
                <w:sz w:val="14"/>
                <w:szCs w:val="14"/>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shd w:val="clear" w:color="auto" w:fill="CCEEFF"/>
          </w:tcPr>
          <w:p>
            <w:pPr>
              <w:jc w:val="right"/>
              <w:ind w:right="2210"/>
              <w:spacing w:after="0" w:line="156" w:lineRule="exact"/>
              <w:rPr>
                <w:sz w:val="20"/>
                <w:szCs w:val="20"/>
                <w:color w:val="auto"/>
              </w:rPr>
            </w:pPr>
            <w:r>
              <w:rPr>
                <w:rFonts w:ascii="Arial" w:cs="Arial" w:eastAsia="Arial" w:hAnsi="Arial"/>
                <w:sz w:val="18"/>
                <w:szCs w:val="18"/>
                <w:color w:val="auto"/>
              </w:rPr>
              <w:t>Payments for aircraft and</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2,169</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4,186</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4,003</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3,403</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3,345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26,115</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jc w:val="right"/>
              <w:ind w:right="2210"/>
              <w:spacing w:after="0" w:line="243" w:lineRule="exact"/>
              <w:rPr>
                <w:sz w:val="20"/>
                <w:szCs w:val="20"/>
                <w:color w:val="auto"/>
              </w:rPr>
            </w:pPr>
            <w:r>
              <w:rPr>
                <w:rFonts w:ascii="Arial" w:cs="Arial" w:eastAsia="Arial" w:hAnsi="Arial"/>
                <w:sz w:val="18"/>
                <w:szCs w:val="18"/>
                <w:color w:val="auto"/>
              </w:rPr>
              <w:t xml:space="preserve">engine commitments </w:t>
            </w:r>
            <w:r>
              <w:rPr>
                <w:rFonts w:ascii="Arial" w:cs="Arial" w:eastAsia="Arial" w:hAnsi="Arial"/>
                <w:sz w:val="23"/>
                <w:szCs w:val="23"/>
                <w:color w:val="auto"/>
                <w:vertAlign w:val="superscript"/>
              </w:rPr>
              <w:t>(1)</w:t>
            </w: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These amounts are net of purchase deposits currently held by the manufacturers. Our purchase deposits held by all manufacturers totaled $1.0 billion and $760 million as of December 31, 2024 and 2023, respectively.</w:t>
      </w:r>
    </w:p>
    <w:p>
      <w:pPr>
        <w:spacing w:after="0" w:line="139"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manufacturer and regulatory concerns.</w:t>
      </w:r>
    </w:p>
    <w:p>
      <w:pPr>
        <w:spacing w:after="0" w:line="121" w:lineRule="exact"/>
        <w:rPr>
          <w:sz w:val="20"/>
          <w:szCs w:val="20"/>
          <w:color w:val="auto"/>
        </w:rPr>
      </w:pPr>
    </w:p>
    <w:p>
      <w:pPr>
        <w:ind w:left="340"/>
        <w:spacing w:after="0" w:line="286" w:lineRule="auto"/>
        <w:rPr>
          <w:sz w:val="20"/>
          <w:szCs w:val="20"/>
          <w:color w:val="auto"/>
        </w:rPr>
      </w:pPr>
      <w:r>
        <w:rPr>
          <w:rFonts w:ascii="Arial" w:cs="Arial" w:eastAsia="Arial" w:hAnsi="Arial"/>
          <w:sz w:val="18"/>
          <w:szCs w:val="18"/>
          <w:color w:val="auto"/>
        </w:rPr>
        <w:t>Additionally, the amounts in the table exclude five Boeing 787 Family aircraft scheduled to be delivered in 2025, for which we have obtained committed lease financing. See Note 5 for information regarding this operating lease commitment.</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we have other purchase commitments primarily related to aircraft fuel, flight equipment maintenance and information technology support as follows (approximately): $4.6 billion in 2025, $2.0 billion in 2026, $1.5 billion in 2027, $386 million in 2028, $502 million in 2029 and $3.4 billion in 2030 and thereafter. These amounts exclude obligations under certain fuel offtake agreements or other agreements for which the timing of the related expenditure is uncertain, or which are subject to material contingencies, such as the construction of a production facility.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2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As of December 31, 2024, American’s capacity purchase agreements with third-party regional carriers had expiration dates ranging from 2025 to 2033, with rights of American to extend the respective terms of certain agreements.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As of December 31, 2024, American’s minimum obligations under its capacity purchase agreements with third-party regional carriers are expected to be as follows (approximately,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2030 and</w:t>
            </w: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Minimum obligations under capacity purchase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1,114</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1,068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5,916</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in Note 5.</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2018, we executed a lease agreement with Los Angeles World Airports (LAWA), which owns and operates LAX, in connection with a $1.6 billion modernization project related to LAX Terminals 4 and 5. Construction started in October 2018 and is expected to be completed in 2028 in a phased approach. Under the lease agreement and subsequent project component approvals, the City of Los Angeles Board of Airport Commissioners has appropriated approximately $1.6 billion to purchase completed project assets, representing the maximum allowable reimbursement by LAWA. In September 2024, we executed an agreement to where a substantial majority of the non-proprietary project costs will be funded through the Regional Airports Improvement Corporation (RAIC), a quasigovernmental special purpose entity that acts as a conduit borrower under a syndicated credit facility provided by a group of lenders in the form of a $250 million revolving credit facility. Loans made under the credit facility are being repaid with the proceeds from LAWA’s purchase of completed project assets. We guarantee the obligation of the RAIC under the credit facility associated with the Terminals 4 and 5 lease. As of December 31, 2024, our outstanding guaranteed obligation under the credit facility for the Terminals 4 and 5 project was $250 million. Additionally, we have recovered $1.2 billion since project inception through the end of 2024 and expect to receive approximately $450 million in additional reimbursements by the end of 2028.</w:t>
      </w:r>
    </w:p>
    <w:p>
      <w:pPr>
        <w:spacing w:after="0" w:line="1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we control the assets during construction, they are recognized on our consolidated balance sheets within operating property and equipment until the assets are sold and transferred. For the years ended December 31, 2024 and 2023, we have sold and transferred $588 million and $170 million of non-proprietary improvements, respectively, which are included within proceeds from sale-leaseback transactions and sale of property and equipment on our consolidated statements of cash flows. For the years ended December 31, 2024, 2023 and 2022, we had $187 million, $283 million and $241 million, respectively, of non-proprietary improvement costs relating to the LAX modernization project, which are included within other investing activities on our consolidated statements of cash flows.</w:t>
      </w:r>
    </w:p>
    <w:p>
      <w:pPr>
        <w:spacing w:after="0" w:line="209" w:lineRule="exact"/>
        <w:rPr>
          <w:sz w:val="20"/>
          <w:szCs w:val="20"/>
          <w:color w:val="auto"/>
        </w:rPr>
      </w:pPr>
    </w:p>
    <w:p>
      <w:pPr>
        <w:ind w:left="260" w:right="7900" w:hanging="9"/>
        <w:spacing w:after="0" w:line="342" w:lineRule="auto"/>
        <w:tabs>
          <w:tab w:leader="none" w:pos="539"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Pass-Through Trusts</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currently has 292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2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by, AAG or American. However, the equipment notes issued to the trusts are direct obligations of American and, in certain instances, have been guaranteed by AAG. As of December 31, 2024, $7.3 billion associated with these mortgage financings is reflected as debt in the accompanying consolidated balance sheet.</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provide financial assurance, such as letters of credit and surety bonds, primarily to support projected workers’ compensation obligations and airport commitments. As of December 31, 2024, we had $343 million of letters of credit and surety bonds securing various obligations, of which $98 million is collateralized with our restricted cash. The letters of credit and surety bonds that are subject to expiration will expire on various dates through 2037.</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substantially completed wind-down activities.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by completing wind-down activities related to the NEA. American filed a notice of appeal to the U.S. Court of Appeals for the First Circuit on September 25, 2023. The First Circuit affirmed the District Court’s decision on November 8, 2024. Any petition for writ of certiorari to the U.S. Supreme Court would be due February 27, 2025.</w:t>
      </w:r>
    </w:p>
    <w:p>
      <w:pPr>
        <w:spacing w:after="0" w:line="1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In September 2024, the court denied that motion. We believe these lawsuits are without merit and are defending against them vigorously.</w:t>
      </w:r>
    </w:p>
    <w:p>
      <w:pPr>
        <w:spacing w:after="0" w:line="1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On July 18, 2024, AAG and certain of its current and former officers were named as defendants in a putative class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action lawsuit filed in the United States District Court for the Northern District of Texas, captioned </w:t>
      </w:r>
      <w:r>
        <w:rPr>
          <w:rFonts w:ascii="Arial" w:cs="Arial" w:eastAsia="Arial" w:hAnsi="Arial"/>
          <w:sz w:val="18"/>
          <w:szCs w:val="18"/>
          <w:i w:val="1"/>
          <w:iCs w:val="1"/>
          <w:color w:val="auto"/>
        </w:rPr>
        <w:t>Qawasmi v. American Airlines Group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Qawasmi </w:t>
      </w:r>
      <w:r>
        <w:rPr>
          <w:rFonts w:ascii="Arial" w:cs="Arial" w:eastAsia="Arial" w:hAnsi="Arial"/>
          <w:sz w:val="18"/>
          <w:szCs w:val="18"/>
          <w:color w:val="auto"/>
        </w:rPr>
        <w:t>plaintiff purports to represent investors who acquired AAG securities between January 25, 2024 and May 28, 2024.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August 28, 2024, AAG and certain of its current and former officers were named as defendants in a second putative class action lawsuit filed in the same court, captioned </w:t>
      </w:r>
      <w:r>
        <w:rPr>
          <w:rFonts w:ascii="Arial" w:cs="Arial" w:eastAsia="Arial" w:hAnsi="Arial"/>
          <w:sz w:val="18"/>
          <w:szCs w:val="18"/>
          <w:i w:val="1"/>
          <w:iCs w:val="1"/>
          <w:color w:val="auto"/>
        </w:rPr>
        <w:t>Thornburg v. American Airlines Group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plaintiff purports to represent investors who acquired AAG securities between July 20, 2023 and May 28, 2024. Both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actions as well as appointment as lead plaintiff. On November 22, 2024, the </w:t>
      </w:r>
      <w:r>
        <w:rPr>
          <w:rFonts w:ascii="Arial" w:cs="Arial" w:eastAsia="Arial" w:hAnsi="Arial"/>
          <w:sz w:val="18"/>
          <w:szCs w:val="18"/>
          <w:i w:val="1"/>
          <w:iCs w:val="1"/>
          <w:color w:val="auto"/>
        </w:rPr>
        <w:t xml:space="preserve">Qawasmi </w:t>
      </w:r>
      <w:r>
        <w:rPr>
          <w:rFonts w:ascii="Arial" w:cs="Arial" w:eastAsia="Arial" w:hAnsi="Arial"/>
          <w:sz w:val="18"/>
          <w:szCs w:val="18"/>
          <w:color w:val="auto"/>
        </w:rPr>
        <w:t>and</w:t>
      </w:r>
      <w:r>
        <w:rPr>
          <w:rFonts w:ascii="Arial" w:cs="Arial" w:eastAsia="Arial" w:hAnsi="Arial"/>
          <w:sz w:val="18"/>
          <w:szCs w:val="18"/>
          <w:i w:val="1"/>
          <w:iCs w:val="1"/>
          <w:color w:val="auto"/>
        </w:rPr>
        <w:t xml:space="preserve"> Thornburg </w:t>
      </w:r>
      <w:r>
        <w:rPr>
          <w:rFonts w:ascii="Arial" w:cs="Arial" w:eastAsia="Arial" w:hAnsi="Arial"/>
          <w:sz w:val="18"/>
          <w:szCs w:val="18"/>
          <w:color w:val="auto"/>
        </w:rPr>
        <w:t>complaints were consolidated into a single action bearing the caption</w:t>
      </w:r>
      <w:r>
        <w:rPr>
          <w:rFonts w:ascii="Arial" w:cs="Arial" w:eastAsia="Arial" w:hAnsi="Arial"/>
          <w:sz w:val="18"/>
          <w:szCs w:val="18"/>
          <w:i w:val="1"/>
          <w:iCs w:val="1"/>
          <w:color w:val="auto"/>
        </w:rPr>
        <w:t xml:space="preserve"> In re American Airlines Group Inc. Securities Litigation. </w:t>
      </w:r>
      <w:r>
        <w:rPr>
          <w:rFonts w:ascii="Arial" w:cs="Arial" w:eastAsia="Arial" w:hAnsi="Arial"/>
          <w:sz w:val="18"/>
          <w:szCs w:val="18"/>
          <w:color w:val="auto"/>
        </w:rPr>
        <w:t>The court also appointed co-lead plaintiffs and lead counsel to represent the putative class in the consolidated action.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now anticipate briefing a motion to dismiss the action.</w:t>
      </w:r>
    </w:p>
    <w:p>
      <w:pPr>
        <w:spacing w:after="0" w:line="13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Additionally, on September 19, 2024, certain of AAG’s current and former directors and officers were named as defendants in a shareholder derivative lawsuit (in which AAG is a nominal defendant) filed in the United States District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Court for the Northern District of Texas, captioned </w:t>
      </w:r>
      <w:r>
        <w:rPr>
          <w:rFonts w:ascii="Arial" w:cs="Arial" w:eastAsia="Arial" w:hAnsi="Arial"/>
          <w:sz w:val="18"/>
          <w:szCs w:val="18"/>
          <w:i w:val="1"/>
          <w:iCs w:val="1"/>
          <w:color w:val="auto"/>
        </w:rPr>
        <w:t>Hollin v. Isom,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8"/>
          <w:szCs w:val="18"/>
          <w:i w:val="1"/>
          <w:iCs w:val="1"/>
          <w:color w:val="auto"/>
        </w:rPr>
        <w:t>Leon v. Isom,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 asserts violations of Section 14(a) of the Exchange Act, breaches of fiduciary duty, claims of unjust enrichment, abuse of control, gross mismanagement, waste of corporate assets, and a claim for contribution.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generally allege the same purported misconduct as alleged in the securities class actions. On November 25, 2024,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 Airlines Group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 Derivative Action. </w:t>
      </w:r>
      <w:r>
        <w:rPr>
          <w:rFonts w:ascii="Arial" w:cs="Arial" w:eastAsia="Arial" w:hAnsi="Arial"/>
          <w:sz w:val="18"/>
          <w:szCs w:val="18"/>
          <w:color w:val="auto"/>
        </w:rPr>
        <w:t>We believe both the securities class actions and shareholder derivative lawsuits are without merit and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defend against them vigorously.</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party to many routine contracts in which we provide general indemnities in the normal course of business to third parties for various risks. We are not able to estimate the potential amount of any liability resulting from the indemnities. These indemnities are discussed in the following paragraphs.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our aircraft financing agreements, we generally indemnify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loan agreements and certain other financing transactions may obligate us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our loan agreements and other financing arrangements typically contain a withholding tax provision that requires us to pay additional amounts to the applicable lender or other financing party, generally if withholding taxes are imposed on such lender or other financing party as a result of a change in the applicable tax law.</w:t>
      </w:r>
    </w:p>
    <w:p>
      <w:pPr>
        <w:spacing w:after="0" w:line="12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we may be required to make a lump sum payment to terminate the relevant transaction.</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have general indemnity clauses in many of our airport and other real estate leases where we as lessee indemnify the lessor (and related parties) against liabilities related to our use of the leased property. Generally, these indemnifications cover liabilities resulting from the negligence of the indemnified parties, but not liabilities resulting from the gross negligence or willful misconduct of the indemnified parties. In addition, we provide environmental indemnities in many of these leases for contamination related to our use of the leased property.</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certain contracts with third parties, we indemnify the third-party against legal liability arising out of an action by the third-party, or certain other parties. The terms of these contracts vary and the potential exposure under these indemnities cannot be determined. We have liability insurance protecting us from some of the obligations we have undertaken under these indemnities.</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AAG. As of December 31, 2024, the remaining lease payments through 2035 guaranteeing the principal and interest on these bonds are $503 million and the current carrying amount of the associated operating lease liability in the accompanying consolidated balance sheet is $321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As of December 31, 2024, AAG had issued guarantees covering approximately $15.2 billion of American’s secured debt (and interest thereon), including the Credit Facilities, the AAdvantage Financing, certain EETC financings and special facility revenue bonds.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Our agreements allow these credit card processing companies, under certain conditions, to hold an amount of our cash (referred to as a holdback) equal to all or a portion of advance ticket sales that have been processed by that company, but for which we have not yet provided the air transportation.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would reduce our liquidity.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Labor Contracts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2024, American and the Association of Professional Flight Attendants, the union representing our mainline flight attendants, ratified a new CBA. This five-year agreement provides wage rate increases, quality-of-life benefits and other benefit-related items. The ratified agreement also included a provision for a one-time payment. In 2024, one-time charges resulting from the ratification of this new agreement were recorded as mainline operating special items, net in the condensed consolidated statement of operations, including the one-time payment of $514 million which was paid in November 2024.</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2024, we employed approximately 133,300 active full-time equivalent (FTE) employees, of which 30,600 were employed by our wholly-owned regional subsidiaries. Of the total active FTE employees, 87% are covered by CBAs with various labor unions and 6% are covered by CBAs that are currently amendable or that will become amendable within one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ROU assets acquired through operating leases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637</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acquired through debt, finance leases and other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Operating leases converted to finance leases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 converted to operating leases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net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r>
      <w:tr>
        <w:trPr>
          <w:trHeight w:val="239"/>
        </w:trPr>
        <w:tc>
          <w:tcPr>
            <w:tcW w:w="6460" w:type="dxa"/>
            <w:vAlign w:val="bottom"/>
          </w:tcPr>
          <w:p>
            <w:pPr>
              <w:ind w:left="220"/>
              <w:spacing w:after="0"/>
              <w:rPr>
                <w:sz w:val="20"/>
                <w:szCs w:val="20"/>
                <w:color w:val="auto"/>
              </w:rPr>
            </w:pPr>
            <w:r>
              <w:rPr>
                <w:rFonts w:ascii="Arial" w:cs="Arial" w:eastAsia="Arial" w:hAnsi="Arial"/>
                <w:sz w:val="18"/>
                <w:szCs w:val="18"/>
                <w:color w:val="auto"/>
              </w:rPr>
              <w:t>Income taxes paid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23"/>
        </w:trPr>
        <w:tc>
          <w:tcPr>
            <w:tcW w:w="6460" w:type="dxa"/>
            <w:vAlign w:val="bottom"/>
          </w:tcPr>
          <w:p>
            <w:pPr>
              <w:ind w:left="5480"/>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6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Disclosures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regularly reviewed by the chief operating decision maker (CODM) in deciding how to allocate resources and in assessing performance. Our Chief Executive Officer is considered to be our CODM. We are managed as a single operating segment that provides scheduled air transportation for passengers and cargo, and includes our loyalty program. Along with our extensive domestic network, we provide international service to Canada, Mexico, the Caribbean, Central and South America, Europe, Qatar, China, Japan, Korea, India, Australia and New Zealand. See Note 1(m) for our passenger revenue by geographic region. Managing the business activities on a consolidated basis allows us to benefit from an integrated revenue pricing and route network that includes American and our wholly-owned and third-party regional carriers that fly under capacity purchase agreements operating as American Eagle. The flight equipment of all these carriers is combined to form one fleet that is deployed through a single route scheduling system. Our tangible assets consist primarily of flight equipment, which are mobile across geographic markets and, therefore, have not been allocated by geographic region. The measure of segment assets is reported on the balance sheet as total consolidated assets.</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Financial information and operational plans and forecasts are provided to and reviewed by our CODM at the consolidated level and are used to monitor forecast and budget versus actual results. Our CODM assesses performance and decides how to allocate resources based on net income which is reported on the statement of operations as consolidated net income. When making operational and resource allocation decisions, our CODM is indifferent to the results on a geographic region or on a mainline and regional carrier basis. The objective in making resource allocation decisions is to maximize consolidated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2023, the stockholders of AAG approved the 2023 Incentive Award Plan (the 2023 Plan). The 2023 Plan replaces and supersedes AAG’s 2013 Incentive Award Plan (the 2013 Plan). No further awards will be granted under the 2013 Plan; however, the terms and conditions of the 2013 Plan will continue to govern any outstanding awards granted thereunder. The 2023 Plan provides that an award may be in the form of a stock option, including an incentive stock option and nonqualified stock option, stock appreciation right, restricted stock, restricted stock unit, performance bonus award, performance stock unit, other stock or cash-based award and dividend equivalent to eligible individuals.</w:t>
      </w:r>
    </w:p>
    <w:p>
      <w:pPr>
        <w:spacing w:after="0" w:line="12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2023 Plan authorizes the grant of awards for the issuance of 17.2 million shares less any shares granted under the 2013 Plan after March 22, 2023, the date the Board of Directors of AAG approved the 2023 Plan. Any shares underlying awards granted under the 2023 Plan or 2013 Plan that are forfeited, terminate or are settled in cash (in whole or in part) without the delivery of shares will again be available for grant under the 2023 Plan.</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Share-based compensation expense for our equity awards, including awards settled in AAG common stock or cash, was $ 130 million, $102 million and $78 million for the years ended December 31, 2024, 2023 and 2022, respectively, and is included in salaries, wages and benefits on our consolidated statements of operations.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2024, 2023 and 2022, we withheld approximately 1.6 million, 1.5 million and 1.2 million shares of AAG common stock, respectively, and paid approximately $27 million, $23 million and $21 million, respectively, in satisfaction of certain tax withholding obligations associated with employee equity awards.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granted RSUs with service conditions (time vested primarily over three years) and performance conditions. The grant-date fair value of these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equity-classified as the vesting results in the issuance of shares of AAG common stock. Cash-settled restricted stock unit awards (CRSUs) are liability-classified as the vesting results in payment of cash by AAG.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Stock-settled RSU award activity for all plans for the years ended December 31, 2024, 2023 and 2022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Grant Date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40" w:type="dxa"/>
            <w:vAlign w:val="bottom"/>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3"/>
                <w:szCs w:val="23"/>
                <w:color w:val="auto"/>
                <w:vertAlign w:val="superscript"/>
              </w:rPr>
              <w:t>(1)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tcPr>
          <w:p>
            <w:pPr>
              <w:jc w:val="right"/>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Outstanding at December 31, 2024</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tabs>
          <w:tab w:leader="none" w:pos="334"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The settlement terms of 2.8 million stock-settled RSUs were modified from settlement in AAG common stock to settlement in cash. This change in award settlement method was the only modification to these awards, and the vesting, forfeiture and all other terms and conditions were unchanged. The modification resulted in a $20 million reclassification from additional paid-in capital to accrued salaries and wages on our consolidated balance sheet.</w:t>
      </w:r>
    </w:p>
    <w:p>
      <w:pPr>
        <w:spacing w:after="0" w:line="13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2024, there was $46 million of unrecognized compensation cost related to stock-settled RSUs. These costs are expected to be recognized over a weighted average period of one year. The total fair value of stock-settled RSUs vested during the years ended December 31, 2024, 2023 and 2022 was $69 million, $78 million and $70 million, respectively.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CRSU award activity for all plans for the year ended December 31, 2024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right"/>
              <w:ind w:right="33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40" w:type="dxa"/>
            <w:vAlign w:val="bottom"/>
          </w:tcPr>
          <w:p>
            <w:pPr>
              <w:jc w:val="right"/>
              <w:ind w:right="4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5,634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3"/>
                <w:szCs w:val="23"/>
                <w:color w:val="auto"/>
                <w:vertAlign w:val="superscript"/>
              </w:rPr>
              <w:t>(1)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Outstanding at December 31, 2024</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 w:hanging="332"/>
        <w:spacing w:after="0" w:line="231" w:lineRule="auto"/>
        <w:tabs>
          <w:tab w:leader="none" w:pos="334"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The settlement terms of 2.8 million stock-settled RSUs were modified from settlement in AAG common stock to settlement in cash. See table above for further discussion.</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2024, the liability related to CRSUs was $39 million, which will continue to be remeasured at fair value at each reporting date until all awards are vested. As of December 31, 2024, there was $83 million of unrecognized compensation cost related to CRSUs. These costs are expected to be recognized over a weighted average period of one year. The total cash paid for CRSUs vested during the year ended December 31, 2024 was $18 million.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years ended December 31, 2023 and 2022, CRSU award activity was nominal.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Valuation and Qualifying Accounts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Beginning</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Additions Charged to</w:t>
            </w:r>
          </w:p>
        </w:tc>
        <w:tc>
          <w:tcPr>
            <w:tcW w:w="24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4"/>
                <w:szCs w:val="14"/>
                <w:color w:val="auto"/>
              </w:rPr>
            </w:pPr>
          </w:p>
        </w:tc>
        <w:tc>
          <w:tcPr>
            <w:tcW w:w="130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Statement of</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Year</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Operations Accounts</w:t>
            </w: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6"/>
                <w:szCs w:val="16"/>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obsolescence of spare parts</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2022</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On January 29, 2025, American Eagle flight 5342 was involved in a fatal accident in Washington, D.C. The Bombardier CRJ 700 aircraft operated by PSA was en route to Washington, D.C. from Wichita, Kansas when it was involved in a midair collision near Ronald Reagan Washington National Airport. American has industry standard insurance coverage for this incident, and is continuing its assessment of the impact on its business resulting from the accident.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right="1480" w:hanging="3134"/>
        <w:spacing w:after="0" w:line="437" w:lineRule="auto"/>
        <w:rPr>
          <w:sz w:val="20"/>
          <w:szCs w:val="20"/>
          <w:color w:val="auto"/>
        </w:rPr>
      </w:pPr>
      <w:r>
        <w:rPr>
          <w:rFonts w:ascii="Arial" w:cs="Arial" w:eastAsia="Arial" w:hAnsi="Arial"/>
          <w:sz w:val="18"/>
          <w:szCs w:val="18"/>
          <w:b w:val="1"/>
          <w:bCs w:val="1"/>
          <w:color w:val="auto"/>
        </w:rPr>
        <w:t>ITEM 8B. CONSOLIDATED FINANCIAL STATEMENTS AND SUPPLEMENTARY DATA OF AMERICAN AIRLINES, INC.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American Airlines, Inc. and subsidiaries (American) as of December 31, 2024 and 2023, the related consolidated statements of operations, comprehensive income, cash flows, and stockholder’s equity for each of the years in the three-year period ended December 31, 2024, and the related notes (collectively, the consolidated financial statements). In our opinion, the consolidated financial statements present fairly, in all material respects, the financial position of American as of December 31, 2024 and 2023, and the results of its operations and its cash flows for each of the years in the three-year period ended December 31, 2024, in conformity with U.S. generally accepted accounting principles.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American’s internal control over financial reporting as of December 31, 2024,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19,</w:t>
      </w:r>
      <w:r>
        <w:rPr>
          <w:rFonts w:ascii="Arial" w:cs="Arial" w:eastAsia="Arial" w:hAnsi="Arial"/>
          <w:sz w:val="18"/>
          <w:szCs w:val="18"/>
          <w:i w:val="1"/>
          <w:iCs w:val="1"/>
          <w:color w:val="auto"/>
        </w:rPr>
        <w:t xml:space="preserve"> </w:t>
      </w:r>
      <w:r>
        <w:rPr>
          <w:rFonts w:ascii="Arial" w:cs="Arial" w:eastAsia="Arial" w:hAnsi="Arial"/>
          <w:sz w:val="18"/>
          <w:szCs w:val="18"/>
          <w:color w:val="auto"/>
        </w:rPr>
        <w:t>2025 expressed an unqualified opinion on the effectiveness of American’s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American’s management. Our responsibility is to express an opinion on these consolidated financial statements based on our audits.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Sufficiency of audit evidence over the realizability of tax net operating loss and other carryforwards</w:t>
      </w:r>
    </w:p>
    <w:p>
      <w:pPr>
        <w:spacing w:after="0" w:line="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discussed in Notes 1(i) and 5 to the consolidated financial statements, American had $3.9 billion of tax net operating loss and other carryforwards, which are recorded as deferred tax assets at December 31, 2024. Deferred tax assets are recognized related to tax net operating loss and other carryforwards that will reduce future taxable income. American provides a valuation allowance for deferred tax assets when it is more likely than not that some portion, or all of the deferred tax assets, will not be realized. In evaluating the need for a valuation allowance, management considers the weighting of all available positive and negative evidence.</w:t>
      </w:r>
    </w:p>
    <w:p>
      <w:pPr>
        <w:spacing w:after="0" w:line="12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We identified the evaluation of the sufficiency of audit evidence over the realizability of federal tax net operating loss and other carryforwards as a critical audit matter. Evaluating the sufficiency of audit evidence required subjective auditor judgment in order to assess the extent of procedures performed in assessing the realizability of the federal tax net operating loss and other carryforwards.</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American’s deferred tax asset valuation allowance process, including controls related to the realizability of federal tax net operating loss and other carryforwards. We evaluated positive and negative evidence used in assessing whether the federal tax net operating loss and other carryforwards were more likely than not to be realized in the future. We evaluated the reasonableness of management’s projections of future profitability considering historical profitability of American, and consistency with industry data. We involved tax professionals with specialized skills and knowledge, who assisted in evaluating the application of tax law. We assessed the sufficiency of audit evidence obtained over the realizability of the federal tax net operating loss and other carryforwards by evaluating the cumulative results of the audit procedures.</w:t>
      </w:r>
    </w:p>
    <w:p>
      <w:pPr>
        <w:spacing w:after="0" w:line="128"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American’s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49,586</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44,568</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48,965</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12,965</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47,312</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retiree medical and other postretirement benefits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6,998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and short-term investments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from related parties, net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Aircraft fuel, spare parts and supplies, net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09"/>
        </w:trPr>
        <w:tc>
          <w:tcPr>
            <w:tcW w:w="774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20,367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property and equipment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Flight equipment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43,158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41,440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Ground property and equipment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9,848</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Equipment purchase deposits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property and equipment, at cost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52,048</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property and equipment, net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30,460</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Operating lease right-of-use assets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7,886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Intangibles, net of accumulated amortization of $841 and $834, respectively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Deferred tax asset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assets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10,361</w:t>
            </w:r>
          </w:p>
        </w:tc>
        <w:tc>
          <w:tcPr>
            <w:tcW w:w="0" w:type="dxa"/>
            <w:vAlign w:val="bottom"/>
          </w:tcPr>
          <w:p>
            <w:pPr>
              <w:spacing w:after="0"/>
              <w:rPr>
                <w:sz w:val="1"/>
                <w:szCs w:val="1"/>
                <w:color w:val="auto"/>
              </w:rPr>
            </w:pPr>
          </w:p>
        </w:tc>
      </w:tr>
      <w:tr>
        <w:trPr>
          <w:trHeight w:val="235"/>
        </w:trPr>
        <w:tc>
          <w:tcPr>
            <w:tcW w:w="7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68,755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Current maturities of long-term debt and finance leases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Accrued salaries and wages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 traffic liability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Loyalty program liability</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accrued liabilities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21,617</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and finance leases, net of current maturities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24,050</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Pension and postretirement benefits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Loyalty program liability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5,874</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09"/>
        </w:trPr>
        <w:tc>
          <w:tcPr>
            <w:tcW w:w="7740" w:type="dxa"/>
            <w:vAlign w:val="bottom"/>
          </w:tcPr>
          <w:p>
            <w:pPr>
              <w:ind w:left="480"/>
              <w:spacing w:after="0"/>
              <w:rPr>
                <w:sz w:val="20"/>
                <w:szCs w:val="20"/>
                <w:color w:val="auto"/>
              </w:rPr>
            </w:pPr>
            <w:r>
              <w:rPr>
                <w:rFonts w:ascii="Arial" w:cs="Arial" w:eastAsia="Arial" w:hAnsi="Arial"/>
                <w:sz w:val="16"/>
                <w:szCs w:val="16"/>
                <w:color w:val="auto"/>
              </w:rPr>
              <w:t>Total noncurrent liabilities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37,619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40,880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10)</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$1.00 par value; 1,000 shares authorized, issued and outstanding</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17,335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deficit</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w:t>
            </w: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6,577</w:t>
            </w:r>
          </w:p>
        </w:tc>
        <w:tc>
          <w:tcPr>
            <w:tcW w:w="0" w:type="dxa"/>
            <w:vAlign w:val="bottom"/>
          </w:tcPr>
          <w:p>
            <w:pPr>
              <w:spacing w:after="0"/>
              <w:rPr>
                <w:sz w:val="1"/>
                <w:szCs w:val="1"/>
                <w:color w:val="auto"/>
              </w:rPr>
            </w:pPr>
          </w:p>
        </w:tc>
      </w:tr>
      <w:tr>
        <w:trPr>
          <w:trHeight w:val="210"/>
        </w:trPr>
        <w:tc>
          <w:tcPr>
            <w:tcW w:w="774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68,755</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63"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2022</w:t>
            </w:r>
          </w:p>
        </w:tc>
      </w:tr>
      <w:tr>
        <w:trPr>
          <w:trHeight w:val="18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1,262</w:t>
            </w:r>
          </w:p>
        </w:tc>
        <w:tc>
          <w:tcPr>
            <w:tcW w:w="100" w:type="dxa"/>
            <w:vAlign w:val="bottom"/>
          </w:tcPr>
          <w:p>
            <w:pPr>
              <w:spacing w:after="0"/>
              <w:rPr>
                <w:sz w:val="17"/>
                <w:szCs w:val="17"/>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1,188</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338</w:t>
            </w:r>
          </w:p>
        </w:tc>
      </w:tr>
      <w:tr>
        <w:trPr>
          <w:trHeight w:val="20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2,238</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Debt extinguishment costs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Special items, net non-cash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226</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Pension and postretirement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Deferred income tax provision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Share-based compensation, non-cash</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Other,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rPr>
              <w:t>Changes in operating assets and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Decrease (increase) in accounts receivable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(636)</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in other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Increase in accounts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406</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(decrease) in air traffic liability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w:t>
            </w: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Increase in receivables from related parties,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(1,044)</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in loyalty program liability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Contributions to pension plans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(decrease) in 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195"/>
        </w:trPr>
        <w:tc>
          <w:tcPr>
            <w:tcW w:w="7060" w:type="dxa"/>
            <w:vAlign w:val="bottom"/>
            <w:gridSpan w:val="2"/>
          </w:tcPr>
          <w:p>
            <w:pPr>
              <w:ind w:left="48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3,706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1,329</w:t>
            </w:r>
          </w:p>
        </w:tc>
      </w:tr>
      <w:tr>
        <w:trPr>
          <w:trHeight w:val="20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Capital expenditures and aircraft purchase deposits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(2,489)</w:t>
            </w:r>
          </w:p>
        </w:tc>
      </w:tr>
      <w:tr>
        <w:trPr>
          <w:trHeight w:val="203"/>
        </w:trPr>
        <w:tc>
          <w:tcPr>
            <w:tcW w:w="70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Proceeds from sale-leaseback transactions and sale of property and equipment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Sales of short-term investments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8,861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14,972</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Purchases of short-term investments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(11,257)</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Decrease in restricted short-term investments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Purchase of equity investments</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r>
      <w:tr>
        <w:trPr>
          <w:trHeight w:val="201"/>
        </w:trPr>
        <w:tc>
          <w:tcPr>
            <w:tcW w:w="7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Other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w:t>
            </w:r>
          </w:p>
        </w:tc>
      </w:tr>
      <w:tr>
        <w:trPr>
          <w:trHeight w:val="197"/>
        </w:trPr>
        <w:tc>
          <w:tcPr>
            <w:tcW w:w="70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Net cash provided by (used in)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w:t>
            </w:r>
          </w:p>
        </w:tc>
      </w:tr>
      <w:tr>
        <w:trPr>
          <w:trHeight w:val="202"/>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Payments on long-term debt and finance leases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(2,991)</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Proceeds from issuance of long-term debt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4,822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1,069</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Other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195"/>
        </w:trPr>
        <w:tc>
          <w:tcPr>
            <w:tcW w:w="7060" w:type="dxa"/>
            <w:vAlign w:val="bottom"/>
            <w:tcBorders>
              <w:bottom w:val="single" w:sz="8" w:color="CCEEFF"/>
            </w:tcBorders>
            <w:gridSpan w:val="2"/>
          </w:tcPr>
          <w:p>
            <w:pPr>
              <w:ind w:left="480"/>
              <w:spacing w:after="0"/>
              <w:rPr>
                <w:sz w:val="20"/>
                <w:szCs w:val="20"/>
                <w:color w:val="auto"/>
              </w:rPr>
            </w:pPr>
            <w:r>
              <w:rPr>
                <w:rFonts w:ascii="Arial" w:cs="Arial" w:eastAsia="Arial" w:hAnsi="Arial"/>
                <w:sz w:val="15"/>
                <w:szCs w:val="15"/>
                <w:color w:val="auto"/>
              </w:rPr>
              <w:t>Net cash used in financing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(1,847)</w:t>
            </w:r>
          </w:p>
        </w:tc>
      </w:tr>
      <w:tr>
        <w:trPr>
          <w:trHeight w:val="197"/>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increase in cash and restricted cash</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201"/>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and restricted cash at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w:t>
            </w:r>
          </w:p>
        </w:tc>
      </w:tr>
      <w:tr>
        <w:trPr>
          <w:trHeight w:val="222"/>
        </w:trPr>
        <w:tc>
          <w:tcPr>
            <w:tcW w:w="7060" w:type="dxa"/>
            <w:vAlign w:val="bottom"/>
            <w:tcBorders>
              <w:bottom w:val="single" w:sz="8" w:color="CCEEFF"/>
            </w:tcBorders>
            <w:gridSpan w:val="2"/>
            <w:shd w:val="clear" w:color="auto" w:fill="CCEEFF"/>
          </w:tcPr>
          <w:p>
            <w:pPr>
              <w:ind w:left="20"/>
              <w:spacing w:after="0" w:line="197" w:lineRule="exact"/>
              <w:rPr>
                <w:sz w:val="20"/>
                <w:szCs w:val="20"/>
                <w:color w:val="auto"/>
              </w:rPr>
            </w:pPr>
            <w:r>
              <w:rPr>
                <w:rFonts w:ascii="Arial" w:cs="Arial" w:eastAsia="Arial" w:hAnsi="Arial"/>
                <w:sz w:val="15"/>
                <w:szCs w:val="15"/>
                <w:color w:val="auto"/>
              </w:rPr>
              <w:t xml:space="preserve">Cash and restricted cash at end of year </w:t>
            </w:r>
            <w:r>
              <w:rPr>
                <w:rFonts w:ascii="Arial" w:cs="Arial" w:eastAsia="Arial" w:hAnsi="Arial"/>
                <w:sz w:val="19"/>
                <w:szCs w:val="19"/>
                <w:color w:val="auto"/>
                <w:vertAlign w:val="superscript"/>
              </w:rPr>
              <w:t>(a)</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72" w:lineRule="exact"/>
        <w:rPr>
          <w:sz w:val="20"/>
          <w:szCs w:val="20"/>
          <w:color w:val="auto"/>
        </w:rPr>
      </w:pPr>
    </w:p>
    <w:p>
      <w:pPr>
        <w:ind w:left="140" w:hanging="132"/>
        <w:spacing w:after="0"/>
        <w:tabs>
          <w:tab w:leader="none" w:pos="140" w:val="left"/>
        </w:tabs>
        <w:numPr>
          <w:ilvl w:val="0"/>
          <w:numId w:val="62"/>
        </w:numPr>
        <w:rPr>
          <w:rFonts w:ascii="Arial" w:cs="Arial" w:eastAsia="Arial" w:hAnsi="Arial"/>
          <w:sz w:val="9"/>
          <w:szCs w:val="9"/>
          <w:color w:val="auto"/>
        </w:rPr>
      </w:pPr>
      <w:r>
        <w:rPr>
          <w:rFonts w:ascii="Arial" w:cs="Arial" w:eastAsia="Arial" w:hAnsi="Arial"/>
          <w:sz w:val="14"/>
          <w:szCs w:val="14"/>
          <w:color w:val="auto"/>
        </w:rPr>
        <w:t>The following table provides a reconciliation of cash and restricted cash to amounts reported within the consolidated balance sheets: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w:t>
            </w:r>
          </w:p>
        </w:tc>
      </w:tr>
      <w:tr>
        <w:trPr>
          <w:trHeight w:val="201"/>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Restricted cash included in restricted cash and short-term investments</w:t>
            </w: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w:t>
            </w:r>
          </w:p>
        </w:tc>
      </w:tr>
      <w:tr>
        <w:trPr>
          <w:trHeight w:val="222"/>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cash and restricted cash</w:t>
            </w:r>
          </w:p>
        </w:tc>
        <w:tc>
          <w:tcPr>
            <w:tcW w:w="56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893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670</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2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Other comprehensive loss, net</w:t>
            </w: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Intercompany equity transfer</w:t>
            </w: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2023</w:t>
            </w:r>
          </w:p>
        </w:tc>
        <w:tc>
          <w:tcPr>
            <w:tcW w:w="9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share-based awards</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Intercompany equity transfer</w:t>
            </w: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3" w:right="6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providing scheduled air transportation for passengers and cargo. American is the principal wholly-owned subsidiary of American Airlines Group Inc. (AAG), which owns all of American’s outstanding common stock, par value $1.00 per share. All significant intercompany transactions have been eliminated.</w:t>
      </w:r>
    </w:p>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 Certain prior year amounts within “changes in operating assets and liabilities” presented in the consolidated statement of cash flows have been reclassified to conform to current year presentation. This change in the presentation on the consolidated statement of cash flows had no impact on net cash provided by operating activities or net change in cash and restricted cash.</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2023-09: Income Taxes (Topic 740) Improvements to Income Tax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of income tax information through improvements to income tax disclosures primarily related to the rate reconciliation and income taxes paid information, as well as improvements to the effectiveness and comparability of other income tax disclosures. The amendments in this update are effective for annual periods beginning after December 15, 2024, and early adoption is permitted. American is currently evaluating how the adoption of this standard will impact its income tax disclosures.</w:t>
      </w:r>
    </w:p>
    <w:p>
      <w:pPr>
        <w:spacing w:after="0" w:line="204" w:lineRule="exact"/>
        <w:rPr>
          <w:sz w:val="20"/>
          <w:szCs w:val="20"/>
          <w:color w:val="auto"/>
        </w:rPr>
      </w:pPr>
    </w:p>
    <w:p>
      <w:pPr>
        <w:ind w:right="900" w:firstLine="243"/>
        <w:spacing w:after="0" w:line="284" w:lineRule="auto"/>
        <w:rPr>
          <w:sz w:val="20"/>
          <w:szCs w:val="20"/>
          <w:color w:val="auto"/>
        </w:rPr>
      </w:pPr>
      <w:r>
        <w:rPr>
          <w:rFonts w:ascii="Arial" w:cs="Arial" w:eastAsia="Arial" w:hAnsi="Arial"/>
          <w:sz w:val="18"/>
          <w:szCs w:val="18"/>
          <w:i w:val="1"/>
          <w:iCs w:val="1"/>
          <w:color w:val="auto"/>
        </w:rPr>
        <w:t>ASU 2024-03: Income Statement - Reporting Comprehensive Income - Expense Disaggregation Disclosures (Subtopic 220-04) Disaggregation of Income Statement Expenses</w:t>
      </w:r>
    </w:p>
    <w:p>
      <w:pPr>
        <w:spacing w:after="0" w:line="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in reporting by requiring disaggregation of certain costs and expenses in the notes to financial statements. This update is effective for annual periods beginning after December 15, 2026 and interim periods within annual periods beginning after December 15, 2027, and early adoption is permitted. American is currently evaluating how the adoption of this standard will impact its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Investments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Short-term investments primarily include debt securities and are classified as available-for-sale and stated at fair value. Realized gains and losses are recorded as interest income in nonoperating expense, net on American’s consolidated statements of operations. Unrealized gains and losses are recorded as a component of accumulated other comprehensive loss on American’s consolidated balance sheets. For investments in an unrealized loss position, American determines whether a credit loss exists by considering information about the collectability of the instrument, current market conditions and reasonable and supportable forecasts of economic conditions. There have been no credit losses.</w:t>
      </w:r>
    </w:p>
    <w:p>
      <w:pPr>
        <w:spacing w:after="0" w:line="12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Equity investments are accounted for under the equity method if American is able to exercise significant influence over an investee. Equity investments for which American does not have significant influence are recorded at fair value or at cost, if fair value is not readily determinable, with adjustments for observable changes in price or impairments (referred to as the measurement alternative). American’s equity investments are reflected in other assets on its consolidated balance sheets. American’s share of equity method investees’ financial results and changes in fair value are recorded in nonoperating other income (expense), net on the consolidated statements of operations. See Note 7 for additional information related to American’s equity investments.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Restricted Cash and Short-term Investments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 has restricted cash and short-term investments related primarily to collateral held to support workers’ compensation obligations and collateral associated with the AAdvantage Financing. See Note 3 for further information on the AAdvantage Financing.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Accounts Receivable, Net</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Accounts receivable primarily consist of amounts due from credit card processing companies for tickets sold to individual passengers, amounts due from airline and non-airline business partners, including American’s co-branded credit card partners and cargo customers. Receivables from ticket sales are short-term, mostly settled within seven days after sale. Receivables from American’s business partners are typically settled within 30 days. All accounts receivable are reported net of an allowance for credit losses, which was not material as of December 31, 2024 and 2023. American considers past and future financial and qualitative factors, including aging, payment history and other credit monitoring indicators, when establishing the allowance for credit losses.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Aircraft Fuel, Spare Parts and Supplies, Net</w:t>
      </w:r>
    </w:p>
    <w:p>
      <w:pPr>
        <w:spacing w:after="0" w:line="88"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which is recognized over the weighted average remaining useful life of the related fleet. American also provides an allowance for spare parts and supplies identified as excess or obsolete to reduce the carrying cost to the lower of cost or net realizable value. Aircraft fuel, spare parts and supplies are expensed when used.</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Operating Property and Equipment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other equipment</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15 years</w:t>
            </w:r>
          </w:p>
        </w:tc>
      </w:tr>
      <w:tr>
        <w:trPr>
          <w:trHeight w:val="239"/>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10 years</w:t>
            </w:r>
          </w:p>
        </w:tc>
      </w:tr>
    </w:tbl>
    <w:p>
      <w:pPr>
        <w:spacing w:after="0" w:line="21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Total mainline and regional depreciation and amortization expense was $2.2 billion for each of the years ended December 31, 2024, 2023 and 2022.</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assesses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American groups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American’s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Leases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determines if an arrangement is a lease at inception. Operating leases are included in operating lease right-of-use (ROU) assets, current operating lease liabilities and noncurrent operating lease liabilities on American’s consolidated balance sheets. Finance leases are included in property and equipment, current maturities of long-term debt and finance leases and long-term debt and finance leases, net of current maturities, on American’s consolidated balance sheets.</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ROU assets represent American’s right to use an underlying asset for the lease term and lease liabilities represent its obligation to make lease payments arising from the lease. ROU assets and liabilities are recognized at the lease commencement date based on the estimated present value of lease payments over the lease term.</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 uses its estimated incremental borrowing rate, which is derived from information available at the lease commencement date, in determining the present value of lease payments. American gives consideration to its recent debt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issuances as well as publicly available data for instruments with similar characteristics when calculating its incremental borrowing rates.</w:t>
      </w:r>
    </w:p>
    <w:p>
      <w:pPr>
        <w:spacing w:after="0" w:line="17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American’s lease term includes options to extend the lease when it is reasonably certain that it will exercise that option. Leases with a term of 12 months or less are not recorded on its consolidated balance sheets.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certain of American’s capacity purchase agreements with third-party regional carriers, American does not own the underlying aircraft. However, since American controls the marketing, scheduling, ticketing, pricing and seat inventories of these aircraft and therefore control the asset, the aircraft is deemed to be leased for accounting purposes. For these capacity purchase agreements, American accounts for the lease and non-lease components separately. The lease component consists of the aircraft and the non-lease components consist of services, such as the crew and maintenance. Where applicable, American allocates the consideration in the capacity purchase agreements to the lease and non-lease components using their estimated relative standalone prices. See Note 10(b) for additional information on its capacity purchase agreements.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real estate, American accounts for the lease and non-lease components as a single lease component.</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 Income Taxes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on American’s consolidated balance sheets.</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provides a valuation allowance for its deferred tax assets, which include its NOLs and other carryforwards,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 Goodwill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represents the purchase price in excess of the fair value of the net assets acquired and liabilities assumed in connection with the 2013 merger with US Airways Group, Inc. (US Airways Group). American has one reporting unit. American assesses goodwill for impairment annually or more frequently if events or circumstances indicate that the fair value of goodwill may be lower than the carrying value. American’s annual assessment date is October 1.</w:t>
      </w:r>
    </w:p>
    <w:p>
      <w:pPr>
        <w:spacing w:after="0" w:line="1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is assessed for impairment by initially performing a qualitative assessment. If American determines that it is more likely than not that its goodwill may be impaired, it uses a quantitative approach to assess the asset’s fair value and the amount of the impairment, if any. Based upon American’s annual assessment, there was no goodwill impairment in 2024. The carrying value of American’s goodwill on its consolidated balance sheets was $4.1 billion as of December 31, 2024 and 2023.</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 Other Intangibles, Net</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Intangible assets consist of certain domestic airport slots and gate leasehold rights, international slots and route authorities, commercial agreements, marketing agreements, customer relationships and tradenames.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Definite-lived intangible assets are originally recorded at their acquired fair values, subsequently amortized over their respective estimated useful lives and are assessed for impairment whenever events and circumstances indicate that the assets may be impaired.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Certain marketing agreements were identified as intangible assets subject to amortization and are amortized on a straight-line basis over approximately 30 years. American had $101 million and $ 108 million of definite-lived intangible assets, net of accumulated amortization on its consolidated balance sheets as of December 31, 2024 and 2023, respectively. American expects to record amortization expense related to these assets of approximately $6 million for each of the years in 2025 through 2029, and $70 million of amortization expense in 2030 and thereafter until fully amortized.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Indefinite-lived intangible assets include certain domestic airport slots, international slots and route authorities and American’s commercial agreement with GOL Linhas Aéreas Inteligentes S.A. (GOL). American assesses indefinite-lived intangible assets for impairment annually or more frequently if events or circumstances indicate that the fair values of indefinite-lived intangible assets may be lower than their carrying values. American’s annual assessment date is October 1.</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If American determines that it is more likely than not that its indefinite-lived intangible assets may be impaired, American uses a quantitative approach to assess the asset’s fair value and the amount of the impairment, if any. Based upon American’s annual assessment, there were no indefinite-lived intangible asset impairments in 2024. American had $1.9 billion of indefinite-lived intangible assets on its consolidated balance sheets as of December 31, 2024 and 2023.</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 Fuel Financing</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December 2024, American entered into a fuel financing facility with a bank pursuant to which the bank pays certain fuel invoices on its behalf. The agreement contains a maximum allowable outstanding principal balance at any time of $1.0 billion and is required to be repaid at least quarterly. The fuel financing facility bears interest at a base rate equal to one-month Secured Overnight Financing Rate (SOFR) plus a margin of 3.75%. American’s obligations to the counterparty are secured on a second-priority basis by certain intellectual property of American, including the “American Airlines” trademark and the “aa.com” domain name in the United States and certain foreign jurisdictions, as provided in, and subject to the covenants and conditions of, the Second Lien Brand Collateral Security Agreement. Either American or the bank may terminate this agreement at any time and with immediate effect upon sixty days’ prior written notice to the other party. As of December 31, 2024, American had $74 million in fuel financing obligations included within other accrued liabilities on American’s consolidated balance sheet. During the year ended December 31, 2024, American recognized a nominal amount of interest expense related to this agreement.</w:t>
      </w:r>
    </w:p>
    <w:p>
      <w:pPr>
        <w:spacing w:after="0" w:line="1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 includes payments to designated fuel suppliers as an operating activity in the consolidated statement of cash flows. Proceeds and payments related to fuel financing transactions are presented net as a financing activity in the consolidated statement of cash flows.</w:t>
      </w:r>
    </w:p>
    <w:p>
      <w:pPr>
        <w:spacing w:after="0" w:line="183" w:lineRule="exact"/>
        <w:rPr>
          <w:sz w:val="20"/>
          <w:szCs w:val="20"/>
          <w:color w:val="auto"/>
        </w:rPr>
      </w:pPr>
    </w:p>
    <w:p>
      <w:pPr>
        <w:ind w:left="260" w:right="8820" w:hanging="9"/>
        <w:spacing w:after="0" w:line="342" w:lineRule="auto"/>
        <w:tabs>
          <w:tab w:leader="none" w:pos="589"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spacing w:after="0" w:line="1"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2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45,743</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44,914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41,425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23"/>
        </w:trPr>
        <w:tc>
          <w:tcPr>
            <w:tcW w:w="4320" w:type="dxa"/>
            <w:vAlign w:val="bottom"/>
          </w:tcPr>
          <w:p>
            <w:pPr>
              <w:ind w:left="480"/>
              <w:spacing w:after="0"/>
              <w:rPr>
                <w:sz w:val="20"/>
                <w:szCs w:val="20"/>
                <w:color w:val="auto"/>
              </w:rPr>
            </w:pPr>
            <w:r>
              <w:rPr>
                <w:rFonts w:ascii="Arial" w:cs="Arial" w:eastAsia="Arial" w:hAnsi="Arial"/>
                <w:sz w:val="18"/>
                <w:szCs w:val="18"/>
                <w:color w:val="auto"/>
              </w:rPr>
              <w:t>Total passenger revenue</w:t>
            </w: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44,568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2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2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23"/>
        </w:trPr>
        <w:tc>
          <w:tcPr>
            <w:tcW w:w="4320" w:type="dxa"/>
            <w:vAlign w:val="bottom"/>
          </w:tcPr>
          <w:p>
            <w:pPr>
              <w:ind w:left="680"/>
              <w:spacing w:after="0"/>
              <w:rPr>
                <w:sz w:val="20"/>
                <w:szCs w:val="20"/>
                <w:color w:val="auto"/>
              </w:rPr>
            </w:pPr>
            <w:r>
              <w:rPr>
                <w:rFonts w:ascii="Arial" w:cs="Arial" w:eastAsia="Arial" w:hAnsi="Arial"/>
                <w:sz w:val="18"/>
                <w:szCs w:val="18"/>
                <w:color w:val="auto"/>
              </w:rPr>
              <w:t>Total operating revenues</w:t>
            </w:r>
          </w:p>
        </w:tc>
        <w:tc>
          <w:tcPr>
            <w:tcW w:w="2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140" w:type="dxa"/>
            <w:vAlign w:val="bottom"/>
            <w:vMerge w:val="restart"/>
          </w:tcPr>
          <w:p>
            <w:pPr>
              <w:jc w:val="right"/>
              <w:ind w:right="590"/>
              <w:spacing w:after="0"/>
              <w:rPr>
                <w:sz w:val="20"/>
                <w:szCs w:val="20"/>
                <w:color w:val="auto"/>
              </w:rPr>
            </w:pPr>
            <w:r>
              <w:rPr>
                <w:rFonts w:ascii="Arial" w:cs="Arial" w:eastAsia="Arial" w:hAnsi="Arial"/>
                <w:sz w:val="18"/>
                <w:szCs w:val="18"/>
                <w:color w:val="auto"/>
              </w:rPr>
              <w:t>135</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43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13100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332"/>
        <w:spacing w:after="0" w:line="231" w:lineRule="auto"/>
        <w:tabs>
          <w:tab w:leader="none" w:pos="334"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xml:space="preserve"> below for further discussion on these mileage credits.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6,150</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48"/>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Passenger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recognizes all revenues generated from transportation on American and its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American’s consolidated balance sheets. The air traffic liability principally represents tickets sold for future travel on American and partner airlines.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The estimate for tickets expected to expire unused is generally based on an analysis of American’s historical data and other current applicable factors such as policy changes. American has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26"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Loyalty Revenue</w:t>
      </w:r>
    </w:p>
    <w:p>
      <w:pPr>
        <w:spacing w:after="0" w:line="87"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8"/>
          <w:szCs w:val="18"/>
          <w:color w:val="auto"/>
        </w:rPr>
        <w:t>American currently operates the loyalty program,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American’s co-branded credit cards, and certain hotels and car rental companies. Mileage credits can be redeemed for travel on American and other participating partner airlines, as well as non-air travel awards such as hotels and rental cars. For mileage credits earned by AAdvantage program members, American applies the deferred revenue method.</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sells mileage credits to participating airline partners and non-airline business partners, including American’s co-branded credit card partners, under contracts with remaining terms generally from one to 10 years as of December 31, 2024. Consideration received from the sale of mileage credits is predominantly variable and payment terms typically are within 30 days subsequent to the month of mileage sale. Sales of mileage credits to non-airline business partners are comprised of two components, transportation and marketing. American allocates the consideration received from these sales of mileage credits based on the relative selling price of each product or service delivered.</w:t>
      </w:r>
    </w:p>
    <w:p>
      <w:pPr>
        <w:spacing w:after="0" w:line="12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most significant mileage credit partner agreements are its co-branded credit card agreements with Citibank N.A. (Citi) and Barclaycard US. American identified two revenue elements in these co-branded credit card agreements: the transportation component and the marketing component. In December 2024, American announced a 10-year agreement with Citi to become the exclusive issuer of the AAdvantage co-branded credit card portfolio in the U.S. starting in 2026. Based on the revised terms, the products and services delivered are generally consistent with American’s previous agreement, and American will continue to allocate the consideration received based on the relative selling prices of these products and services.</w:t>
      </w:r>
    </w:p>
    <w:p>
      <w:pPr>
        <w:spacing w:after="0" w:line="126"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and other travel-related benefits. American recognizes the marketing component in other revenue in the period of the mileage credit sale following the sales-based royalty method.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the portion of American’s outstanding mileage credits that it estimates will not be redeemed, American recognizes the associated value proportionally as the remaining mileage credits are redeemed. American’s estimates use a statistical model based on historical redemption patterns to develop an estimate of the likelihood of future redemption.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Cargo Revenue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Cargo revenue is recognized when American provides the transportation.</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revenue includes revenue associated with American’s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other commission revenue, advertising and vacation-related services.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air travel, non-air travel and other awards, reported as loyalty program liability on American’s consolidated balance sheets and (2) ticket sales for transportation that has not yet been provided, reported as air traffic liability on American’s consolidated balance sheets.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5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50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9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9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1716"/>
              <w:spacing w:after="0"/>
              <w:rPr>
                <w:sz w:val="20"/>
                <w:szCs w:val="20"/>
                <w:color w:val="auto"/>
              </w:rPr>
            </w:pPr>
            <w:r>
              <w:rPr>
                <w:rFonts w:ascii="Arial" w:cs="Arial" w:eastAsia="Arial" w:hAnsi="Arial"/>
                <w:sz w:val="18"/>
                <w:szCs w:val="18"/>
                <w:color w:val="auto"/>
              </w:rPr>
              <w:t>137</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6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6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-1163955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r>
      <w:tr>
        <w:trPr>
          <w:trHeight w:val="229"/>
        </w:trPr>
        <w:tc>
          <w:tcPr>
            <w:tcW w:w="9460" w:type="dxa"/>
            <w:vAlign w:val="bottom"/>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4,482</w:t>
            </w:r>
          </w:p>
        </w:tc>
      </w:tr>
      <w:tr>
        <w:trPr>
          <w:trHeight w:val="229"/>
        </w:trPr>
        <w:tc>
          <w:tcPr>
            <w:tcW w:w="9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r>
      <w:tr>
        <w:trPr>
          <w:trHeight w:val="223"/>
        </w:trPr>
        <w:tc>
          <w:tcPr>
            <w:tcW w:w="94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Balance at December 31, 2024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r>
      <w:tr>
        <w:trPr>
          <w:trHeight w:val="20"/>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tabs>
          <w:tab w:leader="none" w:pos="334"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39"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December 31, 2024, American’s current loyalty program liability was $3.6 billion and represents American’s current estimate of revenue expected to be recognized in the next 12 months based on historical trends, with the balance reflected in long-term loyalty program liability expected to be recognized as revenue in periods thereafter. Additionally, as of December 31, 2024, American’s loyalty program liability includes a one-time cash payment related to the new co-branded credit card agreement announced in December 2024, which will be amortized over the life of the new agreement beginning in 2026.</w:t>
      </w:r>
    </w:p>
    <w:p>
      <w:pPr>
        <w:spacing w:after="0" w:line="14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2024, $4.9 billion of revenue was recognized in passenger revenue that was included in American’s air traffic liability at December 31, 2023.</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 Maintenance, Materials and Repairs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certain power-by-the-hour maintenance agreements, which are charged to operating expense based on contractual terms when an obligation exists.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 Selling Expenses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$143 million, $114 million and $105 million for the years ended December 31, 2024, 2023 and 2022, respectively.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 Share-based Compensation</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accounts for its share-based compensation expense based on the fair value of the equity award at the time of grant, which is recognized ratably over the vesting period of the award. Certain awards have performance conditions that must be achieved prior to vesting and are expensed based on the expected achievement at each reporting period. The majority of American’s equity awards are time vested restricted stock units. For equity-classified awards, the fair value of such awards is based on the market price of the underlying shares of AAG common stock on the date of grant and is not subsequently remeasured unless modified. For liability-classified awards, the fair value of such awards is remeasured at the end of each reporting period until settled. See Note 13 for further discussion of share-based compensation.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 Foreign Currency Gains and Losses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Foreign currency gains and losses are recorded as part of other income (expense), net within total nonoperating expense, net on American’s consolidated statements of operations. For the years ended December 31, 2024, 2023 and 2022, foreign currency losses were $47 million, $30 million and $38 million,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 Other Operating Expenses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Other operating expenses includes costs associated with onboard food and catering, crew travel, ground and cargo handling, passenger accommodation, international navigation fees, aircraft cleaning, airport lounge operations and certain general and administrative expenses.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 Regional Expenses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in the form of capacity purchase agreements with its third-party regional partners and similar arrangements with AAG’s wholly-owned regional affiliates. Expenses associated with American Eagle operations are classified as regional expenses on the consolidated statements of operations.</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Regional expenses for the years ended December 31, 2024, 2023 and 2022 include $279 million, $271 million and $269 million of depreciation and amortization, respectively, and $9 million, $7 million and $5 million of aircraft rent, respectively.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2023 and 2022, American recognized $612 million, $636 million and $592 million, respectively, of expense under its capacity purchase agreement with Republic Airways Inc. (Republic). American holds a 25% equity interest in Republic Airways Holdings Inc. (Republic Holdings), the parent company of Republic.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on American’s consolidated statements of operations consisted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A330 fleet-related adjustments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expenses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4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56"/>
        </w:trPr>
        <w:tc>
          <w:tcPr>
            <w:tcW w:w="6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Debt refinancing and extinguishment </w:t>
            </w:r>
            <w:r>
              <w:rPr>
                <w:rFonts w:ascii="Arial" w:cs="Arial" w:eastAsia="Arial" w:hAnsi="Arial"/>
                <w:sz w:val="23"/>
                <w:szCs w:val="23"/>
                <w:color w:val="auto"/>
                <w:vertAlign w:val="superscript"/>
              </w:rPr>
              <w:t>(4)</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Nonoperating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6"/>
        </w:trPr>
        <w:tc>
          <w:tcPr>
            <w:tcW w:w="6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3100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jc w:val="both"/>
        <w:ind w:left="340" w:hanging="332"/>
        <w:spacing w:after="0" w:line="237" w:lineRule="auto"/>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2024 related to one-time charges resulting from the ratification of new collective bargaining agreements (CBAs) with American’s mainline flight attendants and passenger service team members, including one-time payments and adjustments to vacation accruals resulting from pay rate increases.</w:t>
      </w:r>
    </w:p>
    <w:p>
      <w:pPr>
        <w:spacing w:after="0" w:line="139" w:lineRule="exact"/>
        <w:rPr>
          <w:rFonts w:ascii="Arial" w:cs="Arial" w:eastAsia="Arial" w:hAnsi="Arial"/>
          <w:sz w:val="23"/>
          <w:szCs w:val="23"/>
          <w:color w:val="auto"/>
          <w:vertAlign w:val="superscript"/>
        </w:rPr>
      </w:pPr>
    </w:p>
    <w:p>
      <w:pPr>
        <w:ind w:left="34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Labor contract expenses for 2023 related to one-time charges resulting from the ratification of a new CBA with American’s mainline pilots, including a one-time payment of $754 million as well as adjustments to other benefit-related items of $235 million.</w:t>
      </w:r>
    </w:p>
    <w:p>
      <w:pPr>
        <w:spacing w:after="0" w:line="9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American retired its Airbus A330 fleet in 2020 as a result of the decline in demand for air travel due to the COVID-19 pandemic. In 2022, American recorded a non-cash impairment charge to write down the carrying value of its retired Airbus A330 fleet to their then estimated fair value due to the market conditions for certain used aircraft, and in 2024, American entered into a sales agreement for its remaining Airbus A330 aircraft, resulting in a $42 million gain.</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Regional operating special items, net for 2024 included a $33 million non-cash write down of regional aircraft resulting from the decision to permanently park 43 Embraer 145 aircraft.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hanging="332"/>
        <w:spacing w:after="0" w:line="231" w:lineRule="auto"/>
        <w:tabs>
          <w:tab w:leader="none" w:pos="334"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Debt refinancing and extinguishment costs in 2023 primarily included cash charges for premiums paid in connection with the early repayment of debt.</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net unrealized gains and losses associated with certain equity investments. See Note 7 for further information related to American’s equity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on American’s consolidated balance sheets consisted of (in millions):</w:t>
      </w:r>
    </w:p>
    <w:p>
      <w:pPr>
        <w:spacing w:after="0" w:line="15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23495</wp:posOffset>
            </wp:positionV>
            <wp:extent cx="19005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5"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ectPr>
          <w:pgSz w:w="11900" w:h="16838" w:orient="portrait"/>
          <w:cols w:equalWidth="0" w:num="1">
            <w:col w:w="11240"/>
          </w:cols>
          <w:pgMar w:left="320" w:top="122" w:right="33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tabs>
          <w:tab w:leader="none" w:pos="8240" w:val="left"/>
        </w:tabs>
        <w:rPr>
          <w:sz w:val="20"/>
          <w:szCs w:val="20"/>
          <w:color w:val="auto"/>
        </w:rPr>
      </w:pPr>
      <w:r>
        <w:rPr>
          <w:rFonts w:ascii="Arial" w:cs="Arial" w:eastAsia="Arial" w:hAnsi="Arial"/>
          <w:sz w:val="18"/>
          <w:szCs w:val="18"/>
          <w:color w:val="auto"/>
        </w:rPr>
        <w:t xml:space="preserve">2013 Term Loan Facility, variable interest rate of 6.65%, installments until due in February 2028 </w:t>
      </w:r>
      <w:r>
        <w:rPr>
          <w:rFonts w:ascii="Arial" w:cs="Arial" w:eastAsia="Arial" w:hAnsi="Arial"/>
          <w:sz w:val="23"/>
          <w:szCs w:val="23"/>
          <w:color w:val="auto"/>
          <w:vertAlign w:val="superscript"/>
        </w:rPr>
        <w:t>(a)</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08" w:lineRule="auto"/>
        <w:rPr>
          <w:sz w:val="20"/>
          <w:szCs w:val="20"/>
          <w:color w:val="auto"/>
        </w:rPr>
      </w:pPr>
      <w:r>
        <w:rPr>
          <w:rFonts w:ascii="Arial" w:cs="Arial" w:eastAsia="Arial" w:hAnsi="Arial"/>
          <w:sz w:val="18"/>
          <w:szCs w:val="18"/>
          <w:color w:val="auto"/>
        </w:rPr>
        <w:t xml:space="preserve">2014 Term Loan Facility, variable interest rate of 6.17%, installments until due in January 2027 </w:t>
      </w:r>
      <w:r>
        <w:rPr>
          <w:rFonts w:ascii="Arial" w:cs="Arial" w:eastAsia="Arial" w:hAnsi="Arial"/>
          <w:sz w:val="23"/>
          <w:szCs w:val="23"/>
          <w:color w:val="auto"/>
          <w:vertAlign w:val="superscript"/>
        </w:rPr>
        <w:t>(a)</w:t>
      </w:r>
    </w:p>
    <w:p>
      <w:pPr>
        <w:ind w:left="240"/>
        <w:spacing w:after="0" w:line="208" w:lineRule="auto"/>
        <w:rPr>
          <w:sz w:val="20"/>
          <w:szCs w:val="20"/>
          <w:color w:val="auto"/>
        </w:rPr>
      </w:pPr>
      <w:r>
        <w:rPr>
          <w:rFonts w:ascii="Arial" w:cs="Arial" w:eastAsia="Arial" w:hAnsi="Arial"/>
          <w:sz w:val="18"/>
          <w:szCs w:val="18"/>
          <w:color w:val="auto"/>
        </w:rPr>
        <w:t xml:space="preserve">2023 Term Loan Facility, variable interest rate of 6.96%, installments until due in June 2029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18" w:lineRule="auto"/>
        <w:rPr>
          <w:sz w:val="20"/>
          <w:szCs w:val="20"/>
          <w:color w:val="auto"/>
        </w:rPr>
      </w:pPr>
      <w:r>
        <w:rPr>
          <w:rFonts w:ascii="Arial" w:cs="Arial" w:eastAsia="Arial" w:hAnsi="Arial"/>
          <w:sz w:val="18"/>
          <w:szCs w:val="18"/>
          <w:color w:val="auto"/>
        </w:rPr>
        <w:t xml:space="preserve">10.75% senior secured IP notes, interest and principal payments due through February 2026 </w:t>
      </w:r>
      <w:r>
        <w:rPr>
          <w:rFonts w:ascii="Arial" w:cs="Arial" w:eastAsia="Arial" w:hAnsi="Arial"/>
          <w:sz w:val="23"/>
          <w:szCs w:val="23"/>
          <w:color w:val="auto"/>
          <w:vertAlign w:val="superscript"/>
        </w:rPr>
        <w:t>(b)</w:t>
      </w:r>
    </w:p>
    <w:p>
      <w:pPr>
        <w:ind w:left="240"/>
        <w:spacing w:after="0" w:line="193" w:lineRule="auto"/>
        <w:rPr>
          <w:sz w:val="20"/>
          <w:szCs w:val="20"/>
          <w:color w:val="auto"/>
        </w:rPr>
      </w:pPr>
      <w:r>
        <w:rPr>
          <w:rFonts w:ascii="Arial" w:cs="Arial" w:eastAsia="Arial" w:hAnsi="Arial"/>
          <w:sz w:val="12"/>
          <w:szCs w:val="12"/>
          <w:color w:val="auto"/>
        </w:rPr>
        <w:t>10.75% senior secured LGA/DCA notes, interest and principal payments due through February 2026</w:t>
      </w:r>
    </w:p>
    <w:p>
      <w:pPr>
        <w:ind w:left="400"/>
        <w:spacing w:after="0"/>
        <w:rPr>
          <w:sz w:val="20"/>
          <w:szCs w:val="20"/>
          <w:color w:val="auto"/>
        </w:rPr>
      </w:pPr>
      <w:r>
        <w:rPr>
          <w:rFonts w:ascii="Arial" w:cs="Arial" w:eastAsia="Arial" w:hAnsi="Arial"/>
          <w:sz w:val="12"/>
          <w:szCs w:val="12"/>
          <w:color w:val="auto"/>
        </w:rPr>
        <w:t>(b)</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7.25% senior secured notes, interest only payments until due in February 2028 </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08" w:lineRule="auto"/>
        <w:rPr>
          <w:sz w:val="20"/>
          <w:szCs w:val="20"/>
          <w:color w:val="auto"/>
        </w:rPr>
      </w:pPr>
      <w:r>
        <w:rPr>
          <w:rFonts w:ascii="Arial" w:cs="Arial" w:eastAsia="Arial" w:hAnsi="Arial"/>
          <w:sz w:val="18"/>
          <w:szCs w:val="18"/>
          <w:color w:val="auto"/>
        </w:rPr>
        <w:t xml:space="preserve">8.50% senior secured notes, interest only payments until due in May 2029 </w:t>
      </w:r>
      <w:r>
        <w:rPr>
          <w:rFonts w:ascii="Arial" w:cs="Arial" w:eastAsia="Arial" w:hAnsi="Arial"/>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08" w:lineRule="auto"/>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(c)</w:t>
      </w:r>
    </w:p>
    <w:p>
      <w:pPr>
        <w:ind w:left="240"/>
        <w:spacing w:after="0" w:line="208" w:lineRule="auto"/>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17" w:lineRule="auto"/>
        <w:rPr>
          <w:sz w:val="20"/>
          <w:szCs w:val="20"/>
          <w:color w:val="auto"/>
        </w:rPr>
      </w:pPr>
      <w:r>
        <w:rPr>
          <w:rFonts w:ascii="Arial" w:cs="Arial" w:eastAsia="Arial" w:hAnsi="Arial"/>
          <w:sz w:val="18"/>
          <w:szCs w:val="18"/>
          <w:color w:val="auto"/>
        </w:rPr>
        <w:t xml:space="preserve">AAdvantage Term Loan Facility, variable interest rate of 9.63%, installments until due in April 2028 </w:t>
      </w:r>
      <w:r>
        <w:rPr>
          <w:rFonts w:ascii="Arial" w:cs="Arial" w:eastAsia="Arial" w:hAnsi="Arial"/>
          <w:sz w:val="23"/>
          <w:szCs w:val="23"/>
          <w:color w:val="auto"/>
          <w:vertAlign w:val="superscript"/>
        </w:rPr>
        <w:t>(c)</w:t>
      </w:r>
    </w:p>
    <w:p>
      <w:pPr>
        <w:spacing w:after="0" w:line="1" w:lineRule="exact"/>
        <w:rPr>
          <w:sz w:val="20"/>
          <w:szCs w:val="20"/>
          <w:color w:val="auto"/>
        </w:rPr>
      </w:pPr>
    </w:p>
    <w:p>
      <w:pPr>
        <w:ind w:left="400" w:right="460" w:hanging="161"/>
        <w:spacing w:after="0" w:line="212" w:lineRule="auto"/>
        <w:rPr>
          <w:sz w:val="20"/>
          <w:szCs w:val="20"/>
          <w:color w:val="auto"/>
        </w:rPr>
      </w:pPr>
      <w:r>
        <w:rPr>
          <w:rFonts w:ascii="Arial" w:cs="Arial" w:eastAsia="Arial" w:hAnsi="Arial"/>
          <w:sz w:val="18"/>
          <w:szCs w:val="18"/>
          <w:color w:val="auto"/>
        </w:rPr>
        <w:t xml:space="preserve">Enhanced equipment trust certificates (EETCs), fixed interest rates ranging from 2.88% to 7.15%, averaging 3.84%, maturing from 2025 to 2034 </w:t>
      </w:r>
      <w:r>
        <w:rPr>
          <w:rFonts w:ascii="Arial" w:cs="Arial" w:eastAsia="Arial" w:hAnsi="Arial"/>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5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400" w:right="460" w:hanging="161"/>
        <w:spacing w:after="0" w:line="212" w:lineRule="auto"/>
        <w:rPr>
          <w:sz w:val="20"/>
          <w:szCs w:val="20"/>
          <w:color w:val="auto"/>
        </w:rPr>
      </w:pPr>
      <w:r>
        <w:rPr>
          <w:rFonts w:ascii="Arial" w:cs="Arial" w:eastAsia="Arial" w:hAnsi="Arial"/>
          <w:sz w:val="18"/>
          <w:szCs w:val="18"/>
          <w:color w:val="auto"/>
        </w:rPr>
        <w:t xml:space="preserve">Equipment loans and other notes payable, fixed and variable interest rates ranging from 2.55% to 7.25%, averaging 6.17%, maturing from 2025 to 2036 </w:t>
      </w:r>
      <w:r>
        <w:rPr>
          <w:rFonts w:ascii="Arial" w:cs="Arial" w:eastAsia="Arial" w:hAnsi="Arial"/>
          <w:sz w:val="23"/>
          <w:szCs w:val="23"/>
          <w:color w:val="auto"/>
          <w:vertAlign w:val="superscript"/>
        </w:rPr>
        <w:t>(e)</w:t>
      </w:r>
    </w:p>
    <w:p>
      <w:pPr>
        <w:spacing w:after="0" w:line="2" w:lineRule="exact"/>
        <w:rPr>
          <w:sz w:val="20"/>
          <w:szCs w:val="20"/>
          <w:color w:val="auto"/>
        </w:rPr>
      </w:pPr>
    </w:p>
    <w:p>
      <w:pPr>
        <w:ind w:left="400" w:right="220" w:hanging="161"/>
        <w:spacing w:after="0" w:line="229" w:lineRule="auto"/>
        <w:rPr>
          <w:sz w:val="20"/>
          <w:szCs w:val="20"/>
          <w:color w:val="auto"/>
        </w:rPr>
      </w:pPr>
      <w:r>
        <w:rPr>
          <w:rFonts w:ascii="Arial" w:cs="Arial" w:eastAsia="Arial" w:hAnsi="Arial"/>
          <w:sz w:val="18"/>
          <w:szCs w:val="18"/>
          <w:color w:val="auto"/>
        </w:rPr>
        <w:t>Special facility revenue bonds, fixed interest rates ranging from 2.25% to 5.38%, maturing from 2026 to 2036</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60"/>
        <w:spacing w:after="0"/>
        <w:tabs>
          <w:tab w:leader="none" w:pos="640" w:val="left"/>
          <w:tab w:leader="none" w:pos="1680" w:val="left"/>
        </w:tabs>
        <w:rPr>
          <w:sz w:val="20"/>
          <w:szCs w:val="20"/>
          <w:color w:val="auto"/>
        </w:rPr>
      </w:pPr>
      <w:r>
        <w:rPr>
          <w:rFonts w:ascii="Arial" w:cs="Arial" w:eastAsia="Arial" w:hAnsi="Arial"/>
          <w:sz w:val="18"/>
          <w:szCs w:val="18"/>
          <w:color w:val="auto"/>
        </w:rPr>
        <w:t>980</w:t>
        <w:tab/>
        <w:t>$</w:t>
      </w:r>
      <w:r>
        <w:rPr>
          <w:sz w:val="20"/>
          <w:szCs w:val="20"/>
          <w:color w:val="auto"/>
        </w:rPr>
        <w:tab/>
      </w:r>
      <w:r>
        <w:rPr>
          <w:rFonts w:ascii="Arial" w:cs="Arial" w:eastAsia="Arial" w:hAnsi="Arial"/>
          <w:sz w:val="17"/>
          <w:szCs w:val="17"/>
          <w:color w:val="auto"/>
        </w:rPr>
        <w:t>990</w:t>
      </w:r>
    </w:p>
    <w:p>
      <w:pPr>
        <w:spacing w:after="0" w:line="32"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1,171</w:t>
      </w:r>
      <w:r>
        <w:rPr>
          <w:sz w:val="20"/>
          <w:szCs w:val="20"/>
          <w:color w:val="auto"/>
        </w:rPr>
        <w:tab/>
      </w:r>
      <w:r>
        <w:rPr>
          <w:rFonts w:ascii="Arial" w:cs="Arial" w:eastAsia="Arial" w:hAnsi="Arial"/>
          <w:sz w:val="17"/>
          <w:szCs w:val="17"/>
          <w:color w:val="auto"/>
        </w:rPr>
        <w:t>1,183</w:t>
      </w:r>
    </w:p>
    <w:p>
      <w:pPr>
        <w:spacing w:after="0" w:line="34"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1,089</w:t>
      </w:r>
      <w:r>
        <w:rPr>
          <w:sz w:val="20"/>
          <w:szCs w:val="20"/>
          <w:color w:val="auto"/>
        </w:rPr>
        <w:tab/>
      </w:r>
      <w:r>
        <w:rPr>
          <w:rFonts w:ascii="Arial" w:cs="Arial" w:eastAsia="Arial" w:hAnsi="Arial"/>
          <w:sz w:val="17"/>
          <w:szCs w:val="17"/>
          <w:color w:val="auto"/>
        </w:rPr>
        <w:t>1,100</w:t>
      </w:r>
    </w:p>
    <w:p>
      <w:pPr>
        <w:spacing w:after="0" w:line="34"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7"/>
          <w:szCs w:val="17"/>
          <w:color w:val="auto"/>
        </w:rPr>
        <w:t>781</w:t>
      </w:r>
      <w:r>
        <w:rPr>
          <w:sz w:val="20"/>
          <w:szCs w:val="20"/>
          <w:color w:val="auto"/>
        </w:rPr>
        <w:tab/>
      </w:r>
      <w:r>
        <w:rPr>
          <w:rFonts w:ascii="Arial" w:cs="Arial" w:eastAsia="Arial" w:hAnsi="Arial"/>
          <w:sz w:val="17"/>
          <w:szCs w:val="17"/>
          <w:color w:val="auto"/>
        </w:rPr>
        <w:t>1,000</w:t>
      </w:r>
    </w:p>
    <w:p>
      <w:pPr>
        <w:spacing w:after="0" w:line="146" w:lineRule="exact"/>
        <w:rPr>
          <w:sz w:val="20"/>
          <w:szCs w:val="20"/>
          <w:color w:val="auto"/>
        </w:rPr>
      </w:pPr>
    </w:p>
    <w:p>
      <w:pPr>
        <w:ind w:left="160"/>
        <w:spacing w:after="0"/>
        <w:tabs>
          <w:tab w:leader="none" w:pos="168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7"/>
          <w:szCs w:val="17"/>
          <w:color w:val="auto"/>
        </w:rPr>
        <w:t>200</w:t>
      </w:r>
    </w:p>
    <w:p>
      <w:pPr>
        <w:spacing w:after="0" w:line="43" w:lineRule="exact"/>
        <w:rPr>
          <w:sz w:val="20"/>
          <w:szCs w:val="20"/>
          <w:color w:val="auto"/>
        </w:rPr>
      </w:pPr>
    </w:p>
    <w:p>
      <w:pPr>
        <w:ind w:left="160"/>
        <w:spacing w:after="0"/>
        <w:tabs>
          <w:tab w:leader="none" w:pos="1680" w:val="left"/>
        </w:tabs>
        <w:rPr>
          <w:sz w:val="20"/>
          <w:szCs w:val="20"/>
          <w:color w:val="auto"/>
        </w:rPr>
      </w:pPr>
      <w:r>
        <w:rPr>
          <w:rFonts w:ascii="Arial" w:cs="Arial" w:eastAsia="Arial" w:hAnsi="Arial"/>
          <w:sz w:val="17"/>
          <w:szCs w:val="17"/>
          <w:color w:val="auto"/>
        </w:rPr>
        <w:t>750</w:t>
      </w:r>
      <w:r>
        <w:rPr>
          <w:sz w:val="20"/>
          <w:szCs w:val="20"/>
          <w:color w:val="auto"/>
        </w:rPr>
        <w:tab/>
      </w:r>
      <w:r>
        <w:rPr>
          <w:rFonts w:ascii="Arial" w:cs="Arial" w:eastAsia="Arial" w:hAnsi="Arial"/>
          <w:sz w:val="17"/>
          <w:szCs w:val="17"/>
          <w:color w:val="auto"/>
        </w:rPr>
        <w:t>750</w:t>
      </w:r>
    </w:p>
    <w:p>
      <w:pPr>
        <w:spacing w:after="0" w:line="34"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1,000</w:t>
      </w:r>
      <w:r>
        <w:rPr>
          <w:sz w:val="20"/>
          <w:szCs w:val="20"/>
          <w:color w:val="auto"/>
        </w:rPr>
        <w:tab/>
      </w:r>
      <w:r>
        <w:rPr>
          <w:rFonts w:ascii="Arial" w:cs="Arial" w:eastAsia="Arial" w:hAnsi="Arial"/>
          <w:sz w:val="17"/>
          <w:szCs w:val="17"/>
          <w:color w:val="auto"/>
        </w:rPr>
        <w:t>1,000</w:t>
      </w:r>
    </w:p>
    <w:p>
      <w:pPr>
        <w:spacing w:after="0" w:line="34"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1,750</w:t>
      </w:r>
      <w:r>
        <w:rPr>
          <w:sz w:val="20"/>
          <w:szCs w:val="20"/>
          <w:color w:val="auto"/>
        </w:rPr>
        <w:tab/>
      </w:r>
      <w:r>
        <w:rPr>
          <w:rFonts w:ascii="Arial" w:cs="Arial" w:eastAsia="Arial" w:hAnsi="Arial"/>
          <w:sz w:val="17"/>
          <w:szCs w:val="17"/>
          <w:color w:val="auto"/>
        </w:rPr>
        <w:t>2,917</w:t>
      </w:r>
    </w:p>
    <w:p>
      <w:pPr>
        <w:spacing w:after="0" w:line="34"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3,000</w:t>
      </w:r>
      <w:r>
        <w:rPr>
          <w:sz w:val="20"/>
          <w:szCs w:val="20"/>
          <w:color w:val="auto"/>
        </w:rPr>
        <w:tab/>
      </w:r>
      <w:r>
        <w:rPr>
          <w:rFonts w:ascii="Arial" w:cs="Arial" w:eastAsia="Arial" w:hAnsi="Arial"/>
          <w:sz w:val="17"/>
          <w:szCs w:val="17"/>
          <w:color w:val="auto"/>
        </w:rPr>
        <w:t>3,000</w:t>
      </w:r>
    </w:p>
    <w:p>
      <w:pPr>
        <w:spacing w:after="0" w:line="34"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2,450</w:t>
      </w:r>
      <w:r>
        <w:rPr>
          <w:sz w:val="20"/>
          <w:szCs w:val="20"/>
          <w:color w:val="auto"/>
        </w:rPr>
        <w:tab/>
      </w:r>
      <w:r>
        <w:rPr>
          <w:rFonts w:ascii="Arial" w:cs="Arial" w:eastAsia="Arial" w:hAnsi="Arial"/>
          <w:sz w:val="17"/>
          <w:szCs w:val="17"/>
          <w:color w:val="auto"/>
        </w:rPr>
        <w:t>3,150</w:t>
      </w:r>
    </w:p>
    <w:p>
      <w:pPr>
        <w:spacing w:after="0" w:line="213"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7,271</w:t>
      </w:r>
      <w:r>
        <w:rPr>
          <w:sz w:val="20"/>
          <w:szCs w:val="20"/>
          <w:color w:val="auto"/>
        </w:rPr>
        <w:tab/>
      </w:r>
      <w:r>
        <w:rPr>
          <w:rFonts w:ascii="Arial" w:cs="Arial" w:eastAsia="Arial" w:hAnsi="Arial"/>
          <w:sz w:val="17"/>
          <w:szCs w:val="17"/>
          <w:color w:val="auto"/>
        </w:rPr>
        <w:t>7,657</w:t>
      </w:r>
    </w:p>
    <w:p>
      <w:pPr>
        <w:spacing w:after="0" w:line="223"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4,094</w:t>
      </w:r>
      <w:r>
        <w:rPr>
          <w:sz w:val="20"/>
          <w:szCs w:val="20"/>
          <w:color w:val="auto"/>
        </w:rPr>
        <w:tab/>
      </w:r>
      <w:r>
        <w:rPr>
          <w:rFonts w:ascii="Arial" w:cs="Arial" w:eastAsia="Arial" w:hAnsi="Arial"/>
          <w:sz w:val="17"/>
          <w:szCs w:val="17"/>
          <w:color w:val="auto"/>
        </w:rPr>
        <w:t>3,612</w:t>
      </w:r>
    </w:p>
    <w:p>
      <w:pPr>
        <w:spacing w:after="0" w:line="223" w:lineRule="exact"/>
        <w:rPr>
          <w:sz w:val="20"/>
          <w:szCs w:val="20"/>
          <w:color w:val="auto"/>
        </w:rPr>
      </w:pPr>
    </w:p>
    <w:p>
      <w:pPr>
        <w:ind w:left="160"/>
        <w:spacing w:after="0"/>
        <w:tabs>
          <w:tab w:leader="none" w:pos="1680" w:val="left"/>
        </w:tabs>
        <w:rPr>
          <w:sz w:val="20"/>
          <w:szCs w:val="20"/>
          <w:color w:val="auto"/>
        </w:rPr>
      </w:pPr>
      <w:r>
        <w:rPr>
          <w:rFonts w:ascii="Arial" w:cs="Arial" w:eastAsia="Arial" w:hAnsi="Arial"/>
          <w:sz w:val="17"/>
          <w:szCs w:val="17"/>
          <w:color w:val="auto"/>
        </w:rPr>
        <w:t>880</w:t>
      </w:r>
      <w:r>
        <w:rPr>
          <w:sz w:val="20"/>
          <w:szCs w:val="20"/>
          <w:color w:val="auto"/>
        </w:rPr>
        <w:tab/>
      </w:r>
      <w:r>
        <w:rPr>
          <w:rFonts w:ascii="Arial" w:cs="Arial" w:eastAsia="Arial" w:hAnsi="Arial"/>
          <w:sz w:val="17"/>
          <w:szCs w:val="17"/>
          <w:color w:val="auto"/>
        </w:rPr>
        <w:t>967</w:t>
      </w:r>
    </w:p>
    <w:p>
      <w:pPr>
        <w:spacing w:after="0" w:line="36" w:lineRule="exact"/>
        <w:rPr>
          <w:sz w:val="20"/>
          <w:szCs w:val="20"/>
          <w:color w:val="auto"/>
        </w:rPr>
      </w:pPr>
    </w:p>
    <w:p>
      <w:pPr>
        <w:sectPr>
          <w:pgSz w:w="11900" w:h="16838" w:orient="portrait"/>
          <w:cols w:equalWidth="0" w:num="2">
            <w:col w:w="8440" w:space="720"/>
            <w:col w:w="20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Less: Total unamortized debt discount, premium and issuance costs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maturities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23"/>
        </w:trPr>
        <w:tc>
          <w:tcPr>
            <w:tcW w:w="8240" w:type="dxa"/>
            <w:vAlign w:val="bottom"/>
          </w:tcPr>
          <w:p>
            <w:pPr>
              <w:ind w:left="480"/>
              <w:spacing w:after="0"/>
              <w:rPr>
                <w:sz w:val="20"/>
                <w:szCs w:val="20"/>
                <w:color w:val="auto"/>
              </w:rPr>
            </w:pPr>
            <w:r>
              <w:rPr>
                <w:rFonts w:ascii="Arial" w:cs="Arial" w:eastAsia="Arial" w:hAnsi="Arial"/>
                <w:sz w:val="18"/>
                <w:szCs w:val="18"/>
                <w:color w:val="auto"/>
              </w:rPr>
              <w:t>Long-term debt, net of current maturities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23,676</w:t>
            </w:r>
          </w:p>
        </w:tc>
      </w:tr>
      <w:tr>
        <w:trPr>
          <w:trHeight w:val="20"/>
        </w:trPr>
        <w:tc>
          <w:tcPr>
            <w:tcW w:w="8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2024, the maximum availability under American’s revolving credit and other facilities is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2024, American entered into a revolving credit facility that provides for borrowing capacity of up to $350 million, maturing in March 2027 with an option to extend for an additional year. As of December 31, 2024, there were no amounts drawn under this facility. Additionally, American currently has $49 million of available borrowing base under a cargo receivables facility that is set to expire in December 2025. As further described below, the aggregate commitments under the 2013, 2014, and 2023 Revolving Facilities are $2.9 billion through June 4, 2029.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ind w:left="260"/>
              <w:spacing w:after="0"/>
              <w:rPr>
                <w:sz w:val="20"/>
                <w:szCs w:val="20"/>
                <w:color w:val="auto"/>
              </w:rPr>
            </w:pPr>
            <w:r>
              <w:rPr>
                <w:rFonts w:ascii="Arial" w:cs="Arial" w:eastAsia="Arial" w:hAnsi="Arial"/>
                <w:sz w:val="18"/>
                <w:szCs w:val="18"/>
                <w:color w:val="auto"/>
              </w:rPr>
              <w:t>At December 31, 2024, the maturities of long-term debt are as follows (in millions):</w:t>
            </w: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5"/>
        </w:trPr>
        <w:tc>
          <w:tcPr>
            <w:tcW w:w="9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4,201</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2028</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2030 and thereafter</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60" w:right="7620" w:hanging="9"/>
        <w:spacing w:after="0" w:line="342" w:lineRule="auto"/>
        <w:tabs>
          <w:tab w:leader="none" w:pos="53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2014 and 2023 Credit Facilities </w:t>
      </w:r>
      <w:r>
        <w:rPr>
          <w:rFonts w:ascii="Arial" w:cs="Arial" w:eastAsia="Arial" w:hAnsi="Arial"/>
          <w:sz w:val="18"/>
          <w:szCs w:val="18"/>
          <w:i w:val="1"/>
          <w:iCs w:val="1"/>
          <w:u w:val="single" w:color="auto"/>
          <w:color w:val="auto"/>
        </w:rPr>
        <w:t>2013 Credit Facilities</w:t>
      </w:r>
    </w:p>
    <w:p>
      <w:pPr>
        <w:spacing w:after="0" w:line="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Amended and Restated Credit and Guaranty Agreement dated as of May 21, 2015, as amended (the 2013 Credit Agreement), includes a revolving credit facility (the 2013 Revolving Facility) and a term loan facility (the 2013 Term Loan Facility), collectively referred to as the 2013 Credit Facilities.</w:t>
      </w:r>
    </w:p>
    <w:p>
      <w:pPr>
        <w:spacing w:after="0" w:line="11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Ninth Amendment to Amended and Restated Credit and Guaranty Agreement (the Ninth Amendment), amending the 2013 Credit Agreement, pursuant to which American terminated all existing revolving commitments and letter of credit commitments available under the 2013 Credit Agreement and established new revolving commitments in an aggregate amount of $500 million (which includes the ability to issue letters of credit in an aggregate amount of $ 100 million) (the newly established commitments, the 2013 Revolving Facility), which have a maturity date of June 4, 2029. Additionally, as a result of the Ninth Amendment, the 2013 Revolving Facility bears interest at a base rate (subject to a floor of 1.00%) plus an applicable margin of 2.00%, 2.25% or 2.50%, depending on AAG’s public corporate credit rating, or, at American’s option, SOFR for a tenor of one, three or six months, depending on the interest period selected by American (subject to a floor of 0.00%), plus an applicable margin of 3.00%, 3.25% or 3.50%, depending on AAG’s public corporate credit rating. Pursuant to the Ninth Amendment, SOFR borrowings under the 2013 Revolving Facility are not subject to a credit spread adjustment. As of December 31, 2024, there were no borrowings or letters of credit outstanding under the 2013 Revolving Facility.</w:t>
      </w:r>
    </w:p>
    <w:p>
      <w:pPr>
        <w:spacing w:after="0" w:line="1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December 19, 2024, American and AAG entered into the Tenth Amendment to Amended and Restated Credit and Guaranty Agreement (the 2013 Credit Agreement Tenth Amendment), amending the 2013 Credit Agreement. As a result of the 2013 Credit Agreement Tenth Amendment, the term loans outstanding under the 2013 Credit Agreement with an outstanding principal amount of $980 million were replaced with term loans with a principal amount of $980 million. Pursuant to the 2013 Credit Agreement Tenth Amendment, the 2013 Term Loan Facility bears interest at a base rate (subject to a floor of 1.00%) plus an applicable margin of 1.25% per annum or, at American’s option, the SOFR rate for a tenor of one, three or six months, depending on the interest period selected by American (subject to a floor of 0.00%), plus an applicable margin of 2.25% per annum. Additionally, the 2013 Credit Agreement Tenth Amendment amended certain other terms of the 2013 Credit Agreement, including, among other things, reducing the minimum liquidity financial covenant threshold from $2.2 billion to $2.0 billion and removing the cost spread adjustment on the 2013 Term Loan Facility. As of December 31, 2024, the margin elected was 2.25% per annum.</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Amended and Restated Credit and Guaranty Agreement, dated as of April 20, 2015, as amended (the 2014 Credit Agreement), includes a revolving credit facility (the 2014 Revolving Facility) and term loan facility (the 2014 Term Loan Facility), collectively referred to as the 2014 Credit Facilities. The 2014 Term Loan Facility bears interest at a base rate (subject to a floor of 1.00%) plus an applicable margin of 0.75% or, at American’s option, the SOFR rate for a tenor of one, three or six months, depending on the interest period selected by American, plus the SOFR adjustment applicable to such interest period (with such SOFR rate plus SOFR adjustment being subject to a floor of 0.00%) plus an applicable margin of 1.75%. As of December 31, 2024, the margin elected was 1.75% per annum.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Tenth Amendment to Amended and Restated Credit and Guaranty Agreement (the 2014 Credit Agreement Tenth Amendment), amending the 2014 Credit Agreement, pursuant to which American terminated all existing revolving commitments and letter of credit commitments available under the 2014 Credit Agreement and established new revolving commitments in an aggregate amount of $1.5 billion (which includes the ability to issue letters of credit in an aggregate amount of $ 200 million) (the newly established commitments, the 2014 Revolving Facility), which have a maturity date of June 4, 2029. Additionally, as a result of the 2014 Credit Agreement Tenth Amendment, the 2014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The 2014 Credit Agreement Tenth Amendment also reduced the minimum liquidity financial covenant threshold from $2.2 billion to $ 2.0 billion and reduced the liquidity requirement for making certain restricted payments from $4.2 billion to $4.0 billion. Pursuant to the 2014 Credit Agreement Tenth Amendment, SOFR borrowings under the 2014 Revolving Facility are not subject to a credit spread adjustment. As of December 31, 2024, there were no borrowings or letters of credit outstanding under the 2014 Revolving Facility.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2023 Credit Facilities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December 2023, American and AAG entered into a credit and guaranty agreement (the 2023 Credit Agreement) that provided for a term loan facility (the 2023 Term Loan Facility) in an aggregate principal amount of $1.1 billion, maturing in June 2029.</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First Amendment to Credit and Guaranty Agreement (the First Amendment) and the Second Amendment to Credit and Guaranty Agreement (the Second Amendment), each amending the 2023 Credit Agreement. Pursuant to the First Amendment, American established a revolving credit facility (the 2023 Revolving Facility, collectively with the 2023 Term Loan Facility, referred to as the 2023 Credit Facilities) in an aggregate amount of $ 890 million, maturing June 4, 2029. The 2023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2023 Revolving Facility are not subject to a credit spread adjustment. As of December 31, 2024, there were no borrowings outstanding under the 2023 Revolving Facility. Pursuant to the Second Amendment, American replaced the $1.1 billion of initial term loans made pursuant to the 2023 Credit Agreement with new term loans in a principal amount of $1.1 billion.</w:t>
      </w:r>
    </w:p>
    <w:p>
      <w:pPr>
        <w:spacing w:after="0" w:line="3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December 23, 2024, American and AAG entered into the Third Amendment to Credit and Guaranty Agreement (the Third Amendment), amending the 2023 Credit Agreement. As a result of the Third Amendment, the term loans outstanding under the 2023 Credit Agreement with an outstanding principal amount of $1.1 billion were replaced with term loans with a principal amount of $1.1 billion. Pursuant to the Third Amendment, the 2023 Term Loan Facility bears interest at a base rate (subject to a floor of 1.00%) plus an applicable margin of 1.25% per annum or, at American’s option, the SOFR rate for a tenor of one, three or six months, depending on the interest period selected by American (subject to a floor of 0.00%), plus an applicable margin of 2.25% per annum. SOFR borrowings under the 2023 Term Loan Facility are not subject to a credit spread adjustment. As of December 31, 2024, the margin elected was 2.25% per annum.</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April 2016 Revolving Facility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June 4, 2024, American terminated all revolving commitments under the Credit and Guaranty Agreement, dated as of April 29, 2016 (as amended, the April 2016 Credit Agreement). As a result, the April 2016 Credit Agreement was terminated and all liens securing the April 2016 Credit Agreement were released.</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2013, 2014 and 2023 Credit Facilities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term loans under the 2013, 2014 and 2023 Credit Facilities (collectively referred to as the Credit Facilities) are repayable in annual installments, in an amount equal to 1.00% of the aggregate principal amount issued, with any unpaid balance due on the respective maturity dates. Voluntary prepayments may be made by American at any time.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2013, 2014 and 2023 Revolving Facilities provide that American may from time to time borrow, repay and reborrow loans thereunder.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2013, 2014 and 2023 Revolving Facilities are each subject to an undrawn annual fee of 0.750%.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limitations and exceptions, the Credit Facilities are secured by collateral, including certain slots, route authorities, simulators and leasehold rights. American has the ability to make future modifications to the collateral pledged, subject to certain restrictions. American’s obligations under the Credit Facilities are guaranteed by AAG, and such guarantee is AAG’s senior unsecured obligations (all of the collateral is owned by American, and AAG has not granted a security interest in any assets to secure any of the foregoing obligations). The Credit Facilities contain events of default customary for similar financings, including cross default and cross-acceleration to other material indebtedness.</w:t>
      </w:r>
    </w:p>
    <w:p>
      <w:pPr>
        <w:spacing w:after="0" w:line="209" w:lineRule="exact"/>
        <w:rPr>
          <w:sz w:val="20"/>
          <w:szCs w:val="20"/>
          <w:color w:val="auto"/>
        </w:rPr>
      </w:pPr>
    </w:p>
    <w:p>
      <w:pPr>
        <w:ind w:left="540" w:hanging="289"/>
        <w:spacing w:after="0"/>
        <w:tabs>
          <w:tab w:leader="none" w:pos="54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Secured Notes</w:t>
      </w:r>
    </w:p>
    <w:p>
      <w:pPr>
        <w:spacing w:after="0" w:line="89"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10.75%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September 25, 2020 (the 10.75% Senior Secured Notes Closing Date), American issued $ 1.0 billion in initial principal amount of senior secured IP notes (the IP Notes) and $200 million in initial principal amount of senior secured LGA/DCA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Interest on the 10.75% Senior Secured Notes is payable semiannually in arrears on September 1 and March 1 of each year, which began on March 1, 2021. The 10.75% Senior Secured Notes will mature on February 15, 2026.</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LGA/DCA Notes are secured by a first lien security interest in the LGA/DCA Collateral.</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thereon, if any. After the fifth anniversary of the 10.75% Senior Secured Notes Closing Date, American may redeem all or any part of the 10.75% Senior Secured Notes, at its option, at par, together with accrued and unpaid interest thereon, if any. In December 2024, American redeemed an aggregate amount of $ 263 million toward portions of the outstanding principal amounts of the 10.75% Senior Secured Notes and agreed to redeem an aggregate amount of $308 million by no later than April 15, 2025. American redeemed the aggregate amount of $308 million on February 4, 2025.</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7.25%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15, 2023, American issued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w:t>
      </w:r>
    </w:p>
    <w:p>
      <w:pPr>
        <w:spacing w:after="0" w:line="12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certain countries in South America and New Zealand (collectively, the 7.25% Senior Secured Notes Collateral). The 7.25% Senior Secured Notes Collateral also secures, on a first lien, pari passu basis with the 7.25% Senior Secured Notes, the 2013 Credit Facilities.</w:t>
      </w:r>
    </w:p>
    <w:p>
      <w:pPr>
        <w:spacing w:after="0" w:line="12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2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8.50%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December 4, 2023, American issued $1.0 billion aggregate principal amount of 8.50% senior secured notes due 2029 (the 8.50% Senior Secured Notes) in a private offering. The 8.50% Senior Secured Notes were issued at par and bear interest at a rate of 8.50% per annum (subject to increase if the collateral coverage ratio described below is not met). Interest on the 8.50% Senior Secured Notes is payable semiannually in arrears on May 15 and November 15 of each year, which began on May 15, 2024. The 8.50% Senior Secured Notes will mature on May 15, 2029. The obligations of American under the 8.50% Senior Secured Notes are fully and unconditionally guaranteed on a senior unsecured basis by AAG.</w:t>
      </w:r>
    </w:p>
    <w:p>
      <w:pPr>
        <w:spacing w:after="0" w:line="12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8.50% Senior Secured Notes were issued pursuant to an indenture, dated as of December 4, 2023 (the 8.50% Senior Secured Notes Indenture), by and among American, AAG and Wilmington Trust, National Association, as trustee and collateral agent. The 8.50%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certain airports in Australia, Canada, the Caribbean, Central America, China, Hong Kong, Japan, Mexico, South Korea and Switzerland (collectively, the 8.50% Senior Secured Notes Collateral). The 8.50% Senior Secured Notes Collateral also secures, on a first lien, pari passu basis with the 8.50% Senior Secured Notes, the 2023 Term Loan Facility.</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may redeem the 8.50% Senior Secured Notes, in whole at any time or in part from time to time prior to November 15, 2025, at a redemption price equal to 100% of the principal amount of the 8.50% Senior Secured Notes to be redeemed, plus a “make-whole” premium, plus any accrued and unpaid interest thereon to but excluding the date of redemption. At any time on or after November 15, 2025, American may redeem all or any of the 8.50% Senior Secured Notes in whole at any time, or in part from time to time, at the redemption prices described in the 8.50% Senior Secured Notes Indenture, plus any accrued and unpaid interest thereon to but excluding the date of redemption. In addition, at any time prior to November 15, 2025, American may redeem up to 40% of the original aggregate principal amount of the 8.50% Senior Secured Notes (calculated after giving effect to any issuance of additional notes) with the net cash proceeds of certain equity offerings, at a redemption price equal to 108.50% of the aggregate principal amount of the 8.50% Senior Secured Notes to be redeemed, plus any accrued and unpaid interest thereon to but excluding the date of redemption. In addition, during each twelve-month period beginning on December 4, 2023 and ending on or prior to November 15, 2025, American may redeem up to 10% of the original aggregate principal amount of the 8.50% Senior Secured Notes at a redemption price of 103% of the principal amount thereof, plus any accrued and unpaid interest thereon to, but excluding, the applicable date of redemption.</w:t>
      </w:r>
    </w:p>
    <w:p>
      <w:pPr>
        <w:spacing w:after="0" w:line="1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Twice per year, American is required to deliver an appraisal of the 8.50% Senior Secured Notes Collateral and an officer’s certificate demonstrating the calculation of a collateral coverage ratio in relation to the 8.50% Senior Secured Notes Collateral (the 8.50% Senior Secured Notes Collateral Coverage Ratio) as of the date of delivery of the appraisal for the applicable period. If the 8.50% Senior Secured Notes Collateral Coverage Ratio is less than 1.6 to 1.0 as of the date of delivery of the appraisal for the applicable period, then, subject to a cure period in which additional collateral can be provided or debt repaid such that American meets the required 8.50% Senior Secured Notes Collateral Coverage Ratio, American will be required to pay special interest in an additional amount equal to 2.0% per annum of the principal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amount of the 8.50% Senior Secured Notes until the 8.50% Senior Secured Notes Collateral Coverage Ratio is established to be at least 1.6 to 1.0.</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AAdvantage Financing</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March 24, 2021 (the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by the SPV Guarantors and AAG.</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as amended,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SPV Guarantors and AAG.</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intellectual property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which began in July 2023. The outstanding principal on the 2029 Notes will be repaid in quarterly installments of $250 million on each AAdvantage Payment Date, beginning on July 20, 2026.</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outstanding principal on the AAdvantage Loans will be repaid in quarterly installments of $175 million, on each AAdvantage Payment Date, which began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mileage credit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12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AAdvantage Term Loan Facility bears interest at a base rate (subject to a floor of 0.00%) plus an applicable margin of 3.75% or, at American’s option, the SOFR rate for a tenor of three months, plus a 0.26161% credit spread adjustment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(with such SOFR rate plus SOFR adjustment being subject to a floor of 0.75%) and an applicable margin of 4.75%. As of December 31, 2024, the margin elected was 4.75%.</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EETCs issued in 2024</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American entered into agreements under which it borrowed $684 million in connection with the financing of certain aircraft that had been previously delivered. Debt incurred under these agreements is junior to existing equipment notes, matures in 2027 through 2028 and bears interest at fixed rates averaging 7.10%.</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Equipment Loans and Other Notes Payable Issued in 2024</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2024, American entered into agreements under which it borrowed $990 million in connection with the financing of certain aircraft. Debt incurred under these agreements matures in 2030 through 2036 and bears interest at variable rates (comprised of SOFR plus an applicable margin) averaging 6.28% as of December 31, 2024.</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Guarantees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2024, American had issued guarantees covering AAG’s $1.8 billion aggregate principal amount of the PSP1 Promissory Note due April 2030, $1.0 billion aggregate principal amount of the PSP2 Promissory Note due January 2031, $ 959 million aggregate principal amount of the PSP3 Promissory Note due April 2031 and $1.0 billion aggregate principal amount of 6.50% convertible senior notes due July 2025.</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American’s debt agreements contain customary terms and conditions as well as various affirmative, negative and financial covenants that, among other things, may restrict the ability of American to incur additional indebtedness. American’s debt agreements also contain customary change of control provisions, which may require it to repay or redeem such indebtedness upon certain events constituting a change of control under the relevant agreement, in certain cases at a premium. Additionally, certain of American’s debt financing agreements (including its secured notes, term loans, revolving credit facilities and spare engine EETCs) contain loan to value (LTV) or collateral coverage ratio covenants and certain agreements require American to appraise the related collateral annually or semiannually. Pursuant to such agreements, if the applicable LTV or collateral coverage ratio exceeds or falls below a specified threshold, as the case may be, American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American’s debt financing agreements contain covenants requiring it to maintain an aggregate of at least $2.0 billion of unrestricted cash and cash equivalents and amounts available to be drawn under revolving credit facilities, and its AAdvantage Financing contains a peak debt service coverage ratio, pursuant to which failure to comply with a certain threshold may result in early repayment, in whole or in part, of the AAdvantage Financing.</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Specifically, American is required to meet certain collateral coverage tests for its Credit Facilities, 7.25% Senior Secured Notes, 8.50%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Notes and 10.75% Senior Secured Notes, as described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LTV Requirement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2013 Credit Facilities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7.25% Senior</w:t>
            </w:r>
          </w:p>
        </w:tc>
        <w:tc>
          <w:tcPr>
            <w:tcW w:w="33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2014 Credit Facilities  2023 Credit Facilities</w:t>
            </w:r>
          </w:p>
        </w:tc>
        <w:tc>
          <w:tcPr>
            <w:tcW w:w="1440" w:type="dxa"/>
            <w:vAlign w:val="bottom"/>
          </w:tcPr>
          <w:p>
            <w:pPr>
              <w:jc w:val="center"/>
              <w:ind w:right="28"/>
              <w:spacing w:after="0"/>
              <w:rPr>
                <w:sz w:val="20"/>
                <w:szCs w:val="20"/>
                <w:color w:val="auto"/>
              </w:rPr>
            </w:pPr>
            <w:r>
              <w:rPr>
                <w:rFonts w:ascii="Arial" w:cs="Arial" w:eastAsia="Arial" w:hAnsi="Arial"/>
                <w:sz w:val="14"/>
                <w:szCs w:val="14"/>
                <w:b w:val="1"/>
                <w:bCs w:val="1"/>
                <w:color w:val="auto"/>
              </w:rPr>
              <w:t>8.50% Senior</w:t>
            </w:r>
          </w:p>
        </w:tc>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10.75% Senior</w:t>
            </w:r>
          </w:p>
        </w:tc>
        <w:tc>
          <w:tcPr>
            <w:tcW w:w="0" w:type="dxa"/>
            <w:vAlign w:val="bottom"/>
          </w:tcPr>
          <w:p>
            <w:pPr>
              <w:spacing w:after="0"/>
              <w:rPr>
                <w:sz w:val="1"/>
                <w:szCs w:val="1"/>
                <w:color w:val="auto"/>
              </w:rPr>
            </w:pPr>
          </w:p>
        </w:tc>
      </w:tr>
      <w:tr>
        <w:trPr>
          <w:trHeight w:val="196"/>
        </w:trPr>
        <w:tc>
          <w:tcPr>
            <w:tcW w:w="1600" w:type="dxa"/>
            <w:vAlign w:val="bottom"/>
            <w:vMerge w:val="continue"/>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Secured Notes</w:t>
            </w:r>
          </w:p>
        </w:tc>
        <w:tc>
          <w:tcPr>
            <w:tcW w:w="3320" w:type="dxa"/>
            <w:vAlign w:val="bottom"/>
            <w:vMerge w:val="continue"/>
          </w:tcPr>
          <w:p>
            <w:pPr>
              <w:spacing w:after="0"/>
              <w:rPr>
                <w:sz w:val="17"/>
                <w:szCs w:val="17"/>
                <w:color w:val="auto"/>
              </w:rPr>
            </w:pPr>
          </w:p>
        </w:tc>
        <w:tc>
          <w:tcPr>
            <w:tcW w:w="1440" w:type="dxa"/>
            <w:vAlign w:val="bottom"/>
          </w:tcPr>
          <w:p>
            <w:pPr>
              <w:jc w:val="center"/>
              <w:ind w:right="28"/>
              <w:spacing w:after="0"/>
              <w:rPr>
                <w:sz w:val="20"/>
                <w:szCs w:val="20"/>
                <w:color w:val="auto"/>
              </w:rPr>
            </w:pPr>
            <w:r>
              <w:rPr>
                <w:rFonts w:ascii="Arial" w:cs="Arial" w:eastAsia="Arial" w:hAnsi="Arial"/>
                <w:sz w:val="14"/>
                <w:szCs w:val="14"/>
                <w:b w:val="1"/>
                <w:bCs w:val="1"/>
                <w:color w:val="auto"/>
              </w:rPr>
              <w:t>Secured Notes</w:t>
            </w:r>
          </w:p>
        </w:tc>
        <w:tc>
          <w:tcPr>
            <w:tcW w:w="1280" w:type="dxa"/>
            <w:vAlign w:val="bottom"/>
          </w:tcPr>
          <w:p>
            <w:pPr>
              <w:ind w:left="280"/>
              <w:spacing w:after="0"/>
              <w:rPr>
                <w:sz w:val="20"/>
                <w:szCs w:val="20"/>
                <w:color w:val="auto"/>
              </w:rPr>
            </w:pPr>
            <w:r>
              <w:rPr>
                <w:rFonts w:ascii="Arial" w:cs="Arial" w:eastAsia="Arial" w:hAnsi="Arial"/>
                <w:sz w:val="14"/>
                <w:szCs w:val="14"/>
                <w:b w:val="1"/>
                <w:bCs w:val="1"/>
                <w:color w:val="auto"/>
                <w:w w:val="99"/>
              </w:rPr>
              <w:t>Secured Notes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-6985</wp:posOffset>
            </wp:positionV>
            <wp:extent cx="70980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4"/>
          <w:szCs w:val="14"/>
          <w:color w:val="auto"/>
        </w:rPr>
        <w:t>1.6x Collateral valuation to amount of debt outstanding (62.5% LTV)</w:t>
      </w:r>
    </w:p>
    <w:p>
      <w:pPr>
        <w:spacing w:after="0" w:line="41" w:lineRule="exact"/>
        <w:rPr>
          <w:sz w:val="20"/>
          <w:szCs w:val="20"/>
          <w:color w:val="auto"/>
        </w:rPr>
      </w:pPr>
    </w:p>
    <w:p>
      <w:pPr>
        <w:sectPr>
          <w:pgSz w:w="11900" w:h="16838" w:orient="portrait"/>
          <w:cols w:equalWidth="0" w:num="2">
            <w:col w:w="1240" w:space="720"/>
            <w:col w:w="9280"/>
          </w:cols>
          <w:pgMar w:left="320" w:top="121" w:right="339" w:bottom="1440" w:gutter="0" w:footer="0" w:header="0"/>
          <w:type w:val="continuous"/>
        </w:sectPr>
      </w:pPr>
    </w:p>
    <w:p>
      <w:pPr>
        <w:ind w:left="100" w:hanging="80"/>
        <w:spacing w:after="0" w:line="252" w:lineRule="auto"/>
        <w:rPr>
          <w:sz w:val="20"/>
          <w:szCs w:val="20"/>
          <w:color w:val="auto"/>
        </w:rPr>
      </w:pPr>
      <w:r>
        <w:rPr>
          <w:rFonts w:ascii="Arial" w:cs="Arial" w:eastAsia="Arial" w:hAnsi="Arial"/>
          <w:sz w:val="14"/>
          <w:szCs w:val="14"/>
          <w:color w:val="auto"/>
        </w:rPr>
        <w:t>LTV as of Last Measurement Date</w:t>
      </w:r>
    </w:p>
    <w:p>
      <w:pPr>
        <w:ind w:left="100" w:right="120" w:hanging="80"/>
        <w:spacing w:after="0" w:line="262" w:lineRule="auto"/>
        <w:rPr>
          <w:sz w:val="20"/>
          <w:szCs w:val="20"/>
          <w:color w:val="auto"/>
        </w:rPr>
      </w:pPr>
      <w:r>
        <w:rPr>
          <w:rFonts w:ascii="Arial" w:cs="Arial" w:eastAsia="Arial" w:hAnsi="Arial"/>
          <w:sz w:val="14"/>
          <w:szCs w:val="14"/>
          <w:color w:val="auto"/>
        </w:rPr>
        <w:t>Frequency of Appraisals of Appraised Collateral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Collateral Description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jc w:val="center"/>
              <w:ind w:right="8"/>
              <w:spacing w:after="0"/>
              <w:rPr>
                <w:sz w:val="20"/>
                <w:szCs w:val="20"/>
                <w:color w:val="auto"/>
              </w:rPr>
            </w:pPr>
            <w:r>
              <w:rPr>
                <w:rFonts w:ascii="Arial" w:cs="Arial" w:eastAsia="Arial" w:hAnsi="Arial"/>
                <w:sz w:val="14"/>
                <w:szCs w:val="14"/>
                <w:color w:val="auto"/>
              </w:rPr>
              <w:t>35.0%</w:t>
            </w:r>
          </w:p>
        </w:tc>
        <w:tc>
          <w:tcPr>
            <w:tcW w:w="1540" w:type="dxa"/>
            <w:vAlign w:val="bottom"/>
          </w:tcPr>
          <w:p>
            <w:pPr>
              <w:jc w:val="center"/>
              <w:spacing w:after="0"/>
              <w:rPr>
                <w:sz w:val="20"/>
                <w:szCs w:val="20"/>
                <w:color w:val="auto"/>
              </w:rPr>
            </w:pPr>
            <w:r>
              <w:rPr>
                <w:rFonts w:ascii="Arial" w:cs="Arial" w:eastAsia="Arial" w:hAnsi="Arial"/>
                <w:sz w:val="14"/>
                <w:szCs w:val="14"/>
                <w:color w:val="auto"/>
              </w:rPr>
              <w:t>15.8%</w:t>
            </w:r>
          </w:p>
        </w:tc>
        <w:tc>
          <w:tcPr>
            <w:tcW w:w="3040" w:type="dxa"/>
            <w:vAlign w:val="bottom"/>
          </w:tcPr>
          <w:p>
            <w:pPr>
              <w:jc w:val="center"/>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337"/>
        </w:trPr>
        <w:tc>
          <w:tcPr>
            <w:tcW w:w="30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Semi-Annual</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Generally, certain</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40" w:type="dxa"/>
            <w:vAlign w:val="bottom"/>
          </w:tcPr>
          <w:p>
            <w:pPr>
              <w:jc w:val="center"/>
              <w:spacing w:after="0" w:line="144" w:lineRule="exact"/>
              <w:rPr>
                <w:sz w:val="20"/>
                <w:szCs w:val="20"/>
                <w:color w:val="auto"/>
              </w:rPr>
            </w:pPr>
            <w:r>
              <w:rPr>
                <w:rFonts w:ascii="Arial" w:cs="Arial" w:eastAsia="Arial" w:hAnsi="Arial"/>
                <w:sz w:val="14"/>
                <w:szCs w:val="14"/>
                <w:color w:val="auto"/>
              </w:rPr>
              <w:t>slots, route authorities</w:t>
            </w:r>
          </w:p>
        </w:tc>
        <w:tc>
          <w:tcPr>
            <w:tcW w:w="3040" w:type="dxa"/>
            <w:vAlign w:val="bottom"/>
            <w:vMerge w:val="restart"/>
          </w:tcPr>
          <w:p>
            <w:pPr>
              <w:jc w:val="center"/>
              <w:ind w:left="8"/>
              <w:spacing w:after="0"/>
              <w:rPr>
                <w:sz w:val="20"/>
                <w:szCs w:val="20"/>
                <w:color w:val="auto"/>
              </w:rPr>
            </w:pPr>
            <w:r>
              <w:rPr>
                <w:rFonts w:ascii="Arial" w:cs="Arial" w:eastAsia="Arial" w:hAnsi="Arial"/>
                <w:sz w:val="14"/>
                <w:szCs w:val="14"/>
                <w:color w:val="auto"/>
              </w:rPr>
              <w:t>Generally, certain slots, route authorities and</w:t>
            </w:r>
          </w:p>
        </w:tc>
        <w:tc>
          <w:tcPr>
            <w:tcW w:w="0" w:type="dxa"/>
            <w:vAlign w:val="bottom"/>
          </w:tcPr>
          <w:p>
            <w:pPr>
              <w:spacing w:after="0"/>
              <w:rPr>
                <w:sz w:val="1"/>
                <w:szCs w:val="1"/>
                <w:color w:val="auto"/>
              </w:rPr>
            </w:pPr>
          </w:p>
        </w:tc>
      </w:tr>
      <w:tr>
        <w:trPr>
          <w:trHeight w:val="139"/>
        </w:trPr>
        <w:tc>
          <w:tcPr>
            <w:tcW w:w="3040" w:type="dxa"/>
            <w:vAlign w:val="bottom"/>
            <w:vMerge w:val="restart"/>
          </w:tcPr>
          <w:p>
            <w:pPr>
              <w:jc w:val="center"/>
              <w:ind w:right="8"/>
              <w:spacing w:after="0"/>
              <w:rPr>
                <w:sz w:val="20"/>
                <w:szCs w:val="20"/>
                <w:color w:val="auto"/>
              </w:rPr>
            </w:pPr>
            <w:r>
              <w:rPr>
                <w:rFonts w:ascii="Arial" w:cs="Arial" w:eastAsia="Arial" w:hAnsi="Arial"/>
                <w:sz w:val="14"/>
                <w:szCs w:val="14"/>
                <w:color w:val="auto"/>
              </w:rPr>
              <w:t>Generally, certain slots, route authorities and</w:t>
            </w:r>
          </w:p>
        </w:tc>
        <w:tc>
          <w:tcPr>
            <w:tcW w:w="1540" w:type="dxa"/>
            <w:vAlign w:val="bottom"/>
          </w:tcPr>
          <w:p>
            <w:pPr>
              <w:jc w:val="center"/>
              <w:spacing w:after="0" w:line="139" w:lineRule="exact"/>
              <w:rPr>
                <w:sz w:val="20"/>
                <w:szCs w:val="20"/>
                <w:color w:val="auto"/>
              </w:rPr>
            </w:pPr>
            <w:r>
              <w:rPr>
                <w:rFonts w:ascii="Arial" w:cs="Arial" w:eastAsia="Arial" w:hAnsi="Arial"/>
                <w:sz w:val="14"/>
                <w:szCs w:val="14"/>
                <w:color w:val="auto"/>
              </w:rPr>
              <w:t>and airport gate</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vMerge w:val="continue"/>
          </w:tcPr>
          <w:p>
            <w:pPr>
              <w:spacing w:after="0"/>
              <w:rPr>
                <w:sz w:val="12"/>
                <w:szCs w:val="12"/>
                <w:color w:val="auto"/>
              </w:rPr>
            </w:pPr>
          </w:p>
        </w:tc>
        <w:tc>
          <w:tcPr>
            <w:tcW w:w="1540" w:type="dxa"/>
            <w:vAlign w:val="bottom"/>
          </w:tcPr>
          <w:p>
            <w:pPr>
              <w:jc w:val="center"/>
              <w:spacing w:after="0" w:line="144" w:lineRule="exact"/>
              <w:rPr>
                <w:sz w:val="20"/>
                <w:szCs w:val="20"/>
                <w:color w:val="auto"/>
              </w:rPr>
            </w:pPr>
            <w:r>
              <w:rPr>
                <w:rFonts w:ascii="Arial" w:cs="Arial" w:eastAsia="Arial" w:hAnsi="Arial"/>
                <w:sz w:val="14"/>
                <w:szCs w:val="14"/>
                <w:color w:val="auto"/>
              </w:rPr>
              <w:t>leasehold rights used</w:t>
            </w:r>
          </w:p>
        </w:tc>
        <w:tc>
          <w:tcPr>
            <w:tcW w:w="3040" w:type="dxa"/>
            <w:vAlign w:val="bottom"/>
          </w:tcPr>
          <w:p>
            <w:pPr>
              <w:jc w:val="center"/>
              <w:ind w:left="8"/>
              <w:spacing w:after="0" w:line="144" w:lineRule="exact"/>
              <w:rPr>
                <w:sz w:val="20"/>
                <w:szCs w:val="20"/>
                <w:color w:val="auto"/>
              </w:rPr>
            </w:pPr>
            <w:r>
              <w:rPr>
                <w:rFonts w:ascii="Arial" w:cs="Arial" w:eastAsia="Arial" w:hAnsi="Arial"/>
                <w:sz w:val="14"/>
                <w:szCs w:val="14"/>
                <w:color w:val="auto"/>
              </w:rPr>
              <w:t>airport gate leasehold rights used by American</w:t>
            </w:r>
          </w:p>
        </w:tc>
        <w:tc>
          <w:tcPr>
            <w:tcW w:w="0" w:type="dxa"/>
            <w:vAlign w:val="bottom"/>
          </w:tcPr>
          <w:p>
            <w:pPr>
              <w:spacing w:after="0"/>
              <w:rPr>
                <w:sz w:val="1"/>
                <w:szCs w:val="1"/>
                <w:color w:val="auto"/>
              </w:rPr>
            </w:pPr>
          </w:p>
        </w:tc>
      </w:tr>
      <w:tr>
        <w:trPr>
          <w:trHeight w:val="148"/>
        </w:trPr>
        <w:tc>
          <w:tcPr>
            <w:tcW w:w="3040" w:type="dxa"/>
            <w:vAlign w:val="bottom"/>
          </w:tcPr>
          <w:p>
            <w:pPr>
              <w:jc w:val="center"/>
              <w:ind w:right="8"/>
              <w:spacing w:after="0" w:line="149" w:lineRule="exact"/>
              <w:rPr>
                <w:sz w:val="20"/>
                <w:szCs w:val="20"/>
                <w:color w:val="auto"/>
              </w:rPr>
            </w:pPr>
            <w:r>
              <w:rPr>
                <w:rFonts w:ascii="Arial" w:cs="Arial" w:eastAsia="Arial" w:hAnsi="Arial"/>
                <w:sz w:val="14"/>
                <w:szCs w:val="14"/>
                <w:color w:val="auto"/>
              </w:rPr>
              <w:t>airport gate leasehold rights used by American</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rPr>
              <w:t>by American to</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rPr>
              <w:t>to operate certain services between the U.S.</w:t>
            </w:r>
          </w:p>
        </w:tc>
        <w:tc>
          <w:tcPr>
            <w:tcW w:w="0" w:type="dxa"/>
            <w:vAlign w:val="bottom"/>
          </w:tcPr>
          <w:p>
            <w:pPr>
              <w:spacing w:after="0"/>
              <w:rPr>
                <w:sz w:val="1"/>
                <w:szCs w:val="1"/>
                <w:color w:val="auto"/>
              </w:rPr>
            </w:pPr>
          </w:p>
        </w:tc>
      </w:tr>
      <w:tr>
        <w:trPr>
          <w:trHeight w:val="139"/>
        </w:trPr>
        <w:tc>
          <w:tcPr>
            <w:tcW w:w="3040" w:type="dxa"/>
            <w:vAlign w:val="bottom"/>
          </w:tcPr>
          <w:p>
            <w:pPr>
              <w:jc w:val="center"/>
              <w:ind w:right="8"/>
              <w:spacing w:after="0" w:line="139" w:lineRule="exact"/>
              <w:rPr>
                <w:sz w:val="20"/>
                <w:szCs w:val="20"/>
                <w:color w:val="auto"/>
              </w:rPr>
            </w:pPr>
            <w:r>
              <w:rPr>
                <w:rFonts w:ascii="Arial" w:cs="Arial" w:eastAsia="Arial" w:hAnsi="Arial"/>
                <w:sz w:val="14"/>
                <w:szCs w:val="14"/>
                <w:color w:val="auto"/>
              </w:rPr>
              <w:t>to operate certain services between the U.S.</w:t>
            </w:r>
          </w:p>
        </w:tc>
        <w:tc>
          <w:tcPr>
            <w:tcW w:w="1540" w:type="dxa"/>
            <w:vAlign w:val="bottom"/>
          </w:tcPr>
          <w:p>
            <w:pPr>
              <w:jc w:val="center"/>
              <w:spacing w:after="0" w:line="139" w:lineRule="exact"/>
              <w:rPr>
                <w:sz w:val="20"/>
                <w:szCs w:val="20"/>
                <w:color w:val="auto"/>
              </w:rPr>
            </w:pPr>
            <w:r>
              <w:rPr>
                <w:rFonts w:ascii="Arial" w:cs="Arial" w:eastAsia="Arial" w:hAnsi="Arial"/>
                <w:sz w:val="14"/>
                <w:szCs w:val="14"/>
                <w:color w:val="auto"/>
              </w:rPr>
              <w:t>operate certain</w:t>
            </w:r>
          </w:p>
        </w:tc>
        <w:tc>
          <w:tcPr>
            <w:tcW w:w="3040" w:type="dxa"/>
            <w:vAlign w:val="bottom"/>
          </w:tcPr>
          <w:p>
            <w:pPr>
              <w:jc w:val="center"/>
              <w:spacing w:after="0" w:line="139" w:lineRule="exact"/>
              <w:rPr>
                <w:sz w:val="20"/>
                <w:szCs w:val="20"/>
                <w:color w:val="auto"/>
              </w:rPr>
            </w:pPr>
            <w:r>
              <w:rPr>
                <w:rFonts w:ascii="Arial" w:cs="Arial" w:eastAsia="Arial" w:hAnsi="Arial"/>
                <w:sz w:val="14"/>
                <w:szCs w:val="14"/>
                <w:color w:val="auto"/>
              </w:rPr>
              <w:t>and Australia, Canada, the Caribbean, Central</w:t>
            </w:r>
          </w:p>
        </w:tc>
        <w:tc>
          <w:tcPr>
            <w:tcW w:w="0" w:type="dxa"/>
            <w:vAlign w:val="bottom"/>
          </w:tcPr>
          <w:p>
            <w:pPr>
              <w:spacing w:after="0"/>
              <w:rPr>
                <w:sz w:val="1"/>
                <w:szCs w:val="1"/>
                <w:color w:val="auto"/>
              </w:rPr>
            </w:pPr>
          </w:p>
        </w:tc>
      </w:tr>
      <w:tr>
        <w:trPr>
          <w:trHeight w:val="144"/>
        </w:trPr>
        <w:tc>
          <w:tcPr>
            <w:tcW w:w="3040" w:type="dxa"/>
            <w:vAlign w:val="bottom"/>
          </w:tcPr>
          <w:p>
            <w:pPr>
              <w:jc w:val="center"/>
              <w:ind w:right="8"/>
              <w:spacing w:after="0" w:line="144" w:lineRule="exact"/>
              <w:rPr>
                <w:sz w:val="20"/>
                <w:szCs w:val="20"/>
                <w:color w:val="auto"/>
              </w:rPr>
            </w:pPr>
            <w:r>
              <w:rPr>
                <w:rFonts w:ascii="Arial" w:cs="Arial" w:eastAsia="Arial" w:hAnsi="Arial"/>
                <w:sz w:val="14"/>
                <w:szCs w:val="14"/>
                <w:color w:val="auto"/>
              </w:rPr>
              <w:t>and South America and New Zealand</w:t>
            </w:r>
          </w:p>
        </w:tc>
        <w:tc>
          <w:tcPr>
            <w:tcW w:w="1540" w:type="dxa"/>
            <w:vAlign w:val="bottom"/>
          </w:tcPr>
          <w:p>
            <w:pPr>
              <w:jc w:val="center"/>
              <w:spacing w:after="0" w:line="144" w:lineRule="exact"/>
              <w:rPr>
                <w:sz w:val="20"/>
                <w:szCs w:val="20"/>
                <w:color w:val="auto"/>
              </w:rPr>
            </w:pPr>
            <w:r>
              <w:rPr>
                <w:rFonts w:ascii="Arial" w:cs="Arial" w:eastAsia="Arial" w:hAnsi="Arial"/>
                <w:sz w:val="14"/>
                <w:szCs w:val="14"/>
                <w:color w:val="auto"/>
              </w:rPr>
              <w:t>services between the</w:t>
            </w:r>
          </w:p>
        </w:tc>
        <w:tc>
          <w:tcPr>
            <w:tcW w:w="3040" w:type="dxa"/>
            <w:vAlign w:val="bottom"/>
          </w:tcPr>
          <w:p>
            <w:pPr>
              <w:jc w:val="center"/>
              <w:spacing w:after="0" w:line="144" w:lineRule="exact"/>
              <w:rPr>
                <w:sz w:val="20"/>
                <w:szCs w:val="20"/>
                <w:color w:val="auto"/>
              </w:rPr>
            </w:pPr>
            <w:r>
              <w:rPr>
                <w:rFonts w:ascii="Arial" w:cs="Arial" w:eastAsia="Arial" w:hAnsi="Arial"/>
                <w:sz w:val="14"/>
                <w:szCs w:val="14"/>
                <w:color w:val="auto"/>
              </w:rPr>
              <w:t>America, China, Hong Kong, Japan, Mexico,</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rPr>
              <w:t>U.S. and European</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rPr>
              <w:t>South Korea and Switzerland</w:t>
            </w: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1540" w:type="dxa"/>
            <w:vAlign w:val="bottom"/>
          </w:tcPr>
          <w:p>
            <w:pPr>
              <w:jc w:val="center"/>
              <w:spacing w:after="0" w:line="139" w:lineRule="exact"/>
              <w:rPr>
                <w:sz w:val="20"/>
                <w:szCs w:val="20"/>
                <w:color w:val="auto"/>
              </w:rPr>
            </w:pPr>
            <w:r>
              <w:rPr>
                <w:rFonts w:ascii="Arial" w:cs="Arial" w:eastAsia="Arial" w:hAnsi="Arial"/>
                <w:sz w:val="14"/>
                <w:szCs w:val="14"/>
                <w:color w:val="auto"/>
              </w:rPr>
              <w:t>Union (including</w:t>
            </w:r>
          </w:p>
        </w:tc>
        <w:tc>
          <w:tcPr>
            <w:tcW w:w="3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London Heathrow)</w:t>
            </w: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-1158875</wp:posOffset>
            </wp:positionV>
            <wp:extent cx="7098030" cy="2139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98030" cy="213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5.2%</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Annual</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Generally, certain</w:t>
      </w:r>
    </w:p>
    <w:p>
      <w:pPr>
        <w:spacing w:after="0" w:line="1" w:lineRule="exact"/>
        <w:rPr>
          <w:sz w:val="20"/>
          <w:szCs w:val="20"/>
          <w:color w:val="auto"/>
        </w:rPr>
      </w:pPr>
    </w:p>
    <w:p>
      <w:pPr>
        <w:ind w:left="140" w:right="220" w:hanging="7"/>
        <w:spacing w:after="0" w:line="211" w:lineRule="auto"/>
        <w:rPr>
          <w:sz w:val="20"/>
          <w:szCs w:val="20"/>
          <w:color w:val="auto"/>
        </w:rPr>
      </w:pPr>
      <w:r>
        <w:rPr>
          <w:rFonts w:ascii="Arial" w:cs="Arial" w:eastAsia="Arial" w:hAnsi="Arial"/>
          <w:sz w:val="14"/>
          <w:szCs w:val="14"/>
          <w:color w:val="auto"/>
        </w:rPr>
        <w:t>DCA slots, certain LGA slots, certain</w:t>
      </w:r>
    </w:p>
    <w:p>
      <w:pPr>
        <w:spacing w:after="0" w:line="221" w:lineRule="auto"/>
        <w:rPr>
          <w:sz w:val="20"/>
          <w:szCs w:val="20"/>
          <w:color w:val="auto"/>
        </w:rPr>
      </w:pPr>
      <w:r>
        <w:rPr>
          <w:rFonts w:ascii="Arial" w:cs="Arial" w:eastAsia="Arial" w:hAnsi="Arial"/>
          <w:sz w:val="14"/>
          <w:szCs w:val="14"/>
          <w:color w:val="auto"/>
        </w:rPr>
        <w:t>simulators and certain</w:t>
      </w:r>
    </w:p>
    <w:p>
      <w:pPr>
        <w:ind w:left="60" w:right="140" w:hanging="27"/>
        <w:spacing w:after="0" w:line="211" w:lineRule="auto"/>
        <w:rPr>
          <w:sz w:val="20"/>
          <w:szCs w:val="20"/>
          <w:color w:val="auto"/>
        </w:rPr>
      </w:pPr>
      <w:r>
        <w:rPr>
          <w:rFonts w:ascii="Arial" w:cs="Arial" w:eastAsia="Arial" w:hAnsi="Arial"/>
          <w:sz w:val="14"/>
          <w:szCs w:val="14"/>
          <w:color w:val="auto"/>
        </w:rPr>
        <w:t>leasehold rights and, in the case of the IP</w:t>
      </w:r>
    </w:p>
    <w:p>
      <w:pPr>
        <w:ind w:left="260"/>
        <w:spacing w:after="0" w:line="221" w:lineRule="auto"/>
        <w:rPr>
          <w:sz w:val="20"/>
          <w:szCs w:val="20"/>
          <w:color w:val="auto"/>
        </w:rPr>
      </w:pPr>
      <w:r>
        <w:rPr>
          <w:rFonts w:ascii="Arial" w:cs="Arial" w:eastAsia="Arial" w:hAnsi="Arial"/>
          <w:sz w:val="14"/>
          <w:szCs w:val="14"/>
          <w:color w:val="auto"/>
        </w:rPr>
        <w:t>Notes, certain</w:t>
      </w:r>
    </w:p>
    <w:p>
      <w:pPr>
        <w:spacing w:after="0" w:line="201" w:lineRule="auto"/>
        <w:rPr>
          <w:sz w:val="20"/>
          <w:szCs w:val="20"/>
          <w:color w:val="auto"/>
        </w:rPr>
      </w:pPr>
      <w:r>
        <w:rPr>
          <w:rFonts w:ascii="Arial" w:cs="Arial" w:eastAsia="Arial" w:hAnsi="Arial"/>
          <w:sz w:val="14"/>
          <w:szCs w:val="14"/>
          <w:color w:val="auto"/>
        </w:rPr>
        <w:t>intellectual property of</w:t>
      </w:r>
    </w:p>
    <w:p>
      <w:pPr>
        <w:ind w:left="400"/>
        <w:spacing w:after="0"/>
        <w:rPr>
          <w:sz w:val="20"/>
          <w:szCs w:val="20"/>
          <w:color w:val="auto"/>
        </w:rPr>
      </w:pPr>
      <w:r>
        <w:rPr>
          <w:rFonts w:ascii="Arial" w:cs="Arial" w:eastAsia="Arial" w:hAnsi="Arial"/>
          <w:sz w:val="14"/>
          <w:szCs w:val="14"/>
          <w:color w:val="auto"/>
        </w:rPr>
        <w:t>American</w:t>
      </w:r>
    </w:p>
    <w:p>
      <w:pPr>
        <w:spacing w:after="0" w:line="295" w:lineRule="exact"/>
        <w:rPr>
          <w:sz w:val="20"/>
          <w:szCs w:val="20"/>
          <w:color w:val="auto"/>
        </w:rPr>
      </w:pPr>
    </w:p>
    <w:p>
      <w:pPr>
        <w:sectPr>
          <w:pgSz w:w="11900" w:h="16838" w:orient="portrait"/>
          <w:cols w:equalWidth="0" w:num="3">
            <w:col w:w="1860" w:space="120"/>
            <w:col w:w="7620" w:space="140"/>
            <w:col w:w="1500"/>
          </w:cols>
          <w:pgMar w:left="320" w:top="121" w:right="339" w:bottom="1440" w:gutter="0" w:footer="0" w:header="0"/>
          <w:type w:val="continuous"/>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At December 31, 2024, American was in compliance with the applicable collateral coverage tests as of the most recent measurement 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leases certain aircraft and engines, including aircraft under capacity purchase agreements. As of December 31, 2024, American operated 716 leased aircraft, including 210 aircraft leased under capacity purchase agreements, with remaining terms ranging from less than one year to approximately 11 years.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each airport where American conducts flight operations, American has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American’s level of operations and the operations of the airport. Because of the variable nature of these rates, these leases are not recorded on American’s consolidated balance sheets as a ROU asset or a lease liability. Additionally, at American’s hub locations and in certain other cities it serves, American leases administrative offices, catering, cargo, training, maintenance and other facilities.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Included in the table above is $225 million, $274 million and $242 million of operating lease cost under American’s capacity purchase agreement with Republic for the years ended December 31, 2024, 2023 and 2022, respectively. American holds a 25% equity interest in Republic Holdings, the parent company of Republic.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ROU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7,274</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operating lease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1,082</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5,926</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7,008</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Property and equipment, at cost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1,604</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amortization</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680</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132</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finance lease liabilities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531</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9"/>
        </w:trPr>
        <w:tc>
          <w:tcPr>
            <w:tcW w:w="6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453"/>
        </w:trPr>
        <w:tc>
          <w:tcPr>
            <w:tcW w:w="7500" w:type="dxa"/>
            <w:vAlign w:val="bottom"/>
            <w:gridSpan w:val="3"/>
          </w:tcPr>
          <w:p>
            <w:pPr>
              <w:ind w:left="260"/>
              <w:spacing w:after="0"/>
              <w:rPr>
                <w:sz w:val="20"/>
                <w:szCs w:val="20"/>
                <w:color w:val="auto"/>
              </w:rPr>
            </w:pPr>
            <w:r>
              <w:rPr>
                <w:rFonts w:ascii="Arial" w:cs="Arial" w:eastAsia="Arial" w:hAnsi="Arial"/>
                <w:sz w:val="18"/>
                <w:szCs w:val="18"/>
                <w:color w:val="auto"/>
                <w:w w:val="99"/>
              </w:rPr>
              <w:t>Supplemental cash flow and other information related to leases was as follows (in millions):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1,810</w:t>
            </w:r>
          </w:p>
        </w:tc>
        <w:tc>
          <w:tcPr>
            <w:tcW w:w="1100" w:type="dxa"/>
            <w:vAlign w:val="bottom"/>
            <w:gridSpan w:val="3"/>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leaseback transactions, net</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46"/>
        </w:trPr>
        <w:tc>
          <w:tcPr>
            <w:tcW w:w="6540" w:type="dxa"/>
            <w:vAlign w:val="bottom"/>
          </w:tcPr>
          <w:p>
            <w:pPr>
              <w:ind w:left="5480"/>
              <w:spacing w:after="0"/>
              <w:rPr>
                <w:sz w:val="20"/>
                <w:szCs w:val="20"/>
                <w:color w:val="auto"/>
              </w:rPr>
            </w:pPr>
            <w:r>
              <w:rPr>
                <w:rFonts w:ascii="Arial" w:cs="Arial" w:eastAsia="Arial" w:hAnsi="Arial"/>
                <w:sz w:val="18"/>
                <w:szCs w:val="18"/>
                <w:color w:val="auto"/>
              </w:rPr>
              <w:t>148</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5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7"/>
                <w:szCs w:val="17"/>
                <w:color w:val="auto"/>
              </w:rPr>
            </w:pPr>
          </w:p>
        </w:tc>
        <w:tc>
          <w:tcPr>
            <w:tcW w:w="1540" w:type="dxa"/>
            <w:vAlign w:val="bottom"/>
          </w:tcPr>
          <w:p>
            <w:pPr>
              <w:jc w:val="right"/>
              <w:ind w:right="252"/>
              <w:spacing w:after="0"/>
              <w:rPr>
                <w:sz w:val="20"/>
                <w:szCs w:val="20"/>
                <w:color w:val="auto"/>
              </w:rPr>
            </w:pPr>
            <w:r>
              <w:rPr>
                <w:rFonts w:ascii="Arial" w:cs="Arial" w:eastAsia="Arial" w:hAnsi="Arial"/>
                <w:sz w:val="14"/>
                <w:szCs w:val="14"/>
                <w:b w:val="1"/>
                <w:bCs w:val="1"/>
                <w:color w:val="auto"/>
              </w:rPr>
              <w:t>Finance Leases</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97"/>
              </w:rPr>
              <w:t>1,532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560" w:type="dxa"/>
            <w:vAlign w:val="bottom"/>
          </w:tcPr>
          <w:p>
            <w:pPr>
              <w:jc w:val="center"/>
              <w:ind w:left="873"/>
              <w:spacing w:after="0"/>
              <w:rPr>
                <w:sz w:val="20"/>
                <w:szCs w:val="20"/>
                <w:color w:val="auto"/>
              </w:rPr>
            </w:pPr>
            <w:r>
              <w:rPr>
                <w:rFonts w:ascii="Arial" w:cs="Arial" w:eastAsia="Arial" w:hAnsi="Arial"/>
                <w:sz w:val="18"/>
                <w:szCs w:val="18"/>
                <w:color w:val="auto"/>
                <w:w w:val="97"/>
              </w:rPr>
              <w:t>1,390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97"/>
              </w:rPr>
              <w:t>1,235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560" w:type="dxa"/>
            <w:vAlign w:val="bottom"/>
          </w:tcPr>
          <w:p>
            <w:pPr>
              <w:jc w:val="center"/>
              <w:ind w:left="873"/>
              <w:spacing w:after="0"/>
              <w:rPr>
                <w:sz w:val="20"/>
                <w:szCs w:val="20"/>
                <w:color w:val="auto"/>
              </w:rPr>
            </w:pPr>
            <w:r>
              <w:rPr>
                <w:rFonts w:ascii="Arial" w:cs="Arial" w:eastAsia="Arial" w:hAnsi="Arial"/>
                <w:sz w:val="18"/>
                <w:szCs w:val="18"/>
                <w:color w:val="auto"/>
                <w:w w:val="97"/>
              </w:rPr>
              <w:t>1,107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97"/>
              </w:rPr>
              <w:t>1,004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2030 and thereafter</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873"/>
              <w:spacing w:after="0"/>
              <w:rPr>
                <w:sz w:val="20"/>
                <w:szCs w:val="20"/>
                <w:color w:val="auto"/>
              </w:rPr>
            </w:pPr>
            <w:r>
              <w:rPr>
                <w:rFonts w:ascii="Arial" w:cs="Arial" w:eastAsia="Arial" w:hAnsi="Arial"/>
                <w:sz w:val="18"/>
                <w:szCs w:val="18"/>
                <w:color w:val="auto"/>
                <w:w w:val="97"/>
              </w:rPr>
              <w:t>3,009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97"/>
              </w:rPr>
              <w:t>9,277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853"/>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97"/>
              </w:rPr>
              <w:t>7,008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853"/>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lease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97"/>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As of December 31, 2024, American had additional operating lease commitments that have not yet commenced of approximately $693 million for five Boeing 787 Family aircraft scheduled to be delivered in 2025 with lease terms of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components of the income tax provision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State, local and foreign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 provision</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differed from amounts computed at the statutory federal income tax rate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income tax provision</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State, local and foreign income tax provision, net of federal tax effect</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expenses not deductible for tax purposes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46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5480"/>
              <w:spacing w:after="0"/>
              <w:rPr>
                <w:sz w:val="20"/>
                <w:szCs w:val="20"/>
                <w:color w:val="auto"/>
              </w:rPr>
            </w:pPr>
            <w:r>
              <w:rPr>
                <w:rFonts w:ascii="Arial" w:cs="Arial" w:eastAsia="Arial" w:hAnsi="Arial"/>
                <w:sz w:val="18"/>
                <w:szCs w:val="18"/>
                <w:color w:val="auto"/>
              </w:rPr>
              <w:t>149</w:t>
            </w: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64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4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American’s deferred tax assets and liabilities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Net operating loss and other carryforwards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3,960</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Loyalty program liability</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benefits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Postretirement benefits other than pension benefits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w:t>
            </w:r>
          </w:p>
        </w:tc>
      </w:tr>
      <w:tr>
        <w:trPr>
          <w:trHeight w:val="229"/>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Valuation allowance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depreciation and amortization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(6,519)</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2024, American had approximately $12.8 billion of gross federal net operating losses (NOLs) and $4.2 billion of other carryforwards available to reduce future federal taxable income, of which $2.9 billion will expire beginning in 2033 if unused and $14.1 billion can be carried forward indefinitely. American is a member of AAG’s consolidated federal and certain state income tax returns. American also had approximately $5.0 billion of NOL carryforwards to reduce future state taxable income at December 31, 2024, which will expire in taxable years 2024 through 2044 if unused.</w:t>
      </w:r>
    </w:p>
    <w:p>
      <w:pPr>
        <w:spacing w:after="0" w:line="1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12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2024, American recorded an income tax provision of $426 million with an effective rate of approximately 25%, which was substantially non-cash. Substantially all of American’s income before income taxes is attributable to the United States.</w:t>
      </w:r>
    </w:p>
    <w:p>
      <w:pPr>
        <w:spacing w:after="0" w:line="10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files its tax returns as prescribed by the tax laws of the jurisdictions in which it operates. American’s 2021 through 2023 tax years are still subject to examination by the Internal Revenue Service. Various state, local and foreign jurisdiction tax years remain open to examination, and American is under examination, in administrative appeals or engaged in tax litigation in certain jurisdictions. American believes that the effect of any assessments will not be material to its consolidated financial statements.</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amount of, and changes to, American’s uncertain tax positions were not material in any of the years presented. American accrues interest and penalties related to unrecognized tax benefits in interest expense and operating expense,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70" w:lineRule="exact"/>
        <w:rPr>
          <w:sz w:val="20"/>
          <w:szCs w:val="20"/>
          <w:color w:val="auto"/>
        </w:rPr>
      </w:pPr>
    </w:p>
    <w:p>
      <w:pPr>
        <w:ind w:left="1300" w:hanging="64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6" w:lineRule="exact"/>
        <w:rPr>
          <w:rFonts w:ascii="Arial" w:cs="Arial" w:eastAsia="Arial" w:hAnsi="Arial"/>
          <w:sz w:val="18"/>
          <w:szCs w:val="18"/>
          <w:color w:val="auto"/>
        </w:rPr>
      </w:pPr>
    </w:p>
    <w:p>
      <w:pPr>
        <w:ind w:left="1300" w:hanging="64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6"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When available, American uses quoted market prices to determine the fair value of its financial assets. If quoted market prices are not available, American measures fair value using valuation techniques that use, when possible, current market-based or independently-sourced market parameters, such as interest rates and currency rates.</w:t>
      </w:r>
    </w:p>
    <w:p>
      <w:pPr>
        <w:spacing w:after="0" w:line="116"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7"/>
          <w:szCs w:val="17"/>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year ended December 31, 2024.</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p>
      <w:pPr>
        <w:ind w:left="140"/>
        <w:spacing w:after="0"/>
        <w:rPr>
          <w:sz w:val="20"/>
          <w:szCs w:val="20"/>
          <w:color w:val="auto"/>
        </w:rPr>
      </w:pPr>
      <w:r>
        <w:rPr>
          <w:rFonts w:ascii="Arial" w:cs="Arial" w:eastAsia="Arial" w:hAnsi="Arial"/>
          <w:sz w:val="18"/>
          <w:szCs w:val="18"/>
          <w:color w:val="auto"/>
        </w:rPr>
        <w:t>Money market funds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Corporate obligations</w:t>
      </w:r>
    </w:p>
    <w:p>
      <w:pPr>
        <w:spacing w:after="0" w:line="22" w:lineRule="exact"/>
        <w:rPr>
          <w:sz w:val="20"/>
          <w:szCs w:val="20"/>
          <w:color w:val="auto"/>
        </w:rPr>
      </w:pPr>
    </w:p>
    <w:p>
      <w:pPr>
        <w:ind w:left="140" w:right="580"/>
        <w:spacing w:after="0" w:line="291" w:lineRule="auto"/>
        <w:rPr>
          <w:sz w:val="20"/>
          <w:szCs w:val="20"/>
          <w:color w:val="auto"/>
        </w:rPr>
      </w:pPr>
      <w:r>
        <w:rPr>
          <w:rFonts w:ascii="Arial" w:cs="Arial" w:eastAsia="Arial" w:hAnsi="Arial"/>
          <w:sz w:val="18"/>
          <w:szCs w:val="18"/>
          <w:color w:val="auto"/>
        </w:rPr>
        <w:t>Bank notes/certificates of deposit/time deposits Repurchase agreements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Restricted cash and short-term investments </w:t>
      </w:r>
      <w:r>
        <w:rPr>
          <w:rFonts w:ascii="Arial" w:cs="Arial" w:eastAsia="Arial" w:hAnsi="Arial"/>
          <w:sz w:val="22"/>
          <w:szCs w:val="22"/>
          <w:color w:val="auto"/>
          <w:vertAlign w:val="superscript"/>
        </w:rPr>
        <w:t>(1), (3)</w:t>
      </w:r>
    </w:p>
    <w:p>
      <w:pPr>
        <w:ind w:left="2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140"/>
        <w:spacing w:after="0"/>
        <w:rPr>
          <w:sz w:val="20"/>
          <w:szCs w:val="20"/>
          <w:color w:val="auto"/>
        </w:rPr>
      </w:pPr>
      <w:r>
        <w:rPr>
          <w:rFonts w:ascii="Arial" w:cs="Arial" w:eastAsia="Arial" w:hAnsi="Arial"/>
          <w:sz w:val="18"/>
          <w:szCs w:val="18"/>
          <w:color w:val="auto"/>
        </w:rPr>
        <w:t>Money market funds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Corporate obligations</w:t>
      </w:r>
    </w:p>
    <w:p>
      <w:pPr>
        <w:spacing w:after="0" w:line="22" w:lineRule="exact"/>
        <w:rPr>
          <w:sz w:val="20"/>
          <w:szCs w:val="20"/>
          <w:color w:val="auto"/>
        </w:rPr>
      </w:pPr>
    </w:p>
    <w:p>
      <w:pPr>
        <w:ind w:left="140" w:right="580"/>
        <w:spacing w:after="0" w:line="265" w:lineRule="auto"/>
        <w:rPr>
          <w:sz w:val="20"/>
          <w:szCs w:val="20"/>
          <w:color w:val="auto"/>
        </w:rPr>
      </w:pPr>
      <w:r>
        <w:rPr>
          <w:rFonts w:ascii="Arial" w:cs="Arial" w:eastAsia="Arial" w:hAnsi="Arial"/>
          <w:sz w:val="18"/>
          <w:szCs w:val="18"/>
          <w:color w:val="auto"/>
        </w:rPr>
        <w:t>Bank notes/certificates of deposit/time deposits Repurchase agreements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U.S. government and agency obligations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Restricted cash and short-term investments </w:t>
      </w:r>
      <w:r>
        <w:rPr>
          <w:rFonts w:ascii="Arial" w:cs="Arial" w:eastAsia="Arial" w:hAnsi="Arial"/>
          <w:sz w:val="22"/>
          <w:szCs w:val="22"/>
          <w:color w:val="auto"/>
          <w:vertAlign w:val="superscript"/>
        </w:rPr>
        <w:t>(1), (3)</w:t>
      </w:r>
    </w:p>
    <w:p>
      <w:pPr>
        <w:ind w:left="2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Fair Value Measurements as of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43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5"/>
        </w:trPr>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17"/>
        </w:trPr>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5"/>
        </w:trPr>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7"/>
        </w:trPr>
        <w:tc>
          <w:tcPr>
            <w:tcW w:w="3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2023</w:t>
            </w:r>
          </w:p>
        </w:tc>
        <w:tc>
          <w:tcPr>
            <w:tcW w:w="1140" w:type="dxa"/>
            <w:vAlign w:val="bottom"/>
            <w:tcBorders>
              <w:bottom w:val="single" w:sz="8" w:color="auto"/>
            </w:tcBorders>
          </w:tcPr>
          <w:p>
            <w:pPr>
              <w:spacing w:after="0"/>
              <w:rPr>
                <w:sz w:val="24"/>
                <w:szCs w:val="24"/>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43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5"/>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17"/>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5"/>
        </w:trPr>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-3261360</wp:posOffset>
            </wp:positionV>
            <wp:extent cx="713232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-2970530</wp:posOffset>
            </wp:positionV>
            <wp:extent cx="713232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-2679700</wp:posOffset>
            </wp:positionV>
            <wp:extent cx="713232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-2379980</wp:posOffset>
            </wp:positionV>
            <wp:extent cx="713232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-2088515</wp:posOffset>
            </wp:positionV>
            <wp:extent cx="713232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-1506220</wp:posOffset>
            </wp:positionV>
            <wp:extent cx="71323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-1215390</wp:posOffset>
            </wp:positionV>
            <wp:extent cx="713232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-923925</wp:posOffset>
            </wp:positionV>
            <wp:extent cx="713232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-633095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-333375</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2" w:right="339" w:bottom="1440" w:gutter="0" w:footer="0" w:header="0"/>
          <w:type w:val="continuous"/>
        </w:sect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13100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20" w:hanging="332"/>
        <w:spacing w:after="0" w:line="231" w:lineRule="auto"/>
        <w:tabs>
          <w:tab w:leader="none" w:pos="334"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as of December 31, 2024 mature in one year or less.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$155 million and $218 million as of December 31, 2024 and December 31, 2023, respectively.</w:t>
      </w:r>
    </w:p>
    <w:p>
      <w:pPr>
        <w:spacing w:after="0" w:line="139" w:lineRule="exact"/>
        <w:rPr>
          <w:rFonts w:ascii="Arial" w:cs="Arial" w:eastAsia="Arial" w:hAnsi="Arial"/>
          <w:sz w:val="23"/>
          <w:szCs w:val="23"/>
          <w:color w:val="auto"/>
          <w:vertAlign w:val="superscript"/>
        </w:rPr>
      </w:pPr>
    </w:p>
    <w:p>
      <w:pPr>
        <w:ind w:left="340" w:hanging="332"/>
        <w:spacing w:after="0" w:line="215" w:lineRule="auto"/>
        <w:tabs>
          <w:tab w:leader="none" w:pos="335" w:val="left"/>
        </w:tabs>
        <w:numPr>
          <w:ilvl w:val="0"/>
          <w:numId w:val="71"/>
        </w:numPr>
        <w:rPr>
          <w:rFonts w:ascii="Arial" w:cs="Arial" w:eastAsia="Arial" w:hAnsi="Arial"/>
          <w:sz w:val="26"/>
          <w:szCs w:val="26"/>
          <w:color w:val="auto"/>
          <w:vertAlign w:val="superscript"/>
        </w:rPr>
      </w:pPr>
      <w:r>
        <w:rPr>
          <w:rFonts w:ascii="Arial" w:cs="Arial" w:eastAsia="Arial" w:hAnsi="Arial"/>
          <w:sz w:val="18"/>
          <w:szCs w:val="18"/>
          <w:color w:val="auto"/>
        </w:rPr>
        <w:t>Long-term investments include American's equity investments in China Southern Airlines Company Limited (China Southern Airlines), Vertical Aerospace Ltd. (Vertical) and GOL. See Note 7 for further information on American’s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ind w:right="20" w:firstLine="243"/>
        <w:spacing w:after="0" w:line="28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4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7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equity investments, ownership interest and carrying value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Ownership Interest</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Carrying Value (in millions)</w:t>
            </w:r>
          </w:p>
        </w:tc>
      </w:tr>
      <w:tr>
        <w:trPr>
          <w:trHeight w:val="200"/>
        </w:trPr>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7"/>
        </w:trPr>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Accounting Treatment</w:t>
            </w:r>
          </w:p>
        </w:tc>
        <w:tc>
          <w:tcPr>
            <w:tcW w:w="1560" w:type="dxa"/>
            <w:vAlign w:val="bottom"/>
          </w:tcPr>
          <w:p>
            <w:pPr>
              <w:jc w:val="right"/>
              <w:ind w:right="54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556"/>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2023</w:t>
            </w:r>
          </w:p>
        </w:tc>
      </w:tr>
      <w:tr>
        <w:trPr>
          <w:trHeight w:val="224"/>
        </w:trPr>
        <w:tc>
          <w:tcPr>
            <w:tcW w:w="2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Republic Holdings</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Equity Method</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Fair Value</w:t>
            </w:r>
          </w:p>
        </w:tc>
        <w:tc>
          <w:tcPr>
            <w:tcW w:w="15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2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24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0"/>
        </w:trPr>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76" w:lineRule="exact"/>
        <w:rPr>
          <w:sz w:val="20"/>
          <w:szCs w:val="20"/>
          <w:color w:val="auto"/>
        </w:rPr>
      </w:pPr>
    </w:p>
    <w:p>
      <w:pPr>
        <w:ind w:left="340" w:right="20" w:hanging="332"/>
        <w:spacing w:after="0" w:line="231" w:lineRule="auto"/>
        <w:tabs>
          <w:tab w:leader="none" w:pos="334" w:val="left"/>
        </w:tabs>
        <w:numPr>
          <w:ilvl w:val="0"/>
          <w:numId w:val="72"/>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Holdings Limited, which is accounted for under the equity method, and American’s investments in Vertical and GOL, which are each accounted for at fair value.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sponsors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pension plans for certain employee groups. American uses a December 31 measurement date for all of its defined benefit pension plans. American also provides certain retiree medical and other postretirement benefits, including health care and life insurance benefits to retired employees and notional retiree health reimbursement arrangements for eligible participants.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funded status as of December 31, 2024 and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Actuarial loss (gain) </w:t>
            </w:r>
            <w:r>
              <w:rPr>
                <w:rFonts w:ascii="Arial" w:cs="Arial" w:eastAsia="Arial" w:hAnsi="Arial"/>
                <w:sz w:val="23"/>
                <w:szCs w:val="23"/>
                <w:color w:val="auto"/>
                <w:vertAlign w:val="superscript"/>
              </w:rPr>
              <w:t>(1), (2)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Plan amendments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Benefit payments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13,258</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14,314</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Benefit payments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12,175</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3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The 2024 and 2023 pension actuarial loss (gain) primarily relates to the change in American’s weighted average discount rate assumption.</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The 2024 retiree medical and other postretirement benefits actuarial gain primarily relates to changes in certain retirement and weighted average discount rate assumptions, offset by increases in health care premiums and health care cost assumptions.</w:t>
      </w:r>
    </w:p>
    <w:p>
      <w:pPr>
        <w:spacing w:after="0" w:line="139" w:lineRule="exact"/>
        <w:rPr>
          <w:rFonts w:ascii="Arial" w:cs="Arial" w:eastAsia="Arial" w:hAnsi="Arial"/>
          <w:sz w:val="23"/>
          <w:szCs w:val="23"/>
          <w:color w:val="auto"/>
          <w:vertAlign w:val="superscript"/>
        </w:rPr>
      </w:pPr>
    </w:p>
    <w:p>
      <w:pPr>
        <w:ind w:left="34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The 2023 retiree medical and other postretirement benefits actuarial loss primarily relates to the change in American’s weighted average discount rate assumption and change in health care cost assumptions.</w:t>
      </w:r>
    </w:p>
    <w:p>
      <w:pPr>
        <w:spacing w:after="0" w:line="9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American remeasured its retiree medical and other postretirement benefits to account for enhanced retirement benefits pursuant to the ratification of new CBAs. As a result, in 2024 and 2023, American increased its postretirement benefits obligation by $54 million and $339 million, respectively, which was included as a component of prior service cost in accumulated other comprehensive loss.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In 2024, American made required contributions of $280 million and supplemental contributions of $15 million to its defined benefit pension plans, and in 2023, American made required contributions of $67 million and supplemental contributions of $4 million to its defined benefit pension plans.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10"/>
            <w:vMerge w:val="restart"/>
          </w:tcPr>
          <w:p>
            <w:pPr>
              <w:ind w:left="740"/>
              <w:spacing w:after="0"/>
              <w:rPr>
                <w:sz w:val="20"/>
                <w:szCs w:val="20"/>
                <w:color w:val="auto"/>
              </w:rPr>
            </w:pPr>
            <w:r>
              <w:rPr>
                <w:rFonts w:ascii="Arial" w:cs="Arial" w:eastAsia="Arial" w:hAnsi="Arial"/>
                <w:sz w:val="14"/>
                <w:szCs w:val="14"/>
                <w:b w:val="1"/>
                <w:bCs w:val="1"/>
                <w:color w:val="auto"/>
              </w:rPr>
              <w:t>Pension Benefits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12"/>
          </w:tcPr>
          <w:p>
            <w:pPr>
              <w:ind w:left="40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0"/>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2"/>
          </w:tcPr>
          <w:p>
            <w:pPr>
              <w:ind w:left="6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60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1,083</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1,956</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1,179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12"/>
          </w:tcPr>
          <w:p>
            <w:pPr>
              <w:ind w:left="34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7"/>
            <w:vMerge w:val="continue"/>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40" w:type="dxa"/>
            <w:vAlign w:val="bottom"/>
            <w:gridSpan w:val="12"/>
          </w:tcPr>
          <w:p>
            <w:pPr>
              <w:ind w:left="2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actuarial loss (gain)</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3,130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4"/>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3,561</w:t>
            </w:r>
          </w:p>
        </w:tc>
        <w:tc>
          <w:tcPr>
            <w:tcW w:w="60" w:type="dxa"/>
            <w:vAlign w:val="bottom"/>
          </w:tcPr>
          <w:p>
            <w:pPr>
              <w:spacing w:after="0"/>
              <w:rPr>
                <w:sz w:val="19"/>
                <w:szCs w:val="19"/>
                <w:color w:val="auto"/>
              </w:rPr>
            </w:pPr>
          </w:p>
        </w:tc>
        <w:tc>
          <w:tcPr>
            <w:tcW w:w="4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center"/>
              <w:ind w:left="441"/>
              <w:spacing w:after="0"/>
              <w:rPr>
                <w:sz w:val="20"/>
                <w:szCs w:val="20"/>
                <w:color w:val="auto"/>
              </w:rPr>
            </w:pPr>
            <w:r>
              <w:rPr>
                <w:rFonts w:ascii="Arial" w:cs="Arial" w:eastAsia="Arial" w:hAnsi="Arial"/>
                <w:sz w:val="18"/>
                <w:szCs w:val="18"/>
                <w:color w:val="auto"/>
                <w:w w:val="99"/>
              </w:rPr>
              <w:t>(407)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555"/>
              <w:spacing w:after="0"/>
              <w:rPr>
                <w:sz w:val="20"/>
                <w:szCs w:val="20"/>
                <w:color w:val="auto"/>
              </w:rPr>
            </w:pPr>
            <w:r>
              <w:rPr>
                <w:rFonts w:ascii="Arial" w:cs="Arial" w:eastAsia="Arial" w:hAnsi="Arial"/>
                <w:sz w:val="18"/>
                <w:szCs w:val="18"/>
                <w:color w:val="auto"/>
                <w:w w:val="99"/>
              </w:rPr>
              <w:t>(382)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238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99"/>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accumulated other comprehensive loss (income), pre-tax</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3,561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4"/>
          </w:tcPr>
          <w:p>
            <w:pPr>
              <w:jc w:val="center"/>
              <w:ind w:left="441"/>
              <w:spacing w:after="0"/>
              <w:rPr>
                <w:sz w:val="20"/>
                <w:szCs w:val="20"/>
                <w:color w:val="auto"/>
              </w:rPr>
            </w:pPr>
            <w:r>
              <w:rPr>
                <w:rFonts w:ascii="Arial" w:cs="Arial" w:eastAsia="Arial" w:hAnsi="Arial"/>
                <w:sz w:val="18"/>
                <w:szCs w:val="18"/>
                <w:color w:val="auto"/>
                <w:w w:val="99"/>
              </w:rPr>
              <w:t>(169)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555"/>
              <w:spacing w:after="0"/>
              <w:rPr>
                <w:sz w:val="20"/>
                <w:szCs w:val="20"/>
                <w:color w:val="auto"/>
              </w:rPr>
            </w:pPr>
            <w:r>
              <w:rPr>
                <w:rFonts w:ascii="Arial" w:cs="Arial" w:eastAsia="Arial" w:hAnsi="Arial"/>
                <w:sz w:val="18"/>
                <w:szCs w:val="18"/>
                <w:color w:val="auto"/>
                <w:w w:val="99"/>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7280" w:type="dxa"/>
            <w:vAlign w:val="bottom"/>
            <w:gridSpan w:val="12"/>
          </w:tcPr>
          <w:p>
            <w:pPr>
              <w:ind w:left="240"/>
              <w:spacing w:after="0"/>
              <w:rPr>
                <w:sz w:val="20"/>
                <w:szCs w:val="20"/>
                <w:color w:val="auto"/>
              </w:rPr>
            </w:pPr>
            <w:r>
              <w:rPr>
                <w:rFonts w:ascii="Arial" w:cs="Arial" w:eastAsia="Arial" w:hAnsi="Arial"/>
                <w:sz w:val="18"/>
                <w:szCs w:val="18"/>
                <w:b w:val="1"/>
                <w:bCs w:val="1"/>
                <w:i w:val="1"/>
                <w:iCs w:val="1"/>
                <w:color w:val="auto"/>
              </w:rPr>
              <w:t>Plans with Projected Benefit Obligations Exceeding Fair Value of Plan Assets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10"/>
          </w:tcPr>
          <w:p>
            <w:pPr>
              <w:ind w:left="120"/>
              <w:spacing w:after="0"/>
              <w:rPr>
                <w:sz w:val="20"/>
                <w:szCs w:val="20"/>
                <w:color w:val="auto"/>
              </w:rPr>
            </w:pPr>
            <w:r>
              <w:rPr>
                <w:rFonts w:ascii="Arial" w:cs="Arial" w:eastAsia="Arial" w:hAnsi="Arial"/>
                <w:sz w:val="14"/>
                <w:szCs w:val="14"/>
                <w:b w:val="1"/>
                <w:bCs w:val="1"/>
                <w:color w:val="auto"/>
              </w:rPr>
              <w:t>Pension Benefits</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8"/>
          </w:tcPr>
          <w:p>
            <w:pPr>
              <w:ind w:lef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Projected benefit obligation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13,258</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7280" w:type="dxa"/>
            <w:vAlign w:val="bottom"/>
            <w:gridSpan w:val="12"/>
          </w:tcPr>
          <w:p>
            <w:pPr>
              <w:ind w:left="24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40" w:type="dxa"/>
            <w:vAlign w:val="bottom"/>
            <w:gridSpan w:val="12"/>
          </w:tcPr>
          <w:p>
            <w:pPr>
              <w:ind w:left="38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24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4"/>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14,307</w:t>
            </w:r>
          </w:p>
        </w:tc>
        <w:tc>
          <w:tcPr>
            <w:tcW w:w="60" w:type="dxa"/>
            <w:vAlign w:val="bottom"/>
          </w:tcPr>
          <w:p>
            <w:pPr>
              <w:spacing w:after="0"/>
              <w:rPr>
                <w:sz w:val="19"/>
                <w:szCs w:val="19"/>
                <w:color w:val="auto"/>
              </w:rPr>
            </w:pPr>
          </w:p>
        </w:tc>
        <w:tc>
          <w:tcPr>
            <w:tcW w:w="4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6"/>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1,307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12,175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12,358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757"/>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Periodic Benefit Cost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Pension Benefits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Retiree Medical and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Other Postretirement Benefits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For the years ended December 31:</w:t>
            </w: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Defined benefit plans: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99"/>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3"/>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center"/>
              <w:ind w:left="313"/>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Expected return on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Prior service cost (benefit)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33"/>
              <w:spacing w:after="0"/>
              <w:rPr>
                <w:sz w:val="20"/>
                <w:szCs w:val="20"/>
                <w:color w:val="auto"/>
              </w:rPr>
            </w:pPr>
            <w:r>
              <w:rPr>
                <w:rFonts w:ascii="Arial" w:cs="Arial" w:eastAsia="Arial" w:hAnsi="Arial"/>
                <w:sz w:val="18"/>
                <w:szCs w:val="18"/>
                <w:color w:val="auto"/>
                <w:w w:val="9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on American’s consolidated statements of operations.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Assumptions</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following actuarial assumptions were used to determine American’s benefit obligations and net periodic benefit cost (income) for the periods presented: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restart"/>
          </w:tcPr>
          <w:p>
            <w:pPr>
              <w:ind w:left="280"/>
              <w:spacing w:after="0"/>
              <w:rPr>
                <w:sz w:val="20"/>
                <w:szCs w:val="20"/>
                <w:color w:val="auto"/>
              </w:rPr>
            </w:pPr>
            <w:r>
              <w:rPr>
                <w:rFonts w:ascii="Arial" w:cs="Arial" w:eastAsia="Arial" w:hAnsi="Arial"/>
                <w:sz w:val="14"/>
                <w:szCs w:val="14"/>
                <w:b w:val="1"/>
                <w:bCs w:val="1"/>
                <w:color w:val="auto"/>
              </w:rPr>
              <w:t>Pension Benefits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7"/>
          </w:tcPr>
          <w:p>
            <w:pPr>
              <w:jc w:val="center"/>
              <w:ind w:right="65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8"/>
            <w:vMerge w:val="continue"/>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8"/>
          </w:tcPr>
          <w:p>
            <w:pPr>
              <w:jc w:val="center"/>
              <w:ind w:right="37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9"/>
              </w:rPr>
              <w:t>Benefit obligations as of December 31:</w:t>
            </w:r>
          </w:p>
        </w:tc>
        <w:tc>
          <w:tcPr>
            <w:tcW w:w="1640" w:type="dxa"/>
            <w:vAlign w:val="bottom"/>
            <w:tcBorders>
              <w:bottom w:val="single" w:sz="8" w:color="CCEEFF"/>
            </w:tcBorders>
            <w:gridSpan w:val="2"/>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3"/>
          </w:tcPr>
          <w:p>
            <w:pPr>
              <w:jc w:val="right"/>
              <w:ind w:right="419"/>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7"/>
          </w:tcPr>
          <w:p>
            <w:pPr>
              <w:jc w:val="center"/>
              <w:ind w:left="139"/>
              <w:spacing w:after="0"/>
              <w:rPr>
                <w:sz w:val="20"/>
                <w:szCs w:val="20"/>
                <w:color w:val="auto"/>
              </w:rPr>
            </w:pPr>
            <w:r>
              <w:rPr>
                <w:rFonts w:ascii="Arial" w:cs="Arial" w:eastAsia="Arial" w:hAnsi="Arial"/>
                <w:sz w:val="14"/>
                <w:szCs w:val="14"/>
                <w:b w:val="1"/>
                <w:bCs w:val="1"/>
                <w:color w:val="auto"/>
              </w:rPr>
              <w:t>Retiree Medical and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center"/>
              <w:ind w:right="15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2024</w:t>
            </w:r>
          </w:p>
        </w:tc>
        <w:tc>
          <w:tcPr>
            <w:tcW w:w="104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6"/>
              </w:rPr>
              <w:t>2024</w:t>
            </w:r>
          </w:p>
        </w:tc>
        <w:tc>
          <w:tcPr>
            <w:tcW w:w="1080" w:type="dxa"/>
            <w:vAlign w:val="bottom"/>
            <w:gridSpan w:val="4"/>
          </w:tcPr>
          <w:p>
            <w:pPr>
              <w:jc w:val="center"/>
              <w:ind w:left="63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4740" w:type="dxa"/>
            <w:vAlign w:val="bottom"/>
            <w:tcBorders>
              <w:top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Net periodic benefit cost (income) for the years ended</w:t>
            </w:r>
          </w:p>
        </w:tc>
        <w:tc>
          <w:tcPr>
            <w:tcW w:w="4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9"/>
              </w:rPr>
              <w:t>December 31:</w:t>
            </w:r>
          </w:p>
        </w:tc>
        <w:tc>
          <w:tcPr>
            <w:tcW w:w="31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840" w:type="dxa"/>
            <w:vAlign w:val="bottom"/>
            <w:gridSpan w:val="2"/>
          </w:tcPr>
          <w:p>
            <w:pPr>
              <w:jc w:val="center"/>
              <w:ind w:left="55"/>
              <w:spacing w:after="0"/>
              <w:rPr>
                <w:sz w:val="20"/>
                <w:szCs w:val="20"/>
                <w:color w:val="auto"/>
              </w:rPr>
            </w:pPr>
            <w:r>
              <w:rPr>
                <w:rFonts w:ascii="Arial" w:cs="Arial" w:eastAsia="Arial" w:hAnsi="Arial"/>
                <w:sz w:val="18"/>
                <w:szCs w:val="18"/>
                <w:color w:val="auto"/>
              </w:rPr>
              <w:t>5.2%</w:t>
            </w:r>
          </w:p>
        </w:tc>
        <w:tc>
          <w:tcPr>
            <w:tcW w:w="1040" w:type="dxa"/>
            <w:vAlign w:val="bottom"/>
            <w:gridSpan w:val="3"/>
          </w:tcPr>
          <w:p>
            <w:pPr>
              <w:jc w:val="center"/>
              <w:ind w:left="357"/>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5.3%</w:t>
            </w:r>
          </w:p>
        </w:tc>
        <w:tc>
          <w:tcPr>
            <w:tcW w:w="1400" w:type="dxa"/>
            <w:vAlign w:val="bottom"/>
            <w:gridSpan w:val="5"/>
          </w:tcPr>
          <w:p>
            <w:pPr>
              <w:jc w:val="center"/>
              <w:ind w:left="319"/>
              <w:spacing w:after="0"/>
              <w:rPr>
                <w:sz w:val="20"/>
                <w:szCs w:val="20"/>
                <w:color w:val="auto"/>
              </w:rPr>
            </w:pPr>
            <w:r>
              <w:rPr>
                <w:rFonts w:ascii="Arial" w:cs="Arial" w:eastAsia="Arial" w:hAnsi="Arial"/>
                <w:sz w:val="18"/>
                <w:szCs w:val="18"/>
                <w:color w:val="auto"/>
                <w:w w:val="97"/>
              </w:rPr>
              <w:t>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expected rate of return on plan assets</w:t>
            </w:r>
          </w:p>
        </w:tc>
        <w:tc>
          <w:tcPr>
            <w:tcW w:w="84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rPr>
              <w:t>8.0%</w:t>
            </w:r>
          </w:p>
        </w:tc>
        <w:tc>
          <w:tcPr>
            <w:tcW w:w="1040" w:type="dxa"/>
            <w:vAlign w:val="bottom"/>
            <w:gridSpan w:val="3"/>
            <w:shd w:val="clear" w:color="auto" w:fill="CCEEFF"/>
          </w:tcPr>
          <w:p>
            <w:pPr>
              <w:jc w:val="center"/>
              <w:ind w:left="357"/>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400" w:type="dxa"/>
            <w:vAlign w:val="bottom"/>
            <w:gridSpan w:val="5"/>
            <w:shd w:val="clear" w:color="auto" w:fill="CCEEFF"/>
          </w:tcPr>
          <w:p>
            <w:pPr>
              <w:jc w:val="center"/>
              <w:ind w:left="319"/>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gridSpan w:val="4"/>
          </w:tcPr>
          <w:p>
            <w:pPr>
              <w:spacing w:after="0" w:line="181" w:lineRule="exact"/>
              <w:rPr>
                <w:sz w:val="20"/>
                <w:szCs w:val="20"/>
                <w:color w:val="auto"/>
              </w:rPr>
            </w:pPr>
            <w:r>
              <w:rPr>
                <w:rFonts w:ascii="Arial" w:cs="Arial" w:eastAsia="Arial" w:hAnsi="Arial"/>
                <w:sz w:val="18"/>
                <w:szCs w:val="18"/>
                <w:color w:val="auto"/>
              </w:rPr>
              <w:t>Weighted average health care cost trend rate assumed for</w:t>
            </w:r>
          </w:p>
        </w:tc>
        <w:tc>
          <w:tcPr>
            <w:tcW w:w="840" w:type="dxa"/>
            <w:vAlign w:val="bottom"/>
            <w:gridSpan w:val="2"/>
            <w:vMerge w:val="restart"/>
          </w:tcPr>
          <w:p>
            <w:pPr>
              <w:ind w:lef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vMerge w:val="restart"/>
          </w:tcPr>
          <w:p>
            <w:pPr>
              <w:jc w:val="center"/>
              <w:ind w:right="120"/>
              <w:spacing w:after="0"/>
              <w:rPr>
                <w:sz w:val="20"/>
                <w:szCs w:val="20"/>
                <w:color w:val="auto"/>
              </w:rPr>
            </w:pPr>
            <w:r>
              <w:rPr>
                <w:rFonts w:ascii="Arial" w:cs="Arial" w:eastAsia="Arial" w:hAnsi="Arial"/>
                <w:sz w:val="18"/>
                <w:szCs w:val="18"/>
                <w:color w:val="auto"/>
                <w:w w:val="99"/>
              </w:rPr>
              <w:t>N/A</w:t>
            </w:r>
          </w:p>
        </w:tc>
        <w:tc>
          <w:tcPr>
            <w:tcW w:w="1340" w:type="dxa"/>
            <w:vAlign w:val="bottom"/>
            <w:gridSpan w:val="4"/>
            <w:vMerge w:val="restart"/>
          </w:tcPr>
          <w:p>
            <w:pPr>
              <w:ind w:left="340"/>
              <w:spacing w:after="0"/>
              <w:rPr>
                <w:sz w:val="20"/>
                <w:szCs w:val="20"/>
                <w:color w:val="auto"/>
              </w:rPr>
            </w:pPr>
            <w:r>
              <w:rPr>
                <w:rFonts w:ascii="Arial" w:cs="Arial" w:eastAsia="Arial" w:hAnsi="Arial"/>
                <w:sz w:val="18"/>
                <w:szCs w:val="18"/>
                <w:color w:val="auto"/>
              </w:rPr>
              <w:t>N/A</w:t>
            </w: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rPr>
              <w:t>6.5%</w:t>
            </w:r>
          </w:p>
        </w:tc>
        <w:tc>
          <w:tcPr>
            <w:tcW w:w="1400" w:type="dxa"/>
            <w:vAlign w:val="bottom"/>
            <w:gridSpan w:val="5"/>
            <w:vMerge w:val="restart"/>
          </w:tcPr>
          <w:p>
            <w:pPr>
              <w:jc w:val="center"/>
              <w:ind w:left="319"/>
              <w:spacing w:after="0"/>
              <w:rPr>
                <w:sz w:val="20"/>
                <w:szCs w:val="20"/>
                <w:color w:val="auto"/>
              </w:rPr>
            </w:pPr>
            <w:r>
              <w:rPr>
                <w:rFonts w:ascii="Arial" w:cs="Arial" w:eastAsia="Arial" w:hAnsi="Arial"/>
                <w:sz w:val="18"/>
                <w:szCs w:val="18"/>
                <w:color w:val="auto"/>
                <w:w w:val="97"/>
              </w:rPr>
              <w:t>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5.8%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740" w:type="dxa"/>
            <w:vAlign w:val="bottom"/>
            <w:gridSpan w:val="4"/>
          </w:tcPr>
          <w:p>
            <w:pPr>
              <w:ind w:left="160"/>
              <w:spacing w:after="0"/>
              <w:rPr>
                <w:sz w:val="20"/>
                <w:szCs w:val="20"/>
                <w:color w:val="auto"/>
              </w:rPr>
            </w:pPr>
            <w:r>
              <w:rPr>
                <w:rFonts w:ascii="Arial" w:cs="Arial" w:eastAsia="Arial" w:hAnsi="Arial"/>
                <w:sz w:val="18"/>
                <w:szCs w:val="18"/>
                <w:color w:val="auto"/>
              </w:rPr>
              <w:t xml:space="preserve">next year </w:t>
            </w:r>
            <w:r>
              <w:rPr>
                <w:rFonts w:ascii="Arial" w:cs="Arial" w:eastAsia="Arial" w:hAnsi="Arial"/>
                <w:sz w:val="23"/>
                <w:szCs w:val="23"/>
                <w:color w:val="auto"/>
                <w:vertAlign w:val="superscript"/>
              </w:rPr>
              <w:t>(1)</w:t>
            </w:r>
          </w:p>
        </w:tc>
        <w:tc>
          <w:tcPr>
            <w:tcW w:w="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1340" w:type="dxa"/>
            <w:vAlign w:val="bottom"/>
            <w:gridSpan w:val="4"/>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4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3100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71" w:lineRule="exact"/>
        <w:rPr>
          <w:sz w:val="20"/>
          <w:szCs w:val="20"/>
          <w:color w:val="auto"/>
        </w:rPr>
      </w:pPr>
    </w:p>
    <w:p>
      <w:pPr>
        <w:ind w:left="340" w:hanging="332"/>
        <w:spacing w:after="0" w:line="231" w:lineRule="auto"/>
        <w:tabs>
          <w:tab w:leader="none" w:pos="334"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The weighted average health care cost trend rate at December 31, 2024 is assumed to decline gradually to 4.5% by 2033 and remain level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January 1, 2025, American’s estimate of the long-term rate of return on plan assets is 7.75%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and various other laws for U.S. based plans as well as underfunding rules specific to countries where American maintains defined benefit pension plans. Based on current funding assumptions, American has minimum required contributions of $221 million for 2025. American’s future funding obligations will depend on the performance of American’s investments held in a trust by the pension plans, interest rates for determining funding targets, the amount of and timing of any supplemental contributions and American’s actuarial experience.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2030-2034</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r>
    </w:tbl>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 Assets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with the corresponding allowed range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Asset Class/Sub-Class</w:t>
            </w:r>
          </w:p>
        </w:tc>
        <w:tc>
          <w:tcPr>
            <w:tcW w:w="2200" w:type="dxa"/>
            <w:vAlign w:val="bottom"/>
            <w:gridSpan w:val="2"/>
          </w:tcPr>
          <w:p>
            <w:pPr>
              <w:ind w:left="460"/>
              <w:spacing w:after="0"/>
              <w:rPr>
                <w:sz w:val="20"/>
                <w:szCs w:val="20"/>
                <w:color w:val="auto"/>
              </w:rPr>
            </w:pPr>
            <w:r>
              <w:rPr>
                <w:rFonts w:ascii="Arial" w:cs="Arial" w:eastAsia="Arial" w:hAnsi="Arial"/>
                <w:sz w:val="14"/>
                <w:szCs w:val="14"/>
                <w:b w:val="1"/>
                <w:bCs w:val="1"/>
                <w:color w:val="auto"/>
              </w:rPr>
              <w:t>Target Allocation</w:t>
            </w:r>
          </w:p>
        </w:tc>
        <w:tc>
          <w:tcPr>
            <w:tcW w:w="1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U.S.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International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Emerging Markets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20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70"/>
        </w:trPr>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55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- 70%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Public U.S. Fixed Income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270"/>
        </w:trPr>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55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 - 5%</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bl>
    <w:p>
      <w:pPr>
        <w:spacing w:after="0" w:line="23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fair value of American’s pension plan assets at December 31, 2024 and 2023, by asset category, were as follows (in millions)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24"/>
        </w:trPr>
        <w:tc>
          <w:tcPr>
            <w:tcW w:w="28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3"/>
                <w:szCs w:val="23"/>
                <w:color w:val="auto"/>
                <w:vertAlign w:val="superscript"/>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r>
      <w:tr>
        <w:trPr>
          <w:trHeight w:val="229"/>
        </w:trPr>
        <w:tc>
          <w:tcPr>
            <w:tcW w:w="2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3,473</w:t>
            </w:r>
          </w:p>
        </w:tc>
      </w:tr>
      <w:tr>
        <w:trPr>
          <w:trHeight w:val="229"/>
        </w:trPr>
        <w:tc>
          <w:tcPr>
            <w:tcW w:w="2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2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Measured at NAV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8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Common collective trusts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28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Private investments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4,081</w:t>
            </w:r>
          </w:p>
        </w:tc>
      </w:tr>
      <w:tr>
        <w:trPr>
          <w:trHeight w:val="248"/>
        </w:trPr>
        <w:tc>
          <w:tcPr>
            <w:tcW w:w="28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plan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73"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rPr>
          <w:sz w:val="20"/>
          <w:szCs w:val="20"/>
          <w:color w:val="auto"/>
        </w:rPr>
      </w:pPr>
      <w:r>
        <w:rPr>
          <w:rFonts w:ascii="Arial" w:cs="Arial" w:eastAsia="Arial" w:hAnsi="Arial"/>
          <w:sz w:val="12"/>
          <w:szCs w:val="12"/>
          <w:color w:val="auto"/>
        </w:rPr>
        <w:t>(1)</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6 for a description of the levels within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Equity investments include domestic and international common stock and preferred stock.</w:t>
      </w:r>
    </w:p>
    <w:p>
      <w:pPr>
        <w:spacing w:after="0" w:line="182" w:lineRule="exact"/>
        <w:rPr>
          <w:sz w:val="20"/>
          <w:szCs w:val="20"/>
          <w:color w:val="auto"/>
        </w:rPr>
      </w:pPr>
    </w:p>
    <w:p>
      <w:pPr>
        <w:sectPr>
          <w:pgSz w:w="11900" w:h="16838" w:orient="portrait"/>
          <w:cols w:equalWidth="0" w:num="2">
            <w:col w:w="160" w:space="160"/>
            <w:col w:w="10920"/>
          </w:cols>
          <w:pgMar w:left="320" w:top="122" w:right="339" w:bottom="1440" w:gutter="0" w:footer="0" w:header="0"/>
          <w:type w:val="continuous"/>
        </w:sectPr>
      </w:pPr>
    </w:p>
    <w:p>
      <w:pPr>
        <w:ind w:left="340" w:hanging="332"/>
        <w:spacing w:after="0" w:line="231" w:lineRule="auto"/>
        <w:tabs>
          <w:tab w:leader="none" w:pos="334"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Fixed income investments include corporate, government and U.S. municipal bonds, as well as mutual funds invested in fixed income securities.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a short-term investment fund, net receivables and payables of the master trust for dividends, interest and amounts due to or from the sale and purchase of securities and cash and cash equivalents.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Includes investments that were measured at NAV per share (or its equivalent) as a practical expedient that have not been classified in the fair value hierarchy.</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Common collective trusts include commingled funds primarily invested in equity securities. For some trusts, requests for withdrawals must meet specific requirements with advance notice of redemption preferred.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2024, the pension plan’s master trust has future funding commitments to these limited partnerships of approximately $1.1 billion, most of which are expected to be called over the next five years.</w:t>
      </w:r>
    </w:p>
    <w:p>
      <w:pPr>
        <w:spacing w:after="0" w:line="13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Changes in fair value measurements of Level 3 investments during the years ended December 31, 2024 and 2023, were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44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3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Actual gain (loss) on plan assets:</w:t>
            </w:r>
          </w:p>
        </w:tc>
        <w:tc>
          <w:tcPr>
            <w:tcW w:w="3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Relating to assets still held at the reporting date</w:t>
            </w:r>
          </w:p>
        </w:tc>
        <w:tc>
          <w:tcPr>
            <w:tcW w:w="3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60" w:type="dxa"/>
            <w:vAlign w:val="bottom"/>
            <w:vMerge w:val="restart"/>
          </w:tcPr>
          <w:p>
            <w:pPr>
              <w:jc w:val="right"/>
              <w:ind w:right="2199"/>
              <w:spacing w:after="0"/>
              <w:rPr>
                <w:sz w:val="20"/>
                <w:szCs w:val="20"/>
                <w:color w:val="auto"/>
              </w:rPr>
            </w:pPr>
            <w:r>
              <w:rPr>
                <w:rFonts w:ascii="Arial" w:cs="Arial" w:eastAsia="Arial" w:hAnsi="Arial"/>
                <w:sz w:val="18"/>
                <w:szCs w:val="18"/>
                <w:color w:val="auto"/>
              </w:rPr>
              <w:t>157</w:t>
            </w: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47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0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costs associated with American’s defined contribution plans were $1.4 billion, $1.1 billion and $916 million for the years ended December 31, 2024, 2023 and 2022, respectively.</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participates in the International Association of Machinists &amp; Aerospace Workers (IAM) National Pension Fund, Employer Identification No. 51-6031295 and Plan No. 002 (the IAM Pension Fund). American’s contributions to the IAM Pension Fund were $57 million, $52 million and $46 million for the years ended December 31, 2024, 2023 and 2022, respectively. The IAM Pension Fund reported $570 million in employers’ contributions for the year ended December 31, 2023, which is the most recent year for which such information is available. For 2023, American’s contributions represented more than 5% of total contributions to the IAM Pension Fund.</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As of the most recent data available, the IAM Pension Fund remains in critical status.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 accrues a percentage of its pre-tax income excluding net special items for its profit sharing program. For the year ended December 31, 2024, American accrued $228 million for this program, which will be distributed to employees in the first quarter of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AOCI are as follows (in millions):</w:t>
      </w:r>
    </w:p>
    <w:p>
      <w:pPr>
        <w:spacing w:after="0" w:line="141"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Pension,</w:t>
      </w:r>
    </w:p>
    <w:p>
      <w:pPr>
        <w:jc w:val="center"/>
        <w:ind w:left="1400"/>
        <w:spacing w:after="0" w:line="221" w:lineRule="auto"/>
        <w:rPr>
          <w:sz w:val="20"/>
          <w:szCs w:val="20"/>
          <w:color w:val="auto"/>
        </w:rPr>
      </w:pPr>
      <w:r>
        <w:rPr>
          <w:rFonts w:ascii="Arial" w:cs="Arial" w:eastAsia="Arial" w:hAnsi="Arial"/>
          <w:sz w:val="14"/>
          <w:szCs w:val="14"/>
          <w:b w:val="1"/>
          <w:bCs w:val="1"/>
          <w:color w:val="auto"/>
        </w:rPr>
        <w:t>Retiree</w:t>
      </w:r>
    </w:p>
    <w:tbl>
      <w:tblPr>
        <w:tblLayout w:type="fixed"/>
        <w:tblInd w:w="0" w:type="dxa"/>
        <w:tblCellMar>
          <w:top w:w="0" w:type="dxa"/>
          <w:left w:w="0" w:type="dxa"/>
          <w:bottom w:w="0" w:type="dxa"/>
          <w:right w:w="0" w:type="dxa"/>
        </w:tblCellMar>
      </w:tblPr>
      <w:tr>
        <w:trPr>
          <w:trHeight w:val="134"/>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Medical and</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14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Other</w:t>
            </w: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1"/>
                <w:szCs w:val="11"/>
                <w:color w:val="auto"/>
              </w:rPr>
            </w:pPr>
          </w:p>
        </w:tc>
        <w:tc>
          <w:tcPr>
            <w:tcW w:w="1140" w:type="dxa"/>
            <w:vAlign w:val="bottom"/>
          </w:tcPr>
          <w:p>
            <w:pPr>
              <w:jc w:val="center"/>
              <w:ind w:right="95"/>
              <w:spacing w:after="0" w:line="137"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7"/>
                <w:szCs w:val="17"/>
                <w:color w:val="auto"/>
              </w:rPr>
            </w:pPr>
          </w:p>
        </w:tc>
        <w:tc>
          <w:tcPr>
            <w:tcW w:w="1140" w:type="dxa"/>
            <w:vAlign w:val="bottom"/>
          </w:tcPr>
          <w:p>
            <w:pPr>
              <w:jc w:val="center"/>
              <w:ind w:right="95"/>
              <w:spacing w:after="0" w:line="201" w:lineRule="exact"/>
              <w:rPr>
                <w:sz w:val="20"/>
                <w:szCs w:val="20"/>
                <w:color w:val="auto"/>
              </w:rPr>
            </w:pPr>
            <w:r>
              <w:rPr>
                <w:rFonts w:ascii="Arial" w:cs="Arial" w:eastAsia="Arial" w:hAnsi="Arial"/>
                <w:sz w:val="14"/>
                <w:szCs w:val="14"/>
                <w:b w:val="1"/>
                <w:bCs w:val="1"/>
                <w:color w:val="auto"/>
                <w:w w:val="95"/>
              </w:rPr>
              <w:t xml:space="preserve">(Provision) </w:t>
            </w:r>
            <w:r>
              <w:rPr>
                <w:rFonts w:ascii="Arial" w:cs="Arial" w:eastAsia="Arial" w:hAnsi="Arial"/>
                <w:sz w:val="18"/>
                <w:szCs w:val="18"/>
                <w:b w:val="1"/>
                <w:bCs w:val="1"/>
                <w:color w:val="auto"/>
                <w:w w:val="95"/>
                <w:vertAlign w:val="superscript"/>
              </w:rPr>
              <w:t>(1)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American’s consolidated statements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for the years ended December 31, 2024 and 2023 are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Amounts reclassified from AOCI</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r>
      <w:tr>
        <w:trPr>
          <w:trHeight w:val="157"/>
        </w:trPr>
        <w:tc>
          <w:tcPr>
            <w:tcW w:w="20" w:type="dxa"/>
            <w:vAlign w:val="bottom"/>
          </w:tcPr>
          <w:p>
            <w:pPr>
              <w:spacing w:after="0"/>
              <w:rPr>
                <w:sz w:val="13"/>
                <w:szCs w:val="13"/>
                <w:color w:val="auto"/>
              </w:rPr>
            </w:pPr>
          </w:p>
        </w:tc>
        <w:tc>
          <w:tcPr>
            <w:tcW w:w="43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AOCI Components</w:t>
            </w:r>
          </w:p>
        </w:tc>
        <w:tc>
          <w:tcPr>
            <w:tcW w:w="940" w:type="dxa"/>
            <w:vAlign w:val="bottom"/>
          </w:tcPr>
          <w:p>
            <w:pPr>
              <w:jc w:val="right"/>
              <w:ind w:right="21"/>
              <w:spacing w:after="0" w:line="157" w:lineRule="exact"/>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36"/>
              <w:spacing w:after="0" w:line="157"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consolidated statements of operations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Amortization of pension, retiree medical and other</w:t>
            </w:r>
          </w:p>
        </w:tc>
        <w:tc>
          <w:tcPr>
            <w:tcW w:w="9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postretirement benefits:</w:t>
            </w:r>
          </w:p>
        </w:tc>
        <w:tc>
          <w:tcPr>
            <w:tcW w:w="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Prior service cost</w:t>
            </w:r>
          </w:p>
        </w:tc>
        <w:tc>
          <w:tcPr>
            <w:tcW w:w="940" w:type="dxa"/>
            <w:vAlign w:val="bottom"/>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Nonoperating other income (expense), net</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Actuarial loss</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income (expense), net</w:t>
            </w: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305" w:lineRule="exact"/>
        <w:rPr>
          <w:sz w:val="20"/>
          <w:szCs w:val="20"/>
          <w:color w:val="auto"/>
        </w:rPr>
      </w:pPr>
    </w:p>
    <w:p>
      <w:pPr>
        <w:ind w:left="300" w:hanging="292"/>
        <w:spacing w:after="0"/>
        <w:tabs>
          <w:tab w:leader="none" w:pos="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1" w:lineRule="exact"/>
        <w:rPr>
          <w:rFonts w:ascii="Arial" w:cs="Arial" w:eastAsia="Arial" w:hAnsi="Arial"/>
          <w:sz w:val="18"/>
          <w:szCs w:val="18"/>
          <w:b w:val="1"/>
          <w:bCs w:val="1"/>
          <w:color w:val="auto"/>
        </w:rPr>
      </w:pPr>
    </w:p>
    <w:p>
      <w:pPr>
        <w:ind w:left="520" w:hanging="269"/>
        <w:spacing w:after="0"/>
        <w:tabs>
          <w:tab w:leader="none" w:pos="520" w:val="left"/>
        </w:tabs>
        <w:numPr>
          <w:ilvl w:val="1"/>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88"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Under all of American’s aircraft and engine purchase agreements, its total future commitments as of December 31, 2024 are expected to be as follows (approximately,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2030 and</w:t>
            </w: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Payments for aircraft and engine commitments</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9,009</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26,115</w:t>
            </w:r>
          </w:p>
        </w:tc>
        <w:tc>
          <w:tcPr>
            <w:tcW w:w="0" w:type="dxa"/>
            <w:vAlign w:val="bottom"/>
          </w:tcPr>
          <w:p>
            <w:pPr>
              <w:spacing w:after="0"/>
              <w:rPr>
                <w:sz w:val="1"/>
                <w:szCs w:val="1"/>
                <w:color w:val="auto"/>
              </w:rPr>
            </w:pPr>
          </w:p>
        </w:tc>
      </w:tr>
      <w:tr>
        <w:trPr>
          <w:trHeight w:val="67"/>
        </w:trPr>
        <w:tc>
          <w:tcPr>
            <w:tcW w:w="2080" w:type="dxa"/>
            <w:vAlign w:val="bottom"/>
            <w:vMerge w:val="restart"/>
            <w:shd w:val="clear" w:color="auto" w:fill="CCEEFF"/>
          </w:tcPr>
          <w:p>
            <w:pPr>
              <w:jc w:val="right"/>
              <w:ind w:right="1666"/>
              <w:spacing w:after="0"/>
              <w:rPr>
                <w:sz w:val="20"/>
                <w:szCs w:val="20"/>
                <w:color w:val="auto"/>
              </w:rPr>
            </w:pPr>
            <w:r>
              <w:rPr>
                <w:rFonts w:ascii="Arial" w:cs="Arial" w:eastAsia="Arial" w:hAnsi="Arial"/>
                <w:sz w:val="12"/>
                <w:szCs w:val="12"/>
                <w:color w:val="auto"/>
              </w:rPr>
              <w:t>(1)</w:t>
            </w:r>
          </w:p>
        </w:tc>
        <w:tc>
          <w:tcPr>
            <w:tcW w:w="18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tcBorders>
              <w:bottom w:val="single" w:sz="8" w:color="CCEEFF"/>
            </w:tcBorders>
            <w:vMerge w:val="continue"/>
            <w:shd w:val="clear" w:color="auto" w:fill="CCEEFF"/>
          </w:tcPr>
          <w:p>
            <w:pPr>
              <w:spacing w:after="0"/>
              <w:rPr>
                <w:sz w:val="7"/>
                <w:szCs w:val="7"/>
                <w:color w:val="auto"/>
              </w:rPr>
            </w:pPr>
          </w:p>
        </w:tc>
        <w:tc>
          <w:tcPr>
            <w:tcW w:w="18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These amounts are net of purchase deposits currently held by the manufacturers. American’s purchase deposits held by all manufacturers totaled $1.0 billion and $760 million as of December 31, 2024 and 2023, respectively.</w:t>
      </w:r>
    </w:p>
    <w:p>
      <w:pPr>
        <w:spacing w:after="0" w:line="139"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Due to uncertainty surrounding the timing of delivery of certain aircraft, the amounts in the table represent American’s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manufacturer and regulatory concerns.</w:t>
      </w:r>
    </w:p>
    <w:p>
      <w:pPr>
        <w:spacing w:after="0" w:line="121" w:lineRule="exact"/>
        <w:rPr>
          <w:sz w:val="20"/>
          <w:szCs w:val="20"/>
          <w:color w:val="auto"/>
        </w:rPr>
      </w:pPr>
    </w:p>
    <w:p>
      <w:pPr>
        <w:ind w:left="340"/>
        <w:spacing w:after="0" w:line="286" w:lineRule="auto"/>
        <w:rPr>
          <w:sz w:val="20"/>
          <w:szCs w:val="20"/>
          <w:color w:val="auto"/>
        </w:rPr>
      </w:pPr>
      <w:r>
        <w:rPr>
          <w:rFonts w:ascii="Arial" w:cs="Arial" w:eastAsia="Arial" w:hAnsi="Arial"/>
          <w:sz w:val="18"/>
          <w:szCs w:val="18"/>
          <w:color w:val="auto"/>
        </w:rPr>
        <w:t>Additionally, the amounts in the table exclude five Boeing 787 Family aircraft scheduled to be delivered in 2025, for which American has obtained committed lease financing. See Note 4 for information regarding this operating lease commitment.</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American has other purchase commitments primarily related to aircraft fuel, flight equipment maintenance and information technology support as follows (approximately): $4.6 billion in 2025, $2.0 billion in 2026, $1.5 billion in 2027, $381 million in 2028, $500 million in 2029 and $3.4 billion in 2030 and thereafter. These amounts exclude obligations under certain fuel offtake agreements or other agreements for which the timing of the related expenditure is uncertain, or which are subject to material contingencies, such as the construction of a production facility.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2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As of December 31, 2024, American’s capacity purchase agreements with third-party regional carriers had expiration dates ranging from 2025 to 2033, with rights of American to extend the respective terms of certain agreements.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As of December 31, 2024, American’s minimum obligations under its capacity purchase agreements with third-party regional carriers are expected to be as follows (approximately,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2030 and</w:t>
            </w: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Minimum obligations under capacity purchase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1,114</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1,068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5,916</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in Note 4.</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2018, American executed a lease agreement with Los Angeles World Airports (LAWA), which owns and operates LAX, in connection with a $1.6 billion modernization project related to LAX Terminals 4 and 5. Construction started in October 2018 and is expected to be completed in 2028 in a phased approach. Under the lease agreement and subsequent project component approvals, the City of Los Angeles Board of Airport Commissioners has appropriated approximately $1.6 billion to purchase completed project assets, representing the maximum allowable reimbursement by LAWA. In September 2024, American executed an agreement to where a substantial majority of the non-proprietary project costs will be funded through the Regional Airports Improvement Corporation (RAIC), a quasigovernmental special purpose entity that acts as a conduit borrower under a syndicated credit facility provided by a group of lenders in the form of a $250 million revolving credit facility. Loans made under the credit facility are being repaid with the proceeds from LAWA’s purchase of completed project assets. American guarantees the obligation of the RAIC under the credit facility associated with the Terminals 4 and 5 lease. As of December 31, 2024, American’s outstanding guaranteed obligation under the credit facility for the Terminals 4 and 5 project was $250 million. Additionally, American has recovered $ 1.2 billion since project inception through the end of 2024 and expects to receive approximately $450 million in additional reimbursements by the end of 2028.</w:t>
      </w:r>
    </w:p>
    <w:p>
      <w:pPr>
        <w:spacing w:after="0" w:line="1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American controls the assets during construction, they are recognized on its consolidated balance sheets within operating property and equipment until the assets are sold and transferred. For the years ended December 31, 2024 and 2023, American has sold and transferred $588 million and $170 million of non-proprietary improvements, respectively, which are included within proceeds from sale-leaseback transactions and sale of property and equipment on American’s consolidated statements of cash flows. For the years ended December 31, 2024, 2023 and 2022, American had $187 million, $283 million and $241 million, respectively, of non-proprietary improvement costs relating to the LAX modernization project, which are included within other investing activities on American’s consolidated statements of cash flows.</w:t>
      </w:r>
    </w:p>
    <w:p>
      <w:pPr>
        <w:spacing w:after="0" w:line="209" w:lineRule="exact"/>
        <w:rPr>
          <w:sz w:val="20"/>
          <w:szCs w:val="20"/>
          <w:color w:val="auto"/>
        </w:rPr>
      </w:pPr>
    </w:p>
    <w:p>
      <w:pPr>
        <w:ind w:left="260" w:right="7900" w:hanging="9"/>
        <w:spacing w:after="0" w:line="342" w:lineRule="auto"/>
        <w:tabs>
          <w:tab w:leader="none" w:pos="539"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Pass-Through Trusts</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currently has 292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2024, $7.3 billion associated with these mortgage financings is reflected as debt in the accompanying consolidated balance sheet.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provides financial assurance, such as letters of credit and surety bonds, primarily to support projected workers’ compensation obligations and airport commitments. As of December 31, 2024, American had $343 million of letters of credit and surety bonds securing various obligations, of which $98 million is collateralized with American’s restricted cash. The letters of credit and surety bonds that are subject to expiration will expire on various dates through 2037.</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substantially completed wind-down activities.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by completing wind-down activities related to the NEA. American filed a notice of appeal to the U.S. Court of Appeals for the First Circuit on September 25, 2023. The First Circuit affirmed the District Court’s decision on November 8, 2024. Any petition for writ of certiorari to the U.S. Supreme Court would be due February 27, 2025.</w:t>
      </w:r>
    </w:p>
    <w:p>
      <w:pPr>
        <w:spacing w:after="0" w:line="1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In September 2024, the court denied that motion. American believes these lawsuits are without merit and is defending against them vigorously.</w:t>
      </w:r>
    </w:p>
    <w:p>
      <w:pPr>
        <w:spacing w:after="0" w:line="13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On July 18, 2024, AAG and certain of its current and former officers were named as defendants in a putative class</w:t>
      </w:r>
      <w:r>
        <w:rPr>
          <w:rFonts w:ascii="Arial" w:cs="Arial" w:eastAsia="Arial" w:hAnsi="Arial"/>
          <w:sz w:val="18"/>
          <w:szCs w:val="18"/>
          <w:i w:val="1"/>
          <w:iCs w:val="1"/>
          <w:color w:val="auto"/>
        </w:rPr>
        <w:t xml:space="preserve"> </w:t>
      </w:r>
      <w:r>
        <w:rPr>
          <w:rFonts w:ascii="Arial" w:cs="Arial" w:eastAsia="Arial" w:hAnsi="Arial"/>
          <w:sz w:val="18"/>
          <w:szCs w:val="18"/>
          <w:color w:val="auto"/>
        </w:rPr>
        <w:t>action lawsuit filed in the United States District Court for the Northern District of Texas, captioned Q</w:t>
      </w:r>
      <w:r>
        <w:rPr>
          <w:rFonts w:ascii="Arial" w:cs="Arial" w:eastAsia="Arial" w:hAnsi="Arial"/>
          <w:sz w:val="18"/>
          <w:szCs w:val="18"/>
          <w:i w:val="1"/>
          <w:iCs w:val="1"/>
          <w:color w:val="auto"/>
        </w:rPr>
        <w:t>awasmi v. American Airlines Group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w:t>
      </w:r>
      <w:r>
        <w:rPr>
          <w:rFonts w:ascii="Arial" w:cs="Arial" w:eastAsia="Arial" w:hAnsi="Arial"/>
          <w:sz w:val="18"/>
          <w:szCs w:val="18"/>
          <w:i w:val="1"/>
          <w:iCs w:val="1"/>
          <w:color w:val="auto"/>
        </w:rPr>
        <w:t xml:space="preserve"> Qawasmi </w:t>
      </w:r>
      <w:r>
        <w:rPr>
          <w:rFonts w:ascii="Arial" w:cs="Arial" w:eastAsia="Arial" w:hAnsi="Arial"/>
          <w:sz w:val="18"/>
          <w:szCs w:val="18"/>
          <w:color w:val="auto"/>
        </w:rPr>
        <w:t>plaintiff purports to represent investors who acquired AAG securities between January 25, 2024 and May 28, 2024.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August 28, 2024, AAG and certain of its current and former officers were named as defendants in a second putative class action lawsuit filed in the same court, captioned </w:t>
      </w:r>
      <w:r>
        <w:rPr>
          <w:rFonts w:ascii="Arial" w:cs="Arial" w:eastAsia="Arial" w:hAnsi="Arial"/>
          <w:sz w:val="18"/>
          <w:szCs w:val="18"/>
          <w:i w:val="1"/>
          <w:iCs w:val="1"/>
          <w:color w:val="auto"/>
        </w:rPr>
        <w:t>Thornburg v. American Airlines Group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plaintiff purports to represent investors who acquired AAG securities between July 20, 2023 and May 28, 2024. Both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complaints assert violations of Sections 10(b) and 20(a) of the Exchange Act based on allegations that, during the relevant periods, AAG misrepresented and/or omitted material facts related to its financial outlook and certain commercial initiatives. On September 16, 2024, certain purported AAG investors moved for consolidation of the </w:t>
      </w:r>
      <w:r>
        <w:rPr>
          <w:rFonts w:ascii="Arial" w:cs="Arial" w:eastAsia="Arial" w:hAnsi="Arial"/>
          <w:sz w:val="18"/>
          <w:szCs w:val="18"/>
          <w:i w:val="1"/>
          <w:iCs w:val="1"/>
          <w:color w:val="auto"/>
        </w:rPr>
        <w:t>Qawasmi</w:t>
      </w:r>
      <w:r>
        <w:rPr>
          <w:rFonts w:ascii="Arial" w:cs="Arial" w:eastAsia="Arial" w:hAnsi="Arial"/>
          <w:sz w:val="18"/>
          <w:szCs w:val="18"/>
          <w:color w:val="auto"/>
        </w:rPr>
        <w:t xml:space="preserve"> and </w:t>
      </w:r>
      <w:r>
        <w:rPr>
          <w:rFonts w:ascii="Arial" w:cs="Arial" w:eastAsia="Arial" w:hAnsi="Arial"/>
          <w:sz w:val="18"/>
          <w:szCs w:val="18"/>
          <w:i w:val="1"/>
          <w:iCs w:val="1"/>
          <w:color w:val="auto"/>
        </w:rPr>
        <w:t>Thornburg</w:t>
      </w:r>
      <w:r>
        <w:rPr>
          <w:rFonts w:ascii="Arial" w:cs="Arial" w:eastAsia="Arial" w:hAnsi="Arial"/>
          <w:sz w:val="18"/>
          <w:szCs w:val="18"/>
          <w:color w:val="auto"/>
        </w:rPr>
        <w:t xml:space="preserve"> actions as well as appointment as lead plaintiff. On November 22, 2024, the </w:t>
      </w:r>
      <w:r>
        <w:rPr>
          <w:rFonts w:ascii="Arial" w:cs="Arial" w:eastAsia="Arial" w:hAnsi="Arial"/>
          <w:sz w:val="18"/>
          <w:szCs w:val="18"/>
          <w:i w:val="1"/>
          <w:iCs w:val="1"/>
          <w:color w:val="auto"/>
        </w:rPr>
        <w:t xml:space="preserve">Qawasmi </w:t>
      </w:r>
      <w:r>
        <w:rPr>
          <w:rFonts w:ascii="Arial" w:cs="Arial" w:eastAsia="Arial" w:hAnsi="Arial"/>
          <w:sz w:val="18"/>
          <w:szCs w:val="18"/>
          <w:color w:val="auto"/>
        </w:rPr>
        <w:t>and</w:t>
      </w:r>
      <w:r>
        <w:rPr>
          <w:rFonts w:ascii="Arial" w:cs="Arial" w:eastAsia="Arial" w:hAnsi="Arial"/>
          <w:sz w:val="18"/>
          <w:szCs w:val="18"/>
          <w:i w:val="1"/>
          <w:iCs w:val="1"/>
          <w:color w:val="auto"/>
        </w:rPr>
        <w:t xml:space="preserve"> Thornburg </w:t>
      </w:r>
      <w:r>
        <w:rPr>
          <w:rFonts w:ascii="Arial" w:cs="Arial" w:eastAsia="Arial" w:hAnsi="Arial"/>
          <w:sz w:val="18"/>
          <w:szCs w:val="18"/>
          <w:color w:val="auto"/>
        </w:rPr>
        <w:t>complaints were consolidated into a single action bearing the caption</w:t>
      </w:r>
      <w:r>
        <w:rPr>
          <w:rFonts w:ascii="Arial" w:cs="Arial" w:eastAsia="Arial" w:hAnsi="Arial"/>
          <w:sz w:val="18"/>
          <w:szCs w:val="18"/>
          <w:i w:val="1"/>
          <w:iCs w:val="1"/>
          <w:color w:val="auto"/>
        </w:rPr>
        <w:t xml:space="preserve"> In re American Airlines Group Inc. Securities Litigation. </w:t>
      </w:r>
      <w:r>
        <w:rPr>
          <w:rFonts w:ascii="Arial" w:cs="Arial" w:eastAsia="Arial" w:hAnsi="Arial"/>
          <w:sz w:val="18"/>
          <w:szCs w:val="18"/>
          <w:color w:val="auto"/>
        </w:rPr>
        <w:t>The court also appointed co-lead plaintiffs and lead counsel to represent the putative class in the consolidated action.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now anticipate briefing a motion to dismiss the action.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Additionally, on September 19, 2024, certain of AAG’s current and former directors and officers were named as defendants in a shareholder derivative lawsuit (in which AAG is a nominal defendant) filed in the United States District Court for the Northern District of Texas, captioned </w:t>
      </w:r>
      <w:r>
        <w:rPr>
          <w:rFonts w:ascii="Arial" w:cs="Arial" w:eastAsia="Arial" w:hAnsi="Arial"/>
          <w:sz w:val="18"/>
          <w:szCs w:val="18"/>
          <w:i w:val="1"/>
          <w:iCs w:val="1"/>
          <w:color w:val="auto"/>
        </w:rPr>
        <w:t>Hollin v. Isom,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complaint asserts violations of Section 10(b) of the Exchange Act, breach of fiduciary duty, and claims for unjust enrichment and corporate waste. On September 26, 2024, a second derivative complaint was filed in the same court, similarly naming certain of AAG’s current and former directors and officers (as well as AAG as a nominal defendant), captioned </w:t>
      </w:r>
      <w:r>
        <w:rPr>
          <w:rFonts w:ascii="Arial" w:cs="Arial" w:eastAsia="Arial" w:hAnsi="Arial"/>
          <w:sz w:val="18"/>
          <w:szCs w:val="18"/>
          <w:i w:val="1"/>
          <w:iCs w:val="1"/>
          <w:color w:val="auto"/>
        </w:rPr>
        <w:t>Leon v. Isom,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The</w:t>
      </w:r>
      <w:r>
        <w:rPr>
          <w:rFonts w:ascii="Arial" w:cs="Arial" w:eastAsia="Arial" w:hAnsi="Arial"/>
          <w:sz w:val="18"/>
          <w:szCs w:val="18"/>
          <w:i w:val="1"/>
          <w:iCs w:val="1"/>
          <w:color w:val="auto"/>
        </w:rPr>
        <w:t xml:space="preserve"> Leon </w:t>
      </w:r>
      <w:r>
        <w:rPr>
          <w:rFonts w:ascii="Arial" w:cs="Arial" w:eastAsia="Arial" w:hAnsi="Arial"/>
          <w:sz w:val="18"/>
          <w:szCs w:val="18"/>
          <w:color w:val="auto"/>
        </w:rPr>
        <w:t>complaint asserts violations of Section 14(a) of the Exchange Act, breaches of fiduciary duty, claims of unjust enrichment,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abuse of control, gross mismanagement, waste of corporate assets, and a claim for contribution.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generally allege the same purported misconduct as alleged in the securities class actions. On November 25, 2024, the </w:t>
      </w:r>
      <w:r>
        <w:rPr>
          <w:rFonts w:ascii="Arial" w:cs="Arial" w:eastAsia="Arial" w:hAnsi="Arial"/>
          <w:sz w:val="18"/>
          <w:szCs w:val="18"/>
          <w:i w:val="1"/>
          <w:iCs w:val="1"/>
          <w:color w:val="auto"/>
        </w:rPr>
        <w:t>Hollin</w:t>
      </w:r>
      <w:r>
        <w:rPr>
          <w:rFonts w:ascii="Arial" w:cs="Arial" w:eastAsia="Arial" w:hAnsi="Arial"/>
          <w:sz w:val="18"/>
          <w:szCs w:val="18"/>
          <w:color w:val="auto"/>
        </w:rPr>
        <w:t xml:space="preserve"> and </w:t>
      </w:r>
      <w:r>
        <w:rPr>
          <w:rFonts w:ascii="Arial" w:cs="Arial" w:eastAsia="Arial" w:hAnsi="Arial"/>
          <w:sz w:val="18"/>
          <w:szCs w:val="18"/>
          <w:i w:val="1"/>
          <w:iCs w:val="1"/>
          <w:color w:val="auto"/>
        </w:rPr>
        <w:t>Leon</w:t>
      </w:r>
      <w:r>
        <w:rPr>
          <w:rFonts w:ascii="Arial" w:cs="Arial" w:eastAsia="Arial" w:hAnsi="Arial"/>
          <w:sz w:val="18"/>
          <w:szCs w:val="18"/>
          <w:color w:val="auto"/>
        </w:rPr>
        <w:t xml:space="preserve"> complaints were consolidated into a single action bearing the caption </w:t>
      </w:r>
      <w:r>
        <w:rPr>
          <w:rFonts w:ascii="Arial" w:cs="Arial" w:eastAsia="Arial" w:hAnsi="Arial"/>
          <w:sz w:val="18"/>
          <w:szCs w:val="18"/>
          <w:i w:val="1"/>
          <w:iCs w:val="1"/>
          <w:color w:val="auto"/>
        </w:rPr>
        <w:t>In re American Airlines Group Inc. Stockholder Derivative Action.</w:t>
      </w:r>
      <w:r>
        <w:rPr>
          <w:rFonts w:ascii="Arial" w:cs="Arial" w:eastAsia="Arial" w:hAnsi="Arial"/>
          <w:sz w:val="18"/>
          <w:szCs w:val="18"/>
          <w:color w:val="auto"/>
        </w:rPr>
        <w:t xml:space="preserve"> American believes both the securities class actions and shareholder derivative lawsuits are without merit and intends to defend against them vigorously.</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is a party to many routine contracts in which it provides general indemnities in the normal course of business to third parties for various risks. American is not able to estimate the potential amount of any liability resulting from the indemnities. These indemnities are discussed in the following paragraphs.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16" w:lineRule="exact"/>
        <w:rPr>
          <w:sz w:val="20"/>
          <w:szCs w:val="20"/>
          <w:color w:val="auto"/>
        </w:rPr>
      </w:pPr>
    </w:p>
    <w:p>
      <w:pPr>
        <w:jc w:val="both"/>
        <w:ind w:right="20" w:firstLine="243"/>
        <w:spacing w:after="0" w:line="257" w:lineRule="auto"/>
        <w:rPr>
          <w:sz w:val="20"/>
          <w:szCs w:val="20"/>
          <w:color w:val="auto"/>
        </w:rPr>
      </w:pPr>
      <w:r>
        <w:rPr>
          <w:rFonts w:ascii="Arial" w:cs="Arial" w:eastAsia="Arial" w:hAnsi="Arial"/>
          <w:sz w:val="18"/>
          <w:szCs w:val="18"/>
          <w:color w:val="auto"/>
        </w:rPr>
        <w:t>American’s loan agreements and certain other financing transactions may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w:t>
      </w:r>
    </w:p>
    <w:p>
      <w:pPr>
        <w:jc w:val="both"/>
        <w:ind w:firstLine="8"/>
        <w:spacing w:after="0" w:line="258" w:lineRule="auto"/>
        <w:tabs>
          <w:tab w:leader="none" w:pos="2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from some of the obligations it has undertaken under these indemnities.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American. As of December 31, 2024, the remaining lease payments through 2035 guaranteeing the principal and interest on these bonds are $503 million and the current carrying amount of the associated operating lease liability in the accompanying consolidated balance sheet is $321 million.</w:t>
      </w:r>
    </w:p>
    <w:p>
      <w:pPr>
        <w:spacing w:after="0" w:line="1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2024, American had issued guarantees covering AAG’s $1.8 billion aggregate principal amount of the PSP1 Promissory Note due April 2030, $1.0 billion aggregate principal amount of the PSP2 Promissory Note due January 2031, $ 959 million aggregate principal amount of the PSP3 Promissory Note due April 2031 and $1.0 billion aggregate principal amount of 6.50% convertible senior notes due July 2025.</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has agreements with companies that process customer credit card transactions for the sale of air travel and other services. American’s agreements allow these credit card processing companies, under certain conditions, to hold an amount of its cash (referred to as a holdback) equal to all or a portion of advance ticket sales that have been processed by that company, but for which American has not yet provided the air transportation. These holdback requirements can be implemented at the discretion of the credit card processing companies upon the occurrence of specific events, including material adverse changes in American’s financial condition or the triggering of a liquidity covenant. The imposition of holdback requirements would reduce American’s liquidity.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Labor Contracts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2024, American and the Association of Professional Flight Attendants, the union representing American’s mainline flight attendants, ratified a new CBA. This five-year agreement provides wage rate increases, quality-of-life benefits and other benefit-related items. The ratified agreement also included a provision for a one-time payment. In 2024, one-time charges resulting from the ratification of this new agreement were recorded as mainline operating special items, net in the condensed consolidated statement of operations, including the one-time payment of $514 million which was paid in November 2024.</w:t>
      </w:r>
    </w:p>
    <w:p>
      <w:pPr>
        <w:spacing w:after="0" w:line="124"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As of December 31, 2024, American employed approximately 102,700 active full-time equivalent (FTE) employees. Of the total active FTE employees, 87% are covered by CBAs with various labor unions and 1% are covered by CBAs that are currently amendable or that will become amendable within one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ROU assets acquired through operating leases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614</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acquired through debt, finance leases and other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Operating leases converted to finance leases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 converted to operating leases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net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r>
      <w:tr>
        <w:trPr>
          <w:trHeight w:val="239"/>
        </w:trPr>
        <w:tc>
          <w:tcPr>
            <w:tcW w:w="6460" w:type="dxa"/>
            <w:vAlign w:val="bottom"/>
          </w:tcPr>
          <w:p>
            <w:pPr>
              <w:ind w:left="220"/>
              <w:spacing w:after="0"/>
              <w:rPr>
                <w:sz w:val="20"/>
                <w:szCs w:val="20"/>
                <w:color w:val="auto"/>
              </w:rPr>
            </w:pPr>
            <w:r>
              <w:rPr>
                <w:rFonts w:ascii="Arial" w:cs="Arial" w:eastAsia="Arial" w:hAnsi="Arial"/>
                <w:sz w:val="18"/>
                <w:szCs w:val="18"/>
                <w:color w:val="auto"/>
              </w:rPr>
              <w:t>Income taxes paid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23"/>
        </w:trPr>
        <w:tc>
          <w:tcPr>
            <w:tcW w:w="6460" w:type="dxa"/>
            <w:vAlign w:val="bottom"/>
          </w:tcPr>
          <w:p>
            <w:pPr>
              <w:ind w:left="5480"/>
              <w:spacing w:after="0"/>
              <w:rPr>
                <w:sz w:val="20"/>
                <w:szCs w:val="20"/>
                <w:color w:val="auto"/>
              </w:rPr>
            </w:pPr>
            <w:r>
              <w:rPr>
                <w:rFonts w:ascii="Arial" w:cs="Arial" w:eastAsia="Arial" w:hAnsi="Arial"/>
                <w:sz w:val="18"/>
                <w:szCs w:val="18"/>
                <w:color w:val="auto"/>
              </w:rPr>
              <w:t>163</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6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Disclosures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regularly reviewed by the chief operating decision maker (CODM) in deciding how to allocate resources and in assessing performance. American’s Chief Executive Officer is considered to be its CODM. American is managed as a single operating segment that provides scheduled air transportation for passengers and cargo, and includes American’s loyalty program. Along with its extensive domestic network, American provides international service to Canada, Mexico, the Caribbean, Central and South America, Europe, Qatar, China, Japan, Korea, India, Australia and New Zealand. See Note 1(m) for American’s passenger revenue by geographic region. Managing the business activities on a consolidated basis allows American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American’s tangible assets consist primarily of flight equipment, which are mobile across geographic markets and, therefore, have not been allocated by geographic region. The measure of segment assets is reported on the balance sheet as total consolidated assets.</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Financial information and operational plans and forecasts are provided to and reviewed by American’s CODM at the consolidated level and are used to monitor forecast and budget versus actual results. American’s CODM assesses performance and decides how to allocate resources based on net income which is reported on the statement of operations as consolidated net income. When making operational and resource allocation decisions, American’s CODM is indifferent to the results on a geographic region or on a mainline and regional carrier basis. The objective in making resource allocation decisions is to maximize consolidated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2023, the stockholders of AAG approved the 2023 Incentive Award Plan (the 2023 Plan). The 2023 Plan replaces and supersedes AAG’s 2013 Incentive Award Plan (the 2013 Plan). No further awards will be granted under the 2013 Plan; however, the terms and conditions of the 2013 Plan will continue to govern any outstanding awards granted thereunder. The 2023 Plan provides that an award may be in the form of a stock option, including an incentive stock option and nonqualified stock option, stock appreciation right, restricted stock, restricted stock unit, performance bonus award, performance stock unit, other stock or cash-based award and dividend equivalent to eligible individuals.</w:t>
      </w:r>
    </w:p>
    <w:p>
      <w:pPr>
        <w:spacing w:after="0" w:line="12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2023 Plan authorizes the grant of awards for the issuance of 17.2 million shares less any shares granted under the 2013 Plan after March 22, 2023, the date the Board of Directors of AAG approved the 2023 Plan. Any shares underlying awards granted under the 2023 Plan or 2013 Plan that are forfeited, terminate or are settled in cash (in whole or in part) without the delivery of shares will again be available for grant under the 2023 Plan.</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Share-based compensation expense for American’s equity awards, including awards settled in AAG common stock or cash, was $124 million, $97 million and $75 million for the years ended December 31, 2024, 2023 and 2022, respectively, and is included in salaries, wages and benefits on its consolidated statements of operations.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2024, 2023 and 2022, AAG withheld approximately 1.6 million, 1.5 million and 1.2 million shares of AAG common stock, respectively, and paid approximately $27 million, $23 million and $21 million, respectively, in satisfaction of certain tax withholding obligations associated with employee equity awards.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AAG has granted RSUs with service conditions (time vested primarily over three years) and performance conditions. The grant-date fair value of these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Stock-settled RSUs are equity-classified as the vesting results in the issuance of shares of AAG common stock. Cash-settled restricted stock unit awards (CRSUs) are liability-classified as the vesting results in payment of cash by AAG.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Stock-settled RSU award activity for all plans for the years ended December 31, 2024, 2023 and 2022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Grant Date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40" w:type="dxa"/>
            <w:vAlign w:val="bottom"/>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3"/>
                <w:szCs w:val="23"/>
                <w:color w:val="auto"/>
                <w:vertAlign w:val="superscript"/>
              </w:rPr>
              <w:t>(1)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tcPr>
          <w:p>
            <w:pPr>
              <w:jc w:val="right"/>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Outstanding at December 31, 2024</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tabs>
          <w:tab w:leader="none" w:pos="334" w:val="left"/>
        </w:tabs>
        <w:numPr>
          <w:ilvl w:val="0"/>
          <w:numId w:val="82"/>
        </w:numPr>
        <w:rPr>
          <w:rFonts w:ascii="Arial" w:cs="Arial" w:eastAsia="Arial" w:hAnsi="Arial"/>
          <w:sz w:val="23"/>
          <w:szCs w:val="23"/>
          <w:color w:val="auto"/>
          <w:vertAlign w:val="superscript"/>
        </w:rPr>
      </w:pPr>
      <w:r>
        <w:rPr>
          <w:rFonts w:ascii="Arial" w:cs="Arial" w:eastAsia="Arial" w:hAnsi="Arial"/>
          <w:sz w:val="18"/>
          <w:szCs w:val="18"/>
          <w:color w:val="auto"/>
        </w:rPr>
        <w:t>The settlement terms of 2.8 million stock-settled RSUs were modified from settlement in AAG common stock to settlement in cash. This change in award settlement method was the only modification to these awards, and the vesting, forfeiture and all other terms and conditions were unchanged. The modification resulted in a $20 million reclassification from additional paid-in capital to accrued salaries and wages on American’s consolidated balance sheet.</w:t>
      </w:r>
    </w:p>
    <w:p>
      <w:pPr>
        <w:spacing w:after="0" w:line="13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2024, there was $44 million of unrecognized compensation cost related to stock-settled RSUs. These costs are expected to be recognized over a weighted average period of one year. The total fair value of stock-settled RSUs vested during the years ended December 31, 2024, 2023 and 2022 was $69 million, $78 million and $70 million, respectively.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CRSU award activity for all plans for the year ended December 31, 2024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right"/>
              <w:ind w:right="33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2040" w:type="dxa"/>
            <w:vAlign w:val="bottom"/>
          </w:tcPr>
          <w:p>
            <w:pPr>
              <w:jc w:val="right"/>
              <w:ind w:right="4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5,634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Modified </w:t>
            </w:r>
            <w:r>
              <w:rPr>
                <w:rFonts w:ascii="Arial" w:cs="Arial" w:eastAsia="Arial" w:hAnsi="Arial"/>
                <w:sz w:val="23"/>
                <w:szCs w:val="23"/>
                <w:color w:val="auto"/>
                <w:vertAlign w:val="superscript"/>
              </w:rPr>
              <w:t>(1)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83"/>
        </w:numPr>
        <w:rPr>
          <w:rFonts w:ascii="Arial" w:cs="Arial" w:eastAsia="Arial" w:hAnsi="Arial"/>
          <w:sz w:val="23"/>
          <w:szCs w:val="23"/>
          <w:color w:val="auto"/>
          <w:vertAlign w:val="superscript"/>
        </w:rPr>
      </w:pPr>
      <w:r>
        <w:rPr>
          <w:rFonts w:ascii="Arial" w:cs="Arial" w:eastAsia="Arial" w:hAnsi="Arial"/>
          <w:sz w:val="18"/>
          <w:szCs w:val="18"/>
          <w:color w:val="auto"/>
        </w:rPr>
        <w:t>The settlement terms of 2.8 million stock-settled RSUs were modified from settlement in AAG common stock to settlement in cash. See table above for further discussion.</w:t>
      </w:r>
    </w:p>
    <w:p>
      <w:pPr>
        <w:spacing w:after="0" w:line="5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2024, the liability related to CRSUs was $39 million, which will continue to be remeasured at fair value at each reporting date until all awards are vested. As of December 31, 2024, there was $77 million of unrecognized compensation cost related to CRSUs. These costs are expected to be recognized over a weighted average period of one year. The total cash paid for CRSUs vested during the year ended December 31, 2024 was $18 million.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years ended December 31, 2023 and 2022, CRSU award activity was nominal.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Beginning</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Additions Charged to</w:t>
            </w:r>
          </w:p>
        </w:tc>
        <w:tc>
          <w:tcPr>
            <w:tcW w:w="24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4"/>
                <w:szCs w:val="14"/>
                <w:color w:val="auto"/>
              </w:rPr>
            </w:pPr>
          </w:p>
        </w:tc>
        <w:tc>
          <w:tcPr>
            <w:tcW w:w="130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Statement of</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Year</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Operations Accounts</w:t>
            </w: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6"/>
                <w:szCs w:val="16"/>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obsolescence of spare parts</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2022</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from or to related parties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4"/>
        </w:trPr>
        <w:tc>
          <w:tcPr>
            <w:tcW w:w="75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AAG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9,144</w:t>
            </w:r>
          </w:p>
        </w:tc>
      </w:tr>
      <w:tr>
        <w:trPr>
          <w:trHeight w:val="229"/>
        </w:trPr>
        <w:tc>
          <w:tcPr>
            <w:tcW w:w="75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(2,074)</w:t>
            </w:r>
          </w:p>
        </w:tc>
      </w:tr>
      <w:tr>
        <w:trPr>
          <w:trHeight w:val="248"/>
        </w:trPr>
        <w:tc>
          <w:tcPr>
            <w:tcW w:w="7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7"/>
              </w:rPr>
              <w:t>7,070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5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84"/>
        </w:numPr>
        <w:rPr>
          <w:rFonts w:ascii="Arial" w:cs="Arial" w:eastAsia="Arial" w:hAnsi="Arial"/>
          <w:sz w:val="23"/>
          <w:szCs w:val="23"/>
          <w:color w:val="auto"/>
          <w:vertAlign w:val="superscript"/>
        </w:rPr>
      </w:pPr>
      <w:r>
        <w:rPr>
          <w:rFonts w:ascii="Arial" w:cs="Arial" w:eastAsia="Arial" w:hAnsi="Arial"/>
          <w:sz w:val="18"/>
          <w:szCs w:val="18"/>
          <w:color w:val="auto"/>
        </w:rPr>
        <w:t>The increase in American’s net related party receivable from AAG is due in part to American providing the cash funding for AAG’s financing transactions.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84"/>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140"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Pursuant to a capacity purchase agreement between American and AAG’s wholly-owned regional airlines operating as American Eagle, American purchases all of the capacity from these carriers and recognizes passenger revenue from flights operated by American Eagle. In 2024, 2023 and 2022, American recognized expense of approximately $2.9 billion, $2.7 billion and $2.5 billion, respectively, related to wholly-owned regional airline capacity purchase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On January 29, 2025, American Eagle flight 5342 was involved in a fatal accident in Washington, D.C. The Bombardier CRJ 700 aircraft operated by PSA was en route to Washington, D.C. from Wichita, Kansas when it was involved in a midair collision near Ronald Reagan Washington National Airport. American has industry standard insurance coverage for this incident, and is continuing its assessment of the impact on its business resulting from the accident.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December 31, 2024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December 31, 2024 at the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quarter ended December 31, 2024, there have been no changes in AAG’s or American’s internal control over financial reporting that has materially affected, or is reasonably likely to materially affect, AAG’s and American’s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December 31, 2024.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40" w:lineRule="exact"/>
        <w:rPr>
          <w:sz w:val="20"/>
          <w:szCs w:val="20"/>
          <w:color w:val="auto"/>
        </w:rPr>
      </w:pPr>
    </w:p>
    <w:p>
      <w:pPr>
        <w:ind w:left="660" w:hanging="409"/>
        <w:spacing w:after="0" w:line="286"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19" w:lineRule="exact"/>
        <w:rPr>
          <w:rFonts w:ascii="Arial" w:cs="Arial" w:eastAsia="Arial" w:hAnsi="Arial"/>
          <w:sz w:val="18"/>
          <w:szCs w:val="18"/>
          <w:color w:val="auto"/>
        </w:rPr>
      </w:pPr>
    </w:p>
    <w:p>
      <w:pPr>
        <w:jc w:val="both"/>
        <w:ind w:left="660" w:hanging="409"/>
        <w:spacing w:after="0" w:line="268"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34" w:lineRule="exact"/>
        <w:rPr>
          <w:rFonts w:ascii="Arial" w:cs="Arial" w:eastAsia="Arial" w:hAnsi="Arial"/>
          <w:sz w:val="18"/>
          <w:szCs w:val="18"/>
          <w:color w:val="auto"/>
        </w:rPr>
      </w:pPr>
    </w:p>
    <w:p>
      <w:pPr>
        <w:ind w:left="660" w:right="20" w:hanging="409"/>
        <w:spacing w:after="0" w:line="286"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2024. In making this assessment, management used the criteria set forth by the Committee of Sponsoring Organizations of the Treadway Commission in its Internal Control – Integrated Framework (2013 Framework).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2024.</w:t>
      </w:r>
    </w:p>
    <w:p>
      <w:pPr>
        <w:spacing w:after="0" w:line="100" w:lineRule="exact"/>
        <w:rPr>
          <w:sz w:val="20"/>
          <w:szCs w:val="20"/>
          <w:color w:val="auto"/>
        </w:rPr>
      </w:pPr>
    </w:p>
    <w:p>
      <w:pPr>
        <w:ind w:right="20" w:firstLine="243"/>
        <w:spacing w:after="0" w:line="286"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American Airlines Group Inc. and subsidiaries’ (the Company) internal control over financial reporting as of December 31, 2024,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cash flows, and stockholders’ deficit for each of the years in the three-year period ended December 31, 2024, and the related notes (collectively, the consolidated financial statements), and our report dated February 19, 2025 expressed an unqualified opinion on those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American Airlines, Inc. and subsidiaries’ (American) internal control over financial reporting as of December 31, 2024,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American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American as of December 31, 2024 and 2023, the related consolidated statements of operations, comprehensive income, cash flows, and stockholder’s equity for each of the years in the three-year period ended December 31, 2024, and the related notes (collectively, the consolidated financial statements), and our report dated February 19, 2025 expressed an unqualified opinion on those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quarter ended December 31, 2024, none of our directors or executive officers adopted or terminated any contract, instruction or written plan for the purchase or sale of AAG securities that was intended to satisfy the affirmative defense conditions of Rule 10b5-1(c) or any “non-Rule 10b5-1 trading arrangement.”</w:t>
      </w:r>
    </w:p>
    <w:p>
      <w:pPr>
        <w:spacing w:after="0" w:line="197" w:lineRule="exact"/>
        <w:rPr>
          <w:sz w:val="20"/>
          <w:szCs w:val="20"/>
          <w:color w:val="auto"/>
        </w:rPr>
      </w:pPr>
    </w:p>
    <w:p>
      <w:pPr>
        <w:ind w:right="3060"/>
        <w:spacing w:after="0" w:line="38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“Proposal 1 – Election of Directors,” “Executive Officers,” “Board Composition” and “Information About the Board of Directors and Corporate Governance” and is incorporated by reference into this Annual Report on Form 10-K.</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AAG and American have adopted an Amended and Restated Insider Trading Compliance Policy that governs the purchase, sale and/or other dispositions of our securities by directors, officers and employees that is reasonably designed to promote compliance with insider trading laws, rules and regulations and NASDAQ listing standards. A copy of our Amended and Restated Insider Trading Compliance Policy is filed as Exhibit 19.1 to this report.</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AAG and American have adopted Standards of Business Conduct (the Ethics Standards) within the meaning of Item 406(b) of Regulation S-K. The Ethics Standards apply to all officers and employees of AAG and its subsidiaries, including American. The Ethics Standards are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captions “Information About the Board of Directors and Corporate Governance - Risk Assessment with Respect to Compensation Practices,” “Director Compensation,” “Compensation Discussion and Analysis,” “Executive Compensation” and “Report of the Compensation Committee of the Board of Directors” and is incorporated by reference into this Annual Report on Form 10-K.</w:t>
      </w:r>
    </w:p>
    <w:p>
      <w:pPr>
        <w:spacing w:after="0" w:line="202" w:lineRule="exact"/>
        <w:rPr>
          <w:sz w:val="20"/>
          <w:szCs w:val="20"/>
          <w:color w:val="auto"/>
        </w:rPr>
      </w:pPr>
    </w:p>
    <w:p>
      <w:pPr>
        <w:ind w:right="66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The following consolidated financial statements of American Airlines Group Inc. and Independent Auditors’ Report are filed as part of this report:</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60" w:type="dxa"/>
            <w:vAlign w:val="bottom"/>
            <w:tcBorders>
              <w:bottom w:val="single" w:sz="8" w:color="435363"/>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84"/>
        </w:trPr>
        <w:tc>
          <w:tcPr>
            <w:tcW w:w="10660" w:type="dxa"/>
            <w:vAlign w:val="bottom"/>
            <w:gridSpan w:val="8"/>
          </w:tcPr>
          <w:p>
            <w:pPr>
              <w:spacing w:after="0" w:line="184"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Dallas, TX, Auditor Firm ID: 185)</w:t>
            </w:r>
          </w:p>
        </w:tc>
        <w:tc>
          <w:tcPr>
            <w:tcW w:w="56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rPr>
              <w:t>80</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2024, 2023 and 2022</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0000FF"/>
              </w:rPr>
              <w:t>82</w:t>
            </w:r>
          </w:p>
        </w:tc>
      </w:tr>
      <w:tr>
        <w:trPr>
          <w:trHeight w:val="20"/>
        </w:trPr>
        <w:tc>
          <w:tcPr>
            <w:tcW w:w="3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2024, 2023 and 2022</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0000FF"/>
              </w:rPr>
              <w:t>83</w:t>
            </w:r>
          </w:p>
        </w:tc>
      </w:tr>
      <w:tr>
        <w:trPr>
          <w:trHeight w:val="20"/>
        </w:trPr>
        <w:tc>
          <w:tcPr>
            <w:tcW w:w="3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0" w:type="dxa"/>
            <w:vAlign w:val="bottom"/>
            <w:gridSpan w:val="3"/>
          </w:tcPr>
          <w:p>
            <w:pPr>
              <w:spacing w:after="0"/>
              <w:rPr>
                <w:sz w:val="20"/>
                <w:szCs w:val="20"/>
                <w:color w:val="auto"/>
              </w:rPr>
            </w:pPr>
            <w:r>
              <w:rPr>
                <w:rFonts w:ascii="Arial" w:cs="Arial" w:eastAsia="Arial" w:hAnsi="Arial"/>
                <w:sz w:val="18"/>
                <w:szCs w:val="18"/>
                <w:color w:val="0000FF"/>
                <w:w w:val="99"/>
              </w:rPr>
              <w:t>Consolidated Balance Sheets at December 31, 2024 and 2023</w:t>
            </w:r>
          </w:p>
        </w:tc>
        <w:tc>
          <w:tcPr>
            <w:tcW w:w="3720" w:type="dxa"/>
            <w:vAlign w:val="bottom"/>
            <w:gridSpan w:val="4"/>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84</w:t>
            </w:r>
          </w:p>
        </w:tc>
      </w:tr>
      <w:tr>
        <w:trPr>
          <w:trHeight w:val="20"/>
        </w:trPr>
        <w:tc>
          <w:tcPr>
            <w:tcW w:w="3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 for the Years Ended December 31, 2024, 2023 and 2022</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0000FF"/>
              </w:rPr>
              <w:t>85</w:t>
            </w:r>
          </w:p>
        </w:tc>
      </w:tr>
      <w:tr>
        <w:trPr>
          <w:trHeight w:val="20"/>
        </w:trPr>
        <w:tc>
          <w:tcPr>
            <w:tcW w:w="350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60" w:type="dxa"/>
            <w:vAlign w:val="bottom"/>
            <w:gridSpan w:val="6"/>
          </w:tcPr>
          <w:p>
            <w:pPr>
              <w:spacing w:after="0"/>
              <w:rPr>
                <w:sz w:val="20"/>
                <w:szCs w:val="20"/>
                <w:color w:val="auto"/>
              </w:rPr>
            </w:pPr>
            <w:r>
              <w:rPr>
                <w:rFonts w:ascii="Arial" w:cs="Arial" w:eastAsia="Arial" w:hAnsi="Arial"/>
                <w:sz w:val="18"/>
                <w:szCs w:val="18"/>
                <w:color w:val="0000FF"/>
                <w:w w:val="99"/>
              </w:rPr>
              <w:t>Consolidated Statements of Stockholders’ Deficit for the Years Ended December 31, 2024, 2023 and 2022</w:t>
            </w:r>
          </w:p>
        </w:tc>
        <w:tc>
          <w:tcPr>
            <w:tcW w:w="22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86</w:t>
            </w:r>
          </w:p>
        </w:tc>
      </w:tr>
      <w:tr>
        <w:trPr>
          <w:trHeight w:val="20"/>
        </w:trPr>
        <w:tc>
          <w:tcPr>
            <w:tcW w:w="3500" w:type="dxa"/>
            <w:vAlign w:val="bottom"/>
            <w:shd w:val="clear" w:color="auto" w:fill="0000FF"/>
          </w:tcPr>
          <w:p>
            <w:pPr>
              <w:spacing w:after="0" w:line="20" w:lineRule="exact"/>
              <w:rPr>
                <w:sz w:val="1"/>
                <w:szCs w:val="1"/>
                <w:color w:val="auto"/>
              </w:rPr>
            </w:pPr>
          </w:p>
        </w:tc>
        <w:tc>
          <w:tcPr>
            <w:tcW w:w="4960" w:type="dxa"/>
            <w:vAlign w:val="bottom"/>
            <w:gridSpan w:val="5"/>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6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2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87</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consolidated financial statements of American Airlines, Inc. and Independent Auditors’ Report are filed as part of this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60" w:type="dxa"/>
            <w:vAlign w:val="bottom"/>
            <w:tcBorders>
              <w:bottom w:val="single" w:sz="8" w:color="435363"/>
            </w:tcBorders>
            <w:gridSpan w:val="3"/>
          </w:tcPr>
          <w:p>
            <w:pPr>
              <w:ind w:left="100"/>
              <w:spacing w:after="0"/>
              <w:rPr>
                <w:sz w:val="20"/>
                <w:szCs w:val="20"/>
                <w:color w:val="auto"/>
              </w:rPr>
            </w:pPr>
            <w:r>
              <w:rPr>
                <w:rFonts w:ascii="Arial" w:cs="Arial" w:eastAsia="Arial" w:hAnsi="Arial"/>
                <w:sz w:val="14"/>
                <w:szCs w:val="14"/>
                <w:b w:val="1"/>
                <w:bCs w:val="1"/>
                <w:color w:val="auto"/>
              </w:rPr>
              <w:t>Page</w:t>
            </w:r>
          </w:p>
        </w:tc>
      </w:tr>
      <w:tr>
        <w:trPr>
          <w:trHeight w:val="184"/>
        </w:trPr>
        <w:tc>
          <w:tcPr>
            <w:tcW w:w="10660" w:type="dxa"/>
            <w:vAlign w:val="bottom"/>
            <w:gridSpan w:val="8"/>
          </w:tcPr>
          <w:p>
            <w:pPr>
              <w:spacing w:after="0" w:line="184"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Dallas, TX, Auditor Firm ID: 185)</w:t>
            </w:r>
          </w:p>
        </w:tc>
        <w:tc>
          <w:tcPr>
            <w:tcW w:w="540" w:type="dxa"/>
            <w:vAlign w:val="bottom"/>
            <w:gridSpan w:val="2"/>
          </w:tcPr>
          <w:p>
            <w:pPr>
              <w:jc w:val="right"/>
              <w:spacing w:after="0" w:line="184" w:lineRule="exact"/>
              <w:rPr>
                <w:sz w:val="20"/>
                <w:szCs w:val="20"/>
                <w:color w:val="auto"/>
              </w:rPr>
            </w:pPr>
            <w:r>
              <w:rPr>
                <w:rFonts w:ascii="Arial" w:cs="Arial" w:eastAsia="Arial" w:hAnsi="Arial"/>
                <w:sz w:val="18"/>
                <w:szCs w:val="18"/>
                <w:color w:val="0000FF"/>
              </w:rPr>
              <w:t>125</w:t>
            </w:r>
          </w:p>
        </w:tc>
        <w:tc>
          <w:tcPr>
            <w:tcW w:w="20" w:type="dxa"/>
            <w:vAlign w:val="bottom"/>
          </w:tcPr>
          <w:p>
            <w:pPr>
              <w:spacing w:after="0"/>
              <w:rPr>
                <w:sz w:val="16"/>
                <w:szCs w:val="16"/>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2024, 2023 and 2022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127</w:t>
            </w:r>
          </w:p>
        </w:tc>
        <w:tc>
          <w:tcPr>
            <w:tcW w:w="20" w:type="dxa"/>
            <w:vAlign w:val="bottom"/>
          </w:tcPr>
          <w:p>
            <w:pPr>
              <w:spacing w:after="0"/>
              <w:rPr>
                <w:sz w:val="18"/>
                <w:szCs w:val="18"/>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2024, 2023 and 2022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128</w:t>
            </w:r>
          </w:p>
        </w:tc>
        <w:tc>
          <w:tcPr>
            <w:tcW w:w="20" w:type="dxa"/>
            <w:vAlign w:val="bottom"/>
          </w:tcPr>
          <w:p>
            <w:pPr>
              <w:spacing w:after="0"/>
              <w:rPr>
                <w:sz w:val="18"/>
                <w:szCs w:val="18"/>
                <w:color w:val="auto"/>
              </w:rPr>
            </w:pPr>
          </w:p>
        </w:tc>
      </w:tr>
      <w:tr>
        <w:trPr>
          <w:trHeight w:val="209"/>
        </w:trPr>
        <w:tc>
          <w:tcPr>
            <w:tcW w:w="5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Balance Sheets at December 31, 2024 and 2023</w:t>
            </w:r>
          </w:p>
        </w:tc>
        <w:tc>
          <w:tcPr>
            <w:tcW w:w="3720" w:type="dxa"/>
            <w:vAlign w:val="bottom"/>
            <w:tcBorders>
              <w:top w:val="single" w:sz="8" w:color="0000FF"/>
            </w:tcBorders>
            <w:gridSpan w:val="4"/>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93"/>
              </w:rPr>
              <w:t>129</w:t>
            </w:r>
          </w:p>
        </w:tc>
        <w:tc>
          <w:tcPr>
            <w:tcW w:w="20" w:type="dxa"/>
            <w:vAlign w:val="bottom"/>
          </w:tcPr>
          <w:p>
            <w:pPr>
              <w:spacing w:after="0"/>
              <w:rPr>
                <w:sz w:val="18"/>
                <w:szCs w:val="18"/>
                <w:color w:val="auto"/>
              </w:rPr>
            </w:pPr>
          </w:p>
        </w:tc>
      </w:tr>
      <w:tr>
        <w:trPr>
          <w:trHeight w:val="209"/>
        </w:trPr>
        <w:tc>
          <w:tcPr>
            <w:tcW w:w="84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rPr>
              <w:t>Consolidated Statements of Cash Flows for the Years Ended December 31, 2024, 2023 and 2022</w:t>
            </w:r>
          </w:p>
        </w:tc>
        <w:tc>
          <w:tcPr>
            <w:tcW w:w="2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130</w:t>
            </w:r>
          </w:p>
        </w:tc>
        <w:tc>
          <w:tcPr>
            <w:tcW w:w="20" w:type="dxa"/>
            <w:vAlign w:val="bottom"/>
          </w:tcPr>
          <w:p>
            <w:pPr>
              <w:spacing w:after="0"/>
              <w:rPr>
                <w:sz w:val="18"/>
                <w:szCs w:val="18"/>
                <w:color w:val="auto"/>
              </w:rPr>
            </w:pPr>
          </w:p>
        </w:tc>
      </w:tr>
      <w:tr>
        <w:trPr>
          <w:trHeight w:val="209"/>
        </w:trPr>
        <w:tc>
          <w:tcPr>
            <w:tcW w:w="106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rPr>
              <w:t>Consolidated Statements of Stockholder’s Equity for the Years Ended December 31, 2024, 2023 and 2022</w:t>
            </w:r>
          </w:p>
        </w:tc>
        <w:tc>
          <w:tcPr>
            <w:tcW w:w="240" w:type="dxa"/>
            <w:vAlign w:val="bottom"/>
          </w:tcPr>
          <w:p>
            <w:pPr>
              <w:spacing w:after="0"/>
              <w:rPr>
                <w:sz w:val="18"/>
                <w:szCs w:val="18"/>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131</w:t>
            </w:r>
          </w:p>
        </w:tc>
        <w:tc>
          <w:tcPr>
            <w:tcW w:w="20" w:type="dxa"/>
            <w:vAlign w:val="bottom"/>
          </w:tcPr>
          <w:p>
            <w:pPr>
              <w:spacing w:after="0"/>
              <w:rPr>
                <w:sz w:val="18"/>
                <w:szCs w:val="18"/>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132</w:t>
            </w:r>
          </w:p>
        </w:tc>
        <w:tc>
          <w:tcPr>
            <w:tcW w:w="20" w:type="dxa"/>
            <w:vAlign w:val="bottom"/>
          </w:tcPr>
          <w:p>
            <w:pPr>
              <w:spacing w:after="0"/>
              <w:rPr>
                <w:sz w:val="18"/>
                <w:szCs w:val="18"/>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 w:lineRule="exact"/>
        <w:rPr>
          <w:sz w:val="20"/>
          <w:szCs w:val="20"/>
          <w:color w:val="auto"/>
        </w:rPr>
      </w:pPr>
    </w:p>
    <w:p>
      <w:pPr>
        <w:ind w:left="2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276">
        <w:r>
          <w:rPr>
            <w:rFonts w:ascii="Arial" w:cs="Arial" w:eastAsia="Arial" w:hAnsi="Arial"/>
            <w:sz w:val="18"/>
            <w:szCs w:val="18"/>
            <w:u w:val="single" w:color="auto"/>
            <w:color w:val="0000FF"/>
          </w:rPr>
          <w:t>Confirmation Order and Plan (incorporated by reference to Exhibit 2.1 to AMR’s Current Report on Form 8-K filed on October 23,</w:t>
        </w:r>
      </w:hyperlink>
    </w:p>
    <w:p>
      <w:pPr>
        <w:ind w:left="920"/>
        <w:spacing w:after="0"/>
        <w:rPr>
          <w:rFonts w:ascii="Arial" w:cs="Arial" w:eastAsia="Arial" w:hAnsi="Arial"/>
          <w:sz w:val="18"/>
          <w:szCs w:val="18"/>
          <w:u w:val="single" w:color="auto"/>
          <w:color w:val="0000FF"/>
        </w:rPr>
      </w:pPr>
      <w:hyperlink r:id="rId276">
        <w:r>
          <w:rPr>
            <w:rFonts w:ascii="Arial" w:cs="Arial" w:eastAsia="Arial" w:hAnsi="Arial"/>
            <w:sz w:val="18"/>
            <w:szCs w:val="18"/>
            <w:u w:val="single" w:color="auto"/>
            <w:color w:val="0000FF"/>
          </w:rPr>
          <w:t>2013 (Commission File No. 1-8400)).</w:t>
        </w:r>
      </w:hyperlink>
    </w:p>
    <w:p>
      <w:pPr>
        <w:spacing w:after="0" w:line="18" w:lineRule="exact"/>
        <w:rPr>
          <w:sz w:val="20"/>
          <w:szCs w:val="20"/>
          <w:color w:val="auto"/>
        </w:rPr>
      </w:pPr>
    </w:p>
    <w:p>
      <w:pPr>
        <w:jc w:val="both"/>
        <w:ind w:left="920" w:right="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277">
        <w:r>
          <w:rPr>
            <w:rFonts w:ascii="Arial" w:cs="Arial" w:eastAsia="Arial" w:hAnsi="Arial"/>
            <w:sz w:val="18"/>
            <w:szCs w:val="18"/>
            <w:u w:val="single" w:color="auto"/>
            <w:color w:val="0000FF"/>
          </w:rPr>
          <w:t>Agreement and Plan of Merger, dated as of December 28, 2015, between American Airlines, Inc. and US Airways, Inc.</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(incorporated by reference to Exhibit 2.1 to AAG’s Current Report on Form 8-K filed on December 31, 2015 (Commission File</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77">
        <w:r>
          <w:rPr>
            <w:rFonts w:ascii="Arial" w:cs="Arial" w:eastAsia="Arial" w:hAnsi="Arial"/>
            <w:sz w:val="18"/>
            <w:szCs w:val="18"/>
            <w:u w:val="single" w:color="auto"/>
            <w:color w:val="0000FF"/>
          </w:rPr>
          <w:t>No. 1-8400)).</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78">
        <w:r>
          <w:rPr>
            <w:rFonts w:ascii="Arial" w:cs="Arial" w:eastAsia="Arial" w:hAnsi="Arial"/>
            <w:sz w:val="18"/>
            <w:szCs w:val="18"/>
            <w:u w:val="single" w:color="auto"/>
            <w:color w:val="0000FF"/>
          </w:rPr>
          <w:t>Restated Certificate of Incorporation of American Airlines Group Inc., including the Certificate of Designations, Powers,</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Preferences and Rights of the American Airlines Group Inc. Series A Convertible Preferred Stock attached as Annex I thereto</w:t>
        </w:r>
      </w:hyperlink>
    </w:p>
    <w:p>
      <w:pPr>
        <w:ind w:left="920" w:right="40"/>
        <w:spacing w:after="0" w:line="229" w:lineRule="auto"/>
        <w:rPr>
          <w:rFonts w:ascii="Arial" w:cs="Arial" w:eastAsia="Arial" w:hAnsi="Arial"/>
          <w:sz w:val="18"/>
          <w:szCs w:val="18"/>
          <w:u w:val="single" w:color="auto"/>
          <w:color w:val="0000FF"/>
        </w:rPr>
      </w:pPr>
      <w:hyperlink r:id="rId278">
        <w:r>
          <w:rPr>
            <w:rFonts w:ascii="Arial" w:cs="Arial" w:eastAsia="Arial" w:hAnsi="Arial"/>
            <w:sz w:val="18"/>
            <w:szCs w:val="18"/>
            <w:u w:val="single" w:color="auto"/>
            <w:color w:val="0000FF"/>
          </w:rPr>
          <w:t>(incorporated by reference to Exhibit 3.1 to AAG’s Current Report on Form 8-K filed on December 9, 2013 (Commission File</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No. 1-8400)).</w:t>
        </w:r>
      </w:hyperlink>
    </w:p>
    <w:p>
      <w:pPr>
        <w:spacing w:after="0" w:line="1" w:lineRule="exact"/>
        <w:rPr>
          <w:sz w:val="20"/>
          <w:szCs w:val="20"/>
          <w:color w:val="auto"/>
        </w:rPr>
      </w:pPr>
    </w:p>
    <w:p>
      <w:pPr>
        <w:jc w:val="both"/>
        <w:ind w:left="920" w:right="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79">
        <w:r>
          <w:rPr>
            <w:rFonts w:ascii="Arial" w:cs="Arial" w:eastAsia="Arial" w:hAnsi="Arial"/>
            <w:sz w:val="18"/>
            <w:szCs w:val="18"/>
            <w:u w:val="single" w:color="auto"/>
            <w:color w:val="0000FF"/>
          </w:rPr>
          <w:t>Certificate of Amendment of Restated Certificate of Incorporation of American Airlines Group Inc. (incorporated by reference to</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Exhibit 3.1 to AAG’s Current Report on Form 8-K filed on June 13, 2018 (Commission File No. 1-8400)).</w:t>
        </w:r>
      </w:hyperlink>
    </w:p>
    <w:p>
      <w:pPr>
        <w:spacing w:after="0" w:line="5"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3.3</w:t>
      </w:r>
      <w:r>
        <w:rPr>
          <w:sz w:val="20"/>
          <w:szCs w:val="20"/>
          <w:color w:val="auto"/>
        </w:rPr>
        <w:tab/>
      </w:r>
      <w:hyperlink r:id="rId280">
        <w:r>
          <w:rPr>
            <w:rFonts w:ascii="Arial" w:cs="Arial" w:eastAsia="Arial" w:hAnsi="Arial"/>
            <w:sz w:val="18"/>
            <w:szCs w:val="18"/>
            <w:u w:val="single" w:color="auto"/>
            <w:color w:val="0000FF"/>
          </w:rPr>
          <w:t>Fourth Amended and Restated Bylaws of American Airlines Group Inc. (incorporated by reference to Exhibit 3.1 to AAG’s</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Quarterly Report on Form 10-Q for the quarter ended June 30, 2024 (Commission File No. 1-8400))</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281">
        <w:r>
          <w:rPr>
            <w:rFonts w:ascii="Arial" w:cs="Arial" w:eastAsia="Arial" w:hAnsi="Arial"/>
            <w:sz w:val="18"/>
            <w:szCs w:val="18"/>
            <w:u w:val="single" w:color="auto"/>
            <w:color w:val="0000FF"/>
          </w:rPr>
          <w:t>Amended and Restated Certificate of Incorporation of American Airlines, Inc. (incorporated by reference to Exhibit 3.3 to AAG’s</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Annual Report on Form 10-K for the year ended December 31, 2013 (Commission File No. 1-8400)).</w:t>
        </w:r>
      </w:hyperlink>
    </w:p>
    <w:p>
      <w:pPr>
        <w:spacing w:after="0" w:line="6"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hyperlink r:id="rId282">
        <w:r>
          <w:rPr>
            <w:rFonts w:ascii="Arial" w:cs="Arial" w:eastAsia="Arial" w:hAnsi="Arial"/>
            <w:sz w:val="18"/>
            <w:szCs w:val="18"/>
            <w:u w:val="single" w:color="auto"/>
            <w:color w:val="0000FF"/>
          </w:rPr>
          <w:t>Amended and Restated Bylaws of American Airlines, Inc. (incorporated by reference to Exhibit 3.4 to AAG’s Annual Report on</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Form 10-K for the year ended December 31, 2013 (Commission File No. 1-8400)).</w:t>
        </w:r>
      </w:hyperlink>
    </w:p>
    <w:p>
      <w:pPr>
        <w:spacing w:after="0" w:line="6" w:lineRule="exact"/>
        <w:rPr>
          <w:sz w:val="20"/>
          <w:szCs w:val="20"/>
          <w:color w:val="auto"/>
        </w:rPr>
      </w:pPr>
    </w:p>
    <w:p>
      <w:pPr>
        <w:jc w:val="both"/>
        <w:ind w:left="920" w:right="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hyperlink r:id="rId283">
        <w:r>
          <w:rPr>
            <w:rFonts w:ascii="Arial" w:cs="Arial" w:eastAsia="Arial" w:hAnsi="Arial"/>
            <w:sz w:val="18"/>
            <w:szCs w:val="18"/>
            <w:u w:val="single" w:color="auto"/>
            <w:color w:val="0000FF"/>
          </w:rPr>
          <w:t>Certificate of Designations of Series B Junior Participating Preferred Stock of American Airlines Group Inc., filed with the</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Secretary of State of the State of Delaware on December 21, 2021 (incorporated by reference to Exhibit 3.1 to AAG’s Current</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Report on Form 8-K filed on December 22, 2021 (Commission File No. 1-8400)).</w:t>
        </w:r>
      </w:hyperlink>
    </w:p>
    <w:p>
      <w:pPr>
        <w:spacing w:after="0" w:line="9" w:lineRule="exact"/>
        <w:rPr>
          <w:rFonts w:ascii="Arial" w:cs="Arial" w:eastAsia="Arial" w:hAnsi="Arial"/>
          <w:sz w:val="18"/>
          <w:szCs w:val="18"/>
          <w:u w:val="single" w:color="auto"/>
          <w:color w:val="0000FF"/>
        </w:rPr>
      </w:pPr>
    </w:p>
    <w:p>
      <w:pPr>
        <w:jc w:val="both"/>
        <w:ind w:left="920" w:right="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284">
        <w:r>
          <w:rPr>
            <w:rFonts w:ascii="Arial" w:cs="Arial" w:eastAsia="Arial" w:hAnsi="Arial"/>
            <w:sz w:val="18"/>
            <w:szCs w:val="18"/>
            <w:u w:val="single" w:color="auto"/>
            <w:color w:val="0000FF"/>
          </w:rPr>
          <w:t>Description of securities registered under Section 12 of the Exchange Act (incorporated by reference to Exhibit 4.1 to AAG’s</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Annual Report on Form 10-K for the year ended December 31, 2021 (Commission File No. 1-8400)).</w:t>
        </w:r>
      </w:hyperlink>
    </w:p>
    <w:p>
      <w:pPr>
        <w:spacing w:after="0" w:line="6" w:lineRule="exact"/>
        <w:rPr>
          <w:sz w:val="20"/>
          <w:szCs w:val="20"/>
          <w:color w:val="auto"/>
        </w:rPr>
      </w:pPr>
    </w:p>
    <w:p>
      <w:pPr>
        <w:jc w:val="both"/>
        <w:ind w:left="920" w:right="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285">
        <w:r>
          <w:rPr>
            <w:rFonts w:ascii="Arial" w:cs="Arial" w:eastAsia="Arial" w:hAnsi="Arial"/>
            <w:sz w:val="18"/>
            <w:szCs w:val="18"/>
            <w:u w:val="single" w:color="auto"/>
            <w:color w:val="0000FF"/>
          </w:rPr>
          <w:t>Pass Through Trust Agreement, dated as of September 16, 2014, between American Airlines, Inc. and Wilmington Trust</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Company, as Trustee (incorporated by reference to Exhibit 4.1 to American’s Current Report on Form 8-K filed on September 17,</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2014 (Commission File No. 1-2691)).</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286">
        <w:r>
          <w:rPr>
            <w:rFonts w:ascii="Arial" w:cs="Arial" w:eastAsia="Arial" w:hAnsi="Arial"/>
            <w:sz w:val="18"/>
            <w:szCs w:val="18"/>
            <w:u w:val="single" w:color="auto"/>
            <w:color w:val="0000FF"/>
          </w:rPr>
          <w:t>Trust Supplement No. 2014-1A, dated as of September 16, 2014, between American Airlines, Inc. and Wilmington Trust</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286">
        <w:r>
          <w:rPr>
            <w:rFonts w:ascii="Arial" w:cs="Arial" w:eastAsia="Arial" w:hAnsi="Arial"/>
            <w:sz w:val="18"/>
            <w:szCs w:val="18"/>
            <w:u w:val="single" w:color="auto"/>
            <w:color w:val="0000FF"/>
          </w:rPr>
          <w:t>Exhibit 4.2 to American’s Current Report on Form 8-K filed on September 17, 2014 (Commission File No. 1-2691)).</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287">
        <w:r>
          <w:rPr>
            <w:rFonts w:ascii="Arial" w:cs="Arial" w:eastAsia="Arial" w:hAnsi="Arial"/>
            <w:sz w:val="18"/>
            <w:szCs w:val="18"/>
            <w:u w:val="single" w:color="auto"/>
            <w:color w:val="0000FF"/>
          </w:rPr>
          <w:t>Trust Supplement No. 2014-1B, dated as of September 16, 2014, between American Airlines, Inc. and Wilmington Trust</w:t>
        </w:r>
      </w:hyperlink>
      <w:r>
        <w:rPr>
          <w:rFonts w:ascii="Arial" w:cs="Arial" w:eastAsia="Arial" w:hAnsi="Arial"/>
          <w:sz w:val="18"/>
          <w:szCs w:val="18"/>
          <w:u w:val="single" w:color="auto"/>
          <w:color w:val="0000FF"/>
        </w:rPr>
        <w:t xml:space="preserve"> </w:t>
      </w:r>
      <w:hyperlink r:id="rId287">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287">
        <w:r>
          <w:rPr>
            <w:rFonts w:ascii="Arial" w:cs="Arial" w:eastAsia="Arial" w:hAnsi="Arial"/>
            <w:sz w:val="18"/>
            <w:szCs w:val="18"/>
            <w:u w:val="single" w:color="auto"/>
            <w:color w:val="0000FF"/>
          </w:rPr>
          <w:t>Exhibit 4.3 to American’s Current Report on Form 8-K filed on September 17, 2014 (Commission File No. 1-2691)).</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288">
        <w:r>
          <w:rPr>
            <w:rFonts w:ascii="Arial" w:cs="Arial" w:eastAsia="Arial" w:hAnsi="Arial"/>
            <w:sz w:val="18"/>
            <w:szCs w:val="18"/>
            <w:u w:val="single" w:color="auto"/>
            <w:color w:val="0000FF"/>
          </w:rPr>
          <w:t>Intercreditor Agreement (2014-1), dated as of September 16, 2014, among Wilmington Trust Company, as Trustee of the</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American Airlines Pass Through Trust 2014-1A and as Trustee of the American Airlines Pass Through Trust 2014-1B, Crédit</w:t>
        </w:r>
      </w:hyperlink>
    </w:p>
    <w:p>
      <w:pPr>
        <w:jc w:val="both"/>
        <w:ind w:left="920" w:right="20"/>
        <w:spacing w:after="0" w:line="220" w:lineRule="auto"/>
        <w:rPr>
          <w:rFonts w:ascii="Arial" w:cs="Arial" w:eastAsia="Arial" w:hAnsi="Arial"/>
          <w:sz w:val="18"/>
          <w:szCs w:val="18"/>
          <w:u w:val="single" w:color="auto"/>
          <w:color w:val="0000FF"/>
        </w:rPr>
      </w:pPr>
      <w:hyperlink r:id="rId288">
        <w:r>
          <w:rPr>
            <w:rFonts w:ascii="Arial" w:cs="Arial" w:eastAsia="Arial" w:hAnsi="Arial"/>
            <w:sz w:val="18"/>
            <w:szCs w:val="18"/>
            <w:u w:val="single" w:color="auto"/>
            <w:color w:val="0000FF"/>
          </w:rPr>
          <w:t>Agricole Corporate and Investment Bank, acting through its New York Branch, as Class A Liquidity Provider and Class B Liquidity</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Provider, and Wilmington Trust Company, as Subordination Agent (incorporated by reference to Exhibit 4.4 to American’s Current</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Report on Form 8-K filed on September 17, 2014 (Commission File No. 1-2691)).</w:t>
        </w:r>
      </w:hyperlink>
    </w:p>
    <w:p>
      <w:pPr>
        <w:spacing w:after="0" w:line="6" w:lineRule="exact"/>
        <w:rPr>
          <w:rFonts w:ascii="Arial" w:cs="Arial" w:eastAsia="Arial" w:hAnsi="Arial"/>
          <w:sz w:val="18"/>
          <w:szCs w:val="18"/>
          <w:u w:val="single" w:color="auto"/>
          <w:color w:val="0000FF"/>
        </w:rPr>
      </w:pPr>
    </w:p>
    <w:p>
      <w:pPr>
        <w:jc w:val="right"/>
        <w:ind w:left="20" w:righ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289">
        <w:r>
          <w:rPr>
            <w:rFonts w:ascii="Arial" w:cs="Arial" w:eastAsia="Arial" w:hAnsi="Arial"/>
            <w:sz w:val="18"/>
            <w:szCs w:val="18"/>
            <w:u w:val="single" w:color="auto"/>
            <w:color w:val="0000FF"/>
          </w:rPr>
          <w:t>Amendment No. 1 to Intercreditor Agreement (2014-1), dated as of June 24, 2015, among American Airlines, Inc., Credit Agricole</w:t>
        </w:r>
      </w:hyperlink>
      <w:r>
        <w:rPr>
          <w:rFonts w:ascii="Arial" w:cs="Arial" w:eastAsia="Arial" w:hAnsi="Arial"/>
          <w:sz w:val="18"/>
          <w:szCs w:val="18"/>
          <w:color w:val="auto"/>
        </w:rPr>
        <w:t xml:space="preserve"> </w:t>
      </w:r>
      <w:hyperlink r:id="rId289">
        <w:r>
          <w:rPr>
            <w:rFonts w:ascii="Arial" w:cs="Arial" w:eastAsia="Arial" w:hAnsi="Arial"/>
            <w:sz w:val="18"/>
            <w:szCs w:val="18"/>
            <w:u w:val="single" w:color="auto"/>
            <w:color w:val="0000FF"/>
          </w:rPr>
          <w:t>Corporate and Investment Bank, as Class A and Class B liquidity provider and Wilmington Trust Company, as subordination</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289">
        <w:r>
          <w:rPr>
            <w:rFonts w:ascii="Arial" w:cs="Arial" w:eastAsia="Arial" w:hAnsi="Arial"/>
            <w:sz w:val="18"/>
            <w:szCs w:val="18"/>
            <w:u w:val="single" w:color="auto"/>
            <w:color w:val="0000FF"/>
          </w:rPr>
          <w:t>agent and trustee (incorporated by reference to Exhibit 10.6 to AAG’s Quarterly Report on Form 10-Q for the quarter ended</w:t>
        </w:r>
      </w:hyperlink>
      <w:r>
        <w:rPr>
          <w:rFonts w:ascii="Arial" w:cs="Arial" w:eastAsia="Arial" w:hAnsi="Arial"/>
          <w:sz w:val="18"/>
          <w:szCs w:val="18"/>
          <w:u w:val="single" w:color="auto"/>
          <w:color w:val="0000FF"/>
        </w:rPr>
        <w:t xml:space="preserve"> </w:t>
      </w:r>
      <w:hyperlink r:id="rId289">
        <w:r>
          <w:rPr>
            <w:rFonts w:ascii="Arial" w:cs="Arial" w:eastAsia="Arial" w:hAnsi="Arial"/>
            <w:sz w:val="18"/>
            <w:szCs w:val="18"/>
            <w:u w:val="single" w:color="auto"/>
            <w:color w:val="0000FF"/>
          </w:rPr>
          <w:t>June 30, 2015 (Commission File No. 1-8400)).</w:t>
        </w:r>
      </w:hyperlink>
    </w:p>
    <w:p>
      <w:pPr>
        <w:spacing w:after="0" w:line="1" w:lineRule="exact"/>
        <w:rPr>
          <w:sz w:val="20"/>
          <w:szCs w:val="20"/>
          <w:color w:val="auto"/>
        </w:rPr>
      </w:pPr>
    </w:p>
    <w:p>
      <w:pPr>
        <w:jc w:val="right"/>
        <w:ind w:left="20" w:righ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290">
        <w:r>
          <w:rPr>
            <w:rFonts w:ascii="Arial" w:cs="Arial" w:eastAsia="Arial" w:hAnsi="Arial"/>
            <w:sz w:val="18"/>
            <w:szCs w:val="18"/>
            <w:u w:val="single" w:color="auto"/>
            <w:color w:val="0000FF"/>
          </w:rPr>
          <w:t>Note Purchase Agreement, dated as of September 16, 2014, among American Airlines, Inc., Wilmington Trust Company, as Pass</w:t>
        </w:r>
      </w:hyperlink>
      <w:r>
        <w:rPr>
          <w:rFonts w:ascii="Arial" w:cs="Arial" w:eastAsia="Arial" w:hAnsi="Arial"/>
          <w:sz w:val="18"/>
          <w:szCs w:val="18"/>
          <w:color w:val="auto"/>
        </w:rPr>
        <w:t xml:space="preserve"> </w:t>
      </w:r>
      <w:hyperlink r:id="rId290">
        <w:r>
          <w:rPr>
            <w:rFonts w:ascii="Arial" w:cs="Arial" w:eastAsia="Arial" w:hAnsi="Arial"/>
            <w:sz w:val="18"/>
            <w:szCs w:val="18"/>
            <w:u w:val="single" w:color="auto"/>
            <w:color w:val="0000FF"/>
          </w:rPr>
          <w:t>Through Trustee under each of the Pass Through Trust Agreements, Wilmington Trust Company, as Subordination Agent,</w:t>
        </w:r>
      </w:hyperlink>
    </w:p>
    <w:p>
      <w:pPr>
        <w:ind w:left="920" w:right="20"/>
        <w:spacing w:after="0" w:line="229" w:lineRule="auto"/>
        <w:rPr>
          <w:rFonts w:ascii="Arial" w:cs="Arial" w:eastAsia="Arial" w:hAnsi="Arial"/>
          <w:sz w:val="18"/>
          <w:szCs w:val="18"/>
          <w:u w:val="single" w:color="auto"/>
          <w:color w:val="0000FF"/>
        </w:rPr>
      </w:pPr>
      <w:hyperlink r:id="rId290">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reference to Exhibit 4.9 to American’s Current Report on Form 8-K filed on September 17, 2014 (Commission File No. 1-2691)).</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292">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292">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292">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92">
        <w:r>
          <w:rPr>
            <w:rFonts w:ascii="Arial" w:cs="Arial" w:eastAsia="Arial" w:hAnsi="Arial"/>
            <w:sz w:val="18"/>
            <w:szCs w:val="18"/>
            <w:u w:val="single" w:color="auto"/>
            <w:color w:val="0000FF"/>
          </w:rPr>
          <w:t>(Exhibit B to Note Purchase Agreement) (incorporated by reference to Exhibit 4.10 to American’s Current Report on Form 8-K</w:t>
        </w:r>
      </w:hyperlink>
      <w:r>
        <w:rPr>
          <w:rFonts w:ascii="Arial" w:cs="Arial" w:eastAsia="Arial" w:hAnsi="Arial"/>
          <w:sz w:val="18"/>
          <w:szCs w:val="18"/>
          <w:u w:val="single" w:color="auto"/>
          <w:color w:val="0000FF"/>
        </w:rPr>
        <w:t xml:space="preserve"> </w:t>
      </w:r>
      <w:hyperlink r:id="rId292">
        <w:r>
          <w:rPr>
            <w:rFonts w:ascii="Arial" w:cs="Arial" w:eastAsia="Arial" w:hAnsi="Arial"/>
            <w:sz w:val="18"/>
            <w:szCs w:val="18"/>
            <w:u w:val="single" w:color="auto"/>
            <w:color w:val="0000FF"/>
          </w:rPr>
          <w:t>filed on September 17, 2014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293">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293">
        <w:r>
          <w:rPr>
            <w:rFonts w:ascii="Arial" w:cs="Arial" w:eastAsia="Arial" w:hAnsi="Arial"/>
            <w:sz w:val="18"/>
            <w:szCs w:val="18"/>
            <w:u w:val="single" w:color="auto"/>
            <w:color w:val="0000FF"/>
          </w:rPr>
          <w:t>Trust Company, as Loan Trustee) (Exhibit C to Note Purchase Agreement) (incorporated by reference to Exhibit 4.11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93">
        <w:r>
          <w:rPr>
            <w:rFonts w:ascii="Arial" w:cs="Arial" w:eastAsia="Arial" w:hAnsi="Arial"/>
            <w:sz w:val="18"/>
            <w:szCs w:val="18"/>
            <w:u w:val="single" w:color="auto"/>
            <w:color w:val="0000FF"/>
          </w:rPr>
          <w:t>American’s Current Report on Form 8-K filed on September 17, 2014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294">
        <w:r>
          <w:rPr>
            <w:rFonts w:ascii="Arial" w:cs="Arial" w:eastAsia="Arial" w:hAnsi="Arial"/>
            <w:sz w:val="18"/>
            <w:szCs w:val="18"/>
            <w:u w:val="single" w:color="auto"/>
            <w:color w:val="0000FF"/>
          </w:rPr>
          <w:t>Revolving Credit Agreement (2014-1A), dated as of September 16, 2014, between Wilmington Trust Company, as Subordination</w:t>
        </w:r>
      </w:hyperlink>
      <w:r>
        <w:rPr>
          <w:rFonts w:ascii="Arial" w:cs="Arial" w:eastAsia="Arial" w:hAnsi="Arial"/>
          <w:sz w:val="18"/>
          <w:szCs w:val="18"/>
          <w:color w:val="auto"/>
        </w:rPr>
        <w:t xml:space="preserve"> </w:t>
      </w:r>
      <w:hyperlink r:id="rId294">
        <w:r>
          <w:rPr>
            <w:rFonts w:ascii="Arial" w:cs="Arial" w:eastAsia="Arial" w:hAnsi="Arial"/>
            <w:sz w:val="18"/>
            <w:szCs w:val="18"/>
            <w:u w:val="single" w:color="auto"/>
            <w:color w:val="0000FF"/>
          </w:rPr>
          <w:t>Agent, as agent and trustee for the trustee of the American Airlines Pass Through Trust 2014-1A, as Borrower, and Crédit</w:t>
        </w:r>
      </w:hyperlink>
    </w:p>
    <w:p>
      <w:pPr>
        <w:jc w:val="both"/>
        <w:ind w:left="920" w:right="20"/>
        <w:spacing w:after="0" w:line="229" w:lineRule="auto"/>
        <w:rPr>
          <w:rFonts w:ascii="Arial" w:cs="Arial" w:eastAsia="Arial" w:hAnsi="Arial"/>
          <w:sz w:val="18"/>
          <w:szCs w:val="18"/>
          <w:u w:val="single" w:color="auto"/>
          <w:color w:val="0000FF"/>
        </w:rPr>
      </w:pPr>
      <w:hyperlink r:id="rId294">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Exhibit 4.14 to American’s Current Report on Form 8-K filed on September 17, 2014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295">
        <w:r>
          <w:rPr>
            <w:rFonts w:ascii="Arial" w:cs="Arial" w:eastAsia="Arial" w:hAnsi="Arial"/>
            <w:sz w:val="18"/>
            <w:szCs w:val="18"/>
            <w:u w:val="single" w:color="auto"/>
            <w:color w:val="0000FF"/>
          </w:rPr>
          <w:t>Revolving Credit Agreement (2014-1B), dated as of September 16, 2014, between Wilmington Trust Company, as Subordination</w:t>
        </w:r>
      </w:hyperlink>
      <w:r>
        <w:rPr>
          <w:rFonts w:ascii="Arial" w:cs="Arial" w:eastAsia="Arial" w:hAnsi="Arial"/>
          <w:sz w:val="18"/>
          <w:szCs w:val="18"/>
          <w:color w:val="auto"/>
        </w:rPr>
        <w:t xml:space="preserve"> </w:t>
      </w:r>
      <w:hyperlink r:id="rId295">
        <w:r>
          <w:rPr>
            <w:rFonts w:ascii="Arial" w:cs="Arial" w:eastAsia="Arial" w:hAnsi="Arial"/>
            <w:sz w:val="18"/>
            <w:szCs w:val="18"/>
            <w:u w:val="single" w:color="auto"/>
            <w:color w:val="0000FF"/>
          </w:rPr>
          <w:t>Agent, as agent and trustee for the trustee of the American Airlines Pass Through Trust 2014-1B, as Borrower, and Crédit</w:t>
        </w:r>
      </w:hyperlink>
    </w:p>
    <w:p>
      <w:pPr>
        <w:jc w:val="both"/>
        <w:ind w:left="920" w:right="20"/>
        <w:spacing w:after="0" w:line="229" w:lineRule="auto"/>
        <w:rPr>
          <w:rFonts w:ascii="Arial" w:cs="Arial" w:eastAsia="Arial" w:hAnsi="Arial"/>
          <w:sz w:val="18"/>
          <w:szCs w:val="18"/>
          <w:u w:val="single" w:color="auto"/>
          <w:color w:val="0000FF"/>
        </w:rPr>
      </w:pPr>
      <w:hyperlink r:id="rId295">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95">
        <w:r>
          <w:rPr>
            <w:rFonts w:ascii="Arial" w:cs="Arial" w:eastAsia="Arial" w:hAnsi="Arial"/>
            <w:sz w:val="18"/>
            <w:szCs w:val="18"/>
            <w:u w:val="single" w:color="auto"/>
            <w:color w:val="0000FF"/>
          </w:rPr>
          <w:t>Exhibit 4.15 to American’s Current Report on Form 8-K filed on September 17, 2014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296">
        <w:r>
          <w:rPr>
            <w:rFonts w:ascii="Arial" w:cs="Arial" w:eastAsia="Arial" w:hAnsi="Arial"/>
            <w:sz w:val="18"/>
            <w:szCs w:val="18"/>
            <w:u w:val="single" w:color="auto"/>
            <w:color w:val="0000FF"/>
          </w:rPr>
          <w:t>First Supplemental Indenture, dated as of December 30, 2015, among American Airlines Group Inc., American Airlines, Inc. and</w:t>
        </w:r>
      </w:hyperlink>
      <w:r>
        <w:rPr>
          <w:rFonts w:ascii="Arial" w:cs="Arial" w:eastAsia="Arial" w:hAnsi="Arial"/>
          <w:sz w:val="18"/>
          <w:szCs w:val="18"/>
          <w:color w:val="auto"/>
        </w:rPr>
        <w:t xml:space="preserve"> </w:t>
      </w:r>
      <w:hyperlink r:id="rId296">
        <w:r>
          <w:rPr>
            <w:rFonts w:ascii="Arial" w:cs="Arial" w:eastAsia="Arial" w:hAnsi="Arial"/>
            <w:sz w:val="18"/>
            <w:szCs w:val="18"/>
            <w:u w:val="single" w:color="auto"/>
            <w:color w:val="0000FF"/>
          </w:rPr>
          <w:t>Wilmington Trust, National Association, as trustee, to the Indenture dated as of March 5, 2015 (incorporated by reference to</w:t>
        </w:r>
      </w:hyperlink>
    </w:p>
    <w:p>
      <w:pPr>
        <w:ind w:left="920"/>
        <w:spacing w:after="0"/>
        <w:rPr>
          <w:rFonts w:ascii="Arial" w:cs="Arial" w:eastAsia="Arial" w:hAnsi="Arial"/>
          <w:sz w:val="18"/>
          <w:szCs w:val="18"/>
          <w:u w:val="single" w:color="auto"/>
          <w:color w:val="0000FF"/>
        </w:rPr>
      </w:pPr>
      <w:hyperlink r:id="rId296">
        <w:r>
          <w:rPr>
            <w:rFonts w:ascii="Arial" w:cs="Arial" w:eastAsia="Arial" w:hAnsi="Arial"/>
            <w:sz w:val="18"/>
            <w:szCs w:val="18"/>
            <w:u w:val="single" w:color="auto"/>
            <w:color w:val="0000FF"/>
          </w:rPr>
          <w:t>Exhibit 4.3 to AAG’s Current Report on Form 8-K filed on December 31, 2015 (Commission File No. 1-8400)).</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w:t>
      </w:r>
      <w:hyperlink r:id="rId297">
        <w:r>
          <w:rPr>
            <w:rFonts w:ascii="Arial" w:cs="Arial" w:eastAsia="Arial" w:hAnsi="Arial"/>
            <w:sz w:val="18"/>
            <w:szCs w:val="18"/>
            <w:u w:val="single" w:color="auto"/>
            <w:color w:val="0000FF"/>
          </w:rPr>
          <w:t>Trust Supplement No. 2015-1A, dated as of March 16, 2015, between American Airlines, Inc. and Wilmington Trust Company, as</w:t>
        </w:r>
      </w:hyperlink>
      <w:r>
        <w:rPr>
          <w:rFonts w:ascii="Arial" w:cs="Arial" w:eastAsia="Arial" w:hAnsi="Arial"/>
          <w:sz w:val="18"/>
          <w:szCs w:val="18"/>
          <w:color w:val="auto"/>
        </w:rPr>
        <w:t xml:space="preserve"> </w:t>
      </w:r>
      <w:hyperlink r:id="rId297">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297">
        <w:r>
          <w:rPr>
            <w:rFonts w:ascii="Arial" w:cs="Arial" w:eastAsia="Arial" w:hAnsi="Arial"/>
            <w:sz w:val="18"/>
            <w:szCs w:val="18"/>
            <w:u w:val="single" w:color="auto"/>
            <w:color w:val="0000FF"/>
          </w:rPr>
          <w:t>American’s Current Report on Form 8-K filed on March 16,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298">
        <w:r>
          <w:rPr>
            <w:rFonts w:ascii="Arial" w:cs="Arial" w:eastAsia="Arial" w:hAnsi="Arial"/>
            <w:sz w:val="18"/>
            <w:szCs w:val="18"/>
            <w:u w:val="single" w:color="auto"/>
            <w:color w:val="0000FF"/>
          </w:rPr>
          <w:t>Trust Supplement No. 2015-1B, dated as of March 16, 2015, between American Airlines, Inc. and Wilmington Trust Company, as</w:t>
        </w:r>
      </w:hyperlink>
      <w:r>
        <w:rPr>
          <w:rFonts w:ascii="Arial" w:cs="Arial" w:eastAsia="Arial" w:hAnsi="Arial"/>
          <w:sz w:val="18"/>
          <w:szCs w:val="18"/>
          <w:color w:val="auto"/>
        </w:rPr>
        <w:t xml:space="preserve"> </w:t>
      </w:r>
      <w:hyperlink r:id="rId298">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298">
        <w:r>
          <w:rPr>
            <w:rFonts w:ascii="Arial" w:cs="Arial" w:eastAsia="Arial" w:hAnsi="Arial"/>
            <w:sz w:val="18"/>
            <w:szCs w:val="18"/>
            <w:u w:val="single" w:color="auto"/>
            <w:color w:val="0000FF"/>
          </w:rPr>
          <w:t>American’s Current Report on Form 8-K filed on March 16,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      </w:t>
      </w:r>
      <w:hyperlink r:id="rId299">
        <w:r>
          <w:rPr>
            <w:rFonts w:ascii="Arial" w:cs="Arial" w:eastAsia="Arial" w:hAnsi="Arial"/>
            <w:sz w:val="18"/>
            <w:szCs w:val="18"/>
            <w:u w:val="single" w:color="auto"/>
            <w:color w:val="0000FF"/>
          </w:rPr>
          <w:t>Intercreditor Agreement (2015-1), dated as of March 16, 2015, among Wilmington Trust Company, as Trustee of the American</w:t>
        </w:r>
      </w:hyperlink>
      <w:r>
        <w:rPr>
          <w:rFonts w:ascii="Arial" w:cs="Arial" w:eastAsia="Arial" w:hAnsi="Arial"/>
          <w:sz w:val="18"/>
          <w:szCs w:val="18"/>
          <w:color w:val="auto"/>
        </w:rPr>
        <w:t xml:space="preserve"> </w:t>
      </w:r>
      <w:hyperlink r:id="rId299">
        <w:r>
          <w:rPr>
            <w:rFonts w:ascii="Arial" w:cs="Arial" w:eastAsia="Arial" w:hAnsi="Arial"/>
            <w:sz w:val="18"/>
            <w:szCs w:val="18"/>
            <w:u w:val="single" w:color="auto"/>
            <w:color w:val="0000FF"/>
          </w:rPr>
          <w:t>Airlines Pass Through Trust 2015-1A and as Trustee of the American Airlines Pass Through Trust 2015-1B, Crédit Agricole</w:t>
        </w:r>
      </w:hyperlink>
    </w:p>
    <w:p>
      <w:pPr>
        <w:jc w:val="both"/>
        <w:ind w:left="920"/>
        <w:spacing w:after="0" w:line="220" w:lineRule="auto"/>
        <w:rPr>
          <w:rFonts w:ascii="Arial" w:cs="Arial" w:eastAsia="Arial" w:hAnsi="Arial"/>
          <w:sz w:val="18"/>
          <w:szCs w:val="18"/>
          <w:u w:val="single" w:color="auto"/>
          <w:color w:val="0000FF"/>
        </w:rPr>
      </w:pPr>
      <w:hyperlink r:id="rId299">
        <w:r>
          <w:rPr>
            <w:rFonts w:ascii="Arial" w:cs="Arial" w:eastAsia="Arial" w:hAnsi="Arial"/>
            <w:sz w:val="18"/>
            <w:szCs w:val="18"/>
            <w:u w:val="single" w:color="auto"/>
            <w:color w:val="0000FF"/>
          </w:rPr>
          <w:t>Corporate and Investment Bank, acting through its New York Branch, as Class A Liquidity Provider and Class B Liquidity Provider,</w:t>
        </w:r>
      </w:hyperlink>
      <w:r>
        <w:rPr>
          <w:rFonts w:ascii="Arial" w:cs="Arial" w:eastAsia="Arial" w:hAnsi="Arial"/>
          <w:sz w:val="18"/>
          <w:szCs w:val="18"/>
          <w:u w:val="single" w:color="auto"/>
          <w:color w:val="0000FF"/>
        </w:rPr>
        <w:t xml:space="preserve"> </w:t>
      </w:r>
      <w:hyperlink r:id="rId299">
        <w:r>
          <w:rPr>
            <w:rFonts w:ascii="Arial" w:cs="Arial" w:eastAsia="Arial" w:hAnsi="Arial"/>
            <w:sz w:val="18"/>
            <w:szCs w:val="18"/>
            <w:u w:val="single" w:color="auto"/>
            <w:color w:val="0000FF"/>
          </w:rPr>
          <w:t>and Wilmington Trust Company, as Subordination Agent (incorporated by reference to Exhibit 4.4 to American’s Current Report</w:t>
        </w:r>
      </w:hyperlink>
      <w:r>
        <w:rPr>
          <w:rFonts w:ascii="Arial" w:cs="Arial" w:eastAsia="Arial" w:hAnsi="Arial"/>
          <w:sz w:val="18"/>
          <w:szCs w:val="18"/>
          <w:u w:val="single" w:color="auto"/>
          <w:color w:val="0000FF"/>
        </w:rPr>
        <w:t xml:space="preserve"> </w:t>
      </w:r>
      <w:hyperlink r:id="rId299">
        <w:r>
          <w:rPr>
            <w:rFonts w:ascii="Arial" w:cs="Arial" w:eastAsia="Arial" w:hAnsi="Arial"/>
            <w:sz w:val="18"/>
            <w:szCs w:val="18"/>
            <w:u w:val="single" w:color="auto"/>
            <w:color w:val="0000FF"/>
          </w:rPr>
          <w:t>on Form 8-K filed on March 16, 2015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300">
        <w:r>
          <w:rPr>
            <w:rFonts w:ascii="Arial" w:cs="Arial" w:eastAsia="Arial" w:hAnsi="Arial"/>
            <w:sz w:val="18"/>
            <w:szCs w:val="18"/>
            <w:u w:val="single" w:color="auto"/>
            <w:color w:val="0000FF"/>
          </w:rPr>
          <w:t>Note Purchase Agreement, dated as of March 16, 2015, among American Airlines, Inc., Wilmington Trust Company, as Pass</w:t>
        </w:r>
      </w:hyperlink>
      <w:r>
        <w:rPr>
          <w:rFonts w:ascii="Arial" w:cs="Arial" w:eastAsia="Arial" w:hAnsi="Arial"/>
          <w:sz w:val="18"/>
          <w:szCs w:val="18"/>
          <w:color w:val="auto"/>
        </w:rPr>
        <w:t xml:space="preserve"> </w:t>
      </w:r>
      <w:hyperlink r:id="rId300">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reference to Exhibit 4.9 to American’s Current Report on Form 8-K filed on March 16,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301">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0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01">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(incorporated by reference to Exhibit 4.10 to American’s Current Report on Form 8-K filed on March 16, 2015 (Commission File</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302">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02">
        <w:r>
          <w:rPr>
            <w:rFonts w:ascii="Arial" w:cs="Arial" w:eastAsia="Arial" w:hAnsi="Arial"/>
            <w:sz w:val="18"/>
            <w:szCs w:val="18"/>
            <w:u w:val="single" w:color="auto"/>
            <w:color w:val="0000FF"/>
          </w:rPr>
          <w:t>Trust Company, as Loan Trustee) (incorporated by reference to Exhibit 4.11 to American’s Current Report on Form 8-K filed on</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March 16, 2015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297">
        <w:r>
          <w:rPr>
            <w:rFonts w:ascii="Arial" w:cs="Arial" w:eastAsia="Arial" w:hAnsi="Arial"/>
            <w:sz w:val="18"/>
            <w:szCs w:val="18"/>
            <w:u w:val="single" w:color="auto"/>
            <w:color w:val="0000FF"/>
          </w:rPr>
          <w:t>Form of Pass Through Trust Certificate, Series 2015-1A (incorporated by reference to Exhibit A to Exhibit 4.2 to American’s</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Current Report on Form 8-K filed on March 16, 2015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ab/>
      </w:r>
      <w:hyperlink r:id="rId298">
        <w:r>
          <w:rPr>
            <w:rFonts w:ascii="Arial" w:cs="Arial" w:eastAsia="Arial" w:hAnsi="Arial"/>
            <w:sz w:val="18"/>
            <w:szCs w:val="18"/>
            <w:u w:val="single" w:color="auto"/>
            <w:color w:val="0000FF"/>
          </w:rPr>
          <w:t>Form of Pass Through Trust Certificate, Series 2015-1B (incorporated by reference to Exhibit A to Exhibit 4.3 to American’s</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Current Report on Form 8-K filed on March 16, 2015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4.21      </w:t>
      </w:r>
      <w:hyperlink r:id="rId303">
        <w:r>
          <w:rPr>
            <w:rFonts w:ascii="Arial" w:cs="Arial" w:eastAsia="Arial" w:hAnsi="Arial"/>
            <w:sz w:val="18"/>
            <w:szCs w:val="18"/>
            <w:u w:val="single" w:color="auto"/>
            <w:color w:val="0000FF"/>
          </w:rPr>
          <w:t>Revolving Credit Agreement (2015-1A), dated as of March 16, 2015, between Wilmington Trust Company, as Subordination</w:t>
        </w:r>
      </w:hyperlink>
      <w:r>
        <w:rPr>
          <w:rFonts w:ascii="Arial" w:cs="Arial" w:eastAsia="Arial" w:hAnsi="Arial"/>
          <w:sz w:val="18"/>
          <w:szCs w:val="18"/>
          <w:color w:val="auto"/>
        </w:rPr>
        <w:t xml:space="preserve"> </w:t>
      </w:r>
      <w:hyperlink r:id="rId303">
        <w:r>
          <w:rPr>
            <w:rFonts w:ascii="Arial" w:cs="Arial" w:eastAsia="Arial" w:hAnsi="Arial"/>
            <w:sz w:val="18"/>
            <w:szCs w:val="18"/>
            <w:u w:val="single" w:color="auto"/>
            <w:color w:val="0000FF"/>
          </w:rPr>
          <w:t>Agent, as agent and trustee for the trustee of the American Airlines Pass Through Trust 2015-1A, as Borrower, and Crédit</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303">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03">
        <w:r>
          <w:rPr>
            <w:rFonts w:ascii="Arial" w:cs="Arial" w:eastAsia="Arial" w:hAnsi="Arial"/>
            <w:sz w:val="18"/>
            <w:szCs w:val="18"/>
            <w:u w:val="single" w:color="auto"/>
            <w:color w:val="0000FF"/>
          </w:rPr>
          <w:t>Exhibit 4.14 to American’s Current Report on Form 8-K filed on March 16, 2015 (Commission File No. 1-2691)).</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4.22      </w:t>
      </w:r>
      <w:hyperlink r:id="rId305">
        <w:r>
          <w:rPr>
            <w:rFonts w:ascii="Arial" w:cs="Arial" w:eastAsia="Arial" w:hAnsi="Arial"/>
            <w:sz w:val="18"/>
            <w:szCs w:val="18"/>
            <w:u w:val="single" w:color="auto"/>
            <w:color w:val="0000FF"/>
          </w:rPr>
          <w:t>Revolving Credit Agreement (2015-1B), dated as of March 16, 2015, between Wilmington Trust Company, as Subordination</w:t>
        </w:r>
      </w:hyperlink>
      <w:r>
        <w:rPr>
          <w:rFonts w:ascii="Arial" w:cs="Arial" w:eastAsia="Arial" w:hAnsi="Arial"/>
          <w:sz w:val="18"/>
          <w:szCs w:val="18"/>
          <w:color w:val="auto"/>
        </w:rPr>
        <w:t xml:space="preserve"> </w:t>
      </w:r>
      <w:hyperlink r:id="rId305">
        <w:r>
          <w:rPr>
            <w:rFonts w:ascii="Arial" w:cs="Arial" w:eastAsia="Arial" w:hAnsi="Arial"/>
            <w:sz w:val="18"/>
            <w:szCs w:val="18"/>
            <w:u w:val="single" w:color="auto"/>
            <w:color w:val="0000FF"/>
          </w:rPr>
          <w:t>Agent, as agent and trustee for the trustee of the American Airlines Pass Through Trust 2015-1B, as Borrower, and Crédit</w:t>
        </w:r>
      </w:hyperlink>
    </w:p>
    <w:p>
      <w:pPr>
        <w:spacing w:after="0" w:line="1"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305">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05">
        <w:r>
          <w:rPr>
            <w:rFonts w:ascii="Arial" w:cs="Arial" w:eastAsia="Arial" w:hAnsi="Arial"/>
            <w:sz w:val="18"/>
            <w:szCs w:val="18"/>
            <w:u w:val="single" w:color="auto"/>
            <w:color w:val="0000FF"/>
          </w:rPr>
          <w:t>Exhibit 4.15 to American’s Current Report on Form 8-K filed on March 16,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4.23      </w:t>
      </w:r>
      <w:hyperlink r:id="rId306">
        <w:r>
          <w:rPr>
            <w:rFonts w:ascii="Arial" w:cs="Arial" w:eastAsia="Arial" w:hAnsi="Arial"/>
            <w:sz w:val="18"/>
            <w:szCs w:val="18"/>
            <w:u w:val="single" w:color="auto"/>
            <w:color w:val="0000FF"/>
          </w:rPr>
          <w:t>Trust Supplement No. 2015-2AA, dated as of September 24, 2015, between American Airlines, Inc. and Wilmington Trust</w:t>
        </w:r>
      </w:hyperlink>
      <w:r>
        <w:rPr>
          <w:rFonts w:ascii="Arial" w:cs="Arial" w:eastAsia="Arial" w:hAnsi="Arial"/>
          <w:sz w:val="18"/>
          <w:szCs w:val="18"/>
          <w:color w:val="auto"/>
        </w:rPr>
        <w:t xml:space="preserve"> </w:t>
      </w:r>
      <w:hyperlink r:id="rId306">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306">
        <w:r>
          <w:rPr>
            <w:rFonts w:ascii="Arial" w:cs="Arial" w:eastAsia="Arial" w:hAnsi="Arial"/>
            <w:sz w:val="18"/>
            <w:szCs w:val="18"/>
            <w:u w:val="single" w:color="auto"/>
            <w:color w:val="0000FF"/>
          </w:rPr>
          <w:t>Exhibit 4.2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4.24      </w:t>
      </w:r>
      <w:hyperlink r:id="rId307">
        <w:r>
          <w:rPr>
            <w:rFonts w:ascii="Arial" w:cs="Arial" w:eastAsia="Arial" w:hAnsi="Arial"/>
            <w:sz w:val="18"/>
            <w:szCs w:val="18"/>
            <w:u w:val="single" w:color="auto"/>
            <w:color w:val="0000FF"/>
          </w:rPr>
          <w:t>Trust Supplement No. 2015-2A, dated as of September 24, 2015, between American Airlines, Inc. and Wilmington Trust</w:t>
        </w:r>
      </w:hyperlink>
      <w:r>
        <w:rPr>
          <w:rFonts w:ascii="Arial" w:cs="Arial" w:eastAsia="Arial" w:hAnsi="Arial"/>
          <w:sz w:val="18"/>
          <w:szCs w:val="18"/>
          <w:color w:val="auto"/>
        </w:rPr>
        <w:t xml:space="preserve"> </w:t>
      </w:r>
      <w:hyperlink r:id="rId307">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307">
        <w:r>
          <w:rPr>
            <w:rFonts w:ascii="Arial" w:cs="Arial" w:eastAsia="Arial" w:hAnsi="Arial"/>
            <w:sz w:val="18"/>
            <w:szCs w:val="18"/>
            <w:u w:val="single" w:color="auto"/>
            <w:color w:val="0000FF"/>
          </w:rPr>
          <w:t>Exhibit 4.3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4.25      </w:t>
      </w:r>
      <w:hyperlink r:id="rId308">
        <w:r>
          <w:rPr>
            <w:rFonts w:ascii="Arial" w:cs="Arial" w:eastAsia="Arial" w:hAnsi="Arial"/>
            <w:sz w:val="18"/>
            <w:szCs w:val="18"/>
            <w:u w:val="single" w:color="auto"/>
            <w:color w:val="0000FF"/>
          </w:rPr>
          <w:t>Trust Supplement No. 2015-2B, dated as of September 24, 2015, between American Airlines, Inc. and Wilmington Trust</w:t>
        </w:r>
      </w:hyperlink>
      <w:r>
        <w:rPr>
          <w:rFonts w:ascii="Arial" w:cs="Arial" w:eastAsia="Arial" w:hAnsi="Arial"/>
          <w:sz w:val="18"/>
          <w:szCs w:val="18"/>
          <w:color w:val="auto"/>
        </w:rPr>
        <w:t xml:space="preserve"> </w:t>
      </w:r>
      <w:hyperlink r:id="rId308">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308">
        <w:r>
          <w:rPr>
            <w:rFonts w:ascii="Arial" w:cs="Arial" w:eastAsia="Arial" w:hAnsi="Arial"/>
            <w:sz w:val="18"/>
            <w:szCs w:val="18"/>
            <w:u w:val="single" w:color="auto"/>
            <w:color w:val="0000FF"/>
          </w:rPr>
          <w:t>Exhibit 4.4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4.26      </w:t>
      </w:r>
      <w:hyperlink r:id="rId309">
        <w:r>
          <w:rPr>
            <w:rFonts w:ascii="Arial" w:cs="Arial" w:eastAsia="Arial" w:hAnsi="Arial"/>
            <w:sz w:val="18"/>
            <w:szCs w:val="18"/>
            <w:u w:val="single" w:color="auto"/>
            <w:color w:val="0000FF"/>
          </w:rPr>
          <w:t>Intercreditor Agreement (2015-2), dated as of September 24, 2015, among Wilmington Trust Company, as Trustee of the</w:t>
        </w:r>
      </w:hyperlink>
      <w:r>
        <w:rPr>
          <w:rFonts w:ascii="Arial" w:cs="Arial" w:eastAsia="Arial" w:hAnsi="Arial"/>
          <w:sz w:val="18"/>
          <w:szCs w:val="18"/>
          <w:color w:val="auto"/>
        </w:rPr>
        <w:t xml:space="preserve"> </w:t>
      </w:r>
      <w:hyperlink r:id="rId309">
        <w:r>
          <w:rPr>
            <w:rFonts w:ascii="Arial" w:cs="Arial" w:eastAsia="Arial" w:hAnsi="Arial"/>
            <w:sz w:val="18"/>
            <w:szCs w:val="18"/>
            <w:u w:val="single" w:color="auto"/>
            <w:color w:val="0000FF"/>
          </w:rPr>
          <w:t>American Airlines Pass Through Trust 2015-2AA, as Trustee of the American Airlines Pass Through Trust 2015-2A and as</w:t>
        </w:r>
      </w:hyperlink>
    </w:p>
    <w:p>
      <w:pPr>
        <w:jc w:val="both"/>
        <w:ind w:left="920"/>
        <w:spacing w:after="0" w:line="208" w:lineRule="auto"/>
        <w:rPr>
          <w:rFonts w:ascii="Arial" w:cs="Arial" w:eastAsia="Arial" w:hAnsi="Arial"/>
          <w:sz w:val="18"/>
          <w:szCs w:val="18"/>
          <w:u w:val="single" w:color="auto"/>
          <w:color w:val="0000FF"/>
        </w:rPr>
      </w:pPr>
      <w:hyperlink r:id="rId309">
        <w:r>
          <w:rPr>
            <w:rFonts w:ascii="Arial" w:cs="Arial" w:eastAsia="Arial" w:hAnsi="Arial"/>
            <w:sz w:val="18"/>
            <w:szCs w:val="18"/>
            <w:u w:val="single" w:color="auto"/>
            <w:color w:val="0000FF"/>
          </w:rPr>
          <w:t>Trustee of the American Airlines Pass Through Trust 2015-2B, Commonwealth Bank of Australia, New York Branch, as Class AA</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Liquidity Provider, Crédit Agricole Corporate and Investment Bank, acting through its New York Branch, as Class A Liquidity</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Provider and Class B Liquidity Provider, and Wilmington Trust Company, as Subordination Agent (incorporated by reference to</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09">
        <w:r>
          <w:rPr>
            <w:rFonts w:ascii="Arial" w:cs="Arial" w:eastAsia="Arial" w:hAnsi="Arial"/>
            <w:sz w:val="18"/>
            <w:szCs w:val="18"/>
            <w:u w:val="single" w:color="auto"/>
            <w:color w:val="0000FF"/>
          </w:rPr>
          <w:t>Exhibit 4.5 to American’s Current Report on Form 8-K filed on September 24, 2015 (Commission File No. 1-2691)).</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4.27      </w:t>
      </w:r>
      <w:hyperlink r:id="rId310">
        <w:r>
          <w:rPr>
            <w:rFonts w:ascii="Arial" w:cs="Arial" w:eastAsia="Arial" w:hAnsi="Arial"/>
            <w:sz w:val="18"/>
            <w:szCs w:val="18"/>
            <w:u w:val="single" w:color="auto"/>
            <w:color w:val="0000FF"/>
          </w:rPr>
          <w:t>Note Purchase Agreement, dated as of September 24, 2015, among American Airlines, Inc., Wilmington Trust Company, as Pass</w:t>
        </w:r>
      </w:hyperlink>
      <w:r>
        <w:rPr>
          <w:rFonts w:ascii="Arial" w:cs="Arial" w:eastAsia="Arial" w:hAnsi="Arial"/>
          <w:sz w:val="18"/>
          <w:szCs w:val="18"/>
          <w:color w:val="auto"/>
        </w:rPr>
        <w:t xml:space="preserve"> </w:t>
      </w:r>
      <w:hyperlink r:id="rId310">
        <w:r>
          <w:rPr>
            <w:rFonts w:ascii="Arial" w:cs="Arial" w:eastAsia="Arial" w:hAnsi="Arial"/>
            <w:sz w:val="18"/>
            <w:szCs w:val="18"/>
            <w:u w:val="single" w:color="auto"/>
            <w:color w:val="0000FF"/>
          </w:rPr>
          <w:t>Through Trustee under each of the Pass Through Trust Agreements and Wilmington Trust Company, as Subordination Agent</w:t>
        </w:r>
      </w:hyperlink>
    </w:p>
    <w:p>
      <w:pPr>
        <w:jc w:val="both"/>
        <w:ind w:left="920"/>
        <w:spacing w:after="0" w:line="229" w:lineRule="auto"/>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(incorporated by reference to Exhibit 4.6 to American’s Current Report on Form 8-K filed on September 24, 2015 (Commission</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4.28      </w:t>
      </w:r>
      <w:hyperlink r:id="rId310">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10">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(incorporated by reference to Exhibit B to Exhibit 4.6 to American’s Current Report on Form 8-K filed on September 24, 2015</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4.29      </w:t>
      </w:r>
      <w:hyperlink r:id="rId310">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10">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filed on September 24, 2015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4.30</w:t>
      </w:r>
      <w:r>
        <w:rPr>
          <w:sz w:val="20"/>
          <w:szCs w:val="20"/>
          <w:color w:val="auto"/>
        </w:rPr>
        <w:tab/>
      </w:r>
      <w:hyperlink r:id="rId306">
        <w:r>
          <w:rPr>
            <w:rFonts w:ascii="Arial" w:cs="Arial" w:eastAsia="Arial" w:hAnsi="Arial"/>
            <w:sz w:val="18"/>
            <w:szCs w:val="18"/>
            <w:u w:val="single" w:color="auto"/>
            <w:color w:val="0000FF"/>
          </w:rPr>
          <w:t>Form of Pass Through Trust Certificate, Series 2015-2AA (incorporated by reference to Exhibit A to Exhibit 4.2 to American’s</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Current Report on Form 8-K filed on September 24, 2015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4.31</w:t>
      </w:r>
      <w:r>
        <w:rPr>
          <w:sz w:val="20"/>
          <w:szCs w:val="20"/>
          <w:color w:val="auto"/>
        </w:rPr>
        <w:tab/>
      </w:r>
      <w:hyperlink r:id="rId307">
        <w:r>
          <w:rPr>
            <w:rFonts w:ascii="Arial" w:cs="Arial" w:eastAsia="Arial" w:hAnsi="Arial"/>
            <w:sz w:val="18"/>
            <w:szCs w:val="18"/>
            <w:u w:val="single" w:color="auto"/>
            <w:color w:val="0000FF"/>
          </w:rPr>
          <w:t>Form of Pass Through Trust Certificate, Series 2015-2A (incorporated by reference to Exhibit A to Exhibit 4.3 to American’s</w:t>
        </w:r>
      </w:hyperlink>
      <w:r>
        <w:rPr>
          <w:rFonts w:ascii="Arial" w:cs="Arial" w:eastAsia="Arial" w:hAnsi="Arial"/>
          <w:sz w:val="18"/>
          <w:szCs w:val="18"/>
          <w:u w:val="single" w:color="auto"/>
          <w:color w:val="0000FF"/>
        </w:rPr>
        <w:t xml:space="preserve"> </w:t>
      </w:r>
      <w:hyperlink r:id="rId307">
        <w:r>
          <w:rPr>
            <w:rFonts w:ascii="Arial" w:cs="Arial" w:eastAsia="Arial" w:hAnsi="Arial"/>
            <w:sz w:val="18"/>
            <w:szCs w:val="18"/>
            <w:u w:val="single" w:color="auto"/>
            <w:color w:val="0000FF"/>
          </w:rPr>
          <w:t>Current Report on Form 8-K filed on September 24, 2015 (Commission File No. 1-2691)).</w:t>
        </w:r>
      </w:hyperlink>
    </w:p>
    <w:p>
      <w:pPr>
        <w:spacing w:after="0" w:line="6"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4.32</w:t>
      </w:r>
      <w:r>
        <w:rPr>
          <w:sz w:val="20"/>
          <w:szCs w:val="20"/>
          <w:color w:val="auto"/>
        </w:rPr>
        <w:tab/>
      </w:r>
      <w:hyperlink r:id="rId308">
        <w:r>
          <w:rPr>
            <w:rFonts w:ascii="Arial" w:cs="Arial" w:eastAsia="Arial" w:hAnsi="Arial"/>
            <w:sz w:val="18"/>
            <w:szCs w:val="18"/>
            <w:u w:val="single" w:color="auto"/>
            <w:color w:val="0000FF"/>
          </w:rPr>
          <w:t>Form of Pass Through Trust Certificate, Series 2015-2B (incorporated by reference to Exhibit A to Exhibit 4.4 to American’s</w:t>
        </w:r>
      </w:hyperlink>
      <w:r>
        <w:rPr>
          <w:rFonts w:ascii="Arial" w:cs="Arial" w:eastAsia="Arial" w:hAnsi="Arial"/>
          <w:sz w:val="18"/>
          <w:szCs w:val="18"/>
          <w:u w:val="single" w:color="auto"/>
          <w:color w:val="0000FF"/>
        </w:rPr>
        <w:t xml:space="preserve"> </w:t>
      </w:r>
      <w:hyperlink r:id="rId308">
        <w:r>
          <w:rPr>
            <w:rFonts w:ascii="Arial" w:cs="Arial" w:eastAsia="Arial" w:hAnsi="Arial"/>
            <w:sz w:val="18"/>
            <w:szCs w:val="18"/>
            <w:u w:val="single" w:color="auto"/>
            <w:color w:val="0000FF"/>
          </w:rPr>
          <w:t>Current Report on Form 8-K filed on September 24, 2015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4.33      </w:t>
      </w:r>
      <w:hyperlink r:id="rId311">
        <w:r>
          <w:rPr>
            <w:rFonts w:ascii="Arial" w:cs="Arial" w:eastAsia="Arial" w:hAnsi="Arial"/>
            <w:sz w:val="18"/>
            <w:szCs w:val="18"/>
            <w:u w:val="single" w:color="auto"/>
            <w:color w:val="0000FF"/>
          </w:rPr>
          <w:t>Revolving  Credit  Agreement  (2015-2AA),  dated  as  of  September  24,  2015,  between  Wilmington  Trust  Company,  as</w:t>
        </w:r>
      </w:hyperlink>
      <w:r>
        <w:rPr>
          <w:rFonts w:ascii="Arial" w:cs="Arial" w:eastAsia="Arial" w:hAnsi="Arial"/>
          <w:sz w:val="18"/>
          <w:szCs w:val="18"/>
          <w:color w:val="auto"/>
        </w:rPr>
        <w:t xml:space="preserve"> </w:t>
      </w:r>
      <w:hyperlink r:id="rId311">
        <w:r>
          <w:rPr>
            <w:rFonts w:ascii="Arial" w:cs="Arial" w:eastAsia="Arial" w:hAnsi="Arial"/>
            <w:sz w:val="18"/>
            <w:szCs w:val="18"/>
            <w:u w:val="single" w:color="auto"/>
            <w:color w:val="0000FF"/>
          </w:rPr>
          <w:t>Subordination Agent, as agent and trustee for the trustee of the American Airlines Pass Through Trust 2015-2AA,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11">
        <w:r>
          <w:rPr>
            <w:rFonts w:ascii="Arial" w:cs="Arial" w:eastAsia="Arial" w:hAnsi="Arial"/>
            <w:sz w:val="18"/>
            <w:szCs w:val="18"/>
            <w:u w:val="single" w:color="auto"/>
            <w:color w:val="0000FF"/>
          </w:rPr>
          <w:t>and Commonwealth Bank of Australia, New York Branch, as Liquidity Provider (incorporated by reference to Exhibit 4.12 to</w:t>
        </w:r>
      </w:hyperlink>
      <w:r>
        <w:rPr>
          <w:rFonts w:ascii="Arial" w:cs="Arial" w:eastAsia="Arial" w:hAnsi="Arial"/>
          <w:sz w:val="18"/>
          <w:szCs w:val="18"/>
          <w:u w:val="single" w:color="auto"/>
          <w:color w:val="0000FF"/>
        </w:rPr>
        <w:t xml:space="preserve"> </w:t>
      </w:r>
      <w:hyperlink r:id="rId311">
        <w:r>
          <w:rPr>
            <w:rFonts w:ascii="Arial" w:cs="Arial" w:eastAsia="Arial" w:hAnsi="Arial"/>
            <w:sz w:val="18"/>
            <w:szCs w:val="18"/>
            <w:u w:val="single" w:color="auto"/>
            <w:color w:val="0000FF"/>
          </w:rPr>
          <w:t>American’s Current Report on Form 8-K filed on September 24,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4.34      </w:t>
      </w:r>
      <w:hyperlink r:id="rId312">
        <w:r>
          <w:rPr>
            <w:rFonts w:ascii="Arial" w:cs="Arial" w:eastAsia="Arial" w:hAnsi="Arial"/>
            <w:sz w:val="18"/>
            <w:szCs w:val="18"/>
            <w:u w:val="single" w:color="auto"/>
            <w:color w:val="0000FF"/>
          </w:rPr>
          <w:t>Revolving Credit Agreement (2015-2A), dated as of September 24, 2015, between Wilmington Trust Company, as Subordination</w:t>
        </w:r>
      </w:hyperlink>
      <w:r>
        <w:rPr>
          <w:rFonts w:ascii="Arial" w:cs="Arial" w:eastAsia="Arial" w:hAnsi="Arial"/>
          <w:sz w:val="18"/>
          <w:szCs w:val="18"/>
          <w:color w:val="auto"/>
        </w:rPr>
        <w:t xml:space="preserve"> </w:t>
      </w:r>
      <w:hyperlink r:id="rId312">
        <w:r>
          <w:rPr>
            <w:rFonts w:ascii="Arial" w:cs="Arial" w:eastAsia="Arial" w:hAnsi="Arial"/>
            <w:sz w:val="18"/>
            <w:szCs w:val="18"/>
            <w:u w:val="single" w:color="auto"/>
            <w:color w:val="0000FF"/>
          </w:rPr>
          <w:t>Agent, as agent and trustee for the trustee of the American Airlines Pass Through Trust 2015-2A, as Borrower, and Crédit</w:t>
        </w:r>
      </w:hyperlink>
    </w:p>
    <w:p>
      <w:pPr>
        <w:ind w:left="920" w:right="20"/>
        <w:spacing w:after="0" w:line="229" w:lineRule="auto"/>
        <w:rPr>
          <w:rFonts w:ascii="Arial" w:cs="Arial" w:eastAsia="Arial" w:hAnsi="Arial"/>
          <w:sz w:val="18"/>
          <w:szCs w:val="18"/>
          <w:u w:val="single" w:color="auto"/>
          <w:color w:val="0000FF"/>
        </w:rPr>
      </w:pPr>
      <w:hyperlink r:id="rId312">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12">
        <w:r>
          <w:rPr>
            <w:rFonts w:ascii="Arial" w:cs="Arial" w:eastAsia="Arial" w:hAnsi="Arial"/>
            <w:sz w:val="18"/>
            <w:szCs w:val="18"/>
            <w:u w:val="single" w:color="auto"/>
            <w:color w:val="0000FF"/>
          </w:rPr>
          <w:t>Exhibit 4.13 to American’s Current Report on Form 8-K filed on September 24,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4.35      </w:t>
      </w:r>
      <w:hyperlink r:id="rId313">
        <w:r>
          <w:rPr>
            <w:rFonts w:ascii="Arial" w:cs="Arial" w:eastAsia="Arial" w:hAnsi="Arial"/>
            <w:sz w:val="18"/>
            <w:szCs w:val="18"/>
            <w:u w:val="single" w:color="auto"/>
            <w:color w:val="0000FF"/>
          </w:rPr>
          <w:t>Revolving Credit Agreement (2015-2B), dated as of September 24, 2015, between Wilmington Trust Company, as Subordination</w:t>
        </w:r>
      </w:hyperlink>
      <w:r>
        <w:rPr>
          <w:rFonts w:ascii="Arial" w:cs="Arial" w:eastAsia="Arial" w:hAnsi="Arial"/>
          <w:sz w:val="18"/>
          <w:szCs w:val="18"/>
          <w:color w:val="auto"/>
        </w:rPr>
        <w:t xml:space="preserve"> </w:t>
      </w:r>
      <w:hyperlink r:id="rId313">
        <w:r>
          <w:rPr>
            <w:rFonts w:ascii="Arial" w:cs="Arial" w:eastAsia="Arial" w:hAnsi="Arial"/>
            <w:sz w:val="18"/>
            <w:szCs w:val="18"/>
            <w:u w:val="single" w:color="auto"/>
            <w:color w:val="0000FF"/>
          </w:rPr>
          <w:t>Agent, as agent and trustee for the trustee of the American Airlines Pass Through Trust 2015-2B, as Borrower, and Crédit</w:t>
        </w:r>
      </w:hyperlink>
    </w:p>
    <w:p>
      <w:pPr>
        <w:ind w:left="920" w:right="20"/>
        <w:spacing w:after="0" w:line="229" w:lineRule="auto"/>
        <w:rPr>
          <w:rFonts w:ascii="Arial" w:cs="Arial" w:eastAsia="Arial" w:hAnsi="Arial"/>
          <w:sz w:val="18"/>
          <w:szCs w:val="18"/>
          <w:u w:val="single" w:color="auto"/>
          <w:color w:val="0000FF"/>
        </w:rPr>
      </w:pPr>
      <w:hyperlink r:id="rId313">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Exhibit 4.14 to American’s Current Report on Form 8-K filed on September 24, 2015 (Commission File No. 1-2691)).</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4.36      </w:t>
      </w:r>
      <w:hyperlink r:id="rId315">
        <w:r>
          <w:rPr>
            <w:rFonts w:ascii="Arial" w:cs="Arial" w:eastAsia="Arial" w:hAnsi="Arial"/>
            <w:sz w:val="18"/>
            <w:szCs w:val="18"/>
            <w:u w:val="single" w:color="auto"/>
            <w:color w:val="0000FF"/>
          </w:rPr>
          <w:t>Note Purchase Agreement, dated as of April 24, 2013, among American Airlines, Inc. (as successor in interest to US Airways,</w:t>
        </w:r>
      </w:hyperlink>
      <w:r>
        <w:rPr>
          <w:rFonts w:ascii="Arial" w:cs="Arial" w:eastAsia="Arial" w:hAnsi="Arial"/>
          <w:sz w:val="18"/>
          <w:szCs w:val="18"/>
          <w:color w:val="auto"/>
        </w:rPr>
        <w:t xml:space="preserve"> </w:t>
      </w:r>
      <w:hyperlink r:id="rId315">
        <w:r>
          <w:rPr>
            <w:rFonts w:ascii="Arial" w:cs="Arial" w:eastAsia="Arial" w:hAnsi="Arial"/>
            <w:sz w:val="18"/>
            <w:szCs w:val="18"/>
            <w:u w:val="single" w:color="auto"/>
            <w:color w:val="0000FF"/>
          </w:rPr>
          <w:t>Inc.) Wilmington Trust Company, as Pass Through Trustee, Wilmington Trust Company, as Subordination Agent, Wilmington</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Trust, National Association, as Escrow Agent, and Wilmington Trust Company, as Paying Agent (incorporated by reference to</w:t>
        </w:r>
      </w:hyperlink>
      <w:r>
        <w:rPr>
          <w:rFonts w:ascii="Arial" w:cs="Arial" w:eastAsia="Arial" w:hAnsi="Arial"/>
          <w:sz w:val="18"/>
          <w:szCs w:val="18"/>
          <w:u w:val="single" w:color="auto"/>
          <w:color w:val="0000FF"/>
        </w:rPr>
        <w:t xml:space="preserve"> </w:t>
      </w:r>
      <w:hyperlink r:id="rId315">
        <w:r>
          <w:rPr>
            <w:rFonts w:ascii="Arial" w:cs="Arial" w:eastAsia="Arial" w:hAnsi="Arial"/>
            <w:sz w:val="18"/>
            <w:szCs w:val="18"/>
            <w:u w:val="single" w:color="auto"/>
            <w:color w:val="0000FF"/>
          </w:rPr>
          <w:t>Exhibit 4.12 to US Airways Group’s Current Report on Form 8-K filed on April 25,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4.37      </w:t>
      </w:r>
      <w:hyperlink r:id="rId316">
        <w:r>
          <w:rPr>
            <w:rFonts w:ascii="Arial" w:cs="Arial" w:eastAsia="Arial" w:hAnsi="Arial"/>
            <w:sz w:val="18"/>
            <w:szCs w:val="18"/>
            <w:u w:val="single" w:color="auto"/>
            <w:color w:val="0000FF"/>
          </w:rPr>
          <w:t>Assumption Agreement, dated as of December 30, 2015, by American Airlines, Inc. for the benefit of Wilmington Trust Company,</w:t>
        </w:r>
      </w:hyperlink>
      <w:r>
        <w:rPr>
          <w:rFonts w:ascii="Arial" w:cs="Arial" w:eastAsia="Arial" w:hAnsi="Arial"/>
          <w:sz w:val="18"/>
          <w:szCs w:val="18"/>
          <w:color w:val="auto"/>
        </w:rPr>
        <w:t xml:space="preserve"> </w:t>
      </w:r>
      <w:hyperlink r:id="rId316">
        <w:r>
          <w:rPr>
            <w:rFonts w:ascii="Arial" w:cs="Arial" w:eastAsia="Arial" w:hAnsi="Arial"/>
            <w:sz w:val="18"/>
            <w:szCs w:val="18"/>
            <w:u w:val="single" w:color="auto"/>
            <w:color w:val="0000FF"/>
          </w:rPr>
          <w:t>as pass through trustee, subordination agent, and paying agent, and Wilmington Trust, National Association, as escrow agent, in</w:t>
        </w:r>
      </w:hyperlink>
    </w:p>
    <w:p>
      <w:pPr>
        <w:jc w:val="both"/>
        <w:ind w:left="920"/>
        <w:spacing w:after="0" w:line="208" w:lineRule="auto"/>
        <w:rPr>
          <w:rFonts w:ascii="Arial" w:cs="Arial" w:eastAsia="Arial" w:hAnsi="Arial"/>
          <w:sz w:val="18"/>
          <w:szCs w:val="18"/>
          <w:u w:val="single" w:color="auto"/>
          <w:color w:val="0000FF"/>
        </w:rPr>
      </w:pPr>
      <w:hyperlink r:id="rId316">
        <w:r>
          <w:rPr>
            <w:rFonts w:ascii="Arial" w:cs="Arial" w:eastAsia="Arial" w:hAnsi="Arial"/>
            <w:sz w:val="18"/>
            <w:szCs w:val="18"/>
            <w:u w:val="single" w:color="auto"/>
            <w:color w:val="0000FF"/>
          </w:rPr>
          <w:t>each case, under the Note Purchase Agreement, dated as of April 24, 2013, among American Airlines, Inc. (as successor in</w:t>
        </w:r>
      </w:hyperlink>
      <w:r>
        <w:rPr>
          <w:rFonts w:ascii="Arial" w:cs="Arial" w:eastAsia="Arial" w:hAnsi="Arial"/>
          <w:sz w:val="18"/>
          <w:szCs w:val="18"/>
          <w:u w:val="single" w:color="auto"/>
          <w:color w:val="0000FF"/>
        </w:rPr>
        <w:t xml:space="preserve"> </w:t>
      </w:r>
      <w:hyperlink r:id="rId316">
        <w:r>
          <w:rPr>
            <w:rFonts w:ascii="Arial" w:cs="Arial" w:eastAsia="Arial" w:hAnsi="Arial"/>
            <w:sz w:val="18"/>
            <w:szCs w:val="18"/>
            <w:u w:val="single" w:color="auto"/>
            <w:color w:val="0000FF"/>
          </w:rPr>
          <w:t>interest to US Airways, Inc.), Wilmington Trust Company, Wilmington Trust, National Association and Wilmington Trust Company</w:t>
        </w:r>
      </w:hyperlink>
      <w:r>
        <w:rPr>
          <w:rFonts w:ascii="Arial" w:cs="Arial" w:eastAsia="Arial" w:hAnsi="Arial"/>
          <w:sz w:val="18"/>
          <w:szCs w:val="18"/>
          <w:u w:val="single" w:color="auto"/>
          <w:color w:val="0000FF"/>
        </w:rPr>
        <w:t xml:space="preserve"> </w:t>
      </w:r>
      <w:hyperlink r:id="rId316">
        <w:r>
          <w:rPr>
            <w:rFonts w:ascii="Arial" w:cs="Arial" w:eastAsia="Arial" w:hAnsi="Arial"/>
            <w:sz w:val="18"/>
            <w:szCs w:val="18"/>
            <w:u w:val="single" w:color="auto"/>
            <w:color w:val="0000FF"/>
          </w:rPr>
          <w:t>(incorporated by reference to Exhibit 10.2 to AAG’s Current Report on Form 8-K filed on December 31, 2015 (Commission File</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16">
        <w:r>
          <w:rPr>
            <w:rFonts w:ascii="Arial" w:cs="Arial" w:eastAsia="Arial" w:hAnsi="Arial"/>
            <w:sz w:val="18"/>
            <w:szCs w:val="18"/>
            <w:u w:val="single" w:color="auto"/>
            <w:color w:val="0000FF"/>
          </w:rPr>
          <w:t>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4.38      </w:t>
      </w:r>
      <w:hyperlink r:id="rId317">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color w:val="auto"/>
        </w:rPr>
        <w:t xml:space="preserve"> </w:t>
      </w:r>
      <w:hyperlink r:id="rId317">
        <w:r>
          <w:rPr>
            <w:rFonts w:ascii="Arial" w:cs="Arial" w:eastAsia="Arial" w:hAnsi="Arial"/>
            <w:sz w:val="18"/>
            <w:szCs w:val="18"/>
            <w:u w:val="single" w:color="auto"/>
            <w:color w:val="0000FF"/>
          </w:rPr>
          <w:t>Wilmington Trust Company, as Indenture Trustee, Subordination Agent and Pass Through Trustee (incorporated by reference to</w:t>
        </w:r>
      </w:hyperlink>
    </w:p>
    <w:p>
      <w:pPr>
        <w:jc w:val="center"/>
        <w:ind w:right="-19"/>
        <w:spacing w:after="0"/>
        <w:rPr>
          <w:rFonts w:ascii="Arial" w:cs="Arial" w:eastAsia="Arial" w:hAnsi="Arial"/>
          <w:sz w:val="18"/>
          <w:szCs w:val="18"/>
          <w:u w:val="single" w:color="auto"/>
          <w:color w:val="0000FF"/>
        </w:rPr>
      </w:pPr>
      <w:hyperlink r:id="rId317">
        <w:r>
          <w:rPr>
            <w:rFonts w:ascii="Arial" w:cs="Arial" w:eastAsia="Arial" w:hAnsi="Arial"/>
            <w:sz w:val="18"/>
            <w:szCs w:val="18"/>
            <w:u w:val="single" w:color="auto"/>
            <w:color w:val="0000FF"/>
          </w:rPr>
          <w:t>Exhibit 4.13 to US Airways Group’s Current Report on Form 8-K filed on April 25, 2013 (Commission File No. 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4.39      </w:t>
      </w:r>
      <w:hyperlink r:id="rId318">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color w:val="auto"/>
        </w:rPr>
        <w:t xml:space="preserve"> </w:t>
      </w:r>
      <w:hyperlink r:id="rId318">
        <w:r>
          <w:rPr>
            <w:rFonts w:ascii="Arial" w:cs="Arial" w:eastAsia="Arial" w:hAnsi="Arial"/>
            <w:sz w:val="18"/>
            <w:szCs w:val="18"/>
            <w:u w:val="single" w:color="auto"/>
            <w:color w:val="0000FF"/>
          </w:rPr>
          <w:t>Owner, Wilmington Trust, National Association, as Securities Intermediary, and Wilmington Trust Company, as Indenture Trustee</w:t>
        </w:r>
      </w:hyperlink>
    </w:p>
    <w:p>
      <w:pPr>
        <w:ind w:left="920"/>
        <w:spacing w:after="0" w:line="229" w:lineRule="auto"/>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(incorporated by reference to Exhibit 4.14 to US Airways Group’s Current Report on Form 8-K filed on April 25, 2013</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4.40      </w:t>
      </w:r>
      <w:hyperlink r:id="rId319">
        <w:r>
          <w:rPr>
            <w:rFonts w:ascii="Arial" w:cs="Arial" w:eastAsia="Arial" w:hAnsi="Arial"/>
            <w:sz w:val="18"/>
            <w:szCs w:val="18"/>
            <w:u w:val="single" w:color="auto"/>
            <w:color w:val="0000FF"/>
          </w:rPr>
          <w:t>Form of Amendment No. 1 to Participation Agreement between American Airlines, Inc. (as successor in interest to US Airways,</w:t>
        </w:r>
      </w:hyperlink>
      <w:r>
        <w:rPr>
          <w:rFonts w:ascii="Arial" w:cs="Arial" w:eastAsia="Arial" w:hAnsi="Arial"/>
          <w:sz w:val="18"/>
          <w:szCs w:val="18"/>
          <w:color w:val="auto"/>
        </w:rPr>
        <w:t xml:space="preserve"> </w:t>
      </w:r>
      <w:hyperlink r:id="rId319">
        <w:r>
          <w:rPr>
            <w:rFonts w:ascii="Arial" w:cs="Arial" w:eastAsia="Arial" w:hAnsi="Arial"/>
            <w:sz w:val="18"/>
            <w:szCs w:val="18"/>
            <w:u w:val="single" w:color="auto"/>
            <w:color w:val="0000FF"/>
          </w:rPr>
          <w:t>Inc.), as Owner, and Wilmington Trust Company, as Indenture Trustee, Subordination Agent and Pass Through Trustee (Exhibit A</w:t>
        </w:r>
      </w:hyperlink>
    </w:p>
    <w:p>
      <w:pPr>
        <w:ind w:left="920" w:right="20"/>
        <w:spacing w:after="0" w:line="229" w:lineRule="auto"/>
        <w:rPr>
          <w:rFonts w:ascii="Arial" w:cs="Arial" w:eastAsia="Arial" w:hAnsi="Arial"/>
          <w:sz w:val="18"/>
          <w:szCs w:val="18"/>
          <w:u w:val="single" w:color="auto"/>
          <w:color w:val="0000FF"/>
        </w:rPr>
      </w:pPr>
      <w:hyperlink r:id="rId319">
        <w:r>
          <w:rPr>
            <w:rFonts w:ascii="Arial" w:cs="Arial" w:eastAsia="Arial" w:hAnsi="Arial"/>
            <w:sz w:val="18"/>
            <w:szCs w:val="18"/>
            <w:u w:val="single" w:color="auto"/>
            <w:color w:val="0000FF"/>
          </w:rPr>
          <w:t>to Note Purchase Agreement) (incorporated by reference to Exhibit 4.8 to US Airways Group’s Current Report on Form 8-K filed</w:t>
        </w:r>
      </w:hyperlink>
      <w:r>
        <w:rPr>
          <w:rFonts w:ascii="Arial" w:cs="Arial" w:eastAsia="Arial" w:hAnsi="Arial"/>
          <w:sz w:val="18"/>
          <w:szCs w:val="18"/>
          <w:u w:val="single" w:color="auto"/>
          <w:color w:val="0000FF"/>
        </w:rPr>
        <w:t xml:space="preserve"> </w:t>
      </w:r>
      <w:hyperlink r:id="rId319">
        <w:r>
          <w:rPr>
            <w:rFonts w:ascii="Arial" w:cs="Arial" w:eastAsia="Arial" w:hAnsi="Arial"/>
            <w:sz w:val="18"/>
            <w:szCs w:val="18"/>
            <w:u w:val="single" w:color="auto"/>
            <w:color w:val="0000FF"/>
          </w:rPr>
          <w:t>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4.41      </w:t>
      </w:r>
      <w:hyperlink r:id="rId320">
        <w:r>
          <w:rPr>
            <w:rFonts w:ascii="Arial" w:cs="Arial" w:eastAsia="Arial" w:hAnsi="Arial"/>
            <w:sz w:val="18"/>
            <w:szCs w:val="18"/>
            <w:u w:val="single" w:color="auto"/>
            <w:color w:val="0000FF"/>
          </w:rPr>
          <w:t>Form of Amendment No. 1 to Trust Indenture and Security Agreement among American Airlines, Inc. (as successor in interest to</w:t>
        </w:r>
      </w:hyperlink>
      <w:r>
        <w:rPr>
          <w:rFonts w:ascii="Arial" w:cs="Arial" w:eastAsia="Arial" w:hAnsi="Arial"/>
          <w:sz w:val="18"/>
          <w:szCs w:val="18"/>
          <w:color w:val="auto"/>
        </w:rPr>
        <w:t xml:space="preserve"> </w:t>
      </w:r>
      <w:hyperlink r:id="rId320">
        <w:r>
          <w:rPr>
            <w:rFonts w:ascii="Arial" w:cs="Arial" w:eastAsia="Arial" w:hAnsi="Arial"/>
            <w:sz w:val="18"/>
            <w:szCs w:val="18"/>
            <w:u w:val="single" w:color="auto"/>
            <w:color w:val="0000FF"/>
          </w:rPr>
          <w:t>US Airways, Inc.), as Owner, Wilmington Trust, National Association, as Securities Intermediary, and Wilmington Trust Company,</w:t>
        </w:r>
      </w:hyperlink>
    </w:p>
    <w:p>
      <w:pPr>
        <w:ind w:left="920"/>
        <w:spacing w:after="0" w:line="229" w:lineRule="auto"/>
        <w:rPr>
          <w:rFonts w:ascii="Arial" w:cs="Arial" w:eastAsia="Arial" w:hAnsi="Arial"/>
          <w:sz w:val="18"/>
          <w:szCs w:val="18"/>
          <w:u w:val="single" w:color="auto"/>
          <w:color w:val="0000FF"/>
        </w:rPr>
      </w:pPr>
      <w:hyperlink r:id="rId320">
        <w:r>
          <w:rPr>
            <w:rFonts w:ascii="Arial" w:cs="Arial" w:eastAsia="Arial" w:hAnsi="Arial"/>
            <w:sz w:val="18"/>
            <w:szCs w:val="18"/>
            <w:u w:val="single" w:color="auto"/>
            <w:color w:val="0000FF"/>
          </w:rPr>
          <w:t>as Indenture Trustee (Exhibit B to Note Purchase Agreement) (incorporated by reference to Exhibit 4.9 to US Airways Group’s</w:t>
        </w:r>
      </w:hyperlink>
      <w:r>
        <w:rPr>
          <w:rFonts w:ascii="Arial" w:cs="Arial" w:eastAsia="Arial" w:hAnsi="Arial"/>
          <w:sz w:val="18"/>
          <w:szCs w:val="18"/>
          <w:u w:val="single" w:color="auto"/>
          <w:color w:val="0000FF"/>
        </w:rPr>
        <w:t xml:space="preserve"> </w:t>
      </w:r>
      <w:hyperlink r:id="rId320">
        <w:r>
          <w:rPr>
            <w:rFonts w:ascii="Arial" w:cs="Arial" w:eastAsia="Arial" w:hAnsi="Arial"/>
            <w:sz w:val="18"/>
            <w:szCs w:val="18"/>
            <w:u w:val="single" w:color="auto"/>
            <w:color w:val="0000FF"/>
          </w:rPr>
          <w:t>Current Report on 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4.42      </w:t>
      </w:r>
      <w:hyperlink r:id="rId321">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21">
        <w:r>
          <w:rPr>
            <w:rFonts w:ascii="Arial" w:cs="Arial" w:eastAsia="Arial" w:hAnsi="Arial"/>
            <w:sz w:val="18"/>
            <w:szCs w:val="18"/>
            <w:u w:val="single" w:color="auto"/>
            <w:color w:val="0000FF"/>
          </w:rPr>
          <w:t>US Airways Group, Inc.) relating to obligations of US Airways under the equipment notes relating to its Series 2013-1 Pass</w:t>
        </w:r>
      </w:hyperlink>
    </w:p>
    <w:p>
      <w:pPr>
        <w:ind w:left="920"/>
        <w:spacing w:after="0" w:line="229" w:lineRule="auto"/>
        <w:rPr>
          <w:rFonts w:ascii="Arial" w:cs="Arial" w:eastAsia="Arial" w:hAnsi="Arial"/>
          <w:sz w:val="18"/>
          <w:szCs w:val="18"/>
          <w:u w:val="single" w:color="auto"/>
          <w:color w:val="0000FF"/>
        </w:rPr>
      </w:pPr>
      <w:hyperlink r:id="rId321">
        <w:r>
          <w:rPr>
            <w:rFonts w:ascii="Arial" w:cs="Arial" w:eastAsia="Arial" w:hAnsi="Arial"/>
            <w:sz w:val="18"/>
            <w:szCs w:val="18"/>
            <w:u w:val="single" w:color="auto"/>
            <w:color w:val="0000FF"/>
          </w:rPr>
          <w:t>Through Certificates (incorporated by reference to Exhibit 10.5 to AAG’s Quarterly Report on Form 10-Q for the quarter ended</w:t>
        </w:r>
      </w:hyperlink>
      <w:r>
        <w:rPr>
          <w:rFonts w:ascii="Arial" w:cs="Arial" w:eastAsia="Arial" w:hAnsi="Arial"/>
          <w:sz w:val="18"/>
          <w:szCs w:val="18"/>
          <w:u w:val="single" w:color="auto"/>
          <w:color w:val="0000FF"/>
        </w:rPr>
        <w:t xml:space="preserve"> </w:t>
      </w:r>
      <w:hyperlink r:id="rId321">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4.43      </w:t>
      </w:r>
      <w:hyperlink r:id="rId322">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color w:val="auto"/>
        </w:rPr>
        <w:t xml:space="preserve"> </w:t>
      </w:r>
      <w:hyperlink r:id="rId322">
        <w:r>
          <w:rPr>
            <w:rFonts w:ascii="Arial" w:cs="Arial" w:eastAsia="Arial" w:hAnsi="Arial"/>
            <w:sz w:val="18"/>
            <w:szCs w:val="18"/>
            <w:u w:val="single" w:color="auto"/>
            <w:color w:val="0000FF"/>
          </w:rPr>
          <w:t>Wilmington Trust Company, as Indenture Trustee, Subordination Agent and Pass Through Trustee (Schedule I to Amendment No.</w:t>
        </w:r>
      </w:hyperlink>
    </w:p>
    <w:p>
      <w:pPr>
        <w:ind w:left="920"/>
        <w:spacing w:after="0" w:line="229" w:lineRule="auto"/>
        <w:rPr>
          <w:rFonts w:ascii="Arial" w:cs="Arial" w:eastAsia="Arial" w:hAnsi="Arial"/>
          <w:sz w:val="18"/>
          <w:szCs w:val="18"/>
          <w:u w:val="single" w:color="auto"/>
          <w:color w:val="0000FF"/>
        </w:rPr>
      </w:pPr>
      <w:hyperlink r:id="rId322">
        <w:r>
          <w:rPr>
            <w:rFonts w:ascii="Arial" w:cs="Arial" w:eastAsia="Arial" w:hAnsi="Arial"/>
            <w:sz w:val="18"/>
            <w:szCs w:val="18"/>
            <w:u w:val="single" w:color="auto"/>
            <w:color w:val="0000FF"/>
          </w:rPr>
          <w:t>1 to Note Purchase Agreement (2012-2)) (incorporated by reference to Exhibit 4.10 to US Airways Group’s Current Report on</w:t>
        </w:r>
      </w:hyperlink>
      <w:r>
        <w:rPr>
          <w:rFonts w:ascii="Arial" w:cs="Arial" w:eastAsia="Arial" w:hAnsi="Arial"/>
          <w:sz w:val="18"/>
          <w:szCs w:val="18"/>
          <w:u w:val="single" w:color="auto"/>
          <w:color w:val="0000FF"/>
        </w:rPr>
        <w:t xml:space="preserve"> </w:t>
      </w:r>
      <w:hyperlink r:id="rId322">
        <w:r>
          <w:rPr>
            <w:rFonts w:ascii="Arial" w:cs="Arial" w:eastAsia="Arial" w:hAnsi="Arial"/>
            <w:sz w:val="18"/>
            <w:szCs w:val="18"/>
            <w:u w:val="single" w:color="auto"/>
            <w:color w:val="0000FF"/>
          </w:rPr>
          <w:t>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4.44      </w:t>
      </w:r>
      <w:hyperlink r:id="rId323">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color w:val="auto"/>
        </w:rPr>
        <w:t xml:space="preserve"> </w:t>
      </w:r>
      <w:hyperlink r:id="rId323">
        <w:r>
          <w:rPr>
            <w:rFonts w:ascii="Arial" w:cs="Arial" w:eastAsia="Arial" w:hAnsi="Arial"/>
            <w:sz w:val="18"/>
            <w:szCs w:val="18"/>
            <w:u w:val="single" w:color="auto"/>
            <w:color w:val="0000FF"/>
          </w:rPr>
          <w:t>Owner, Wilmington Trust, National Association, as Securities Intermediary, and Wilmington Trust Company, as Indenture Trustee</w:t>
        </w:r>
      </w:hyperlink>
    </w:p>
    <w:p>
      <w:pPr>
        <w:ind w:left="920"/>
        <w:spacing w:after="0" w:line="229" w:lineRule="auto"/>
        <w:rPr>
          <w:rFonts w:ascii="Arial" w:cs="Arial" w:eastAsia="Arial" w:hAnsi="Arial"/>
          <w:sz w:val="18"/>
          <w:szCs w:val="18"/>
          <w:u w:val="single" w:color="auto"/>
          <w:color w:val="0000FF"/>
        </w:rPr>
      </w:pPr>
      <w:hyperlink r:id="rId323">
        <w:r>
          <w:rPr>
            <w:rFonts w:ascii="Arial" w:cs="Arial" w:eastAsia="Arial" w:hAnsi="Arial"/>
            <w:sz w:val="18"/>
            <w:szCs w:val="18"/>
            <w:u w:val="single" w:color="auto"/>
            <w:color w:val="0000FF"/>
          </w:rPr>
          <w:t>(Exhibit A to Amendment No. 1 to Note Purchase Agreement (2012-2)) (incorporated by reference to Exhibit 4.11 to US Airways</w:t>
        </w:r>
      </w:hyperlink>
      <w:r>
        <w:rPr>
          <w:rFonts w:ascii="Arial" w:cs="Arial" w:eastAsia="Arial" w:hAnsi="Arial"/>
          <w:sz w:val="18"/>
          <w:szCs w:val="18"/>
          <w:u w:val="single" w:color="auto"/>
          <w:color w:val="0000FF"/>
        </w:rPr>
        <w:t xml:space="preserve"> </w:t>
      </w:r>
      <w:hyperlink r:id="rId323">
        <w:r>
          <w:rPr>
            <w:rFonts w:ascii="Arial" w:cs="Arial" w:eastAsia="Arial" w:hAnsi="Arial"/>
            <w:sz w:val="18"/>
            <w:szCs w:val="18"/>
            <w:u w:val="single" w:color="auto"/>
            <w:color w:val="0000FF"/>
          </w:rPr>
          <w:t>Group’s Current Report on 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4.45      </w:t>
      </w:r>
      <w:hyperlink r:id="rId324">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24">
        <w:r>
          <w:rPr>
            <w:rFonts w:ascii="Arial" w:cs="Arial" w:eastAsia="Arial" w:hAnsi="Arial"/>
            <w:sz w:val="18"/>
            <w:szCs w:val="18"/>
            <w:u w:val="single" w:color="auto"/>
            <w:color w:val="0000FF"/>
          </w:rPr>
          <w:t>Airways, Inc.), as Owner, and Wilmington Trust Company, as Indenture Trustee and Subordination Agent) (incorporated by</w:t>
        </w:r>
      </w:hyperlink>
    </w:p>
    <w:p>
      <w:pPr>
        <w:ind w:left="920"/>
        <w:spacing w:after="0" w:line="203" w:lineRule="auto"/>
        <w:rPr>
          <w:rFonts w:ascii="Arial" w:cs="Arial" w:eastAsia="Arial" w:hAnsi="Arial"/>
          <w:sz w:val="18"/>
          <w:szCs w:val="18"/>
          <w:u w:val="single" w:color="auto"/>
          <w:color w:val="0000FF"/>
        </w:rPr>
      </w:pPr>
      <w:hyperlink r:id="rId324">
        <w:r>
          <w:rPr>
            <w:rFonts w:ascii="Arial" w:cs="Arial" w:eastAsia="Arial" w:hAnsi="Arial"/>
            <w:sz w:val="18"/>
            <w:szCs w:val="18"/>
            <w:u w:val="single" w:color="auto"/>
            <w:color w:val="0000FF"/>
          </w:rPr>
          <w:t>reference to Exhibit 4.14 to US Airways Group’s Current Report on Form 8-K filed on December 23, 2010 (Commission File No.</w:t>
        </w:r>
      </w:hyperlink>
    </w:p>
    <w:p>
      <w:pPr>
        <w:ind w:left="920"/>
        <w:spacing w:after="0"/>
        <w:rPr>
          <w:rFonts w:ascii="Arial" w:cs="Arial" w:eastAsia="Arial" w:hAnsi="Arial"/>
          <w:sz w:val="18"/>
          <w:szCs w:val="18"/>
          <w:u w:val="single" w:color="auto"/>
          <w:color w:val="0000FF"/>
        </w:rPr>
      </w:pPr>
      <w:hyperlink r:id="rId324">
        <w:r>
          <w:rPr>
            <w:rFonts w:ascii="Arial" w:cs="Arial" w:eastAsia="Arial" w:hAnsi="Arial"/>
            <w:sz w:val="18"/>
            <w:szCs w:val="18"/>
            <w:u w:val="single" w:color="auto"/>
            <w:color w:val="0000FF"/>
          </w:rPr>
          <w:t>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4.46      </w:t>
      </w:r>
      <w:hyperlink r:id="rId325">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25">
        <w:r>
          <w:rPr>
            <w:rFonts w:ascii="Arial" w:cs="Arial" w:eastAsia="Arial" w:hAnsi="Arial"/>
            <w:sz w:val="18"/>
            <w:szCs w:val="18"/>
            <w:u w:val="single" w:color="auto"/>
            <w:color w:val="0000FF"/>
          </w:rPr>
          <w:t>Airways, Inc.), as Owner, and Wilmington Trust Company, as Indenture Trustee) (incorporated by reference to Exhibit 4.15 to US</w:t>
        </w:r>
      </w:hyperlink>
    </w:p>
    <w:p>
      <w:pPr>
        <w:ind w:left="920"/>
        <w:spacing w:after="0"/>
        <w:rPr>
          <w:rFonts w:ascii="Arial" w:cs="Arial" w:eastAsia="Arial" w:hAnsi="Arial"/>
          <w:sz w:val="18"/>
          <w:szCs w:val="18"/>
          <w:u w:val="single" w:color="auto"/>
          <w:color w:val="0000FF"/>
        </w:rPr>
      </w:pPr>
      <w:hyperlink r:id="rId325">
        <w:r>
          <w:rPr>
            <w:rFonts w:ascii="Arial" w:cs="Arial" w:eastAsia="Arial" w:hAnsi="Arial"/>
            <w:sz w:val="18"/>
            <w:szCs w:val="18"/>
            <w:u w:val="single" w:color="auto"/>
            <w:color w:val="0000FF"/>
          </w:rPr>
          <w:t>Airways Group’s Current Report on Form 8-K filed on December 23, 2010 (Commission File No. 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4.47      </w:t>
      </w:r>
      <w:hyperlink r:id="rId326">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26">
        <w:r>
          <w:rPr>
            <w:rFonts w:ascii="Arial" w:cs="Arial" w:eastAsia="Arial" w:hAnsi="Arial"/>
            <w:sz w:val="18"/>
            <w:szCs w:val="18"/>
            <w:u w:val="single" w:color="auto"/>
            <w:color w:val="0000FF"/>
          </w:rPr>
          <w:t>US Airways Group, Inc.) relating to obligations of US Airways under the equipment notes relating to its Series 2010-1 Pass</w:t>
        </w:r>
      </w:hyperlink>
    </w:p>
    <w:p>
      <w:pPr>
        <w:ind w:left="920"/>
        <w:spacing w:after="0" w:line="229" w:lineRule="auto"/>
        <w:rPr>
          <w:rFonts w:ascii="Arial" w:cs="Arial" w:eastAsia="Arial" w:hAnsi="Arial"/>
          <w:sz w:val="18"/>
          <w:szCs w:val="18"/>
          <w:u w:val="single" w:color="auto"/>
          <w:color w:val="0000FF"/>
        </w:rPr>
      </w:pPr>
      <w:hyperlink r:id="rId326">
        <w:r>
          <w:rPr>
            <w:rFonts w:ascii="Arial" w:cs="Arial" w:eastAsia="Arial" w:hAnsi="Arial"/>
            <w:sz w:val="18"/>
            <w:szCs w:val="18"/>
            <w:u w:val="single" w:color="auto"/>
            <w:color w:val="0000FF"/>
          </w:rPr>
          <w:t>Through Certificates (incorporated by reference to Exhibit 10.1 to AAG’s Quarterly Report on Form 10-Q for the quarter ended</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4.48      </w:t>
      </w:r>
      <w:hyperlink r:id="rId327">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27">
        <w:r>
          <w:rPr>
            <w:rFonts w:ascii="Arial" w:cs="Arial" w:eastAsia="Arial" w:hAnsi="Arial"/>
            <w:sz w:val="18"/>
            <w:szCs w:val="18"/>
            <w:u w:val="single" w:color="auto"/>
            <w:color w:val="0000FF"/>
          </w:rPr>
          <w:t>Airways, Inc.), as Owner, and Wilmington Trust Company, as Indenture Trustee and Subordination Agent) (incorporated by</w:t>
        </w:r>
      </w:hyperlink>
    </w:p>
    <w:p>
      <w:pPr>
        <w:ind w:left="920"/>
        <w:spacing w:after="0" w:line="229" w:lineRule="auto"/>
        <w:rPr>
          <w:rFonts w:ascii="Arial" w:cs="Arial" w:eastAsia="Arial" w:hAnsi="Arial"/>
          <w:sz w:val="18"/>
          <w:szCs w:val="18"/>
          <w:u w:val="single" w:color="auto"/>
          <w:color w:val="0000FF"/>
        </w:rPr>
      </w:pPr>
      <w:hyperlink r:id="rId327">
        <w:r>
          <w:rPr>
            <w:rFonts w:ascii="Arial" w:cs="Arial" w:eastAsia="Arial" w:hAnsi="Arial"/>
            <w:sz w:val="18"/>
            <w:szCs w:val="18"/>
            <w:u w:val="single" w:color="auto"/>
            <w:color w:val="0000FF"/>
          </w:rPr>
          <w:t>reference to Exhibit 4.18 to US Airways Group’s Current Report on Form 8-K filed on July 1, 2011 (Commission File No. 1-</w:t>
        </w:r>
      </w:hyperlink>
      <w:hyperlink r:id="rId327">
        <w:r>
          <w:rPr>
            <w:rFonts w:ascii="Arial" w:cs="Arial" w:eastAsia="Arial" w:hAnsi="Arial"/>
            <w:sz w:val="18"/>
            <w:szCs w:val="18"/>
            <w:u w:val="single" w:color="auto"/>
            <w:color w:val="0000FF"/>
          </w:rPr>
          <w:t>08444)).</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4.49      </w:t>
      </w:r>
      <w:hyperlink r:id="rId329">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29">
        <w:r>
          <w:rPr>
            <w:rFonts w:ascii="Arial" w:cs="Arial" w:eastAsia="Arial" w:hAnsi="Arial"/>
            <w:sz w:val="18"/>
            <w:szCs w:val="18"/>
            <w:u w:val="single" w:color="auto"/>
            <w:color w:val="0000FF"/>
          </w:rPr>
          <w:t>Airways, Inc.), as Owner, and Wilmington Trust Company, as Indenture Trustee) (incorporated by reference to Exhibit 4.19 to US</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29">
        <w:r>
          <w:rPr>
            <w:rFonts w:ascii="Arial" w:cs="Arial" w:eastAsia="Arial" w:hAnsi="Arial"/>
            <w:sz w:val="18"/>
            <w:szCs w:val="18"/>
            <w:u w:val="single" w:color="auto"/>
            <w:color w:val="0000FF"/>
          </w:rPr>
          <w:t>Airways Group’s Current Report on Form 8-K filed on July 1, 2011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4.50      </w:t>
      </w:r>
      <w:hyperlink r:id="rId330">
        <w:r>
          <w:rPr>
            <w:rFonts w:ascii="Arial" w:cs="Arial" w:eastAsia="Arial" w:hAnsi="Arial"/>
            <w:sz w:val="18"/>
            <w:szCs w:val="18"/>
            <w:u w:val="single" w:color="auto"/>
            <w:color w:val="0000FF"/>
          </w:rPr>
          <w:t>Guarantee, dated as of June 28, 2011, from American Airlines Group Inc. (as successor in interest to US Airways Group, Inc.)</w:t>
        </w:r>
      </w:hyperlink>
      <w:r>
        <w:rPr>
          <w:rFonts w:ascii="Arial" w:cs="Arial" w:eastAsia="Arial" w:hAnsi="Arial"/>
          <w:sz w:val="18"/>
          <w:szCs w:val="18"/>
          <w:color w:val="auto"/>
        </w:rPr>
        <w:t xml:space="preserve"> </w:t>
      </w:r>
      <w:hyperlink r:id="rId330">
        <w:r>
          <w:rPr>
            <w:rFonts w:ascii="Arial" w:cs="Arial" w:eastAsia="Arial" w:hAnsi="Arial"/>
            <w:sz w:val="18"/>
            <w:szCs w:val="18"/>
            <w:u w:val="single" w:color="auto"/>
            <w:color w:val="0000FF"/>
          </w:rPr>
          <w:t>(incorporated by reference to Exhibit 4.23 to US Airways Group’s Current Report on Form 8-K filed on July 1, 2011 (Commission</w:t>
        </w:r>
      </w:hyperlink>
    </w:p>
    <w:p>
      <w:pPr>
        <w:ind w:left="920"/>
        <w:spacing w:after="0"/>
        <w:rPr>
          <w:rFonts w:ascii="Arial" w:cs="Arial" w:eastAsia="Arial" w:hAnsi="Arial"/>
          <w:sz w:val="18"/>
          <w:szCs w:val="18"/>
          <w:u w:val="single" w:color="auto"/>
          <w:color w:val="0000FF"/>
        </w:rPr>
      </w:pPr>
      <w:hyperlink r:id="rId330">
        <w:r>
          <w:rPr>
            <w:rFonts w:ascii="Arial" w:cs="Arial" w:eastAsia="Arial" w:hAnsi="Arial"/>
            <w:sz w:val="18"/>
            <w:szCs w:val="18"/>
            <w:u w:val="single" w:color="auto"/>
            <w:color w:val="0000FF"/>
          </w:rPr>
          <w:t>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4.51      </w:t>
      </w:r>
      <w:hyperlink r:id="rId331">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US Airways Group, Inc.) relating to obligations of US Airways under the equipment notes relating to its Series 2011-1 Pass</w:t>
        </w:r>
      </w:hyperlink>
    </w:p>
    <w:p>
      <w:pPr>
        <w:jc w:val="both"/>
        <w:ind w:left="920"/>
        <w:spacing w:after="0" w:line="229" w:lineRule="auto"/>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Through Certificates (incorporated by reference to Exhibit 10.2 to AAG’s Quarterly Report on Form 10-Q for the quarter ended</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4.52      </w:t>
      </w:r>
      <w:hyperlink r:id="rId332">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32">
        <w:r>
          <w:rPr>
            <w:rFonts w:ascii="Arial" w:cs="Arial" w:eastAsia="Arial" w:hAnsi="Arial"/>
            <w:sz w:val="18"/>
            <w:szCs w:val="18"/>
            <w:u w:val="single" w:color="auto"/>
            <w:color w:val="0000FF"/>
          </w:rPr>
          <w:t>Airways, Inc.), as Owner, and Wilmington Trust Company, as Indenture Trustee and Subordination Agent) (incorporated by</w:t>
        </w:r>
      </w:hyperlink>
    </w:p>
    <w:p>
      <w:pPr>
        <w:jc w:val="both"/>
        <w:ind w:left="920" w:right="20"/>
        <w:spacing w:after="0" w:line="229" w:lineRule="auto"/>
        <w:rPr>
          <w:rFonts w:ascii="Arial" w:cs="Arial" w:eastAsia="Arial" w:hAnsi="Arial"/>
          <w:sz w:val="18"/>
          <w:szCs w:val="18"/>
          <w:u w:val="single" w:color="auto"/>
          <w:color w:val="0000FF"/>
        </w:rPr>
      </w:pPr>
      <w:hyperlink r:id="rId332">
        <w:r>
          <w:rPr>
            <w:rFonts w:ascii="Arial" w:cs="Arial" w:eastAsia="Arial" w:hAnsi="Arial"/>
            <w:sz w:val="18"/>
            <w:szCs w:val="18"/>
            <w:u w:val="single" w:color="auto"/>
            <w:color w:val="0000FF"/>
          </w:rPr>
          <w:t>reference to Exhibit 4.18 to US Airways Group’s Current Report on Form 8-K filed on May 16, 2012 (Commission File No. 1-</w:t>
        </w:r>
      </w:hyperlink>
      <w:hyperlink r:id="rId332">
        <w:r>
          <w:rPr>
            <w:rFonts w:ascii="Arial" w:cs="Arial" w:eastAsia="Arial" w:hAnsi="Arial"/>
            <w:sz w:val="18"/>
            <w:szCs w:val="18"/>
            <w:u w:val="single" w:color="auto"/>
            <w:color w:val="0000FF"/>
          </w:rPr>
          <w:t>08444)).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4.53      </w:t>
      </w:r>
      <w:hyperlink r:id="rId333">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33">
        <w:r>
          <w:rPr>
            <w:rFonts w:ascii="Arial" w:cs="Arial" w:eastAsia="Arial" w:hAnsi="Arial"/>
            <w:sz w:val="18"/>
            <w:szCs w:val="18"/>
            <w:u w:val="single" w:color="auto"/>
            <w:color w:val="0000FF"/>
          </w:rPr>
          <w:t>Airways, Inc.), as Owner, and Wilmington Trust Company, as Indenture Trustee) (incorporated by reference to Exhibit 4.19 to US</w:t>
        </w:r>
      </w:hyperlink>
    </w:p>
    <w:p>
      <w:pPr>
        <w:ind w:left="920"/>
        <w:spacing w:after="0"/>
        <w:rPr>
          <w:rFonts w:ascii="Arial" w:cs="Arial" w:eastAsia="Arial" w:hAnsi="Arial"/>
          <w:sz w:val="18"/>
          <w:szCs w:val="18"/>
          <w:u w:val="single" w:color="auto"/>
          <w:color w:val="0000FF"/>
        </w:rPr>
      </w:pPr>
      <w:hyperlink r:id="rId333">
        <w:r>
          <w:rPr>
            <w:rFonts w:ascii="Arial" w:cs="Arial" w:eastAsia="Arial" w:hAnsi="Arial"/>
            <w:sz w:val="18"/>
            <w:szCs w:val="18"/>
            <w:u w:val="single" w:color="auto"/>
            <w:color w:val="0000FF"/>
          </w:rPr>
          <w:t>Airways Group’s Current Report on Form 8-K filed on May 16, 2012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4.54      </w:t>
      </w:r>
      <w:hyperlink r:id="rId334">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34">
        <w:r>
          <w:rPr>
            <w:rFonts w:ascii="Arial" w:cs="Arial" w:eastAsia="Arial" w:hAnsi="Arial"/>
            <w:sz w:val="18"/>
            <w:szCs w:val="18"/>
            <w:u w:val="single" w:color="auto"/>
            <w:color w:val="0000FF"/>
          </w:rPr>
          <w:t>US Airways Group, Inc.) relating to obligations of US Airways under the equipment notes relating to its Series 2012-1 Pass</w:t>
        </w:r>
      </w:hyperlink>
    </w:p>
    <w:p>
      <w:pPr>
        <w:jc w:val="both"/>
        <w:ind w:left="920"/>
        <w:spacing w:after="0" w:line="229" w:lineRule="auto"/>
        <w:rPr>
          <w:rFonts w:ascii="Arial" w:cs="Arial" w:eastAsia="Arial" w:hAnsi="Arial"/>
          <w:sz w:val="18"/>
          <w:szCs w:val="18"/>
          <w:u w:val="single" w:color="auto"/>
          <w:color w:val="0000FF"/>
        </w:rPr>
      </w:pPr>
      <w:hyperlink r:id="rId334">
        <w:r>
          <w:rPr>
            <w:rFonts w:ascii="Arial" w:cs="Arial" w:eastAsia="Arial" w:hAnsi="Arial"/>
            <w:sz w:val="18"/>
            <w:szCs w:val="18"/>
            <w:u w:val="single" w:color="auto"/>
            <w:color w:val="0000FF"/>
          </w:rPr>
          <w:t>Through Certificates (incorporated by reference to Exhibit 10.3 to AAG’s Quarterly Report on Form 10-Q for the quarter ended</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4.55      </w:t>
      </w:r>
      <w:hyperlink r:id="rId335">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35">
        <w:r>
          <w:rPr>
            <w:rFonts w:ascii="Arial" w:cs="Arial" w:eastAsia="Arial" w:hAnsi="Arial"/>
            <w:sz w:val="18"/>
            <w:szCs w:val="18"/>
            <w:u w:val="single" w:color="auto"/>
            <w:color w:val="0000FF"/>
          </w:rPr>
          <w:t>Airways, Inc.), as Owner, and Wilmington Trust Company, as Indenture Trustee and Subordination Agent) (incorporated by</w:t>
        </w:r>
      </w:hyperlink>
    </w:p>
    <w:p>
      <w:pPr>
        <w:jc w:val="both"/>
        <w:ind w:left="920"/>
        <w:spacing w:after="0" w:line="229" w:lineRule="auto"/>
        <w:rPr>
          <w:rFonts w:ascii="Arial" w:cs="Arial" w:eastAsia="Arial" w:hAnsi="Arial"/>
          <w:sz w:val="18"/>
          <w:szCs w:val="18"/>
          <w:u w:val="single" w:color="auto"/>
          <w:color w:val="0000FF"/>
        </w:rPr>
      </w:pPr>
      <w:hyperlink r:id="rId335">
        <w:r>
          <w:rPr>
            <w:rFonts w:ascii="Arial" w:cs="Arial" w:eastAsia="Arial" w:hAnsi="Arial"/>
            <w:sz w:val="18"/>
            <w:szCs w:val="18"/>
            <w:u w:val="single" w:color="auto"/>
            <w:color w:val="0000FF"/>
          </w:rPr>
          <w:t>reference to Exhibit B to Exhibit 4.12 to US Airways Group’s Current Report on Form 8-K filed on December 13, 2012</w:t>
        </w:r>
      </w:hyperlink>
      <w:r>
        <w:rPr>
          <w:rFonts w:ascii="Arial" w:cs="Arial" w:eastAsia="Arial" w:hAnsi="Arial"/>
          <w:sz w:val="18"/>
          <w:szCs w:val="18"/>
          <w:u w:val="single" w:color="auto"/>
          <w:color w:val="0000FF"/>
        </w:rPr>
        <w:t xml:space="preserve"> </w:t>
      </w:r>
      <w:hyperlink r:id="rId335">
        <w:r>
          <w:rPr>
            <w:rFonts w:ascii="Arial" w:cs="Arial" w:eastAsia="Arial" w:hAnsi="Arial"/>
            <w:sz w:val="18"/>
            <w:szCs w:val="18"/>
            <w:u w:val="single" w:color="auto"/>
            <w:color w:val="0000FF"/>
          </w:rPr>
          <w:t>(Commission File No. 1-08444)).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4.56      </w:t>
      </w:r>
      <w:hyperlink r:id="rId335">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35">
        <w:r>
          <w:rPr>
            <w:rFonts w:ascii="Arial" w:cs="Arial" w:eastAsia="Arial" w:hAnsi="Arial"/>
            <w:sz w:val="18"/>
            <w:szCs w:val="18"/>
            <w:u w:val="single" w:color="auto"/>
            <w:color w:val="0000FF"/>
          </w:rPr>
          <w:t>Airways, Inc.), as Owner, and Wilmington Trust Company, as Indenture Trustee) (incorporated by reference to Exhibit C to Exhibit</w:t>
        </w:r>
      </w:hyperlink>
    </w:p>
    <w:p>
      <w:pPr>
        <w:jc w:val="center"/>
        <w:spacing w:after="0"/>
        <w:rPr>
          <w:rFonts w:ascii="Arial" w:cs="Arial" w:eastAsia="Arial" w:hAnsi="Arial"/>
          <w:sz w:val="18"/>
          <w:szCs w:val="18"/>
          <w:u w:val="single" w:color="auto"/>
          <w:color w:val="0000FF"/>
        </w:rPr>
      </w:pPr>
      <w:hyperlink r:id="rId335">
        <w:r>
          <w:rPr>
            <w:rFonts w:ascii="Arial" w:cs="Arial" w:eastAsia="Arial" w:hAnsi="Arial"/>
            <w:sz w:val="18"/>
            <w:szCs w:val="18"/>
            <w:u w:val="single" w:color="auto"/>
            <w:color w:val="0000FF"/>
          </w:rPr>
          <w:t>4.12 to US Airways Group’s Current Report on Form 8-K filed on December 13, 2012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4.57      </w:t>
      </w:r>
      <w:hyperlink r:id="rId336">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36">
        <w:r>
          <w:rPr>
            <w:rFonts w:ascii="Arial" w:cs="Arial" w:eastAsia="Arial" w:hAnsi="Arial"/>
            <w:sz w:val="18"/>
            <w:szCs w:val="18"/>
            <w:u w:val="single" w:color="auto"/>
            <w:color w:val="0000FF"/>
          </w:rPr>
          <w:t>US Airways Group, Inc.) relating to obligations of US Airways under the equipment notes relating to its Series 2012-2 Pass</w:t>
        </w:r>
      </w:hyperlink>
    </w:p>
    <w:p>
      <w:pPr>
        <w:jc w:val="both"/>
        <w:ind w:left="920"/>
        <w:spacing w:after="0" w:line="229" w:lineRule="auto"/>
        <w:rPr>
          <w:rFonts w:ascii="Arial" w:cs="Arial" w:eastAsia="Arial" w:hAnsi="Arial"/>
          <w:sz w:val="18"/>
          <w:szCs w:val="18"/>
          <w:u w:val="single" w:color="auto"/>
          <w:color w:val="0000FF"/>
        </w:rPr>
      </w:pPr>
      <w:hyperlink r:id="rId336">
        <w:r>
          <w:rPr>
            <w:rFonts w:ascii="Arial" w:cs="Arial" w:eastAsia="Arial" w:hAnsi="Arial"/>
            <w:sz w:val="18"/>
            <w:szCs w:val="18"/>
            <w:u w:val="single" w:color="auto"/>
            <w:color w:val="0000FF"/>
          </w:rPr>
          <w:t>Through Certificates (incorporated by reference to Exhibit 10.4 to AAG’s Quarterly Report on Form 10-Q for the quarter ended</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4.58      </w:t>
      </w:r>
      <w:hyperlink r:id="rId337">
        <w:r>
          <w:rPr>
            <w:rFonts w:ascii="Arial" w:cs="Arial" w:eastAsia="Arial" w:hAnsi="Arial"/>
            <w:sz w:val="18"/>
            <w:szCs w:val="18"/>
            <w:u w:val="single" w:color="auto"/>
            <w:color w:val="0000FF"/>
          </w:rPr>
          <w:t>Form of Assumption Agreement, dated as of December 30, 2015, by American Airlines, Inc. for the benefit of Wilmington Trust</w:t>
        </w:r>
      </w:hyperlink>
      <w:r>
        <w:rPr>
          <w:rFonts w:ascii="Arial" w:cs="Arial" w:eastAsia="Arial" w:hAnsi="Arial"/>
          <w:sz w:val="18"/>
          <w:szCs w:val="18"/>
          <w:color w:val="auto"/>
        </w:rPr>
        <w:t xml:space="preserve"> </w:t>
      </w:r>
      <w:hyperlink r:id="rId337">
        <w:r>
          <w:rPr>
            <w:rFonts w:ascii="Arial" w:cs="Arial" w:eastAsia="Arial" w:hAnsi="Arial"/>
            <w:sz w:val="18"/>
            <w:szCs w:val="18"/>
            <w:u w:val="single" w:color="auto"/>
            <w:color w:val="0000FF"/>
          </w:rPr>
          <w:t>Company, as Indenture Trustee, to (i) each Participation Agreement between, among others, American Airlines, Inc. (as</w:t>
        </w:r>
      </w:hyperlink>
    </w:p>
    <w:p>
      <w:pPr>
        <w:jc w:val="both"/>
        <w:ind w:left="920"/>
        <w:spacing w:after="0" w:line="208" w:lineRule="auto"/>
        <w:rPr>
          <w:rFonts w:ascii="Arial" w:cs="Arial" w:eastAsia="Arial" w:hAnsi="Arial"/>
          <w:sz w:val="18"/>
          <w:szCs w:val="18"/>
          <w:u w:val="single" w:color="auto"/>
          <w:color w:val="0000FF"/>
        </w:rPr>
      </w:pPr>
      <w:hyperlink r:id="rId337">
        <w:r>
          <w:rPr>
            <w:rFonts w:ascii="Arial" w:cs="Arial" w:eastAsia="Arial" w:hAnsi="Arial"/>
            <w:sz w:val="18"/>
            <w:szCs w:val="18"/>
            <w:u w:val="single" w:color="auto"/>
            <w:color w:val="0000FF"/>
          </w:rPr>
          <w:t>successor in interest to US Airways, Inc.) and Wilmington Trust Company, as Indenture Trustee, entered into pursuant to the</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2010-1, 2011-1, 2012-1, 2012-2 and 2013-1 EETC note purchase agreements and (ii) each Trust Indenture and Security</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Agreement, between, among others, American Airlines, Inc. (as successor in interest to US Airways, Inc.), and Wilmington Trust</w:t>
        </w:r>
      </w:hyperlink>
    </w:p>
    <w:p>
      <w:pPr>
        <w:spacing w:after="0" w:line="1" w:lineRule="exact"/>
        <w:rPr>
          <w:rFonts w:ascii="Arial" w:cs="Arial" w:eastAsia="Arial" w:hAnsi="Arial"/>
          <w:sz w:val="18"/>
          <w:szCs w:val="18"/>
          <w:u w:val="single" w:color="auto"/>
          <w:color w:val="0000FF"/>
        </w:rPr>
      </w:pPr>
    </w:p>
    <w:p>
      <w:pPr>
        <w:jc w:val="both"/>
        <w:ind w:left="920"/>
        <w:spacing w:after="0" w:line="220" w:lineRule="auto"/>
        <w:rPr>
          <w:rFonts w:ascii="Arial" w:cs="Arial" w:eastAsia="Arial" w:hAnsi="Arial"/>
          <w:sz w:val="18"/>
          <w:szCs w:val="18"/>
          <w:u w:val="single" w:color="auto"/>
          <w:color w:val="0000FF"/>
        </w:rPr>
      </w:pPr>
      <w:hyperlink r:id="rId337">
        <w:r>
          <w:rPr>
            <w:rFonts w:ascii="Arial" w:cs="Arial" w:eastAsia="Arial" w:hAnsi="Arial"/>
            <w:sz w:val="18"/>
            <w:szCs w:val="18"/>
            <w:u w:val="single" w:color="auto"/>
            <w:color w:val="0000FF"/>
          </w:rPr>
          <w:t>Company, as Indenture Trustee entered into pursuant to the 2010-1, 2011-1, 2012-1, 2012-2 and 2013-1 EETC note purchase</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agreements (incorporated by reference to Exhibit 10.3 to AAG’s Current Report on Form 8-K filed on December 31, 2015</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4.59      </w:t>
      </w:r>
      <w:hyperlink r:id="rId338">
        <w:r>
          <w:rPr>
            <w:rFonts w:ascii="Arial" w:cs="Arial" w:eastAsia="Arial" w:hAnsi="Arial"/>
            <w:sz w:val="18"/>
            <w:szCs w:val="18"/>
            <w:u w:val="single" w:color="auto"/>
            <w:color w:val="0000FF"/>
          </w:rPr>
          <w:t>Trust Supplement No. 2016-1AA, dated as of January 19, 2016, between American Airlines, Inc. and Wilmington Trust Company,</w:t>
        </w:r>
      </w:hyperlink>
      <w:r>
        <w:rPr>
          <w:rFonts w:ascii="Arial" w:cs="Arial" w:eastAsia="Arial" w:hAnsi="Arial"/>
          <w:sz w:val="18"/>
          <w:szCs w:val="18"/>
          <w:color w:val="auto"/>
        </w:rPr>
        <w:t xml:space="preserve"> </w:t>
      </w:r>
      <w:hyperlink r:id="rId338">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8">
        <w:r>
          <w:rPr>
            <w:rFonts w:ascii="Arial" w:cs="Arial" w:eastAsia="Arial" w:hAnsi="Arial"/>
            <w:sz w:val="18"/>
            <w:szCs w:val="18"/>
            <w:u w:val="single" w:color="auto"/>
            <w:color w:val="0000FF"/>
          </w:rPr>
          <w:t>American’s Current Report on Form 8-K filed on January 21,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4.60      </w:t>
      </w:r>
      <w:hyperlink r:id="rId339">
        <w:r>
          <w:rPr>
            <w:rFonts w:ascii="Arial" w:cs="Arial" w:eastAsia="Arial" w:hAnsi="Arial"/>
            <w:sz w:val="18"/>
            <w:szCs w:val="18"/>
            <w:u w:val="single" w:color="auto"/>
            <w:color w:val="0000FF"/>
          </w:rPr>
          <w:t>Trust Supplement No. 2016-1A, dated as of January 19, 2016, between American Airlines, Inc. and Wilmington Trust Company,</w:t>
        </w:r>
      </w:hyperlink>
      <w:r>
        <w:rPr>
          <w:rFonts w:ascii="Arial" w:cs="Arial" w:eastAsia="Arial" w:hAnsi="Arial"/>
          <w:sz w:val="18"/>
          <w:szCs w:val="18"/>
          <w:color w:val="auto"/>
        </w:rPr>
        <w:t xml:space="preserve"> </w:t>
      </w:r>
      <w:hyperlink r:id="rId339">
        <w:r>
          <w:rPr>
            <w:rFonts w:ascii="Arial" w:cs="Arial" w:eastAsia="Arial" w:hAnsi="Arial"/>
            <w:sz w:val="18"/>
            <w:szCs w:val="18"/>
            <w:u w:val="single" w:color="auto"/>
            <w:color w:val="0000FF"/>
          </w:rPr>
          <w:t>as 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339">
        <w:r>
          <w:rPr>
            <w:rFonts w:ascii="Arial" w:cs="Arial" w:eastAsia="Arial" w:hAnsi="Arial"/>
            <w:sz w:val="18"/>
            <w:szCs w:val="18"/>
            <w:u w:val="single" w:color="auto"/>
            <w:color w:val="0000FF"/>
          </w:rPr>
          <w:t>American’s Current Report on Form 8-K filed on January 21,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4.61      </w:t>
      </w:r>
      <w:hyperlink r:id="rId340">
        <w:r>
          <w:rPr>
            <w:rFonts w:ascii="Arial" w:cs="Arial" w:eastAsia="Arial" w:hAnsi="Arial"/>
            <w:sz w:val="18"/>
            <w:szCs w:val="18"/>
            <w:u w:val="single" w:color="auto"/>
            <w:color w:val="0000FF"/>
          </w:rPr>
          <w:t>Trust Supplement No. 2016-1B, dated as of January 19, 2016, between American Airlines, Inc. and Wilmington Trust Company,</w:t>
        </w:r>
      </w:hyperlink>
      <w:r>
        <w:rPr>
          <w:rFonts w:ascii="Arial" w:cs="Arial" w:eastAsia="Arial" w:hAnsi="Arial"/>
          <w:sz w:val="18"/>
          <w:szCs w:val="18"/>
          <w:color w:val="auto"/>
        </w:rPr>
        <w:t xml:space="preserve"> </w:t>
      </w:r>
      <w:hyperlink r:id="rId340">
        <w:r>
          <w:rPr>
            <w:rFonts w:ascii="Arial" w:cs="Arial" w:eastAsia="Arial" w:hAnsi="Arial"/>
            <w:sz w:val="18"/>
            <w:szCs w:val="18"/>
            <w:u w:val="single" w:color="auto"/>
            <w:color w:val="0000FF"/>
          </w:rPr>
          <w:t>as Trustee, to the Pass Through Trust Agreement, dated as of September 16, 2014 (incorporated by reference to Exhibit 4.4 to</w:t>
        </w:r>
      </w:hyperlink>
    </w:p>
    <w:p>
      <w:pPr>
        <w:ind w:left="920"/>
        <w:spacing w:after="0"/>
        <w:rPr>
          <w:rFonts w:ascii="Arial" w:cs="Arial" w:eastAsia="Arial" w:hAnsi="Arial"/>
          <w:sz w:val="18"/>
          <w:szCs w:val="18"/>
          <w:u w:val="single" w:color="auto"/>
          <w:color w:val="0000FF"/>
        </w:rPr>
      </w:pPr>
      <w:hyperlink r:id="rId340">
        <w:r>
          <w:rPr>
            <w:rFonts w:ascii="Arial" w:cs="Arial" w:eastAsia="Arial" w:hAnsi="Arial"/>
            <w:sz w:val="18"/>
            <w:szCs w:val="18"/>
            <w:u w:val="single" w:color="auto"/>
            <w:color w:val="0000FF"/>
          </w:rPr>
          <w:t>American’s Current Report on Form 8-K filed on January 21, 2016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4.62      </w:t>
      </w:r>
      <w:hyperlink r:id="rId342">
        <w:r>
          <w:rPr>
            <w:rFonts w:ascii="Arial" w:cs="Arial" w:eastAsia="Arial" w:hAnsi="Arial"/>
            <w:sz w:val="18"/>
            <w:szCs w:val="18"/>
            <w:u w:val="single" w:color="auto"/>
            <w:color w:val="0000FF"/>
          </w:rPr>
          <w:t>Intercreditor Agreement (2016-1), dated as of January 19, 2016, among Wilmington Trust Company, as Trustee of the American</w:t>
        </w:r>
      </w:hyperlink>
      <w:r>
        <w:rPr>
          <w:rFonts w:ascii="Arial" w:cs="Arial" w:eastAsia="Arial" w:hAnsi="Arial"/>
          <w:sz w:val="18"/>
          <w:szCs w:val="18"/>
          <w:color w:val="auto"/>
        </w:rPr>
        <w:t xml:space="preserve"> </w:t>
      </w:r>
      <w:hyperlink r:id="rId342">
        <w:r>
          <w:rPr>
            <w:rFonts w:ascii="Arial" w:cs="Arial" w:eastAsia="Arial" w:hAnsi="Arial"/>
            <w:sz w:val="18"/>
            <w:szCs w:val="18"/>
            <w:u w:val="single" w:color="auto"/>
            <w:color w:val="0000FF"/>
          </w:rPr>
          <w:t>Airlines Pass Through Trust 2016-1AA, as Trustee of the American Airlines Pass Through Trust 2016-1A and as Trustee of the</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42">
        <w:r>
          <w:rPr>
            <w:rFonts w:ascii="Arial" w:cs="Arial" w:eastAsia="Arial" w:hAnsi="Arial"/>
            <w:sz w:val="18"/>
            <w:szCs w:val="18"/>
            <w:u w:val="single" w:color="auto"/>
            <w:color w:val="0000FF"/>
          </w:rPr>
          <w:t>American Airlines Pass Through Trust 2016-1B, KfW IPEX-Bank GmbH, as Class AA Liquidity Provider, Class A Liquidity</w:t>
        </w:r>
      </w:hyperlink>
      <w:r>
        <w:rPr>
          <w:rFonts w:ascii="Arial" w:cs="Arial" w:eastAsia="Arial" w:hAnsi="Arial"/>
          <w:sz w:val="18"/>
          <w:szCs w:val="18"/>
          <w:u w:val="single" w:color="auto"/>
          <w:color w:val="0000FF"/>
        </w:rPr>
        <w:t xml:space="preserve"> </w:t>
      </w:r>
      <w:hyperlink r:id="rId342">
        <w:r>
          <w:rPr>
            <w:rFonts w:ascii="Arial" w:cs="Arial" w:eastAsia="Arial" w:hAnsi="Arial"/>
            <w:sz w:val="18"/>
            <w:szCs w:val="18"/>
            <w:u w:val="single" w:color="auto"/>
            <w:color w:val="0000FF"/>
          </w:rPr>
          <w:t>Provider and Class B Liquidity Provider, and Wilmington Trust Company, as Subordination Agent (incorporated by reference to</w:t>
        </w:r>
      </w:hyperlink>
      <w:r>
        <w:rPr>
          <w:rFonts w:ascii="Arial" w:cs="Arial" w:eastAsia="Arial" w:hAnsi="Arial"/>
          <w:sz w:val="18"/>
          <w:szCs w:val="18"/>
          <w:u w:val="single" w:color="auto"/>
          <w:color w:val="0000FF"/>
        </w:rPr>
        <w:t xml:space="preserve"> </w:t>
      </w:r>
      <w:hyperlink r:id="rId342">
        <w:r>
          <w:rPr>
            <w:rFonts w:ascii="Arial" w:cs="Arial" w:eastAsia="Arial" w:hAnsi="Arial"/>
            <w:sz w:val="18"/>
            <w:szCs w:val="18"/>
            <w:u w:val="single" w:color="auto"/>
            <w:color w:val="0000FF"/>
          </w:rPr>
          <w:t>exhibit 4.5 to American’s Current Report on Form 8-K filed on January 21, 2016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4.63      </w:t>
      </w:r>
      <w:hyperlink r:id="rId343">
        <w:r>
          <w:rPr>
            <w:rFonts w:ascii="Arial" w:cs="Arial" w:eastAsia="Arial" w:hAnsi="Arial"/>
            <w:sz w:val="18"/>
            <w:szCs w:val="18"/>
            <w:u w:val="single" w:color="auto"/>
            <w:color w:val="0000FF"/>
          </w:rPr>
          <w:t>Note Purchase Agreement, dated as of January 19, 2016, among American Airlines, Inc., Wilmington Trust Company, as Pass</w:t>
        </w:r>
      </w:hyperlink>
      <w:r>
        <w:rPr>
          <w:rFonts w:ascii="Arial" w:cs="Arial" w:eastAsia="Arial" w:hAnsi="Arial"/>
          <w:sz w:val="18"/>
          <w:szCs w:val="18"/>
          <w:color w:val="auto"/>
        </w:rPr>
        <w:t xml:space="preserve"> </w:t>
      </w:r>
      <w:hyperlink r:id="rId343">
        <w:r>
          <w:rPr>
            <w:rFonts w:ascii="Arial" w:cs="Arial" w:eastAsia="Arial" w:hAnsi="Arial"/>
            <w:sz w:val="18"/>
            <w:szCs w:val="18"/>
            <w:u w:val="single" w:color="auto"/>
            <w:color w:val="0000FF"/>
          </w:rPr>
          <w:t>Through Trustee under each of the Pass Through Trust Agreements, and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43">
        <w:r>
          <w:rPr>
            <w:rFonts w:ascii="Arial" w:cs="Arial" w:eastAsia="Arial" w:hAnsi="Arial"/>
            <w:sz w:val="18"/>
            <w:szCs w:val="18"/>
            <w:u w:val="single" w:color="auto"/>
            <w:color w:val="0000FF"/>
          </w:rPr>
          <w:t>(incorporated by reference to Exhibit 4.6 to American’s Current Report on Form 8-K filed on January 21, 2016 (Commission File</w:t>
        </w:r>
      </w:hyperlink>
      <w:r>
        <w:rPr>
          <w:rFonts w:ascii="Arial" w:cs="Arial" w:eastAsia="Arial" w:hAnsi="Arial"/>
          <w:sz w:val="18"/>
          <w:szCs w:val="18"/>
          <w:u w:val="single" w:color="auto"/>
          <w:color w:val="0000FF"/>
        </w:rPr>
        <w:t xml:space="preserve"> </w:t>
      </w:r>
      <w:hyperlink r:id="rId343">
        <w:r>
          <w:rPr>
            <w:rFonts w:ascii="Arial" w:cs="Arial" w:eastAsia="Arial" w:hAnsi="Arial"/>
            <w:sz w:val="18"/>
            <w:szCs w:val="18"/>
            <w:u w:val="single" w:color="auto"/>
            <w:color w:val="0000FF"/>
          </w:rPr>
          <w:t>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4.64      </w:t>
      </w:r>
      <w:hyperlink r:id="rId343">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43">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43">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43">
        <w:r>
          <w:rPr>
            <w:rFonts w:ascii="Arial" w:cs="Arial" w:eastAsia="Arial" w:hAnsi="Arial"/>
            <w:sz w:val="18"/>
            <w:szCs w:val="18"/>
            <w:u w:val="single" w:color="auto"/>
            <w:color w:val="0000FF"/>
          </w:rPr>
          <w:t>(incorporated by reference to Exhibit B to Exhibit 4.6 to American’s Current Report on Form 8-K filed on January 21, 2016</w:t>
        </w:r>
      </w:hyperlink>
      <w:r>
        <w:rPr>
          <w:rFonts w:ascii="Arial" w:cs="Arial" w:eastAsia="Arial" w:hAnsi="Arial"/>
          <w:sz w:val="18"/>
          <w:szCs w:val="18"/>
          <w:u w:val="single" w:color="auto"/>
          <w:color w:val="0000FF"/>
        </w:rPr>
        <w:t xml:space="preserve"> </w:t>
      </w:r>
      <w:hyperlink r:id="rId343">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4.65      </w:t>
      </w:r>
      <w:hyperlink r:id="rId343">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43">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43">
        <w:r>
          <w:rPr>
            <w:rFonts w:ascii="Arial" w:cs="Arial" w:eastAsia="Arial" w:hAnsi="Arial"/>
            <w:sz w:val="18"/>
            <w:szCs w:val="18"/>
            <w:u w:val="single" w:color="auto"/>
            <w:color w:val="0000FF"/>
          </w:rPr>
          <w:t>filed on January 21,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4.66</w:t>
      </w:r>
      <w:r>
        <w:rPr>
          <w:sz w:val="20"/>
          <w:szCs w:val="20"/>
          <w:color w:val="auto"/>
        </w:rPr>
        <w:tab/>
      </w:r>
      <w:hyperlink r:id="rId338">
        <w:r>
          <w:rPr>
            <w:rFonts w:ascii="Arial" w:cs="Arial" w:eastAsia="Arial" w:hAnsi="Arial"/>
            <w:sz w:val="18"/>
            <w:szCs w:val="18"/>
            <w:u w:val="single" w:color="auto"/>
            <w:color w:val="0000FF"/>
          </w:rPr>
          <w:t>Form of Pass Through Trust Certificate, Series 2016-1AA (incorporated by reference to Exhibit A to Exhibit 4.2 to American’s</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Current Report on Form 8-K filed on January 21, 2016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4.67</w:t>
      </w:r>
      <w:r>
        <w:rPr>
          <w:sz w:val="20"/>
          <w:szCs w:val="20"/>
          <w:color w:val="auto"/>
        </w:rPr>
        <w:tab/>
      </w:r>
      <w:hyperlink r:id="rId339">
        <w:r>
          <w:rPr>
            <w:rFonts w:ascii="Arial" w:cs="Arial" w:eastAsia="Arial" w:hAnsi="Arial"/>
            <w:sz w:val="18"/>
            <w:szCs w:val="18"/>
            <w:u w:val="single" w:color="auto"/>
            <w:color w:val="0000FF"/>
          </w:rPr>
          <w:t>Form of Pass Through Trust Certificate, Series 2016-1A (incorporated by reference to Exhibit A to Exhibit 4.3 to American’s</w:t>
        </w:r>
      </w:hyperlink>
      <w:r>
        <w:rPr>
          <w:rFonts w:ascii="Arial" w:cs="Arial" w:eastAsia="Arial" w:hAnsi="Arial"/>
          <w:sz w:val="18"/>
          <w:szCs w:val="18"/>
          <w:u w:val="single" w:color="auto"/>
          <w:color w:val="0000FF"/>
        </w:rPr>
        <w:t xml:space="preserve"> </w:t>
      </w:r>
      <w:hyperlink r:id="rId339">
        <w:r>
          <w:rPr>
            <w:rFonts w:ascii="Arial" w:cs="Arial" w:eastAsia="Arial" w:hAnsi="Arial"/>
            <w:sz w:val="18"/>
            <w:szCs w:val="18"/>
            <w:u w:val="single" w:color="auto"/>
            <w:color w:val="0000FF"/>
          </w:rPr>
          <w:t>Current Report on Form 8-K filed on January 21, 2016 (Commission File No. 1-2691)).</w:t>
        </w:r>
      </w:hyperlink>
    </w:p>
    <w:p>
      <w:pPr>
        <w:spacing w:after="0" w:line="6"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4.68</w:t>
      </w:r>
      <w:r>
        <w:rPr>
          <w:sz w:val="20"/>
          <w:szCs w:val="20"/>
          <w:color w:val="auto"/>
        </w:rPr>
        <w:tab/>
      </w:r>
      <w:hyperlink r:id="rId340">
        <w:r>
          <w:rPr>
            <w:rFonts w:ascii="Arial" w:cs="Arial" w:eastAsia="Arial" w:hAnsi="Arial"/>
            <w:sz w:val="18"/>
            <w:szCs w:val="18"/>
            <w:u w:val="single" w:color="auto"/>
            <w:color w:val="0000FF"/>
          </w:rPr>
          <w:t>Form of Pass Through Trust Certificate, Series 2016-1B (incorporated by reference to Exhibit A to Exhibit 4.4 to American’s</w:t>
        </w:r>
      </w:hyperlink>
      <w:r>
        <w:rPr>
          <w:rFonts w:ascii="Arial" w:cs="Arial" w:eastAsia="Arial" w:hAnsi="Arial"/>
          <w:sz w:val="18"/>
          <w:szCs w:val="18"/>
          <w:u w:val="single" w:color="auto"/>
          <w:color w:val="0000FF"/>
        </w:rPr>
        <w:t xml:space="preserve"> </w:t>
      </w:r>
      <w:hyperlink r:id="rId340">
        <w:r>
          <w:rPr>
            <w:rFonts w:ascii="Arial" w:cs="Arial" w:eastAsia="Arial" w:hAnsi="Arial"/>
            <w:sz w:val="18"/>
            <w:szCs w:val="18"/>
            <w:u w:val="single" w:color="auto"/>
            <w:color w:val="0000FF"/>
          </w:rPr>
          <w:t>Current Report on Form 8-K filed on January 21, 2016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4.69      </w:t>
      </w:r>
      <w:hyperlink r:id="rId344">
        <w:r>
          <w:rPr>
            <w:rFonts w:ascii="Arial" w:cs="Arial" w:eastAsia="Arial" w:hAnsi="Arial"/>
            <w:sz w:val="18"/>
            <w:szCs w:val="18"/>
            <w:u w:val="single" w:color="auto"/>
            <w:color w:val="0000FF"/>
          </w:rPr>
          <w:t>Revolving Credit Agreement (2016-1AA), dated as of January 19, 2016, between Wilmington Trust Company, as Subordination</w:t>
        </w:r>
      </w:hyperlink>
      <w:r>
        <w:rPr>
          <w:rFonts w:ascii="Arial" w:cs="Arial" w:eastAsia="Arial" w:hAnsi="Arial"/>
          <w:sz w:val="18"/>
          <w:szCs w:val="18"/>
          <w:color w:val="auto"/>
        </w:rPr>
        <w:t xml:space="preserve"> </w:t>
      </w:r>
      <w:hyperlink r:id="rId344">
        <w:r>
          <w:rPr>
            <w:rFonts w:ascii="Arial" w:cs="Arial" w:eastAsia="Arial" w:hAnsi="Arial"/>
            <w:sz w:val="18"/>
            <w:szCs w:val="18"/>
            <w:u w:val="single" w:color="auto"/>
            <w:color w:val="0000FF"/>
          </w:rPr>
          <w:t>Agent, as agent and trustee for the trustee of the American Airlines Pass Through Trust 2016-1AA,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44">
        <w:r>
          <w:rPr>
            <w:rFonts w:ascii="Arial" w:cs="Arial" w:eastAsia="Arial" w:hAnsi="Arial"/>
            <w:sz w:val="18"/>
            <w:szCs w:val="18"/>
            <w:u w:val="single" w:color="auto"/>
            <w:color w:val="0000FF"/>
          </w:rPr>
          <w:t>Bank GmbH, as Liquidity Provider (incorporated by reference to Exhibit 4.12 to American’s Current Report on Form 8-K filed on</w:t>
        </w:r>
      </w:hyperlink>
      <w:r>
        <w:rPr>
          <w:rFonts w:ascii="Arial" w:cs="Arial" w:eastAsia="Arial" w:hAnsi="Arial"/>
          <w:sz w:val="18"/>
          <w:szCs w:val="18"/>
          <w:u w:val="single" w:color="auto"/>
          <w:color w:val="0000FF"/>
        </w:rPr>
        <w:t xml:space="preserve"> </w:t>
      </w:r>
      <w:hyperlink r:id="rId344">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4.70      </w:t>
      </w:r>
      <w:hyperlink r:id="rId345">
        <w:r>
          <w:rPr>
            <w:rFonts w:ascii="Arial" w:cs="Arial" w:eastAsia="Arial" w:hAnsi="Arial"/>
            <w:sz w:val="18"/>
            <w:szCs w:val="18"/>
            <w:u w:val="single" w:color="auto"/>
            <w:color w:val="0000FF"/>
          </w:rPr>
          <w:t>Revolving Credit Agreement (2016-1A), dated as of January 19, 2016, between Wilmington Trust Company, as Subordination</w:t>
        </w:r>
      </w:hyperlink>
      <w:r>
        <w:rPr>
          <w:rFonts w:ascii="Arial" w:cs="Arial" w:eastAsia="Arial" w:hAnsi="Arial"/>
          <w:sz w:val="18"/>
          <w:szCs w:val="18"/>
          <w:color w:val="auto"/>
        </w:rPr>
        <w:t xml:space="preserve"> </w:t>
      </w:r>
      <w:hyperlink r:id="rId345">
        <w:r>
          <w:rPr>
            <w:rFonts w:ascii="Arial" w:cs="Arial" w:eastAsia="Arial" w:hAnsi="Arial"/>
            <w:sz w:val="18"/>
            <w:szCs w:val="18"/>
            <w:u w:val="single" w:color="auto"/>
            <w:color w:val="0000FF"/>
          </w:rPr>
          <w:t>Agent, as agent and trustee for the trustee of the American Airlines Pass Through Trust 2016-1A, as Borrower, and KfW IPEX-</w:t>
        </w:r>
      </w:hyperlink>
    </w:p>
    <w:p>
      <w:pPr>
        <w:jc w:val="both"/>
        <w:ind w:left="920"/>
        <w:spacing w:after="0" w:line="229" w:lineRule="auto"/>
        <w:rPr>
          <w:rFonts w:ascii="Arial" w:cs="Arial" w:eastAsia="Arial" w:hAnsi="Arial"/>
          <w:sz w:val="18"/>
          <w:szCs w:val="18"/>
          <w:u w:val="single" w:color="auto"/>
          <w:color w:val="0000FF"/>
        </w:rPr>
      </w:pPr>
      <w:hyperlink r:id="rId345">
        <w:r>
          <w:rPr>
            <w:rFonts w:ascii="Arial" w:cs="Arial" w:eastAsia="Arial" w:hAnsi="Arial"/>
            <w:sz w:val="18"/>
            <w:szCs w:val="18"/>
            <w:u w:val="single" w:color="auto"/>
            <w:color w:val="0000FF"/>
          </w:rPr>
          <w:t>Bank GmbH, as Liquidity Provider (incorporated by reference to Exhibit 4.13 to American’s Current Report on Form 8-K filed on</w:t>
        </w:r>
      </w:hyperlink>
      <w:r>
        <w:rPr>
          <w:rFonts w:ascii="Arial" w:cs="Arial" w:eastAsia="Arial" w:hAnsi="Arial"/>
          <w:sz w:val="18"/>
          <w:szCs w:val="18"/>
          <w:u w:val="single" w:color="auto"/>
          <w:color w:val="0000FF"/>
        </w:rPr>
        <w:t xml:space="preserve"> </w:t>
      </w:r>
      <w:hyperlink r:id="rId345">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4.71      </w:t>
      </w:r>
      <w:hyperlink r:id="rId346">
        <w:r>
          <w:rPr>
            <w:rFonts w:ascii="Arial" w:cs="Arial" w:eastAsia="Arial" w:hAnsi="Arial"/>
            <w:sz w:val="18"/>
            <w:szCs w:val="18"/>
            <w:u w:val="single" w:color="auto"/>
            <w:color w:val="0000FF"/>
          </w:rPr>
          <w:t>Revolving Credit Agreement (2016-1B), dated as of January 19, 2016, between Wilmington Trust Company, as Subordination</w:t>
        </w:r>
      </w:hyperlink>
      <w:r>
        <w:rPr>
          <w:rFonts w:ascii="Arial" w:cs="Arial" w:eastAsia="Arial" w:hAnsi="Arial"/>
          <w:sz w:val="18"/>
          <w:szCs w:val="18"/>
          <w:color w:val="auto"/>
        </w:rPr>
        <w:t xml:space="preserve"> </w:t>
      </w:r>
      <w:hyperlink r:id="rId346">
        <w:r>
          <w:rPr>
            <w:rFonts w:ascii="Arial" w:cs="Arial" w:eastAsia="Arial" w:hAnsi="Arial"/>
            <w:sz w:val="18"/>
            <w:szCs w:val="18"/>
            <w:u w:val="single" w:color="auto"/>
            <w:color w:val="0000FF"/>
          </w:rPr>
          <w:t>Agent, as agent and trustee for the trustee of the American Airlines Pass Through Trust 2016-1B, as Borrower, and KfW IPEX-</w:t>
        </w:r>
      </w:hyperlink>
    </w:p>
    <w:p>
      <w:pPr>
        <w:jc w:val="both"/>
        <w:ind w:left="920"/>
        <w:spacing w:after="0" w:line="229" w:lineRule="auto"/>
        <w:rPr>
          <w:rFonts w:ascii="Arial" w:cs="Arial" w:eastAsia="Arial" w:hAnsi="Arial"/>
          <w:sz w:val="18"/>
          <w:szCs w:val="18"/>
          <w:u w:val="single" w:color="auto"/>
          <w:color w:val="0000FF"/>
        </w:rPr>
      </w:pPr>
      <w:hyperlink r:id="rId346">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46">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4.72      </w:t>
      </w:r>
      <w:hyperlink r:id="rId347">
        <w:r>
          <w:rPr>
            <w:rFonts w:ascii="Arial" w:cs="Arial" w:eastAsia="Arial" w:hAnsi="Arial"/>
            <w:sz w:val="18"/>
            <w:szCs w:val="18"/>
            <w:u w:val="single" w:color="auto"/>
            <w:color w:val="0000FF"/>
          </w:rPr>
          <w:t>Trust Supplement No. 2016-2AA, dated as of May 16, 2016, between American Airlines, Inc. and Wilmington Trust Company, as</w:t>
        </w:r>
      </w:hyperlink>
      <w:r>
        <w:rPr>
          <w:rFonts w:ascii="Arial" w:cs="Arial" w:eastAsia="Arial" w:hAnsi="Arial"/>
          <w:sz w:val="18"/>
          <w:szCs w:val="18"/>
          <w:color w:val="auto"/>
        </w:rPr>
        <w:t xml:space="preserve"> </w:t>
      </w:r>
      <w:hyperlink r:id="rId347">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47">
        <w:r>
          <w:rPr>
            <w:rFonts w:ascii="Arial" w:cs="Arial" w:eastAsia="Arial" w:hAnsi="Arial"/>
            <w:sz w:val="18"/>
            <w:szCs w:val="18"/>
            <w:u w:val="single" w:color="auto"/>
            <w:color w:val="0000FF"/>
          </w:rPr>
          <w:t>American’s Current Report on Form 8-K filed on May 17,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4.73      </w:t>
      </w:r>
      <w:hyperlink r:id="rId348">
        <w:r>
          <w:rPr>
            <w:rFonts w:ascii="Arial" w:cs="Arial" w:eastAsia="Arial" w:hAnsi="Arial"/>
            <w:sz w:val="18"/>
            <w:szCs w:val="18"/>
            <w:u w:val="single" w:color="auto"/>
            <w:color w:val="0000FF"/>
          </w:rPr>
          <w:t>Trust Supplement No. 2016-2A, dated as of May 16, 2016, between American Airlines, Inc. and Wilmington Trust Company, as</w:t>
        </w:r>
      </w:hyperlink>
      <w:r>
        <w:rPr>
          <w:rFonts w:ascii="Arial" w:cs="Arial" w:eastAsia="Arial" w:hAnsi="Arial"/>
          <w:sz w:val="18"/>
          <w:szCs w:val="18"/>
          <w:color w:val="auto"/>
        </w:rPr>
        <w:t xml:space="preserve"> </w:t>
      </w:r>
      <w:hyperlink r:id="rId348">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348">
        <w:r>
          <w:rPr>
            <w:rFonts w:ascii="Arial" w:cs="Arial" w:eastAsia="Arial" w:hAnsi="Arial"/>
            <w:sz w:val="18"/>
            <w:szCs w:val="18"/>
            <w:u w:val="single" w:color="auto"/>
            <w:color w:val="0000FF"/>
          </w:rPr>
          <w:t>American’s Current Report on Form 8-K filed on May 17,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4.74      </w:t>
      </w:r>
      <w:hyperlink r:id="rId349">
        <w:r>
          <w:rPr>
            <w:rFonts w:ascii="Arial" w:cs="Arial" w:eastAsia="Arial" w:hAnsi="Arial"/>
            <w:sz w:val="18"/>
            <w:szCs w:val="18"/>
            <w:u w:val="single" w:color="auto"/>
            <w:color w:val="0000FF"/>
          </w:rPr>
          <w:t>Intercreditor Agreement (2016-2), dated as of May 16, 2016, among Wilmington Trust Company, as Trustee of the American</w:t>
        </w:r>
      </w:hyperlink>
      <w:r>
        <w:rPr>
          <w:rFonts w:ascii="Arial" w:cs="Arial" w:eastAsia="Arial" w:hAnsi="Arial"/>
          <w:sz w:val="18"/>
          <w:szCs w:val="18"/>
          <w:color w:val="auto"/>
        </w:rPr>
        <w:t xml:space="preserve"> </w:t>
      </w:r>
      <w:hyperlink r:id="rId349">
        <w:r>
          <w:rPr>
            <w:rFonts w:ascii="Arial" w:cs="Arial" w:eastAsia="Arial" w:hAnsi="Arial"/>
            <w:sz w:val="18"/>
            <w:szCs w:val="18"/>
            <w:u w:val="single" w:color="auto"/>
            <w:color w:val="0000FF"/>
          </w:rPr>
          <w:t>Airlines Pass Through Trust 2016-2AA and as Trustee of the American Airlines Pass Through Trust 2016-2A, KfW IPEX-Bank</w:t>
        </w:r>
      </w:hyperlink>
    </w:p>
    <w:p>
      <w:pPr>
        <w:jc w:val="both"/>
        <w:ind w:left="920"/>
        <w:spacing w:after="0" w:line="220" w:lineRule="auto"/>
        <w:rPr>
          <w:rFonts w:ascii="Arial" w:cs="Arial" w:eastAsia="Arial" w:hAnsi="Arial"/>
          <w:sz w:val="18"/>
          <w:szCs w:val="18"/>
          <w:u w:val="single" w:color="auto"/>
          <w:color w:val="0000FF"/>
        </w:rPr>
      </w:pPr>
      <w:hyperlink r:id="rId349">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349">
        <w:r>
          <w:rPr>
            <w:rFonts w:ascii="Arial" w:cs="Arial" w:eastAsia="Arial" w:hAnsi="Arial"/>
            <w:sz w:val="18"/>
            <w:szCs w:val="18"/>
            <w:u w:val="single" w:color="auto"/>
            <w:color w:val="0000FF"/>
          </w:rPr>
          <w:t>(incorporated by reference to Exhibit 4.4 to American’s Current Report on Form 8-K filed on May 17, 2016 (Commission File</w:t>
        </w:r>
      </w:hyperlink>
      <w:r>
        <w:rPr>
          <w:rFonts w:ascii="Arial" w:cs="Arial" w:eastAsia="Arial" w:hAnsi="Arial"/>
          <w:sz w:val="18"/>
          <w:szCs w:val="18"/>
          <w:u w:val="single" w:color="auto"/>
          <w:color w:val="0000FF"/>
        </w:rPr>
        <w:t xml:space="preserve"> </w:t>
      </w:r>
      <w:hyperlink r:id="rId349">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4.75      </w:t>
      </w:r>
      <w:hyperlink r:id="rId350">
        <w:r>
          <w:rPr>
            <w:rFonts w:ascii="Arial" w:cs="Arial" w:eastAsia="Arial" w:hAnsi="Arial"/>
            <w:sz w:val="18"/>
            <w:szCs w:val="18"/>
            <w:u w:val="single" w:color="auto"/>
            <w:color w:val="0000FF"/>
          </w:rPr>
          <w:t>Note Purchase Agreement, dated as of May 16, 2016, among American Airlines, Inc., Wilmington Trust Company, as Pass</w:t>
        </w:r>
      </w:hyperlink>
      <w:r>
        <w:rPr>
          <w:rFonts w:ascii="Arial" w:cs="Arial" w:eastAsia="Arial" w:hAnsi="Arial"/>
          <w:sz w:val="18"/>
          <w:szCs w:val="18"/>
          <w:color w:val="auto"/>
        </w:rPr>
        <w:t xml:space="preserve"> </w:t>
      </w:r>
      <w:hyperlink r:id="rId350">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50">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reference to Exhibit 4.9 to American’s Current Report on Form 8-K filed on 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4.76      </w:t>
      </w:r>
      <w:hyperlink r:id="rId350">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50">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50">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(incorporated by reference to Exhibit B to Exhibit 4.9 to American’s Current Report on Form 8-K filed on May 17, 2016</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(Commission File No. 1-2691)).</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4.77      </w:t>
      </w:r>
      <w:hyperlink r:id="rId350">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50">
        <w:r>
          <w:rPr>
            <w:rFonts w:ascii="Arial" w:cs="Arial" w:eastAsia="Arial" w:hAnsi="Arial"/>
            <w:sz w:val="18"/>
            <w:szCs w:val="18"/>
            <w:u w:val="single" w:color="auto"/>
            <w:color w:val="0000FF"/>
          </w:rPr>
          <w:t>Trust Company, as Loan Trustee) (incorporated by reference to Exhibit C to Exhibit 4.9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0">
        <w:r>
          <w:rPr>
            <w:rFonts w:ascii="Arial" w:cs="Arial" w:eastAsia="Arial" w:hAnsi="Arial"/>
            <w:sz w:val="18"/>
            <w:szCs w:val="18"/>
            <w:u w:val="single" w:color="auto"/>
            <w:color w:val="0000FF"/>
          </w:rPr>
          <w:t>filed on May 17,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4.78</w:t>
      </w:r>
      <w:r>
        <w:rPr>
          <w:sz w:val="20"/>
          <w:szCs w:val="20"/>
          <w:color w:val="auto"/>
        </w:rPr>
        <w:tab/>
      </w:r>
      <w:hyperlink r:id="rId347">
        <w:r>
          <w:rPr>
            <w:rFonts w:ascii="Arial" w:cs="Arial" w:eastAsia="Arial" w:hAnsi="Arial"/>
            <w:sz w:val="18"/>
            <w:szCs w:val="18"/>
            <w:u w:val="single" w:color="auto"/>
            <w:color w:val="0000FF"/>
          </w:rPr>
          <w:t>Form of Pass Through Trust Certificate, Series 2016-2AA (incorporated by reference to Exhibit A to Exhibit 4.2 to American’s</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Current Report on Form 8-K filed on May 17, 2016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4.79</w:t>
      </w:r>
      <w:r>
        <w:rPr>
          <w:sz w:val="20"/>
          <w:szCs w:val="20"/>
          <w:color w:val="auto"/>
        </w:rPr>
        <w:tab/>
      </w:r>
      <w:hyperlink r:id="rId348">
        <w:r>
          <w:rPr>
            <w:rFonts w:ascii="Arial" w:cs="Arial" w:eastAsia="Arial" w:hAnsi="Arial"/>
            <w:sz w:val="18"/>
            <w:szCs w:val="18"/>
            <w:u w:val="single" w:color="auto"/>
            <w:color w:val="0000FF"/>
          </w:rPr>
          <w:t>Form of Pass Through Trust Certificate, Series 2016-2A (incorporated by reference to Exhibit A to Exhibit 4.3 to American’s</w:t>
        </w:r>
      </w:hyperlink>
      <w:r>
        <w:rPr>
          <w:rFonts w:ascii="Arial" w:cs="Arial" w:eastAsia="Arial" w:hAnsi="Arial"/>
          <w:sz w:val="18"/>
          <w:szCs w:val="18"/>
          <w:u w:val="single" w:color="auto"/>
          <w:color w:val="0000FF"/>
        </w:rPr>
        <w:t xml:space="preserve"> </w:t>
      </w:r>
      <w:hyperlink r:id="rId348">
        <w:r>
          <w:rPr>
            <w:rFonts w:ascii="Arial" w:cs="Arial" w:eastAsia="Arial" w:hAnsi="Arial"/>
            <w:sz w:val="18"/>
            <w:szCs w:val="18"/>
            <w:u w:val="single" w:color="auto"/>
            <w:color w:val="0000FF"/>
          </w:rPr>
          <w:t>Current Report on Form 8-K filed on May 17, 2016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4.80      </w:t>
      </w:r>
      <w:hyperlink r:id="rId352">
        <w:r>
          <w:rPr>
            <w:rFonts w:ascii="Arial" w:cs="Arial" w:eastAsia="Arial" w:hAnsi="Arial"/>
            <w:sz w:val="18"/>
            <w:szCs w:val="18"/>
            <w:u w:val="single" w:color="auto"/>
            <w:color w:val="0000FF"/>
          </w:rPr>
          <w:t>Revolving Credit Agreement (2016-2AA), dated as of May 16, 2016, between Wilmington Trust Company, as Subordination</w:t>
        </w:r>
      </w:hyperlink>
      <w:r>
        <w:rPr>
          <w:rFonts w:ascii="Arial" w:cs="Arial" w:eastAsia="Arial" w:hAnsi="Arial"/>
          <w:sz w:val="18"/>
          <w:szCs w:val="18"/>
          <w:color w:val="auto"/>
        </w:rPr>
        <w:t xml:space="preserve"> </w:t>
      </w:r>
      <w:hyperlink r:id="rId352">
        <w:r>
          <w:rPr>
            <w:rFonts w:ascii="Arial" w:cs="Arial" w:eastAsia="Arial" w:hAnsi="Arial"/>
            <w:sz w:val="18"/>
            <w:szCs w:val="18"/>
            <w:u w:val="single" w:color="auto"/>
            <w:color w:val="0000FF"/>
          </w:rPr>
          <w:t>Agent, as agent and trustee for the trustee of the American Airlines Pass Through Trust 2016-2AA,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52">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52">
        <w:r>
          <w:rPr>
            <w:rFonts w:ascii="Arial" w:cs="Arial" w:eastAsia="Arial" w:hAnsi="Arial"/>
            <w:sz w:val="18"/>
            <w:szCs w:val="18"/>
            <w:u w:val="single" w:color="auto"/>
            <w:color w:val="0000FF"/>
          </w:rPr>
          <w:t>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4.81      </w:t>
      </w:r>
      <w:hyperlink r:id="rId353">
        <w:r>
          <w:rPr>
            <w:rFonts w:ascii="Arial" w:cs="Arial" w:eastAsia="Arial" w:hAnsi="Arial"/>
            <w:sz w:val="18"/>
            <w:szCs w:val="18"/>
            <w:u w:val="single" w:color="auto"/>
            <w:color w:val="0000FF"/>
          </w:rPr>
          <w:t>Revolving Credit Agreement (2016-2A), dated as of May 16, 2016, between Wilmington Trust Company, as Subordination Agent,</w:t>
        </w:r>
      </w:hyperlink>
      <w:r>
        <w:rPr>
          <w:rFonts w:ascii="Arial" w:cs="Arial" w:eastAsia="Arial" w:hAnsi="Arial"/>
          <w:sz w:val="18"/>
          <w:szCs w:val="18"/>
          <w:color w:val="auto"/>
        </w:rPr>
        <w:t xml:space="preserve"> </w:t>
      </w:r>
      <w:hyperlink r:id="rId353">
        <w:r>
          <w:rPr>
            <w:rFonts w:ascii="Arial" w:cs="Arial" w:eastAsia="Arial" w:hAnsi="Arial"/>
            <w:sz w:val="18"/>
            <w:szCs w:val="18"/>
            <w:u w:val="single" w:color="auto"/>
            <w:color w:val="0000FF"/>
          </w:rPr>
          <w:t>as agent and trustee for the trustee of the American Airlines Pass Through Trust 2016-2A, as Borrower, and KfW IPEX-Bank</w:t>
        </w:r>
      </w:hyperlink>
    </w:p>
    <w:p>
      <w:pPr>
        <w:jc w:val="both"/>
        <w:ind w:left="920"/>
        <w:spacing w:after="0" w:line="229" w:lineRule="auto"/>
        <w:rPr>
          <w:rFonts w:ascii="Arial" w:cs="Arial" w:eastAsia="Arial" w:hAnsi="Arial"/>
          <w:sz w:val="18"/>
          <w:szCs w:val="18"/>
          <w:u w:val="single" w:color="auto"/>
          <w:color w:val="0000FF"/>
        </w:rPr>
      </w:pPr>
      <w:hyperlink r:id="rId353">
        <w:r>
          <w:rPr>
            <w:rFonts w:ascii="Arial" w:cs="Arial" w:eastAsia="Arial" w:hAnsi="Arial"/>
            <w:sz w:val="18"/>
            <w:szCs w:val="18"/>
            <w:u w:val="single" w:color="auto"/>
            <w:color w:val="0000FF"/>
          </w:rPr>
          <w:t>GmbH, as Liquidity Provider (incorporated by reference to Exhibit 4.15 to American’s Current Report on Form 8-K filed on</w:t>
        </w:r>
      </w:hyperlink>
      <w:r>
        <w:rPr>
          <w:rFonts w:ascii="Arial" w:cs="Arial" w:eastAsia="Arial" w:hAnsi="Arial"/>
          <w:sz w:val="18"/>
          <w:szCs w:val="18"/>
          <w:u w:val="single" w:color="auto"/>
          <w:color w:val="0000FF"/>
        </w:rPr>
        <w:t xml:space="preserve"> </w:t>
      </w:r>
      <w:hyperlink r:id="rId353">
        <w:r>
          <w:rPr>
            <w:rFonts w:ascii="Arial" w:cs="Arial" w:eastAsia="Arial" w:hAnsi="Arial"/>
            <w:sz w:val="18"/>
            <w:szCs w:val="18"/>
            <w:u w:val="single" w:color="auto"/>
            <w:color w:val="0000FF"/>
          </w:rPr>
          <w:t>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4.82      </w:t>
      </w:r>
      <w:hyperlink r:id="rId354">
        <w:r>
          <w:rPr>
            <w:rFonts w:ascii="Arial" w:cs="Arial" w:eastAsia="Arial" w:hAnsi="Arial"/>
            <w:sz w:val="18"/>
            <w:szCs w:val="18"/>
            <w:u w:val="single" w:color="auto"/>
            <w:color w:val="0000FF"/>
          </w:rPr>
          <w:t>Trust Supplement No. 2016-2B, dated as of July 8, 2016, between American Airlines, Inc. and Wilmington Trust Company, as</w:t>
        </w:r>
      </w:hyperlink>
      <w:r>
        <w:rPr>
          <w:rFonts w:ascii="Arial" w:cs="Arial" w:eastAsia="Arial" w:hAnsi="Arial"/>
          <w:sz w:val="18"/>
          <w:szCs w:val="18"/>
          <w:color w:val="auto"/>
        </w:rPr>
        <w:t xml:space="preserve"> </w:t>
      </w:r>
      <w:hyperlink r:id="rId354">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54">
        <w:r>
          <w:rPr>
            <w:rFonts w:ascii="Arial" w:cs="Arial" w:eastAsia="Arial" w:hAnsi="Arial"/>
            <w:sz w:val="18"/>
            <w:szCs w:val="18"/>
            <w:u w:val="single" w:color="auto"/>
            <w:color w:val="0000FF"/>
          </w:rPr>
          <w:t>American’s Current Report on Form 8-K filed on July 12,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4.83      </w:t>
      </w:r>
      <w:hyperlink r:id="rId355">
        <w:r>
          <w:rPr>
            <w:rFonts w:ascii="Arial" w:cs="Arial" w:eastAsia="Arial" w:hAnsi="Arial"/>
            <w:sz w:val="18"/>
            <w:szCs w:val="18"/>
            <w:u w:val="single" w:color="auto"/>
            <w:color w:val="0000FF"/>
          </w:rPr>
          <w:t>Amended and Restated Intercreditor Agreement (2016-2), dated as of July 8, 2016, among Wilmington Trust Company, as</w:t>
        </w:r>
      </w:hyperlink>
      <w:r>
        <w:rPr>
          <w:rFonts w:ascii="Arial" w:cs="Arial" w:eastAsia="Arial" w:hAnsi="Arial"/>
          <w:sz w:val="18"/>
          <w:szCs w:val="18"/>
          <w:color w:val="auto"/>
        </w:rPr>
        <w:t xml:space="preserve"> </w:t>
      </w:r>
      <w:hyperlink r:id="rId355">
        <w:r>
          <w:rPr>
            <w:rFonts w:ascii="Arial" w:cs="Arial" w:eastAsia="Arial" w:hAnsi="Arial"/>
            <w:sz w:val="18"/>
            <w:szCs w:val="18"/>
            <w:u w:val="single" w:color="auto"/>
            <w:color w:val="0000FF"/>
          </w:rPr>
          <w:t>Trustee of the American Airlines Pass Through Trust 2016-2AA, as Trustee of the American Airlines Pass Through Trust 2016-2A</w:t>
        </w:r>
      </w:hyperlink>
    </w:p>
    <w:p>
      <w:pPr>
        <w:jc w:val="both"/>
        <w:ind w:left="920"/>
        <w:spacing w:after="0" w:line="220" w:lineRule="auto"/>
        <w:rPr>
          <w:rFonts w:ascii="Arial" w:cs="Arial" w:eastAsia="Arial" w:hAnsi="Arial"/>
          <w:sz w:val="18"/>
          <w:szCs w:val="18"/>
          <w:u w:val="single" w:color="auto"/>
          <w:color w:val="0000FF"/>
        </w:rPr>
      </w:pPr>
      <w:hyperlink r:id="rId355">
        <w:r>
          <w:rPr>
            <w:rFonts w:ascii="Arial" w:cs="Arial" w:eastAsia="Arial" w:hAnsi="Arial"/>
            <w:sz w:val="18"/>
            <w:szCs w:val="18"/>
            <w:u w:val="single" w:color="auto"/>
            <w:color w:val="0000FF"/>
          </w:rPr>
          <w:t>and as Trustee of the American Airlines Pass Through Trust 2016-2B, KfW IPEX-Bank GmbH, as Class AA Liquidity Provider,</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Class A Liquidity Provider and Class B Liquidity Provider, and Wilmington Trust Company, as Subordination Agent (incorporated</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by reference to Exhibit 4.3 to American’s Current Report on Form 8-K filed on July 12, 2016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4.84      </w:t>
      </w:r>
      <w:hyperlink r:id="rId356">
        <w:r>
          <w:rPr>
            <w:rFonts w:ascii="Arial" w:cs="Arial" w:eastAsia="Arial" w:hAnsi="Arial"/>
            <w:sz w:val="18"/>
            <w:szCs w:val="18"/>
            <w:u w:val="single" w:color="auto"/>
            <w:color w:val="0000FF"/>
          </w:rPr>
          <w:t>Amended and Restated Note Purchase Agreement, dated as of July 8, 2016, among American Airlines, Inc., Wilmington Trust</w:t>
        </w:r>
      </w:hyperlink>
      <w:r>
        <w:rPr>
          <w:rFonts w:ascii="Arial" w:cs="Arial" w:eastAsia="Arial" w:hAnsi="Arial"/>
          <w:sz w:val="18"/>
          <w:szCs w:val="18"/>
          <w:color w:val="auto"/>
        </w:rPr>
        <w:t xml:space="preserve"> </w:t>
      </w:r>
      <w:hyperlink r:id="rId356">
        <w:r>
          <w:rPr>
            <w:rFonts w:ascii="Arial" w:cs="Arial" w:eastAsia="Arial" w:hAnsi="Arial"/>
            <w:sz w:val="18"/>
            <w:szCs w:val="18"/>
            <w:u w:val="single" w:color="auto"/>
            <w:color w:val="0000FF"/>
          </w:rPr>
          <w:t>Company, as Pass Through Trustee under each of the Pass Through Trust Agreements, Wilmington Trust Company, as</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56">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(incorporated by reference to Exhibit 4.6 to American’s Current Report on Form 8-K filed on July 12, 2016 (Commission File</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4.85      </w:t>
      </w:r>
      <w:hyperlink r:id="rId356">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5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56">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(incorporated by reference to Exhibit B to Exhibit 4.6 to American’s Current Report on Form 8-K filed on July 12, 2016</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4.86      </w:t>
      </w:r>
      <w:hyperlink r:id="rId356">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56">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56">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on July 12, 2016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4.87      </w:t>
      </w:r>
      <w:hyperlink r:id="rId356">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56">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6">
        <w:r>
          <w:rPr>
            <w:rFonts w:ascii="Arial" w:cs="Arial" w:eastAsia="Arial" w:hAnsi="Arial"/>
            <w:sz w:val="18"/>
            <w:szCs w:val="18"/>
            <w:u w:val="single" w:color="auto"/>
            <w:color w:val="0000FF"/>
          </w:rPr>
          <w:t>filed on July 12,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4.88      </w:t>
      </w:r>
      <w:hyperlink r:id="rId356">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56">
        <w:r>
          <w:rPr>
            <w:rFonts w:ascii="Arial" w:cs="Arial" w:eastAsia="Arial" w:hAnsi="Arial"/>
            <w:sz w:val="18"/>
            <w:szCs w:val="18"/>
            <w:u w:val="single" w:color="auto"/>
            <w:color w:val="0000FF"/>
          </w:rPr>
          <w:t>American Airlines, Inc., and Wilmington Trust Company, as Loan Trustee) (incorporated by reference to Exhibit E to Exhibit 4.6 to</w:t>
        </w:r>
      </w:hyperlink>
    </w:p>
    <w:p>
      <w:pPr>
        <w:ind w:left="920"/>
        <w:spacing w:after="0"/>
        <w:rPr>
          <w:rFonts w:ascii="Arial" w:cs="Arial" w:eastAsia="Arial" w:hAnsi="Arial"/>
          <w:sz w:val="18"/>
          <w:szCs w:val="18"/>
          <w:u w:val="single" w:color="auto"/>
          <w:color w:val="0000FF"/>
        </w:rPr>
      </w:pPr>
      <w:hyperlink r:id="rId356">
        <w:r>
          <w:rPr>
            <w:rFonts w:ascii="Arial" w:cs="Arial" w:eastAsia="Arial" w:hAnsi="Arial"/>
            <w:sz w:val="18"/>
            <w:szCs w:val="18"/>
            <w:u w:val="single" w:color="auto"/>
            <w:color w:val="0000FF"/>
          </w:rPr>
          <w:t>American’s Current Report on Form 8-K filed on July 12,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4.89</w:t>
      </w:r>
      <w:r>
        <w:rPr>
          <w:sz w:val="20"/>
          <w:szCs w:val="20"/>
          <w:color w:val="auto"/>
        </w:rPr>
        <w:tab/>
      </w:r>
      <w:hyperlink r:id="rId354">
        <w:r>
          <w:rPr>
            <w:rFonts w:ascii="Arial" w:cs="Arial" w:eastAsia="Arial" w:hAnsi="Arial"/>
            <w:sz w:val="18"/>
            <w:szCs w:val="18"/>
            <w:u w:val="single" w:color="auto"/>
            <w:color w:val="0000FF"/>
          </w:rPr>
          <w:t>Form of Pass Through Trust Certificate, Series 2016-2B (incorporated by reference to Exhibit A to Exhibit 4.2 to American’s</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Current Report on Form 8-K filed on July 12, 2016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4.90      </w:t>
      </w:r>
      <w:hyperlink r:id="rId357">
        <w:r>
          <w:rPr>
            <w:rFonts w:ascii="Arial" w:cs="Arial" w:eastAsia="Arial" w:hAnsi="Arial"/>
            <w:sz w:val="18"/>
            <w:szCs w:val="18"/>
            <w:u w:val="single" w:color="auto"/>
            <w:color w:val="0000FF"/>
          </w:rPr>
          <w:t>Revolving Credit Agreement (2016-2B), dated as of July 8, 2016, between Wilmington Trust Company, as Subordination Agent,</w:t>
        </w:r>
      </w:hyperlink>
      <w:r>
        <w:rPr>
          <w:rFonts w:ascii="Arial" w:cs="Arial" w:eastAsia="Arial" w:hAnsi="Arial"/>
          <w:sz w:val="18"/>
          <w:szCs w:val="18"/>
          <w:color w:val="auto"/>
        </w:rPr>
        <w:t xml:space="preserve"> </w:t>
      </w:r>
      <w:hyperlink r:id="rId357">
        <w:r>
          <w:rPr>
            <w:rFonts w:ascii="Arial" w:cs="Arial" w:eastAsia="Arial" w:hAnsi="Arial"/>
            <w:sz w:val="18"/>
            <w:szCs w:val="18"/>
            <w:u w:val="single" w:color="auto"/>
            <w:color w:val="0000FF"/>
          </w:rPr>
          <w:t>as agent and trustee for the trustee of the American Airlines Pass Through Trust 2016-2B, as Borrower, and KfW IPEX Bank</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57">
        <w:r>
          <w:rPr>
            <w:rFonts w:ascii="Arial" w:cs="Arial" w:eastAsia="Arial" w:hAnsi="Arial"/>
            <w:sz w:val="18"/>
            <w:szCs w:val="18"/>
            <w:u w:val="single" w:color="auto"/>
            <w:color w:val="0000FF"/>
          </w:rPr>
          <w:t>GmbH, as Liquidity Provider (incorporated by reference to Exhibit 4.12 to American’s Current Report on Form 8-K filed on July 12,</w:t>
        </w:r>
      </w:hyperlink>
      <w:r>
        <w:rPr>
          <w:rFonts w:ascii="Arial" w:cs="Arial" w:eastAsia="Arial" w:hAnsi="Arial"/>
          <w:sz w:val="18"/>
          <w:szCs w:val="18"/>
          <w:u w:val="single" w:color="auto"/>
          <w:color w:val="0000FF"/>
        </w:rPr>
        <w:t xml:space="preserve"> </w:t>
      </w:r>
      <w:hyperlink r:id="rId357">
        <w:r>
          <w:rPr>
            <w:rFonts w:ascii="Arial" w:cs="Arial" w:eastAsia="Arial" w:hAnsi="Arial"/>
            <w:sz w:val="18"/>
            <w:szCs w:val="18"/>
            <w:u w:val="single" w:color="auto"/>
            <w:color w:val="0000FF"/>
          </w:rPr>
          <w:t>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4.91      </w:t>
      </w:r>
      <w:hyperlink r:id="rId358">
        <w:r>
          <w:rPr>
            <w:rFonts w:ascii="Arial" w:cs="Arial" w:eastAsia="Arial" w:hAnsi="Arial"/>
            <w:sz w:val="18"/>
            <w:szCs w:val="18"/>
            <w:u w:val="single" w:color="auto"/>
            <w:color w:val="0000FF"/>
          </w:rPr>
          <w:t>Trust Supplement No. 2016-3AA, dated as of October 3, 2016, between American Airlines, Inc. and Wilmington Trust Company,</w:t>
        </w:r>
      </w:hyperlink>
      <w:r>
        <w:rPr>
          <w:rFonts w:ascii="Arial" w:cs="Arial" w:eastAsia="Arial" w:hAnsi="Arial"/>
          <w:sz w:val="18"/>
          <w:szCs w:val="18"/>
          <w:color w:val="auto"/>
        </w:rPr>
        <w:t xml:space="preserve"> </w:t>
      </w:r>
      <w:hyperlink r:id="rId358">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58">
        <w:r>
          <w:rPr>
            <w:rFonts w:ascii="Arial" w:cs="Arial" w:eastAsia="Arial" w:hAnsi="Arial"/>
            <w:sz w:val="18"/>
            <w:szCs w:val="18"/>
            <w:u w:val="single" w:color="auto"/>
            <w:color w:val="0000FF"/>
          </w:rPr>
          <w:t>American’s Current Report on Form 8-K filed on October 4, 2016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4.92      </w:t>
      </w:r>
      <w:hyperlink r:id="rId360">
        <w:r>
          <w:rPr>
            <w:rFonts w:ascii="Arial" w:cs="Arial" w:eastAsia="Arial" w:hAnsi="Arial"/>
            <w:sz w:val="18"/>
            <w:szCs w:val="18"/>
            <w:u w:val="single" w:color="auto"/>
            <w:color w:val="0000FF"/>
          </w:rPr>
          <w:t>Trust Supplement No. 2016-3A, dated as of October 3, 2016, between American Airlines, Inc. and Wilmington Trust Company, as</w:t>
        </w:r>
      </w:hyperlink>
      <w:r>
        <w:rPr>
          <w:rFonts w:ascii="Arial" w:cs="Arial" w:eastAsia="Arial" w:hAnsi="Arial"/>
          <w:sz w:val="18"/>
          <w:szCs w:val="18"/>
          <w:color w:val="auto"/>
        </w:rPr>
        <w:t xml:space="preserve"> </w:t>
      </w:r>
      <w:hyperlink r:id="rId360">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60">
        <w:r>
          <w:rPr>
            <w:rFonts w:ascii="Arial" w:cs="Arial" w:eastAsia="Arial" w:hAnsi="Arial"/>
            <w:sz w:val="18"/>
            <w:szCs w:val="18"/>
            <w:u w:val="single" w:color="auto"/>
            <w:color w:val="0000FF"/>
          </w:rPr>
          <w:t>American’s Current Report on Form 8-K filed on October 4,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4.93      </w:t>
      </w:r>
      <w:hyperlink r:id="rId361">
        <w:r>
          <w:rPr>
            <w:rFonts w:ascii="Arial" w:cs="Arial" w:eastAsia="Arial" w:hAnsi="Arial"/>
            <w:sz w:val="18"/>
            <w:szCs w:val="18"/>
            <w:u w:val="single" w:color="auto"/>
            <w:color w:val="0000FF"/>
          </w:rPr>
          <w:t>Intercreditor Agreement (2016-3), dated as of October 3, 2016, among Wilmington Trust Company, as Trustee of the American</w:t>
        </w:r>
      </w:hyperlink>
      <w:r>
        <w:rPr>
          <w:rFonts w:ascii="Arial" w:cs="Arial" w:eastAsia="Arial" w:hAnsi="Arial"/>
          <w:sz w:val="18"/>
          <w:szCs w:val="18"/>
          <w:color w:val="auto"/>
        </w:rPr>
        <w:t xml:space="preserve"> </w:t>
      </w:r>
      <w:hyperlink r:id="rId361">
        <w:r>
          <w:rPr>
            <w:rFonts w:ascii="Arial" w:cs="Arial" w:eastAsia="Arial" w:hAnsi="Arial"/>
            <w:sz w:val="18"/>
            <w:szCs w:val="18"/>
            <w:u w:val="single" w:color="auto"/>
            <w:color w:val="0000FF"/>
          </w:rPr>
          <w:t>Airlines Pass Through Trust 2016-3AA and as Trustee of the American Airlines Pass Through Trust 2016-3A, KfW IPEX-Bank</w:t>
        </w:r>
      </w:hyperlink>
    </w:p>
    <w:p>
      <w:pPr>
        <w:jc w:val="both"/>
        <w:ind w:left="920"/>
        <w:spacing w:after="0" w:line="220" w:lineRule="auto"/>
        <w:rPr>
          <w:rFonts w:ascii="Arial" w:cs="Arial" w:eastAsia="Arial" w:hAnsi="Arial"/>
          <w:sz w:val="18"/>
          <w:szCs w:val="18"/>
          <w:u w:val="single" w:color="auto"/>
          <w:color w:val="0000FF"/>
        </w:rPr>
      </w:pPr>
      <w:hyperlink r:id="rId361">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(incorporated by reference to Exhibit 4.4 to American’s Current Report on Form 8-K filed on October 4, 2016 (Commission File</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4.94      </w:t>
      </w:r>
      <w:hyperlink r:id="rId362">
        <w:r>
          <w:rPr>
            <w:rFonts w:ascii="Arial" w:cs="Arial" w:eastAsia="Arial" w:hAnsi="Arial"/>
            <w:sz w:val="18"/>
            <w:szCs w:val="18"/>
            <w:u w:val="single" w:color="auto"/>
            <w:color w:val="0000FF"/>
          </w:rPr>
          <w:t>Amended and Restated Intercreditor Agreement (2016-3), dated as of October 4, 2017, among Wilmington Trust Company, as</w:t>
        </w:r>
      </w:hyperlink>
      <w:r>
        <w:rPr>
          <w:rFonts w:ascii="Arial" w:cs="Arial" w:eastAsia="Arial" w:hAnsi="Arial"/>
          <w:sz w:val="18"/>
          <w:szCs w:val="18"/>
          <w:color w:val="auto"/>
        </w:rPr>
        <w:t xml:space="preserve"> </w:t>
      </w:r>
      <w:hyperlink r:id="rId362">
        <w:r>
          <w:rPr>
            <w:rFonts w:ascii="Arial" w:cs="Arial" w:eastAsia="Arial" w:hAnsi="Arial"/>
            <w:sz w:val="18"/>
            <w:szCs w:val="18"/>
            <w:u w:val="single" w:color="auto"/>
            <w:color w:val="0000FF"/>
          </w:rPr>
          <w:t>Trustee of the American Airlines Pass Through Trust 2016-3AA, as Trustee of the American Airlines Pass Through Trust 2016-3A</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62">
        <w:r>
          <w:rPr>
            <w:rFonts w:ascii="Arial" w:cs="Arial" w:eastAsia="Arial" w:hAnsi="Arial"/>
            <w:sz w:val="18"/>
            <w:szCs w:val="18"/>
            <w:u w:val="single" w:color="auto"/>
            <w:color w:val="0000FF"/>
          </w:rPr>
          <w:t>and as Trustee of the American Airlines Pass Through Trust 2016-3B, KfW IPEX-Bank GmbH, as Class AA Liquidity Provider,</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Class A Liquidity Provider and Class B Liquidity Provider, and Wilmington Trust Company, as Subordination Agent (incorporated</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by reference to Exhibit 4.3 to American’s Current Report on Form 8-K filed on October 5, 2017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4.95      </w:t>
      </w:r>
      <w:hyperlink r:id="rId363">
        <w:r>
          <w:rPr>
            <w:rFonts w:ascii="Arial" w:cs="Arial" w:eastAsia="Arial" w:hAnsi="Arial"/>
            <w:sz w:val="18"/>
            <w:szCs w:val="18"/>
            <w:u w:val="single" w:color="auto"/>
            <w:color w:val="0000FF"/>
          </w:rPr>
          <w:t>Note Purchase Agreement, dated as of October 3, 2016, among American Airlines, Inc., Wilmington Trust Company, as Pass</w:t>
        </w:r>
      </w:hyperlink>
      <w:r>
        <w:rPr>
          <w:rFonts w:ascii="Arial" w:cs="Arial" w:eastAsia="Arial" w:hAnsi="Arial"/>
          <w:sz w:val="18"/>
          <w:szCs w:val="18"/>
          <w:color w:val="auto"/>
        </w:rPr>
        <w:t xml:space="preserve"> </w:t>
      </w:r>
      <w:hyperlink r:id="rId363">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63">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63">
        <w:r>
          <w:rPr>
            <w:rFonts w:ascii="Arial" w:cs="Arial" w:eastAsia="Arial" w:hAnsi="Arial"/>
            <w:sz w:val="18"/>
            <w:szCs w:val="18"/>
            <w:u w:val="single" w:color="auto"/>
            <w:color w:val="0000FF"/>
          </w:rPr>
          <w:t>reference to Exhibit 4.9 to American’s Current Report on Form 8-K filed on 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4.96      </w:t>
      </w:r>
      <w:hyperlink r:id="rId363">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63">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63">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63">
        <w:r>
          <w:rPr>
            <w:rFonts w:ascii="Arial" w:cs="Arial" w:eastAsia="Arial" w:hAnsi="Arial"/>
            <w:sz w:val="18"/>
            <w:szCs w:val="18"/>
            <w:u w:val="single" w:color="auto"/>
            <w:color w:val="0000FF"/>
          </w:rPr>
          <w:t>(incorporated by reference to Exhibit B to Exhibit 4.9 to American’s Current Report on Form 8-K filed on October 4, 2016</w:t>
        </w:r>
      </w:hyperlink>
      <w:r>
        <w:rPr>
          <w:rFonts w:ascii="Arial" w:cs="Arial" w:eastAsia="Arial" w:hAnsi="Arial"/>
          <w:sz w:val="18"/>
          <w:szCs w:val="18"/>
          <w:u w:val="single" w:color="auto"/>
          <w:color w:val="0000FF"/>
        </w:rPr>
        <w:t xml:space="preserve"> </w:t>
      </w:r>
      <w:hyperlink r:id="rId363">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4.97      </w:t>
      </w:r>
      <w:hyperlink r:id="rId363">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63">
        <w:r>
          <w:rPr>
            <w:rFonts w:ascii="Arial" w:cs="Arial" w:eastAsia="Arial" w:hAnsi="Arial"/>
            <w:sz w:val="18"/>
            <w:szCs w:val="18"/>
            <w:u w:val="single" w:color="auto"/>
            <w:color w:val="0000FF"/>
          </w:rPr>
          <w:t>Trust Company, as Loan Trustee) (incorporated by reference to Exhibit C to Exhibit 4.9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63">
        <w:r>
          <w:rPr>
            <w:rFonts w:ascii="Arial" w:cs="Arial" w:eastAsia="Arial" w:hAnsi="Arial"/>
            <w:sz w:val="18"/>
            <w:szCs w:val="18"/>
            <w:u w:val="single" w:color="auto"/>
            <w:color w:val="0000FF"/>
          </w:rPr>
          <w:t>filed on October 4,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4.98</w:t>
      </w:r>
      <w:r>
        <w:rPr>
          <w:sz w:val="20"/>
          <w:szCs w:val="20"/>
          <w:color w:val="auto"/>
        </w:rPr>
        <w:tab/>
      </w:r>
      <w:hyperlink r:id="rId358">
        <w:r>
          <w:rPr>
            <w:rFonts w:ascii="Arial" w:cs="Arial" w:eastAsia="Arial" w:hAnsi="Arial"/>
            <w:sz w:val="18"/>
            <w:szCs w:val="18"/>
            <w:u w:val="single" w:color="auto"/>
            <w:color w:val="0000FF"/>
          </w:rPr>
          <w:t>Form of Pass Through Trust Certificate, Series 2016-3AA (incorporated by reference to Exhibit A to Exhibit 4.2 to American’s</w:t>
        </w:r>
      </w:hyperlink>
      <w:r>
        <w:rPr>
          <w:rFonts w:ascii="Arial" w:cs="Arial" w:eastAsia="Arial" w:hAnsi="Arial"/>
          <w:sz w:val="18"/>
          <w:szCs w:val="18"/>
          <w:u w:val="single" w:color="auto"/>
          <w:color w:val="0000FF"/>
        </w:rPr>
        <w:t xml:space="preserve"> </w:t>
      </w:r>
      <w:hyperlink r:id="rId358">
        <w:r>
          <w:rPr>
            <w:rFonts w:ascii="Arial" w:cs="Arial" w:eastAsia="Arial" w:hAnsi="Arial"/>
            <w:sz w:val="18"/>
            <w:szCs w:val="18"/>
            <w:u w:val="single" w:color="auto"/>
            <w:color w:val="0000FF"/>
          </w:rPr>
          <w:t>Current Report on Form 8-K filed on October 4, 2016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4.99</w:t>
      </w:r>
      <w:r>
        <w:rPr>
          <w:sz w:val="20"/>
          <w:szCs w:val="20"/>
          <w:color w:val="auto"/>
        </w:rPr>
        <w:tab/>
      </w:r>
      <w:hyperlink r:id="rId360">
        <w:r>
          <w:rPr>
            <w:rFonts w:ascii="Arial" w:cs="Arial" w:eastAsia="Arial" w:hAnsi="Arial"/>
            <w:sz w:val="18"/>
            <w:szCs w:val="18"/>
            <w:u w:val="single" w:color="auto"/>
            <w:color w:val="0000FF"/>
          </w:rPr>
          <w:t>Form of Pass Through Trust Certificate, Series 2016-3A (incorporated by reference to Exhibit A to Exhibit 4.3 to American’s</w:t>
        </w:r>
      </w:hyperlink>
      <w:r>
        <w:rPr>
          <w:rFonts w:ascii="Arial" w:cs="Arial" w:eastAsia="Arial" w:hAnsi="Arial"/>
          <w:sz w:val="18"/>
          <w:szCs w:val="18"/>
          <w:u w:val="single" w:color="auto"/>
          <w:color w:val="0000FF"/>
        </w:rPr>
        <w:t xml:space="preserve"> </w:t>
      </w:r>
      <w:hyperlink r:id="rId360">
        <w:r>
          <w:rPr>
            <w:rFonts w:ascii="Arial" w:cs="Arial" w:eastAsia="Arial" w:hAnsi="Arial"/>
            <w:sz w:val="18"/>
            <w:szCs w:val="18"/>
            <w:u w:val="single" w:color="auto"/>
            <w:color w:val="0000FF"/>
          </w:rPr>
          <w:t>Current Report on Form 8-K filed on October 4, 2016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4.100     </w:t>
      </w:r>
      <w:hyperlink r:id="rId364">
        <w:r>
          <w:rPr>
            <w:rFonts w:ascii="Arial" w:cs="Arial" w:eastAsia="Arial" w:hAnsi="Arial"/>
            <w:sz w:val="18"/>
            <w:szCs w:val="18"/>
            <w:u w:val="single" w:color="auto"/>
            <w:color w:val="0000FF"/>
          </w:rPr>
          <w:t>Revolving Credit Agreement (2016-3AA), dated as of October 3, 2016, between Wilmington Trust Company, as Subordination</w:t>
        </w:r>
      </w:hyperlink>
      <w:r>
        <w:rPr>
          <w:rFonts w:ascii="Arial" w:cs="Arial" w:eastAsia="Arial" w:hAnsi="Arial"/>
          <w:sz w:val="18"/>
          <w:szCs w:val="18"/>
          <w:color w:val="auto"/>
        </w:rPr>
        <w:t xml:space="preserve"> </w:t>
      </w:r>
      <w:hyperlink r:id="rId364">
        <w:r>
          <w:rPr>
            <w:rFonts w:ascii="Arial" w:cs="Arial" w:eastAsia="Arial" w:hAnsi="Arial"/>
            <w:sz w:val="18"/>
            <w:szCs w:val="18"/>
            <w:u w:val="single" w:color="auto"/>
            <w:color w:val="0000FF"/>
          </w:rPr>
          <w:t>Agent, as agent and trustee for the trustee of the American Airlines Pass Through Trust 2016-3AA,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64">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64">
        <w:r>
          <w:rPr>
            <w:rFonts w:ascii="Arial" w:cs="Arial" w:eastAsia="Arial" w:hAnsi="Arial"/>
            <w:sz w:val="18"/>
            <w:szCs w:val="18"/>
            <w:u w:val="single" w:color="auto"/>
            <w:color w:val="0000FF"/>
          </w:rPr>
          <w:t>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4.101     </w:t>
      </w:r>
      <w:hyperlink r:id="rId365">
        <w:r>
          <w:rPr>
            <w:rFonts w:ascii="Arial" w:cs="Arial" w:eastAsia="Arial" w:hAnsi="Arial"/>
            <w:sz w:val="18"/>
            <w:szCs w:val="18"/>
            <w:u w:val="single" w:color="auto"/>
            <w:color w:val="0000FF"/>
          </w:rPr>
          <w:t>Revolving Credit Agreement (2016-3A), dated as of October 3, 2016, between Wilmington Trust Company, as Subordination</w:t>
        </w:r>
      </w:hyperlink>
      <w:r>
        <w:rPr>
          <w:rFonts w:ascii="Arial" w:cs="Arial" w:eastAsia="Arial" w:hAnsi="Arial"/>
          <w:sz w:val="18"/>
          <w:szCs w:val="18"/>
          <w:color w:val="auto"/>
        </w:rPr>
        <w:t xml:space="preserve"> </w:t>
      </w:r>
      <w:hyperlink r:id="rId365">
        <w:r>
          <w:rPr>
            <w:rFonts w:ascii="Arial" w:cs="Arial" w:eastAsia="Arial" w:hAnsi="Arial"/>
            <w:sz w:val="18"/>
            <w:szCs w:val="18"/>
            <w:u w:val="single" w:color="auto"/>
            <w:color w:val="0000FF"/>
          </w:rPr>
          <w:t>Agent, as agent and trustee for the trustee of the American Airlines Pass Through Trust 2016-3A, as Borrower, and KfW IPEX-</w:t>
        </w:r>
      </w:hyperlink>
    </w:p>
    <w:p>
      <w:pPr>
        <w:jc w:val="both"/>
        <w:ind w:left="920"/>
        <w:spacing w:after="0" w:line="229" w:lineRule="auto"/>
        <w:rPr>
          <w:rFonts w:ascii="Arial" w:cs="Arial" w:eastAsia="Arial" w:hAnsi="Arial"/>
          <w:sz w:val="18"/>
          <w:szCs w:val="18"/>
          <w:u w:val="single" w:color="auto"/>
          <w:color w:val="0000FF"/>
        </w:rPr>
      </w:pPr>
      <w:hyperlink r:id="rId365">
        <w:r>
          <w:rPr>
            <w:rFonts w:ascii="Arial" w:cs="Arial" w:eastAsia="Arial" w:hAnsi="Arial"/>
            <w:sz w:val="18"/>
            <w:szCs w:val="18"/>
            <w:u w:val="single" w:color="auto"/>
            <w:color w:val="0000FF"/>
          </w:rPr>
          <w:t>Bank GmbH, as Liquidity Provider (incorporated by reference to Exhibit 4.15 to American’s Current Report on Form 8-K filed on</w:t>
        </w:r>
      </w:hyperlink>
      <w:r>
        <w:rPr>
          <w:rFonts w:ascii="Arial" w:cs="Arial" w:eastAsia="Arial" w:hAnsi="Arial"/>
          <w:sz w:val="18"/>
          <w:szCs w:val="18"/>
          <w:u w:val="single" w:color="auto"/>
          <w:color w:val="0000FF"/>
        </w:rPr>
        <w:t xml:space="preserve"> </w:t>
      </w:r>
      <w:hyperlink r:id="rId365">
        <w:r>
          <w:rPr>
            <w:rFonts w:ascii="Arial" w:cs="Arial" w:eastAsia="Arial" w:hAnsi="Arial"/>
            <w:sz w:val="18"/>
            <w:szCs w:val="18"/>
            <w:u w:val="single" w:color="auto"/>
            <w:color w:val="0000FF"/>
          </w:rPr>
          <w:t>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4.102     </w:t>
      </w:r>
      <w:hyperlink r:id="rId366">
        <w:r>
          <w:rPr>
            <w:rFonts w:ascii="Arial" w:cs="Arial" w:eastAsia="Arial" w:hAnsi="Arial"/>
            <w:sz w:val="18"/>
            <w:szCs w:val="18"/>
            <w:u w:val="single" w:color="auto"/>
            <w:color w:val="0000FF"/>
          </w:rPr>
          <w:t>Trust Supplement No. 2017-1AA, dated as of January 13, 2017, between American Airlines, Inc. and Wilmington Trust Company,</w:t>
        </w:r>
      </w:hyperlink>
      <w:r>
        <w:rPr>
          <w:rFonts w:ascii="Arial" w:cs="Arial" w:eastAsia="Arial" w:hAnsi="Arial"/>
          <w:sz w:val="18"/>
          <w:szCs w:val="18"/>
          <w:color w:val="auto"/>
        </w:rPr>
        <w:t xml:space="preserve"> </w:t>
      </w:r>
      <w:hyperlink r:id="rId366">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66">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4.103     </w:t>
      </w:r>
      <w:hyperlink r:id="rId367">
        <w:r>
          <w:rPr>
            <w:rFonts w:ascii="Arial" w:cs="Arial" w:eastAsia="Arial" w:hAnsi="Arial"/>
            <w:sz w:val="18"/>
            <w:szCs w:val="18"/>
            <w:u w:val="single" w:color="auto"/>
            <w:color w:val="0000FF"/>
          </w:rPr>
          <w:t>Trust Supplement No. 2017-1A, dated as of January 13, 2017, between American Airlines, Inc. and Wilmington Trust Company,</w:t>
        </w:r>
      </w:hyperlink>
      <w:r>
        <w:rPr>
          <w:rFonts w:ascii="Arial" w:cs="Arial" w:eastAsia="Arial" w:hAnsi="Arial"/>
          <w:sz w:val="18"/>
          <w:szCs w:val="18"/>
          <w:color w:val="auto"/>
        </w:rPr>
        <w:t xml:space="preserve"> </w:t>
      </w:r>
      <w:hyperlink r:id="rId367">
        <w:r>
          <w:rPr>
            <w:rFonts w:ascii="Arial" w:cs="Arial" w:eastAsia="Arial" w:hAnsi="Arial"/>
            <w:sz w:val="18"/>
            <w:szCs w:val="18"/>
            <w:u w:val="single" w:color="auto"/>
            <w:color w:val="0000FF"/>
          </w:rPr>
          <w:t>as 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367">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4.104     </w:t>
      </w:r>
      <w:hyperlink r:id="rId368">
        <w:r>
          <w:rPr>
            <w:rFonts w:ascii="Arial" w:cs="Arial" w:eastAsia="Arial" w:hAnsi="Arial"/>
            <w:sz w:val="18"/>
            <w:szCs w:val="18"/>
            <w:u w:val="single" w:color="auto"/>
            <w:color w:val="0000FF"/>
          </w:rPr>
          <w:t>Trust Supplement No. 2017-1B, dated as of January 13, 2017, between American Airlines, Inc. and Wilmington Trust Company,</w:t>
        </w:r>
      </w:hyperlink>
      <w:r>
        <w:rPr>
          <w:rFonts w:ascii="Arial" w:cs="Arial" w:eastAsia="Arial" w:hAnsi="Arial"/>
          <w:sz w:val="18"/>
          <w:szCs w:val="18"/>
          <w:color w:val="auto"/>
        </w:rPr>
        <w:t xml:space="preserve"> </w:t>
      </w:r>
      <w:hyperlink r:id="rId368">
        <w:r>
          <w:rPr>
            <w:rFonts w:ascii="Arial" w:cs="Arial" w:eastAsia="Arial" w:hAnsi="Arial"/>
            <w:sz w:val="18"/>
            <w:szCs w:val="18"/>
            <w:u w:val="single" w:color="auto"/>
            <w:color w:val="0000FF"/>
          </w:rPr>
          <w:t>as Trustee, to the Pass Through Trust Agreement, dated as of September 16, 2014 (incorporated by reference to Exhibit 4.4 to</w:t>
        </w:r>
      </w:hyperlink>
    </w:p>
    <w:p>
      <w:pPr>
        <w:ind w:left="920"/>
        <w:spacing w:after="0"/>
        <w:rPr>
          <w:rFonts w:ascii="Arial" w:cs="Arial" w:eastAsia="Arial" w:hAnsi="Arial"/>
          <w:sz w:val="18"/>
          <w:szCs w:val="18"/>
          <w:u w:val="single" w:color="auto"/>
          <w:color w:val="0000FF"/>
        </w:rPr>
      </w:pPr>
      <w:hyperlink r:id="rId368">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4.105     </w:t>
      </w:r>
      <w:hyperlink r:id="rId369">
        <w:r>
          <w:rPr>
            <w:rFonts w:ascii="Arial" w:cs="Arial" w:eastAsia="Arial" w:hAnsi="Arial"/>
            <w:sz w:val="18"/>
            <w:szCs w:val="18"/>
            <w:u w:val="single" w:color="auto"/>
            <w:color w:val="0000FF"/>
          </w:rPr>
          <w:t>Intercreditor Agreement (2017-1), dated as of January 13, 2017, among Wilmington Trust Company, as Trustee of the American</w:t>
        </w:r>
      </w:hyperlink>
      <w:r>
        <w:rPr>
          <w:rFonts w:ascii="Arial" w:cs="Arial" w:eastAsia="Arial" w:hAnsi="Arial"/>
          <w:sz w:val="18"/>
          <w:szCs w:val="18"/>
          <w:color w:val="auto"/>
        </w:rPr>
        <w:t xml:space="preserve"> </w:t>
      </w:r>
      <w:hyperlink r:id="rId369">
        <w:r>
          <w:rPr>
            <w:rFonts w:ascii="Arial" w:cs="Arial" w:eastAsia="Arial" w:hAnsi="Arial"/>
            <w:sz w:val="18"/>
            <w:szCs w:val="18"/>
            <w:u w:val="single" w:color="auto"/>
            <w:color w:val="0000FF"/>
          </w:rPr>
          <w:t>Airlines Pass Through Trust 2017-1AA, as Trustee of the American Airlines Pass Through Trust 2017-1A and as Trustee of the</w:t>
        </w:r>
      </w:hyperlink>
    </w:p>
    <w:p>
      <w:pPr>
        <w:jc w:val="both"/>
        <w:ind w:left="920"/>
        <w:spacing w:after="0" w:line="220" w:lineRule="auto"/>
        <w:rPr>
          <w:rFonts w:ascii="Arial" w:cs="Arial" w:eastAsia="Arial" w:hAnsi="Arial"/>
          <w:sz w:val="18"/>
          <w:szCs w:val="18"/>
          <w:u w:val="single" w:color="auto"/>
          <w:color w:val="0000FF"/>
        </w:rPr>
      </w:pPr>
      <w:hyperlink r:id="rId369">
        <w:r>
          <w:rPr>
            <w:rFonts w:ascii="Arial" w:cs="Arial" w:eastAsia="Arial" w:hAnsi="Arial"/>
            <w:sz w:val="18"/>
            <w:szCs w:val="18"/>
            <w:u w:val="single" w:color="auto"/>
            <w:color w:val="0000FF"/>
          </w:rPr>
          <w:t>American Airlines Pass Through Trust 2017-1B, Citibank N.A., as Class AA Liquidity Provider, Class A Liquidity Provider and</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Class B Liquidity Provider, and Wilmington Trust Company, as Subordination Agent (incorporated by reference to Exhibit 4.5 to</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American’s Current Report on Form 8-K filed on January 17, 2017 (Commission File No. 1-02691)).</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4.106     </w:t>
      </w:r>
      <w:hyperlink r:id="rId371">
        <w:r>
          <w:rPr>
            <w:rFonts w:ascii="Arial" w:cs="Arial" w:eastAsia="Arial" w:hAnsi="Arial"/>
            <w:sz w:val="18"/>
            <w:szCs w:val="18"/>
            <w:u w:val="single" w:color="auto"/>
            <w:color w:val="0000FF"/>
          </w:rPr>
          <w:t>Note Purchase Agreement, dated as of January 13, 2017, among American Airlines, Inc., Wilmington Trust Company, as Pass</w:t>
        </w:r>
      </w:hyperlink>
      <w:r>
        <w:rPr>
          <w:rFonts w:ascii="Arial" w:cs="Arial" w:eastAsia="Arial" w:hAnsi="Arial"/>
          <w:sz w:val="18"/>
          <w:szCs w:val="18"/>
          <w:color w:val="auto"/>
        </w:rPr>
        <w:t xml:space="preserve"> </w:t>
      </w:r>
      <w:hyperlink r:id="rId37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71">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71">
        <w:r>
          <w:rPr>
            <w:rFonts w:ascii="Arial" w:cs="Arial" w:eastAsia="Arial" w:hAnsi="Arial"/>
            <w:sz w:val="18"/>
            <w:szCs w:val="18"/>
            <w:u w:val="single" w:color="auto"/>
            <w:color w:val="0000FF"/>
          </w:rPr>
          <w:t>reference to Exhibit 4.12 to American’s Current Report on Form 8-K filed on January 17, 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4.107     </w:t>
      </w:r>
      <w:hyperlink r:id="rId371">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7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71">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71">
        <w:r>
          <w:rPr>
            <w:rFonts w:ascii="Arial" w:cs="Arial" w:eastAsia="Arial" w:hAnsi="Arial"/>
            <w:sz w:val="18"/>
            <w:szCs w:val="18"/>
            <w:u w:val="single" w:color="auto"/>
            <w:color w:val="0000FF"/>
          </w:rPr>
          <w:t>(incorporated by reference to Exhibit B to Exhibit 4.12 to American’s Current Report on Form 8-K filed on January 17, 2017</w:t>
        </w:r>
      </w:hyperlink>
      <w:r>
        <w:rPr>
          <w:rFonts w:ascii="Arial" w:cs="Arial" w:eastAsia="Arial" w:hAnsi="Arial"/>
          <w:sz w:val="18"/>
          <w:szCs w:val="18"/>
          <w:u w:val="single" w:color="auto"/>
          <w:color w:val="0000FF"/>
        </w:rPr>
        <w:t xml:space="preserve"> </w:t>
      </w:r>
      <w:hyperlink r:id="rId371">
        <w:r>
          <w:rPr>
            <w:rFonts w:ascii="Arial" w:cs="Arial" w:eastAsia="Arial" w:hAnsi="Arial"/>
            <w:sz w:val="18"/>
            <w:szCs w:val="18"/>
            <w:u w:val="single" w:color="auto"/>
            <w:color w:val="0000FF"/>
          </w:rPr>
          <w:t>(Commission File No. 1-02691)).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4.108     </w:t>
      </w:r>
      <w:hyperlink r:id="rId371">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71">
        <w:r>
          <w:rPr>
            <w:rFonts w:ascii="Arial" w:cs="Arial" w:eastAsia="Arial" w:hAnsi="Arial"/>
            <w:sz w:val="18"/>
            <w:szCs w:val="18"/>
            <w:u w:val="single" w:color="auto"/>
            <w:color w:val="0000FF"/>
          </w:rPr>
          <w:t>Trust Company, as Loan Trustee) (incorporated by reference to Exhibit C to Exhibit 4.12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71">
        <w:r>
          <w:rPr>
            <w:rFonts w:ascii="Arial" w:cs="Arial" w:eastAsia="Arial" w:hAnsi="Arial"/>
            <w:sz w:val="18"/>
            <w:szCs w:val="18"/>
            <w:u w:val="single" w:color="auto"/>
            <w:color w:val="0000FF"/>
          </w:rPr>
          <w:t>K filed on January 17, 2017 (Commission File No. 1-02691)).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4.109</w:t>
      </w:r>
      <w:r>
        <w:rPr>
          <w:sz w:val="20"/>
          <w:szCs w:val="20"/>
          <w:color w:val="auto"/>
        </w:rPr>
        <w:tab/>
      </w:r>
      <w:hyperlink r:id="rId366">
        <w:r>
          <w:rPr>
            <w:rFonts w:ascii="Arial" w:cs="Arial" w:eastAsia="Arial" w:hAnsi="Arial"/>
            <w:sz w:val="18"/>
            <w:szCs w:val="18"/>
            <w:u w:val="single" w:color="auto"/>
            <w:color w:val="0000FF"/>
          </w:rPr>
          <w:t>Form of Pass Through Trust Certificate, Series 2017-1AA (incorporated by reference to Exhibit A to Exhibit 4.2 to American’s</w:t>
        </w:r>
      </w:hyperlink>
      <w:r>
        <w:rPr>
          <w:rFonts w:ascii="Arial" w:cs="Arial" w:eastAsia="Arial" w:hAnsi="Arial"/>
          <w:sz w:val="18"/>
          <w:szCs w:val="18"/>
          <w:u w:val="single" w:color="auto"/>
          <w:color w:val="0000FF"/>
        </w:rPr>
        <w:t xml:space="preserve"> </w:t>
      </w:r>
      <w:hyperlink r:id="rId366">
        <w:r>
          <w:rPr>
            <w:rFonts w:ascii="Arial" w:cs="Arial" w:eastAsia="Arial" w:hAnsi="Arial"/>
            <w:sz w:val="18"/>
            <w:szCs w:val="18"/>
            <w:u w:val="single" w:color="auto"/>
            <w:color w:val="0000FF"/>
          </w:rPr>
          <w:t>Current Report on Form 8-K filed on January 17, 2017 (Commission File No. 1-02691)).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4.110</w:t>
      </w:r>
      <w:r>
        <w:rPr>
          <w:sz w:val="20"/>
          <w:szCs w:val="20"/>
          <w:color w:val="auto"/>
        </w:rPr>
        <w:tab/>
      </w:r>
      <w:hyperlink r:id="rId367">
        <w:r>
          <w:rPr>
            <w:rFonts w:ascii="Arial" w:cs="Arial" w:eastAsia="Arial" w:hAnsi="Arial"/>
            <w:sz w:val="18"/>
            <w:szCs w:val="18"/>
            <w:u w:val="single" w:color="auto"/>
            <w:color w:val="0000FF"/>
          </w:rPr>
          <w:t>Form of Pass Through Trust Certificate, Series 2017-1A (incorporated by reference to Exhibit A to Exhibit 4.3 to American’s</w:t>
        </w:r>
      </w:hyperlink>
      <w:r>
        <w:rPr>
          <w:rFonts w:ascii="Arial" w:cs="Arial" w:eastAsia="Arial" w:hAnsi="Arial"/>
          <w:sz w:val="18"/>
          <w:szCs w:val="18"/>
          <w:u w:val="single" w:color="auto"/>
          <w:color w:val="0000FF"/>
        </w:rPr>
        <w:t xml:space="preserve"> </w:t>
      </w:r>
      <w:hyperlink r:id="rId367">
        <w:r>
          <w:rPr>
            <w:rFonts w:ascii="Arial" w:cs="Arial" w:eastAsia="Arial" w:hAnsi="Arial"/>
            <w:sz w:val="18"/>
            <w:szCs w:val="18"/>
            <w:u w:val="single" w:color="auto"/>
            <w:color w:val="0000FF"/>
          </w:rPr>
          <w:t>Current Report on Form 8-K filed on January 17, 2017 (Commission File No. 1-02691)).</w:t>
        </w:r>
      </w:hyperlink>
    </w:p>
    <w:p>
      <w:pPr>
        <w:spacing w:after="0" w:line="6"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4.111</w:t>
      </w:r>
      <w:r>
        <w:rPr>
          <w:sz w:val="20"/>
          <w:szCs w:val="20"/>
          <w:color w:val="auto"/>
        </w:rPr>
        <w:tab/>
      </w:r>
      <w:hyperlink r:id="rId368">
        <w:r>
          <w:rPr>
            <w:rFonts w:ascii="Arial" w:cs="Arial" w:eastAsia="Arial" w:hAnsi="Arial"/>
            <w:sz w:val="18"/>
            <w:szCs w:val="18"/>
            <w:u w:val="single" w:color="auto"/>
            <w:color w:val="0000FF"/>
          </w:rPr>
          <w:t>Form of Pass Through Trust Certificate, Series 2017-1B (incorporated by reference to Exhibit A to Exhibit 4.4 to American’s</w:t>
        </w:r>
      </w:hyperlink>
      <w:r>
        <w:rPr>
          <w:rFonts w:ascii="Arial" w:cs="Arial" w:eastAsia="Arial" w:hAnsi="Arial"/>
          <w:sz w:val="18"/>
          <w:szCs w:val="18"/>
          <w:u w:val="single" w:color="auto"/>
          <w:color w:val="0000FF"/>
        </w:rPr>
        <w:t xml:space="preserve"> </w:t>
      </w:r>
      <w:hyperlink r:id="rId368">
        <w:r>
          <w:rPr>
            <w:rFonts w:ascii="Arial" w:cs="Arial" w:eastAsia="Arial" w:hAnsi="Arial"/>
            <w:sz w:val="18"/>
            <w:szCs w:val="18"/>
            <w:u w:val="single" w:color="auto"/>
            <w:color w:val="0000FF"/>
          </w:rPr>
          <w:t>Current Report on Form 8-K filed on January 17, 2017 (Commission File No. 1-02691)).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4.112     </w:t>
      </w:r>
      <w:hyperlink r:id="rId372">
        <w:r>
          <w:rPr>
            <w:rFonts w:ascii="Arial" w:cs="Arial" w:eastAsia="Arial" w:hAnsi="Arial"/>
            <w:sz w:val="18"/>
            <w:szCs w:val="18"/>
            <w:u w:val="single" w:color="auto"/>
            <w:color w:val="0000FF"/>
          </w:rPr>
          <w:t>Revolving Credit Agreement (2017-1AA), dated as of January 13, 2017, between Wilmington Trust Company, as Subordination</w:t>
        </w:r>
      </w:hyperlink>
      <w:r>
        <w:rPr>
          <w:rFonts w:ascii="Arial" w:cs="Arial" w:eastAsia="Arial" w:hAnsi="Arial"/>
          <w:sz w:val="18"/>
          <w:szCs w:val="18"/>
          <w:color w:val="auto"/>
        </w:rPr>
        <w:t xml:space="preserve"> </w:t>
      </w:r>
      <w:hyperlink r:id="rId372">
        <w:r>
          <w:rPr>
            <w:rFonts w:ascii="Arial" w:cs="Arial" w:eastAsia="Arial" w:hAnsi="Arial"/>
            <w:sz w:val="18"/>
            <w:szCs w:val="18"/>
            <w:u w:val="single" w:color="auto"/>
            <w:color w:val="0000FF"/>
          </w:rPr>
          <w:t>Agent, as agent and trustee for the trustee of the American Airlines Pass Through Trust 2017-1AA, as Borrower, and Citibank</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72">
        <w:r>
          <w:rPr>
            <w:rFonts w:ascii="Arial" w:cs="Arial" w:eastAsia="Arial" w:hAnsi="Arial"/>
            <w:sz w:val="18"/>
            <w:szCs w:val="18"/>
            <w:u w:val="single" w:color="auto"/>
            <w:color w:val="0000FF"/>
          </w:rPr>
          <w:t>N.A., as Liquidity Provider (incorporated by reference to Exhibit 4.18 to American’s Current Report on Form 8-K filed on January</w:t>
        </w:r>
      </w:hyperlink>
      <w:r>
        <w:rPr>
          <w:rFonts w:ascii="Arial" w:cs="Arial" w:eastAsia="Arial" w:hAnsi="Arial"/>
          <w:sz w:val="18"/>
          <w:szCs w:val="18"/>
          <w:u w:val="single" w:color="auto"/>
          <w:color w:val="0000FF"/>
        </w:rPr>
        <w:t xml:space="preserve"> </w:t>
      </w:r>
      <w:hyperlink r:id="rId372">
        <w:r>
          <w:rPr>
            <w:rFonts w:ascii="Arial" w:cs="Arial" w:eastAsia="Arial" w:hAnsi="Arial"/>
            <w:sz w:val="18"/>
            <w:szCs w:val="18"/>
            <w:u w:val="single" w:color="auto"/>
            <w:color w:val="0000FF"/>
          </w:rPr>
          <w:t>17, 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4.113     </w:t>
      </w:r>
      <w:hyperlink r:id="rId373">
        <w:r>
          <w:rPr>
            <w:rFonts w:ascii="Arial" w:cs="Arial" w:eastAsia="Arial" w:hAnsi="Arial"/>
            <w:sz w:val="18"/>
            <w:szCs w:val="18"/>
            <w:u w:val="single" w:color="auto"/>
            <w:color w:val="0000FF"/>
          </w:rPr>
          <w:t>Revolving Credit Agreement (2017-1A), dated as of January 13, 2017, between Wilmington Trust Company, as Subordination</w:t>
        </w:r>
      </w:hyperlink>
      <w:r>
        <w:rPr>
          <w:rFonts w:ascii="Arial" w:cs="Arial" w:eastAsia="Arial" w:hAnsi="Arial"/>
          <w:sz w:val="18"/>
          <w:szCs w:val="18"/>
          <w:color w:val="auto"/>
        </w:rPr>
        <w:t xml:space="preserve"> </w:t>
      </w:r>
      <w:hyperlink r:id="rId373">
        <w:r>
          <w:rPr>
            <w:rFonts w:ascii="Arial" w:cs="Arial" w:eastAsia="Arial" w:hAnsi="Arial"/>
            <w:sz w:val="18"/>
            <w:szCs w:val="18"/>
            <w:u w:val="single" w:color="auto"/>
            <w:color w:val="0000FF"/>
          </w:rPr>
          <w:t>Agent, as agent and trustee for the trustee of the American Airlines Pass Through Trust 2017-1A, as Borrower, and Citibank N.A.,</w:t>
        </w:r>
      </w:hyperlink>
    </w:p>
    <w:p>
      <w:pPr>
        <w:ind w:left="920"/>
        <w:spacing w:after="0" w:line="229" w:lineRule="auto"/>
        <w:rPr>
          <w:rFonts w:ascii="Arial" w:cs="Arial" w:eastAsia="Arial" w:hAnsi="Arial"/>
          <w:sz w:val="18"/>
          <w:szCs w:val="18"/>
          <w:u w:val="single" w:color="auto"/>
          <w:color w:val="0000FF"/>
        </w:rPr>
      </w:pPr>
      <w:hyperlink r:id="rId373">
        <w:r>
          <w:rPr>
            <w:rFonts w:ascii="Arial" w:cs="Arial" w:eastAsia="Arial" w:hAnsi="Arial"/>
            <w:sz w:val="18"/>
            <w:szCs w:val="18"/>
            <w:u w:val="single" w:color="auto"/>
            <w:color w:val="0000FF"/>
          </w:rPr>
          <w:t>as Liquidity Provider (incorporated by reference to Exhibit 4.19 to American’s Current Report on Form 8-K filed on January 17,</w:t>
        </w:r>
      </w:hyperlink>
      <w:r>
        <w:rPr>
          <w:rFonts w:ascii="Arial" w:cs="Arial" w:eastAsia="Arial" w:hAnsi="Arial"/>
          <w:sz w:val="18"/>
          <w:szCs w:val="18"/>
          <w:u w:val="single" w:color="auto"/>
          <w:color w:val="0000FF"/>
        </w:rPr>
        <w:t xml:space="preserve"> </w:t>
      </w:r>
      <w:hyperlink r:id="rId373">
        <w:r>
          <w:rPr>
            <w:rFonts w:ascii="Arial" w:cs="Arial" w:eastAsia="Arial" w:hAnsi="Arial"/>
            <w:sz w:val="18"/>
            <w:szCs w:val="18"/>
            <w:u w:val="single" w:color="auto"/>
            <w:color w:val="0000FF"/>
          </w:rPr>
          <w:t>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4.114     </w:t>
      </w:r>
      <w:hyperlink r:id="rId374">
        <w:r>
          <w:rPr>
            <w:rFonts w:ascii="Arial" w:cs="Arial" w:eastAsia="Arial" w:hAnsi="Arial"/>
            <w:sz w:val="18"/>
            <w:szCs w:val="18"/>
            <w:u w:val="single" w:color="auto"/>
            <w:color w:val="0000FF"/>
          </w:rPr>
          <w:t>Revolving Credit Agreement (2017-1B), dated as of January 13, 2017, between Wilmington Trust Company, as Subordination</w:t>
        </w:r>
      </w:hyperlink>
      <w:r>
        <w:rPr>
          <w:rFonts w:ascii="Arial" w:cs="Arial" w:eastAsia="Arial" w:hAnsi="Arial"/>
          <w:sz w:val="18"/>
          <w:szCs w:val="18"/>
          <w:color w:val="auto"/>
        </w:rPr>
        <w:t xml:space="preserve"> </w:t>
      </w:r>
      <w:hyperlink r:id="rId374">
        <w:r>
          <w:rPr>
            <w:rFonts w:ascii="Arial" w:cs="Arial" w:eastAsia="Arial" w:hAnsi="Arial"/>
            <w:sz w:val="18"/>
            <w:szCs w:val="18"/>
            <w:u w:val="single" w:color="auto"/>
            <w:color w:val="0000FF"/>
          </w:rPr>
          <w:t>Agent, as agent and trustee for the trustee of the American Airlines Pass Through Trust 2017-1B, as Borrower, and Citibank N.A.,</w:t>
        </w:r>
      </w:hyperlink>
    </w:p>
    <w:p>
      <w:pPr>
        <w:ind w:left="920"/>
        <w:spacing w:after="0" w:line="229" w:lineRule="auto"/>
        <w:rPr>
          <w:rFonts w:ascii="Arial" w:cs="Arial" w:eastAsia="Arial" w:hAnsi="Arial"/>
          <w:sz w:val="18"/>
          <w:szCs w:val="18"/>
          <w:u w:val="single" w:color="auto"/>
          <w:color w:val="0000FF"/>
        </w:rPr>
      </w:pPr>
      <w:hyperlink r:id="rId374">
        <w:r>
          <w:rPr>
            <w:rFonts w:ascii="Arial" w:cs="Arial" w:eastAsia="Arial" w:hAnsi="Arial"/>
            <w:sz w:val="18"/>
            <w:szCs w:val="18"/>
            <w:u w:val="single" w:color="auto"/>
            <w:color w:val="0000FF"/>
          </w:rPr>
          <w:t>as Liquidity Provider (incorporated by reference to Exhibit 4.20 to American’s Current Report on Form 8-K filed on January 17,</w:t>
        </w:r>
      </w:hyperlink>
      <w:r>
        <w:rPr>
          <w:rFonts w:ascii="Arial" w:cs="Arial" w:eastAsia="Arial" w:hAnsi="Arial"/>
          <w:sz w:val="18"/>
          <w:szCs w:val="18"/>
          <w:u w:val="single" w:color="auto"/>
          <w:color w:val="0000FF"/>
        </w:rPr>
        <w:t xml:space="preserve"> </w:t>
      </w:r>
      <w:hyperlink r:id="rId374">
        <w:r>
          <w:rPr>
            <w:rFonts w:ascii="Arial" w:cs="Arial" w:eastAsia="Arial" w:hAnsi="Arial"/>
            <w:sz w:val="18"/>
            <w:szCs w:val="18"/>
            <w:u w:val="single" w:color="auto"/>
            <w:color w:val="0000FF"/>
          </w:rPr>
          <w:t>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4.115     </w:t>
      </w:r>
      <w:hyperlink r:id="rId375">
        <w:r>
          <w:rPr>
            <w:rFonts w:ascii="Arial" w:cs="Arial" w:eastAsia="Arial" w:hAnsi="Arial"/>
            <w:sz w:val="18"/>
            <w:szCs w:val="18"/>
            <w:u w:val="single" w:color="auto"/>
            <w:color w:val="0000FF"/>
          </w:rPr>
          <w:t>Acknowledgment and Agreement (2017-1), dated as of March 31, 2017, by and among American Airlines Inc., Citibank, N.A., as</w:t>
        </w:r>
      </w:hyperlink>
      <w:r>
        <w:rPr>
          <w:rFonts w:ascii="Arial" w:cs="Arial" w:eastAsia="Arial" w:hAnsi="Arial"/>
          <w:sz w:val="18"/>
          <w:szCs w:val="18"/>
          <w:color w:val="auto"/>
        </w:rPr>
        <w:t xml:space="preserve"> </w:t>
      </w:r>
      <w:hyperlink r:id="rId375">
        <w:r>
          <w:rPr>
            <w:rFonts w:ascii="Arial" w:cs="Arial" w:eastAsia="Arial" w:hAnsi="Arial"/>
            <w:sz w:val="18"/>
            <w:szCs w:val="18"/>
            <w:u w:val="single" w:color="auto"/>
            <w:color w:val="0000FF"/>
          </w:rPr>
          <w:t>initial Liquidity Provider, National Australia Bank Limited, as Replacement Liquidity Provider, and Wilmington Trust Company, as</w:t>
        </w:r>
      </w:hyperlink>
    </w:p>
    <w:p>
      <w:pPr>
        <w:ind w:left="920"/>
        <w:spacing w:after="0" w:line="229" w:lineRule="auto"/>
        <w:rPr>
          <w:rFonts w:ascii="Arial" w:cs="Arial" w:eastAsia="Arial" w:hAnsi="Arial"/>
          <w:sz w:val="18"/>
          <w:szCs w:val="18"/>
          <w:u w:val="single" w:color="auto"/>
          <w:color w:val="0000FF"/>
        </w:rPr>
      </w:pPr>
      <w:hyperlink r:id="rId375">
        <w:r>
          <w:rPr>
            <w:rFonts w:ascii="Arial" w:cs="Arial" w:eastAsia="Arial" w:hAnsi="Arial"/>
            <w:sz w:val="18"/>
            <w:szCs w:val="18"/>
            <w:u w:val="single" w:color="auto"/>
            <w:color w:val="0000FF"/>
          </w:rPr>
          <w:t>Subordination Agent and trustee (incorporated by reference to Exhibit 4.20 to AAG’s Quarterly Report on Form 10-Q for the</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4.116     </w:t>
      </w:r>
      <w:hyperlink r:id="rId376">
        <w:r>
          <w:rPr>
            <w:rFonts w:ascii="Arial" w:cs="Arial" w:eastAsia="Arial" w:hAnsi="Arial"/>
            <w:sz w:val="18"/>
            <w:szCs w:val="18"/>
            <w:u w:val="single" w:color="auto"/>
            <w:color w:val="0000FF"/>
          </w:rPr>
          <w:t>Revolving Credit Agreement (2017-1AA), dated as of March 31, 2017, between Wilmington Trust Company, as Subordination</w:t>
        </w:r>
      </w:hyperlink>
      <w:r>
        <w:rPr>
          <w:rFonts w:ascii="Arial" w:cs="Arial" w:eastAsia="Arial" w:hAnsi="Arial"/>
          <w:sz w:val="18"/>
          <w:szCs w:val="18"/>
          <w:color w:val="auto"/>
        </w:rPr>
        <w:t xml:space="preserve"> </w:t>
      </w:r>
      <w:hyperlink r:id="rId376">
        <w:r>
          <w:rPr>
            <w:rFonts w:ascii="Arial" w:cs="Arial" w:eastAsia="Arial" w:hAnsi="Arial"/>
            <w:sz w:val="18"/>
            <w:szCs w:val="18"/>
            <w:u w:val="single" w:color="auto"/>
            <w:color w:val="0000FF"/>
          </w:rPr>
          <w:t>Agent, as agent and trustee for the trustee of the American Airlines Pass Through Trust 2017-1AA, as Borrower, and National</w:t>
        </w:r>
      </w:hyperlink>
    </w:p>
    <w:p>
      <w:pPr>
        <w:ind w:left="920"/>
        <w:spacing w:after="0" w:line="229" w:lineRule="auto"/>
        <w:rPr>
          <w:rFonts w:ascii="Arial" w:cs="Arial" w:eastAsia="Arial" w:hAnsi="Arial"/>
          <w:sz w:val="18"/>
          <w:szCs w:val="18"/>
          <w:u w:val="single" w:color="auto"/>
          <w:color w:val="0000FF"/>
        </w:rPr>
      </w:pPr>
      <w:hyperlink r:id="rId376">
        <w:r>
          <w:rPr>
            <w:rFonts w:ascii="Arial" w:cs="Arial" w:eastAsia="Arial" w:hAnsi="Arial"/>
            <w:sz w:val="18"/>
            <w:szCs w:val="18"/>
            <w:u w:val="single" w:color="auto"/>
            <w:color w:val="0000FF"/>
          </w:rPr>
          <w:t>Australia Bank Limited, as Liquidity Provider (incorporated by reference to Exhibit 4.21 to AAG’s Quarterly Report on Form 10-Q</w:t>
        </w:r>
      </w:hyperlink>
      <w:r>
        <w:rPr>
          <w:rFonts w:ascii="Arial" w:cs="Arial" w:eastAsia="Arial" w:hAnsi="Arial"/>
          <w:sz w:val="18"/>
          <w:szCs w:val="18"/>
          <w:u w:val="single" w:color="auto"/>
          <w:color w:val="0000FF"/>
        </w:rPr>
        <w:t xml:space="preserve"> </w:t>
      </w:r>
      <w:hyperlink r:id="rId376">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4.117     </w:t>
      </w:r>
      <w:hyperlink r:id="rId377">
        <w:r>
          <w:rPr>
            <w:rFonts w:ascii="Arial" w:cs="Arial" w:eastAsia="Arial" w:hAnsi="Arial"/>
            <w:sz w:val="18"/>
            <w:szCs w:val="18"/>
            <w:u w:val="single" w:color="auto"/>
            <w:color w:val="0000FF"/>
          </w:rPr>
          <w:t>Revolving Credit Agreement (2017-1A), dated as of March 31, 2017, between Wilmington Trust Company, as Subordination</w:t>
        </w:r>
      </w:hyperlink>
      <w:r>
        <w:rPr>
          <w:rFonts w:ascii="Arial" w:cs="Arial" w:eastAsia="Arial" w:hAnsi="Arial"/>
          <w:sz w:val="18"/>
          <w:szCs w:val="18"/>
          <w:color w:val="auto"/>
        </w:rPr>
        <w:t xml:space="preserve"> </w:t>
      </w:r>
      <w:hyperlink r:id="rId377">
        <w:r>
          <w:rPr>
            <w:rFonts w:ascii="Arial" w:cs="Arial" w:eastAsia="Arial" w:hAnsi="Arial"/>
            <w:sz w:val="18"/>
            <w:szCs w:val="18"/>
            <w:u w:val="single" w:color="auto"/>
            <w:color w:val="0000FF"/>
          </w:rPr>
          <w:t>Agent, as agent and trustee for the trustee of the American Airlines Pass Through Trust 2017-1A, as Borrower, and National</w:t>
        </w:r>
      </w:hyperlink>
    </w:p>
    <w:p>
      <w:pPr>
        <w:ind w:left="920"/>
        <w:spacing w:after="0" w:line="229" w:lineRule="auto"/>
        <w:rPr>
          <w:rFonts w:ascii="Arial" w:cs="Arial" w:eastAsia="Arial" w:hAnsi="Arial"/>
          <w:sz w:val="18"/>
          <w:szCs w:val="18"/>
          <w:u w:val="single" w:color="auto"/>
          <w:color w:val="0000FF"/>
        </w:rPr>
      </w:pPr>
      <w:hyperlink r:id="rId377">
        <w:r>
          <w:rPr>
            <w:rFonts w:ascii="Arial" w:cs="Arial" w:eastAsia="Arial" w:hAnsi="Arial"/>
            <w:sz w:val="18"/>
            <w:szCs w:val="18"/>
            <w:u w:val="single" w:color="auto"/>
            <w:color w:val="0000FF"/>
          </w:rPr>
          <w:t>Australia Bank Limited, as Liquidity Provider (incorporated by reference to Exhibit 4.22 to AAG’s Quarterly Report on Form 10-Q</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4.118     </w:t>
      </w:r>
      <w:hyperlink r:id="rId378">
        <w:r>
          <w:rPr>
            <w:rFonts w:ascii="Arial" w:cs="Arial" w:eastAsia="Arial" w:hAnsi="Arial"/>
            <w:sz w:val="18"/>
            <w:szCs w:val="18"/>
            <w:u w:val="single" w:color="auto"/>
            <w:color w:val="0000FF"/>
          </w:rPr>
          <w:t>Revolving Credit Agreement (2017-1B), dated as of March 31, 2017, between Wilmington Trust Company, as Subordination</w:t>
        </w:r>
      </w:hyperlink>
      <w:r>
        <w:rPr>
          <w:rFonts w:ascii="Arial" w:cs="Arial" w:eastAsia="Arial" w:hAnsi="Arial"/>
          <w:sz w:val="18"/>
          <w:szCs w:val="18"/>
          <w:color w:val="auto"/>
        </w:rPr>
        <w:t xml:space="preserve"> </w:t>
      </w:r>
      <w:hyperlink r:id="rId378">
        <w:r>
          <w:rPr>
            <w:rFonts w:ascii="Arial" w:cs="Arial" w:eastAsia="Arial" w:hAnsi="Arial"/>
            <w:sz w:val="18"/>
            <w:szCs w:val="18"/>
            <w:u w:val="single" w:color="auto"/>
            <w:color w:val="0000FF"/>
          </w:rPr>
          <w:t>Agent, as agent and trustee for the trustee of the American Airlines Pass Through Trust 2017-1B, as Borrower, and National</w:t>
        </w:r>
      </w:hyperlink>
    </w:p>
    <w:p>
      <w:pPr>
        <w:ind w:left="920"/>
        <w:spacing w:after="0" w:line="229" w:lineRule="auto"/>
        <w:rPr>
          <w:rFonts w:ascii="Arial" w:cs="Arial" w:eastAsia="Arial" w:hAnsi="Arial"/>
          <w:sz w:val="18"/>
          <w:szCs w:val="18"/>
          <w:u w:val="single" w:color="auto"/>
          <w:color w:val="0000FF"/>
        </w:rPr>
      </w:pPr>
      <w:hyperlink r:id="rId378">
        <w:r>
          <w:rPr>
            <w:rFonts w:ascii="Arial" w:cs="Arial" w:eastAsia="Arial" w:hAnsi="Arial"/>
            <w:sz w:val="18"/>
            <w:szCs w:val="18"/>
            <w:u w:val="single" w:color="auto"/>
            <w:color w:val="0000FF"/>
          </w:rPr>
          <w:t>Australia Bank Limited, as Liquidity Provider (incorporated by reference to Exhibit 4.23 to AAG’s Quarterly Report on Form 10-Q</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4.119</w:t>
      </w:r>
      <w:r>
        <w:rPr>
          <w:sz w:val="20"/>
          <w:szCs w:val="20"/>
          <w:color w:val="auto"/>
        </w:rPr>
        <w:tab/>
      </w:r>
      <w:hyperlink r:id="rId379">
        <w:r>
          <w:rPr>
            <w:rFonts w:ascii="Arial" w:cs="Arial" w:eastAsia="Arial" w:hAnsi="Arial"/>
            <w:sz w:val="18"/>
            <w:szCs w:val="18"/>
            <w:u w:val="single" w:color="auto"/>
            <w:color w:val="0000FF"/>
          </w:rPr>
          <w:t>Form of American Airlines Group Inc. Indenture for Debt Securities (incorporated by reference to Exhibit 4.1 to AAG’s Registration</w:t>
        </w:r>
      </w:hyperlink>
      <w:r>
        <w:rPr>
          <w:rFonts w:ascii="Arial" w:cs="Arial" w:eastAsia="Arial" w:hAnsi="Arial"/>
          <w:sz w:val="18"/>
          <w:szCs w:val="18"/>
          <w:u w:val="single" w:color="auto"/>
          <w:color w:val="0000FF"/>
        </w:rPr>
        <w:t xml:space="preserve"> </w:t>
      </w:r>
      <w:hyperlink r:id="rId379">
        <w:r>
          <w:rPr>
            <w:rFonts w:ascii="Arial" w:cs="Arial" w:eastAsia="Arial" w:hAnsi="Arial"/>
            <w:sz w:val="18"/>
            <w:szCs w:val="18"/>
            <w:u w:val="single" w:color="auto"/>
            <w:color w:val="0000FF"/>
          </w:rPr>
          <w:t>Statement on Form S-3ASR filed on February 22, 2017 (Commission File No. 333-216167).</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4.120</w:t>
      </w:r>
      <w:r>
        <w:rPr>
          <w:sz w:val="20"/>
          <w:szCs w:val="20"/>
          <w:color w:val="auto"/>
        </w:rPr>
        <w:tab/>
      </w:r>
      <w:hyperlink r:id="rId380">
        <w:r>
          <w:rPr>
            <w:rFonts w:ascii="Arial" w:cs="Arial" w:eastAsia="Arial" w:hAnsi="Arial"/>
            <w:sz w:val="18"/>
            <w:szCs w:val="18"/>
            <w:u w:val="single" w:color="auto"/>
            <w:color w:val="0000FF"/>
          </w:rPr>
          <w:t>Form of American Airlines, Inc. Indenture for Debt Securities (incorporated by reference to Exhibit 4.2 to AAG’s Registration</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Statement on Form S-3ASR filed on February 22, 2017 (Commission File No. 333-216167).</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4.121     </w:t>
      </w:r>
      <w:hyperlink r:id="rId381">
        <w:r>
          <w:rPr>
            <w:rFonts w:ascii="Arial" w:cs="Arial" w:eastAsia="Arial" w:hAnsi="Arial"/>
            <w:sz w:val="18"/>
            <w:szCs w:val="18"/>
            <w:u w:val="single" w:color="auto"/>
            <w:color w:val="0000FF"/>
          </w:rPr>
          <w:t>Trust Supplement No. 2017-2AA, dated as of August 14, 2017, between American Airlines, Inc. and Wilmington Trust Company,</w:t>
        </w:r>
      </w:hyperlink>
      <w:r>
        <w:rPr>
          <w:rFonts w:ascii="Arial" w:cs="Arial" w:eastAsia="Arial" w:hAnsi="Arial"/>
          <w:sz w:val="18"/>
          <w:szCs w:val="18"/>
          <w:color w:val="auto"/>
        </w:rPr>
        <w:t xml:space="preserve"> </w:t>
      </w:r>
      <w:hyperlink r:id="rId381">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1">
        <w:r>
          <w:rPr>
            <w:rFonts w:ascii="Arial" w:cs="Arial" w:eastAsia="Arial" w:hAnsi="Arial"/>
            <w:sz w:val="18"/>
            <w:szCs w:val="18"/>
            <w:u w:val="single" w:color="auto"/>
            <w:color w:val="0000FF"/>
          </w:rPr>
          <w:t>American’s Current Report on Form 8-K filed on August 14, 2017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4.122     </w:t>
      </w:r>
      <w:hyperlink r:id="rId383">
        <w:r>
          <w:rPr>
            <w:rFonts w:ascii="Arial" w:cs="Arial" w:eastAsia="Arial" w:hAnsi="Arial"/>
            <w:sz w:val="18"/>
            <w:szCs w:val="18"/>
            <w:u w:val="single" w:color="auto"/>
            <w:color w:val="0000FF"/>
          </w:rPr>
          <w:t>Trust Supplement No. 2017-2A, dated as of August 14, 2017, between American Airlines, Inc. and Wilmington Trust Company, as</w:t>
        </w:r>
      </w:hyperlink>
      <w:r>
        <w:rPr>
          <w:rFonts w:ascii="Arial" w:cs="Arial" w:eastAsia="Arial" w:hAnsi="Arial"/>
          <w:sz w:val="18"/>
          <w:szCs w:val="18"/>
          <w:color w:val="auto"/>
        </w:rPr>
        <w:t xml:space="preserve"> </w:t>
      </w:r>
      <w:hyperlink r:id="rId383">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3">
        <w:r>
          <w:rPr>
            <w:rFonts w:ascii="Arial" w:cs="Arial" w:eastAsia="Arial" w:hAnsi="Arial"/>
            <w:sz w:val="18"/>
            <w:szCs w:val="18"/>
            <w:u w:val="single" w:color="auto"/>
            <w:color w:val="0000FF"/>
          </w:rPr>
          <w:t>American’s Current Report on Form 8-K filed on August 14,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4.123     </w:t>
      </w:r>
      <w:hyperlink r:id="rId384">
        <w:r>
          <w:rPr>
            <w:rFonts w:ascii="Arial" w:cs="Arial" w:eastAsia="Arial" w:hAnsi="Arial"/>
            <w:sz w:val="18"/>
            <w:szCs w:val="18"/>
            <w:u w:val="single" w:color="auto"/>
            <w:color w:val="0000FF"/>
          </w:rPr>
          <w:t>Intercreditor Agreement (2017-2), dated as of August 14, 2017, among Wilmington Trust Company, as Trustee of the American</w:t>
        </w:r>
      </w:hyperlink>
      <w:r>
        <w:rPr>
          <w:rFonts w:ascii="Arial" w:cs="Arial" w:eastAsia="Arial" w:hAnsi="Arial"/>
          <w:sz w:val="18"/>
          <w:szCs w:val="18"/>
          <w:color w:val="auto"/>
        </w:rPr>
        <w:t xml:space="preserve"> </w:t>
      </w:r>
      <w:hyperlink r:id="rId384">
        <w:r>
          <w:rPr>
            <w:rFonts w:ascii="Arial" w:cs="Arial" w:eastAsia="Arial" w:hAnsi="Arial"/>
            <w:sz w:val="18"/>
            <w:szCs w:val="18"/>
            <w:u w:val="single" w:color="auto"/>
            <w:color w:val="0000FF"/>
          </w:rPr>
          <w:t>Airlines Pass Through Trust 2017-2AA and as Trustee of the American Airlines Pass Through Trust 2017-2A, National Australia</w:t>
        </w:r>
      </w:hyperlink>
    </w:p>
    <w:p>
      <w:pPr>
        <w:jc w:val="both"/>
        <w:ind w:left="920"/>
        <w:spacing w:after="0" w:line="220" w:lineRule="auto"/>
        <w:rPr>
          <w:rFonts w:ascii="Arial" w:cs="Arial" w:eastAsia="Arial" w:hAnsi="Arial"/>
          <w:sz w:val="18"/>
          <w:szCs w:val="18"/>
          <w:u w:val="single" w:color="auto"/>
          <w:color w:val="0000FF"/>
        </w:rPr>
      </w:pPr>
      <w:hyperlink r:id="rId384">
        <w:r>
          <w:rPr>
            <w:rFonts w:ascii="Arial" w:cs="Arial" w:eastAsia="Arial" w:hAnsi="Arial"/>
            <w:sz w:val="18"/>
            <w:szCs w:val="18"/>
            <w:u w:val="single" w:color="auto"/>
            <w:color w:val="0000FF"/>
          </w:rPr>
          <w:t>Bank Limited, as Class AA Liquidity Provider and Class A Liquidity Provider, and Wilmington Trust Company, as Subordination</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Agent (incorporated by reference to Exhibit 4.4 to American’s Current Report on Form 8-K filed on August 14, 2017 (Commission</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4.124     </w:t>
      </w:r>
      <w:hyperlink r:id="rId385">
        <w:r>
          <w:rPr>
            <w:rFonts w:ascii="Arial" w:cs="Arial" w:eastAsia="Arial" w:hAnsi="Arial"/>
            <w:sz w:val="18"/>
            <w:szCs w:val="18"/>
            <w:u w:val="single" w:color="auto"/>
            <w:color w:val="0000FF"/>
          </w:rPr>
          <w:t>Note Purchase Agreement, dated as of August 14, 2017, among American Airlines, Inc., Wilmington Trust Company, as Pass</w:t>
        </w:r>
      </w:hyperlink>
      <w:r>
        <w:rPr>
          <w:rFonts w:ascii="Arial" w:cs="Arial" w:eastAsia="Arial" w:hAnsi="Arial"/>
          <w:sz w:val="18"/>
          <w:szCs w:val="18"/>
          <w:color w:val="auto"/>
        </w:rPr>
        <w:t xml:space="preserve"> </w:t>
      </w:r>
      <w:hyperlink r:id="rId385">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85">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reference to Exhibit 4.9 to American’s Current Report on Form 8-K 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4.125     </w:t>
      </w:r>
      <w:hyperlink r:id="rId385">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85">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85">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(incorporated by reference to Exhibit B to Exhibit 4.9 to American’s Current Report on Form 8-K filed on August 14, 2017</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4.126     </w:t>
      </w:r>
      <w:hyperlink r:id="rId385">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85">
        <w:r>
          <w:rPr>
            <w:rFonts w:ascii="Arial" w:cs="Arial" w:eastAsia="Arial" w:hAnsi="Arial"/>
            <w:sz w:val="18"/>
            <w:szCs w:val="18"/>
            <w:u w:val="single" w:color="auto"/>
            <w:color w:val="0000FF"/>
          </w:rPr>
          <w:t>Trust Company, as Loan Trustee) (incorporated by reference to Exhibit C to Exhibit 4.9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5">
        <w:r>
          <w:rPr>
            <w:rFonts w:ascii="Arial" w:cs="Arial" w:eastAsia="Arial" w:hAnsi="Arial"/>
            <w:sz w:val="18"/>
            <w:szCs w:val="18"/>
            <w:u w:val="single" w:color="auto"/>
            <w:color w:val="0000FF"/>
          </w:rPr>
          <w:t>filed on August 14, 2017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4.127</w:t>
      </w:r>
      <w:r>
        <w:rPr>
          <w:sz w:val="20"/>
          <w:szCs w:val="20"/>
          <w:color w:val="auto"/>
        </w:rPr>
        <w:tab/>
      </w:r>
      <w:hyperlink r:id="rId381">
        <w:r>
          <w:rPr>
            <w:rFonts w:ascii="Arial" w:cs="Arial" w:eastAsia="Arial" w:hAnsi="Arial"/>
            <w:sz w:val="18"/>
            <w:szCs w:val="18"/>
            <w:u w:val="single" w:color="auto"/>
            <w:color w:val="0000FF"/>
          </w:rPr>
          <w:t>Form of Pass Through Trust Certificate, Series 2017-2AA (incorporated by reference to Exhibit A to Exhibit 4.2 to American’s</w:t>
        </w:r>
      </w:hyperlink>
      <w:r>
        <w:rPr>
          <w:rFonts w:ascii="Arial" w:cs="Arial" w:eastAsia="Arial" w:hAnsi="Arial"/>
          <w:sz w:val="18"/>
          <w:szCs w:val="18"/>
          <w:u w:val="single" w:color="auto"/>
          <w:color w:val="0000FF"/>
        </w:rPr>
        <w:t xml:space="preserve"> </w:t>
      </w:r>
      <w:hyperlink r:id="rId381">
        <w:r>
          <w:rPr>
            <w:rFonts w:ascii="Arial" w:cs="Arial" w:eastAsia="Arial" w:hAnsi="Arial"/>
            <w:sz w:val="18"/>
            <w:szCs w:val="18"/>
            <w:u w:val="single" w:color="auto"/>
            <w:color w:val="0000FF"/>
          </w:rPr>
          <w:t>Current Report on Form 8-K filed on August 14, 2017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4.128</w:t>
      </w:r>
      <w:r>
        <w:rPr>
          <w:sz w:val="20"/>
          <w:szCs w:val="20"/>
          <w:color w:val="auto"/>
        </w:rPr>
        <w:tab/>
      </w:r>
      <w:hyperlink r:id="rId383">
        <w:r>
          <w:rPr>
            <w:rFonts w:ascii="Arial" w:cs="Arial" w:eastAsia="Arial" w:hAnsi="Arial"/>
            <w:sz w:val="18"/>
            <w:szCs w:val="18"/>
            <w:u w:val="single" w:color="auto"/>
            <w:color w:val="0000FF"/>
          </w:rPr>
          <w:t>Form of Pass Through Trust Certificate, Series 2017-2A (incorporated by reference to Exhibit A to Exhibit 4.3 to American’s</w:t>
        </w:r>
      </w:hyperlink>
      <w:r>
        <w:rPr>
          <w:rFonts w:ascii="Arial" w:cs="Arial" w:eastAsia="Arial" w:hAnsi="Arial"/>
          <w:sz w:val="18"/>
          <w:szCs w:val="18"/>
          <w:u w:val="single" w:color="auto"/>
          <w:color w:val="0000FF"/>
        </w:rPr>
        <w:t xml:space="preserve"> </w:t>
      </w:r>
      <w:hyperlink r:id="rId383">
        <w:r>
          <w:rPr>
            <w:rFonts w:ascii="Arial" w:cs="Arial" w:eastAsia="Arial" w:hAnsi="Arial"/>
            <w:sz w:val="18"/>
            <w:szCs w:val="18"/>
            <w:u w:val="single" w:color="auto"/>
            <w:color w:val="0000FF"/>
          </w:rPr>
          <w:t>Current Report on Form 8-K filed on August 14, 2017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4.129     </w:t>
      </w:r>
      <w:hyperlink r:id="rId386">
        <w:r>
          <w:rPr>
            <w:rFonts w:ascii="Arial" w:cs="Arial" w:eastAsia="Arial" w:hAnsi="Arial"/>
            <w:sz w:val="18"/>
            <w:szCs w:val="18"/>
            <w:u w:val="single" w:color="auto"/>
            <w:color w:val="0000FF"/>
          </w:rPr>
          <w:t>Revolving Credit Agreement (2017-2AA), dated as of August 14, 2017, between Wilmington Trust Company, as Subordination</w:t>
        </w:r>
      </w:hyperlink>
      <w:r>
        <w:rPr>
          <w:rFonts w:ascii="Arial" w:cs="Arial" w:eastAsia="Arial" w:hAnsi="Arial"/>
          <w:sz w:val="18"/>
          <w:szCs w:val="18"/>
          <w:color w:val="auto"/>
        </w:rPr>
        <w:t xml:space="preserve"> </w:t>
      </w:r>
      <w:hyperlink r:id="rId386">
        <w:r>
          <w:rPr>
            <w:rFonts w:ascii="Arial" w:cs="Arial" w:eastAsia="Arial" w:hAnsi="Arial"/>
            <w:sz w:val="18"/>
            <w:szCs w:val="18"/>
            <w:u w:val="single" w:color="auto"/>
            <w:color w:val="0000FF"/>
          </w:rPr>
          <w:t>Agent, as agent and trustee for the trustee of the American Airlines Pass Through Trust 2017-2AA, as Borrower, and National</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86">
        <w:r>
          <w:rPr>
            <w:rFonts w:ascii="Arial" w:cs="Arial" w:eastAsia="Arial" w:hAnsi="Arial"/>
            <w:sz w:val="18"/>
            <w:szCs w:val="18"/>
            <w:u w:val="single" w:color="auto"/>
            <w:color w:val="0000FF"/>
          </w:rPr>
          <w:t>Australia Bank Limited, as Liquidity Provider (incorporated by reference to Exhibit 4.14 to American’s Current Report on Form 8-K</w:t>
        </w:r>
      </w:hyperlink>
      <w:r>
        <w:rPr>
          <w:rFonts w:ascii="Arial" w:cs="Arial" w:eastAsia="Arial" w:hAnsi="Arial"/>
          <w:sz w:val="18"/>
          <w:szCs w:val="18"/>
          <w:u w:val="single" w:color="auto"/>
          <w:color w:val="0000FF"/>
        </w:rPr>
        <w:t xml:space="preserve"> </w:t>
      </w:r>
      <w:hyperlink r:id="rId386">
        <w:r>
          <w:rPr>
            <w:rFonts w:ascii="Arial" w:cs="Arial" w:eastAsia="Arial" w:hAnsi="Arial"/>
            <w:sz w:val="18"/>
            <w:szCs w:val="18"/>
            <w:u w:val="single" w:color="auto"/>
            <w:color w:val="0000FF"/>
          </w:rPr>
          <w:t>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4.130     </w:t>
      </w:r>
      <w:hyperlink r:id="rId387">
        <w:r>
          <w:rPr>
            <w:rFonts w:ascii="Arial" w:cs="Arial" w:eastAsia="Arial" w:hAnsi="Arial"/>
            <w:sz w:val="18"/>
            <w:szCs w:val="18"/>
            <w:u w:val="single" w:color="auto"/>
            <w:color w:val="0000FF"/>
          </w:rPr>
          <w:t>Revolving Credit Agreement (2017-2A), dated as of August 14, 2017, between Wilmington Trust Company, as Subordination</w:t>
        </w:r>
      </w:hyperlink>
      <w:r>
        <w:rPr>
          <w:rFonts w:ascii="Arial" w:cs="Arial" w:eastAsia="Arial" w:hAnsi="Arial"/>
          <w:sz w:val="18"/>
          <w:szCs w:val="18"/>
          <w:color w:val="auto"/>
        </w:rPr>
        <w:t xml:space="preserve"> </w:t>
      </w:r>
      <w:hyperlink r:id="rId387">
        <w:r>
          <w:rPr>
            <w:rFonts w:ascii="Arial" w:cs="Arial" w:eastAsia="Arial" w:hAnsi="Arial"/>
            <w:sz w:val="18"/>
            <w:szCs w:val="18"/>
            <w:u w:val="single" w:color="auto"/>
            <w:color w:val="0000FF"/>
          </w:rPr>
          <w:t>Agent, as agent and trustee for the trustee of the American Airlines Pass Through Trust 2017-2A, as Borrower, and National</w:t>
        </w:r>
      </w:hyperlink>
    </w:p>
    <w:p>
      <w:pPr>
        <w:jc w:val="both"/>
        <w:ind w:left="920"/>
        <w:spacing w:after="0" w:line="229" w:lineRule="auto"/>
        <w:rPr>
          <w:rFonts w:ascii="Arial" w:cs="Arial" w:eastAsia="Arial" w:hAnsi="Arial"/>
          <w:sz w:val="18"/>
          <w:szCs w:val="18"/>
          <w:u w:val="single" w:color="auto"/>
          <w:color w:val="0000FF"/>
        </w:rPr>
      </w:pPr>
      <w:hyperlink r:id="rId387">
        <w:r>
          <w:rPr>
            <w:rFonts w:ascii="Arial" w:cs="Arial" w:eastAsia="Arial" w:hAnsi="Arial"/>
            <w:sz w:val="18"/>
            <w:szCs w:val="18"/>
            <w:u w:val="single" w:color="auto"/>
            <w:color w:val="0000FF"/>
          </w:rPr>
          <w:t>Australia Bank Limited, as Liquidity Provider (incorporated by reference to Exhibit 4.15 to American’s Current Report on Form 8-K</w:t>
        </w:r>
      </w:hyperlink>
      <w:r>
        <w:rPr>
          <w:rFonts w:ascii="Arial" w:cs="Arial" w:eastAsia="Arial" w:hAnsi="Arial"/>
          <w:sz w:val="18"/>
          <w:szCs w:val="18"/>
          <w:u w:val="single" w:color="auto"/>
          <w:color w:val="0000FF"/>
        </w:rPr>
        <w:t xml:space="preserve"> </w:t>
      </w:r>
      <w:hyperlink r:id="rId387">
        <w:r>
          <w:rPr>
            <w:rFonts w:ascii="Arial" w:cs="Arial" w:eastAsia="Arial" w:hAnsi="Arial"/>
            <w:sz w:val="18"/>
            <w:szCs w:val="18"/>
            <w:u w:val="single" w:color="auto"/>
            <w:color w:val="0000FF"/>
          </w:rPr>
          <w:t>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4.131     </w:t>
      </w:r>
      <w:hyperlink r:id="rId388">
        <w:r>
          <w:rPr>
            <w:rFonts w:ascii="Arial" w:cs="Arial" w:eastAsia="Arial" w:hAnsi="Arial"/>
            <w:sz w:val="18"/>
            <w:szCs w:val="18"/>
            <w:u w:val="single" w:color="auto"/>
            <w:color w:val="0000FF"/>
          </w:rPr>
          <w:t>Trust Supplement No. 2016-3B, dated as of October 4, 2017, between American Airlines, Inc. and Wilmington Trust Company, as</w:t>
        </w:r>
      </w:hyperlink>
      <w:r>
        <w:rPr>
          <w:rFonts w:ascii="Arial" w:cs="Arial" w:eastAsia="Arial" w:hAnsi="Arial"/>
          <w:sz w:val="18"/>
          <w:szCs w:val="18"/>
          <w:color w:val="auto"/>
        </w:rPr>
        <w:t xml:space="preserve"> </w:t>
      </w:r>
      <w:hyperlink r:id="rId388">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88">
        <w:r>
          <w:rPr>
            <w:rFonts w:ascii="Arial" w:cs="Arial" w:eastAsia="Arial" w:hAnsi="Arial"/>
            <w:sz w:val="18"/>
            <w:szCs w:val="18"/>
            <w:u w:val="single" w:color="auto"/>
            <w:color w:val="0000FF"/>
          </w:rPr>
          <w:t>American’s Current Report on Form 8-K filed on October 5,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4.132     </w:t>
      </w:r>
      <w:hyperlink r:id="rId389">
        <w:r>
          <w:rPr>
            <w:rFonts w:ascii="Arial" w:cs="Arial" w:eastAsia="Arial" w:hAnsi="Arial"/>
            <w:sz w:val="18"/>
            <w:szCs w:val="18"/>
            <w:u w:val="single" w:color="auto"/>
            <w:color w:val="0000FF"/>
          </w:rPr>
          <w:t>Amended and Restated Note Purchase Agreement, dated as of October 4, 2017, amending the Note Purchase Agreement, dated</w:t>
        </w:r>
      </w:hyperlink>
      <w:r>
        <w:rPr>
          <w:rFonts w:ascii="Arial" w:cs="Arial" w:eastAsia="Arial" w:hAnsi="Arial"/>
          <w:sz w:val="18"/>
          <w:szCs w:val="18"/>
          <w:color w:val="auto"/>
        </w:rPr>
        <w:t xml:space="preserve"> </w:t>
      </w:r>
      <w:hyperlink r:id="rId389">
        <w:r>
          <w:rPr>
            <w:rFonts w:ascii="Arial" w:cs="Arial" w:eastAsia="Arial" w:hAnsi="Arial"/>
            <w:sz w:val="18"/>
            <w:szCs w:val="18"/>
            <w:u w:val="single" w:color="auto"/>
            <w:color w:val="0000FF"/>
          </w:rPr>
          <w:t>as of October 3, 2016, among American Airlines, Inc., Wilmington Trust Company, as Pass Through Trustee under each of the</w:t>
        </w:r>
      </w:hyperlink>
    </w:p>
    <w:p>
      <w:pPr>
        <w:jc w:val="both"/>
        <w:ind w:left="920"/>
        <w:spacing w:after="0" w:line="229" w:lineRule="auto"/>
        <w:rPr>
          <w:rFonts w:ascii="Arial" w:cs="Arial" w:eastAsia="Arial" w:hAnsi="Arial"/>
          <w:sz w:val="18"/>
          <w:szCs w:val="18"/>
          <w:u w:val="single" w:color="auto"/>
          <w:color w:val="0000FF"/>
        </w:rPr>
      </w:pPr>
      <w:hyperlink r:id="rId389">
        <w:r>
          <w:rPr>
            <w:rFonts w:ascii="Arial" w:cs="Arial" w:eastAsia="Arial" w:hAnsi="Arial"/>
            <w:sz w:val="18"/>
            <w:szCs w:val="18"/>
            <w:u w:val="single" w:color="auto"/>
            <w:color w:val="0000FF"/>
          </w:rPr>
          <w:t>Pass Through Trust Agreements, and Wilmington Trust Company, as Subordination Agent (incorporated by reference to Exhibit</w:t>
        </w:r>
      </w:hyperlink>
      <w:r>
        <w:rPr>
          <w:rFonts w:ascii="Arial" w:cs="Arial" w:eastAsia="Arial" w:hAnsi="Arial"/>
          <w:sz w:val="18"/>
          <w:szCs w:val="18"/>
          <w:u w:val="single" w:color="auto"/>
          <w:color w:val="0000FF"/>
        </w:rPr>
        <w:t xml:space="preserve"> </w:t>
      </w:r>
      <w:hyperlink r:id="rId389">
        <w:r>
          <w:rPr>
            <w:rFonts w:ascii="Arial" w:cs="Arial" w:eastAsia="Arial" w:hAnsi="Arial"/>
            <w:sz w:val="18"/>
            <w:szCs w:val="18"/>
            <w:u w:val="single" w:color="auto"/>
            <w:color w:val="0000FF"/>
          </w:rPr>
          <w:t>4.4 to American’s Current Report on Form 8-K filed on October 5,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4.133     </w:t>
      </w:r>
      <w:hyperlink r:id="rId389">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89">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jc w:val="both"/>
        <w:ind w:left="920"/>
        <w:spacing w:after="0" w:line="220" w:lineRule="auto"/>
        <w:rPr>
          <w:rFonts w:ascii="Arial" w:cs="Arial" w:eastAsia="Arial" w:hAnsi="Arial"/>
          <w:sz w:val="18"/>
          <w:szCs w:val="18"/>
          <w:u w:val="single" w:color="auto"/>
          <w:color w:val="0000FF"/>
        </w:rPr>
      </w:pPr>
      <w:hyperlink r:id="rId389">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89">
        <w:r>
          <w:rPr>
            <w:rFonts w:ascii="Arial" w:cs="Arial" w:eastAsia="Arial" w:hAnsi="Arial"/>
            <w:sz w:val="18"/>
            <w:szCs w:val="18"/>
            <w:u w:val="single" w:color="auto"/>
            <w:color w:val="0000FF"/>
          </w:rPr>
          <w:t>capacity as set forth therein) (incorporated by reference to Exhibit A to Exhibit 4.4 to American’s Current Report on Form 8-K filed</w:t>
        </w:r>
      </w:hyperlink>
      <w:r>
        <w:rPr>
          <w:rFonts w:ascii="Arial" w:cs="Arial" w:eastAsia="Arial" w:hAnsi="Arial"/>
          <w:sz w:val="18"/>
          <w:szCs w:val="18"/>
          <w:u w:val="single" w:color="auto"/>
          <w:color w:val="0000FF"/>
        </w:rPr>
        <w:t xml:space="preserve"> </w:t>
      </w:r>
      <w:hyperlink r:id="rId389">
        <w:r>
          <w:rPr>
            <w:rFonts w:ascii="Arial" w:cs="Arial" w:eastAsia="Arial" w:hAnsi="Arial"/>
            <w:sz w:val="18"/>
            <w:szCs w:val="18"/>
            <w:u w:val="single" w:color="auto"/>
            <w:color w:val="0000FF"/>
          </w:rPr>
          <w:t>on October 5, 2017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4.134     </w:t>
      </w:r>
      <w:hyperlink r:id="rId390">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90">
        <w:r>
          <w:rPr>
            <w:rFonts w:ascii="Arial" w:cs="Arial" w:eastAsia="Arial" w:hAnsi="Arial"/>
            <w:sz w:val="18"/>
            <w:szCs w:val="18"/>
            <w:u w:val="single" w:color="auto"/>
            <w:color w:val="0000FF"/>
          </w:rPr>
          <w:t>American Airlines, Inc., and Wilmington Trust Company, as Loan Trustee) (incorporated by reference to Exhibit E to Exhibit 4.6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90">
        <w:r>
          <w:rPr>
            <w:rFonts w:ascii="Arial" w:cs="Arial" w:eastAsia="Arial" w:hAnsi="Arial"/>
            <w:sz w:val="18"/>
            <w:szCs w:val="18"/>
            <w:u w:val="single" w:color="auto"/>
            <w:color w:val="0000FF"/>
          </w:rPr>
          <w:t>American’s Current Report on Form 8-K filed on October 6,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4.135     </w:t>
      </w:r>
      <w:hyperlink r:id="rId389">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89">
        <w:r>
          <w:rPr>
            <w:rFonts w:ascii="Arial" w:cs="Arial" w:eastAsia="Arial" w:hAnsi="Arial"/>
            <w:sz w:val="18"/>
            <w:szCs w:val="18"/>
            <w:u w:val="single" w:color="auto"/>
            <w:color w:val="0000FF"/>
          </w:rPr>
          <w:t>American Airlines, Inc., and Wilmington Trust Company, as Loan Trustee) (incorporated by reference to Exhibit B to Exhibit 4.4 to</w:t>
        </w:r>
      </w:hyperlink>
    </w:p>
    <w:p>
      <w:pPr>
        <w:ind w:left="920"/>
        <w:spacing w:after="0"/>
        <w:rPr>
          <w:rFonts w:ascii="Arial" w:cs="Arial" w:eastAsia="Arial" w:hAnsi="Arial"/>
          <w:sz w:val="18"/>
          <w:szCs w:val="18"/>
          <w:u w:val="single" w:color="auto"/>
          <w:color w:val="0000FF"/>
        </w:rPr>
      </w:pPr>
      <w:hyperlink r:id="rId389">
        <w:r>
          <w:rPr>
            <w:rFonts w:ascii="Arial" w:cs="Arial" w:eastAsia="Arial" w:hAnsi="Arial"/>
            <w:sz w:val="18"/>
            <w:szCs w:val="18"/>
            <w:u w:val="single" w:color="auto"/>
            <w:color w:val="0000FF"/>
          </w:rPr>
          <w:t>American’s Current Report on Form 8-K filed on October 5, 2017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4.136</w:t>
      </w:r>
      <w:r>
        <w:rPr>
          <w:sz w:val="20"/>
          <w:szCs w:val="20"/>
          <w:color w:val="auto"/>
        </w:rPr>
        <w:tab/>
      </w:r>
      <w:hyperlink r:id="rId388">
        <w:r>
          <w:rPr>
            <w:rFonts w:ascii="Arial" w:cs="Arial" w:eastAsia="Arial" w:hAnsi="Arial"/>
            <w:sz w:val="18"/>
            <w:szCs w:val="18"/>
            <w:u w:val="single" w:color="auto"/>
            <w:color w:val="0000FF"/>
          </w:rPr>
          <w:t>Form of Pass Through Trust Certificate, Series 2016-3B (incorporated by reference to Exhibit A to Exhibit 4.2 to American’s</w:t>
        </w:r>
      </w:hyperlink>
      <w:r>
        <w:rPr>
          <w:rFonts w:ascii="Arial" w:cs="Arial" w:eastAsia="Arial" w:hAnsi="Arial"/>
          <w:sz w:val="18"/>
          <w:szCs w:val="18"/>
          <w:u w:val="single" w:color="auto"/>
          <w:color w:val="0000FF"/>
        </w:rPr>
        <w:t xml:space="preserve"> </w:t>
      </w:r>
      <w:hyperlink r:id="rId388">
        <w:r>
          <w:rPr>
            <w:rFonts w:ascii="Arial" w:cs="Arial" w:eastAsia="Arial" w:hAnsi="Arial"/>
            <w:sz w:val="18"/>
            <w:szCs w:val="18"/>
            <w:u w:val="single" w:color="auto"/>
            <w:color w:val="0000FF"/>
          </w:rPr>
          <w:t>Current Report on Form 8-K filed on October 5, 2017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4.137     </w:t>
      </w:r>
      <w:hyperlink r:id="rId392">
        <w:r>
          <w:rPr>
            <w:rFonts w:ascii="Arial" w:cs="Arial" w:eastAsia="Arial" w:hAnsi="Arial"/>
            <w:sz w:val="18"/>
            <w:szCs w:val="18"/>
            <w:u w:val="single" w:color="auto"/>
            <w:color w:val="0000FF"/>
          </w:rPr>
          <w:t>Revolving Credit Agreement (2016-3B), dated as of October 4, 2017, between Wilmington Trust Company, as Subordination</w:t>
        </w:r>
      </w:hyperlink>
      <w:r>
        <w:rPr>
          <w:rFonts w:ascii="Arial" w:cs="Arial" w:eastAsia="Arial" w:hAnsi="Arial"/>
          <w:sz w:val="18"/>
          <w:szCs w:val="18"/>
          <w:color w:val="auto"/>
        </w:rPr>
        <w:t xml:space="preserve"> </w:t>
      </w:r>
      <w:hyperlink r:id="rId392">
        <w:r>
          <w:rPr>
            <w:rFonts w:ascii="Arial" w:cs="Arial" w:eastAsia="Arial" w:hAnsi="Arial"/>
            <w:sz w:val="18"/>
            <w:szCs w:val="18"/>
            <w:u w:val="single" w:color="auto"/>
            <w:color w:val="0000FF"/>
          </w:rPr>
          <w:t>Agent, as agent and trustee for the trustee of the American Airlines Pass Through Trust 2016-3B,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92">
        <w:r>
          <w:rPr>
            <w:rFonts w:ascii="Arial" w:cs="Arial" w:eastAsia="Arial" w:hAnsi="Arial"/>
            <w:sz w:val="18"/>
            <w:szCs w:val="18"/>
            <w:u w:val="single" w:color="auto"/>
            <w:color w:val="0000FF"/>
          </w:rPr>
          <w:t>Bank GmbH, as Liquidity Provider 3B (incorporated by reference to Exhibit 4.8 to American’s Current Report on Form 8-K filed on</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October 5,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4.138     </w:t>
      </w:r>
      <w:hyperlink r:id="rId393">
        <w:r>
          <w:rPr>
            <w:rFonts w:ascii="Arial" w:cs="Arial" w:eastAsia="Arial" w:hAnsi="Arial"/>
            <w:sz w:val="18"/>
            <w:szCs w:val="18"/>
            <w:u w:val="single" w:color="auto"/>
            <w:color w:val="0000FF"/>
          </w:rPr>
          <w:t>Trust Supplement No. 2017-2B, dated as of October 5, 2017, between American Airlines, Inc. and Wilmington Trust Company, as</w:t>
        </w:r>
      </w:hyperlink>
      <w:r>
        <w:rPr>
          <w:rFonts w:ascii="Arial" w:cs="Arial" w:eastAsia="Arial" w:hAnsi="Arial"/>
          <w:sz w:val="18"/>
          <w:szCs w:val="18"/>
          <w:color w:val="auto"/>
        </w:rPr>
        <w:t xml:space="preserve"> </w:t>
      </w:r>
      <w:hyperlink r:id="rId393">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American’s Current Report on Form 8-K filed on October 6,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4.139     </w:t>
      </w:r>
      <w:hyperlink r:id="rId394">
        <w:r>
          <w:rPr>
            <w:rFonts w:ascii="Arial" w:cs="Arial" w:eastAsia="Arial" w:hAnsi="Arial"/>
            <w:sz w:val="18"/>
            <w:szCs w:val="18"/>
            <w:u w:val="single" w:color="auto"/>
            <w:color w:val="0000FF"/>
          </w:rPr>
          <w:t>Amended and Restated Intercreditor Agreement (2017-2), dated as of October 5, 2017, among Wilmington Trust Company, as</w:t>
        </w:r>
      </w:hyperlink>
      <w:r>
        <w:rPr>
          <w:rFonts w:ascii="Arial" w:cs="Arial" w:eastAsia="Arial" w:hAnsi="Arial"/>
          <w:sz w:val="18"/>
          <w:szCs w:val="18"/>
          <w:color w:val="auto"/>
        </w:rPr>
        <w:t xml:space="preserve"> </w:t>
      </w:r>
      <w:hyperlink r:id="rId394">
        <w:r>
          <w:rPr>
            <w:rFonts w:ascii="Arial" w:cs="Arial" w:eastAsia="Arial" w:hAnsi="Arial"/>
            <w:sz w:val="18"/>
            <w:szCs w:val="18"/>
            <w:u w:val="single" w:color="auto"/>
            <w:color w:val="0000FF"/>
          </w:rPr>
          <w:t>Trustee of the American Airlines Pass Through Trust 2017-2AA, as Trustee of the American Airlines Pass Through Trust 2017-2A</w:t>
        </w:r>
      </w:hyperlink>
    </w:p>
    <w:p>
      <w:pPr>
        <w:jc w:val="both"/>
        <w:ind w:left="920"/>
        <w:spacing w:after="0" w:line="208" w:lineRule="auto"/>
        <w:rPr>
          <w:rFonts w:ascii="Arial" w:cs="Arial" w:eastAsia="Arial" w:hAnsi="Arial"/>
          <w:sz w:val="18"/>
          <w:szCs w:val="18"/>
          <w:u w:val="single" w:color="auto"/>
          <w:color w:val="0000FF"/>
        </w:rPr>
      </w:pPr>
      <w:hyperlink r:id="rId394">
        <w:r>
          <w:rPr>
            <w:rFonts w:ascii="Arial" w:cs="Arial" w:eastAsia="Arial" w:hAnsi="Arial"/>
            <w:sz w:val="18"/>
            <w:szCs w:val="18"/>
            <w:u w:val="single" w:color="auto"/>
            <w:color w:val="0000FF"/>
          </w:rPr>
          <w:t>and as Trustee of the American Airlines Pass Through Trust 2017-2B, National Australia Bank Limited, as Class AA Liquidity</w:t>
        </w:r>
      </w:hyperlink>
      <w:r>
        <w:rPr>
          <w:rFonts w:ascii="Arial" w:cs="Arial" w:eastAsia="Arial" w:hAnsi="Arial"/>
          <w:sz w:val="18"/>
          <w:szCs w:val="18"/>
          <w:u w:val="single" w:color="auto"/>
          <w:color w:val="0000FF"/>
        </w:rPr>
        <w:t xml:space="preserve"> </w:t>
      </w:r>
      <w:hyperlink r:id="rId394">
        <w:r>
          <w:rPr>
            <w:rFonts w:ascii="Arial" w:cs="Arial" w:eastAsia="Arial" w:hAnsi="Arial"/>
            <w:sz w:val="18"/>
            <w:szCs w:val="18"/>
            <w:u w:val="single" w:color="auto"/>
            <w:color w:val="0000FF"/>
          </w:rPr>
          <w:t>Provider, Class A Liquidity Provider and Class B Liquidity Provider, and Wilmington Trust Company, as Subordination Agent</w:t>
        </w:r>
      </w:hyperlink>
      <w:r>
        <w:rPr>
          <w:rFonts w:ascii="Arial" w:cs="Arial" w:eastAsia="Arial" w:hAnsi="Arial"/>
          <w:sz w:val="18"/>
          <w:szCs w:val="18"/>
          <w:u w:val="single" w:color="auto"/>
          <w:color w:val="0000FF"/>
        </w:rPr>
        <w:t xml:space="preserve"> </w:t>
      </w:r>
      <w:hyperlink r:id="rId394">
        <w:r>
          <w:rPr>
            <w:rFonts w:ascii="Arial" w:cs="Arial" w:eastAsia="Arial" w:hAnsi="Arial"/>
            <w:sz w:val="18"/>
            <w:szCs w:val="18"/>
            <w:u w:val="single" w:color="auto"/>
            <w:color w:val="0000FF"/>
          </w:rPr>
          <w:t>(incorporated by reference to Exhibit 4.3 to American’s Current Report on Form 8-K filed on October 6, 2017 (Commission File</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94">
        <w:r>
          <w:rPr>
            <w:rFonts w:ascii="Arial" w:cs="Arial" w:eastAsia="Arial" w:hAnsi="Arial"/>
            <w:sz w:val="18"/>
            <w:szCs w:val="18"/>
            <w:u w:val="single" w:color="auto"/>
            <w:color w:val="0000FF"/>
          </w:rPr>
          <w:t>No. 1-2691)).</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4.140     </w:t>
      </w:r>
      <w:hyperlink r:id="rId395">
        <w:r>
          <w:rPr>
            <w:rFonts w:ascii="Arial" w:cs="Arial" w:eastAsia="Arial" w:hAnsi="Arial"/>
            <w:sz w:val="18"/>
            <w:szCs w:val="18"/>
            <w:u w:val="single" w:color="auto"/>
            <w:color w:val="0000FF"/>
          </w:rPr>
          <w:t>Amended and Restated Note Purchase Agreement, dated as of October 5, 2017, among American Airlines, Inc., Wilmington</w:t>
        </w:r>
      </w:hyperlink>
      <w:r>
        <w:rPr>
          <w:rFonts w:ascii="Arial" w:cs="Arial" w:eastAsia="Arial" w:hAnsi="Arial"/>
          <w:sz w:val="18"/>
          <w:szCs w:val="18"/>
          <w:color w:val="auto"/>
        </w:rPr>
        <w:t xml:space="preserve"> </w:t>
      </w:r>
      <w:hyperlink r:id="rId395">
        <w:r>
          <w:rPr>
            <w:rFonts w:ascii="Arial" w:cs="Arial" w:eastAsia="Arial" w:hAnsi="Arial"/>
            <w:sz w:val="18"/>
            <w:szCs w:val="18"/>
            <w:u w:val="single" w:color="auto"/>
            <w:color w:val="0000FF"/>
          </w:rPr>
          <w:t>Trust Company, as Pass Through Trustee under each of the Pass Through Trust Agreements, Wilmington Trust Company, as</w:t>
        </w:r>
      </w:hyperlink>
    </w:p>
    <w:p>
      <w:pPr>
        <w:jc w:val="both"/>
        <w:ind w:left="920"/>
        <w:spacing w:after="0" w:line="220" w:lineRule="auto"/>
        <w:rPr>
          <w:rFonts w:ascii="Arial" w:cs="Arial" w:eastAsia="Arial" w:hAnsi="Arial"/>
          <w:sz w:val="18"/>
          <w:szCs w:val="18"/>
          <w:u w:val="single" w:color="auto"/>
          <w:color w:val="0000FF"/>
        </w:rPr>
      </w:pPr>
      <w:hyperlink r:id="rId395">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395">
        <w:r>
          <w:rPr>
            <w:rFonts w:ascii="Arial" w:cs="Arial" w:eastAsia="Arial" w:hAnsi="Arial"/>
            <w:sz w:val="18"/>
            <w:szCs w:val="18"/>
            <w:u w:val="single" w:color="auto"/>
            <w:color w:val="0000FF"/>
          </w:rPr>
          <w:t>(incorporated by reference to Exhibit 4.6 to American’s Current Report on Form 8-K filed on October 6, 2017 (Commission File</w:t>
        </w:r>
      </w:hyperlink>
      <w:r>
        <w:rPr>
          <w:rFonts w:ascii="Arial" w:cs="Arial" w:eastAsia="Arial" w:hAnsi="Arial"/>
          <w:sz w:val="18"/>
          <w:szCs w:val="18"/>
          <w:u w:val="single" w:color="auto"/>
          <w:color w:val="0000FF"/>
        </w:rPr>
        <w:t xml:space="preserve"> </w:t>
      </w:r>
      <w:hyperlink r:id="rId395">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4.141     </w:t>
      </w:r>
      <w:hyperlink r:id="rId396">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9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96">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96">
        <w:r>
          <w:rPr>
            <w:rFonts w:ascii="Arial" w:cs="Arial" w:eastAsia="Arial" w:hAnsi="Arial"/>
            <w:sz w:val="18"/>
            <w:szCs w:val="18"/>
            <w:u w:val="single" w:color="auto"/>
            <w:color w:val="0000FF"/>
          </w:rPr>
          <w:t>(incorporated by reference to Exhibit B to Exhibit 4.6 to American’s Current Report on Form 8-K filed on October 6, 2017</w:t>
        </w:r>
      </w:hyperlink>
      <w:r>
        <w:rPr>
          <w:rFonts w:ascii="Arial" w:cs="Arial" w:eastAsia="Arial" w:hAnsi="Arial"/>
          <w:sz w:val="18"/>
          <w:szCs w:val="18"/>
          <w:u w:val="single" w:color="auto"/>
          <w:color w:val="0000FF"/>
        </w:rPr>
        <w:t xml:space="preserve"> </w:t>
      </w:r>
      <w:hyperlink r:id="rId396">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4.142     </w:t>
      </w:r>
      <w:hyperlink r:id="rId397">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97">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97">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97">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397">
        <w:r>
          <w:rPr>
            <w:rFonts w:ascii="Arial" w:cs="Arial" w:eastAsia="Arial" w:hAnsi="Arial"/>
            <w:sz w:val="18"/>
            <w:szCs w:val="18"/>
            <w:u w:val="single" w:color="auto"/>
            <w:color w:val="0000FF"/>
          </w:rPr>
          <w:t>on October 6, 2017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4.143     </w:t>
      </w:r>
      <w:hyperlink r:id="rId398">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98">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98">
        <w:r>
          <w:rPr>
            <w:rFonts w:ascii="Arial" w:cs="Arial" w:eastAsia="Arial" w:hAnsi="Arial"/>
            <w:sz w:val="18"/>
            <w:szCs w:val="18"/>
            <w:u w:val="single" w:color="auto"/>
            <w:color w:val="0000FF"/>
          </w:rPr>
          <w:t>filed on October 6, 2017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4.144</w:t>
      </w:r>
      <w:r>
        <w:rPr>
          <w:sz w:val="20"/>
          <w:szCs w:val="20"/>
          <w:color w:val="auto"/>
        </w:rPr>
        <w:tab/>
      </w:r>
      <w:hyperlink r:id="rId399">
        <w:r>
          <w:rPr>
            <w:rFonts w:ascii="Arial" w:cs="Arial" w:eastAsia="Arial" w:hAnsi="Arial"/>
            <w:sz w:val="18"/>
            <w:szCs w:val="18"/>
            <w:u w:val="single" w:color="auto"/>
            <w:color w:val="0000FF"/>
          </w:rPr>
          <w:t>Form of Pass Through Trust Certificate, Series 2017-2B (incorporated by reference to Exhibit A to Exhibit 4.2 to American’s</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Current Report on Form 8-K filed on October 6, 2017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4.145     </w:t>
      </w:r>
      <w:hyperlink r:id="rId400">
        <w:r>
          <w:rPr>
            <w:rFonts w:ascii="Arial" w:cs="Arial" w:eastAsia="Arial" w:hAnsi="Arial"/>
            <w:sz w:val="18"/>
            <w:szCs w:val="18"/>
            <w:u w:val="single" w:color="auto"/>
            <w:color w:val="0000FF"/>
          </w:rPr>
          <w:t>Revolving Credit Agreement (2017-2B), dated as of October 5, 2017, between Wilmington Trust Company, as Subordination</w:t>
        </w:r>
      </w:hyperlink>
      <w:r>
        <w:rPr>
          <w:rFonts w:ascii="Arial" w:cs="Arial" w:eastAsia="Arial" w:hAnsi="Arial"/>
          <w:sz w:val="18"/>
          <w:szCs w:val="18"/>
          <w:color w:val="auto"/>
        </w:rPr>
        <w:t xml:space="preserve"> </w:t>
      </w:r>
      <w:hyperlink r:id="rId400">
        <w:r>
          <w:rPr>
            <w:rFonts w:ascii="Arial" w:cs="Arial" w:eastAsia="Arial" w:hAnsi="Arial"/>
            <w:sz w:val="18"/>
            <w:szCs w:val="18"/>
            <w:u w:val="single" w:color="auto"/>
            <w:color w:val="0000FF"/>
          </w:rPr>
          <w:t>Agent, as agent and trustee for the trustee of the American Airlines Pass Through Trust 2017-2B, as Borrower, and National</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400">
        <w:r>
          <w:rPr>
            <w:rFonts w:ascii="Arial" w:cs="Arial" w:eastAsia="Arial" w:hAnsi="Arial"/>
            <w:sz w:val="18"/>
            <w:szCs w:val="18"/>
            <w:u w:val="single" w:color="auto"/>
            <w:color w:val="0000FF"/>
          </w:rPr>
          <w:t>Australia Bank Limited, as Liquidity Provider (incorporated by reference to Exhibit 4.12 to American’s Current Report on Form 8-K</w:t>
        </w:r>
      </w:hyperlink>
      <w:r>
        <w:rPr>
          <w:rFonts w:ascii="Arial" w:cs="Arial" w:eastAsia="Arial" w:hAnsi="Arial"/>
          <w:sz w:val="18"/>
          <w:szCs w:val="18"/>
          <w:u w:val="single" w:color="auto"/>
          <w:color w:val="0000FF"/>
        </w:rPr>
        <w:t xml:space="preserve"> </w:t>
      </w:r>
      <w:hyperlink r:id="rId400">
        <w:r>
          <w:rPr>
            <w:rFonts w:ascii="Arial" w:cs="Arial" w:eastAsia="Arial" w:hAnsi="Arial"/>
            <w:sz w:val="18"/>
            <w:szCs w:val="18"/>
            <w:u w:val="single" w:color="auto"/>
            <w:color w:val="0000FF"/>
          </w:rPr>
          <w:t>filed on October 6,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4.146     </w:t>
      </w:r>
      <w:hyperlink r:id="rId401">
        <w:r>
          <w:rPr>
            <w:rFonts w:ascii="Arial" w:cs="Arial" w:eastAsia="Arial" w:hAnsi="Arial"/>
            <w:sz w:val="18"/>
            <w:szCs w:val="18"/>
            <w:u w:val="single" w:color="auto"/>
            <w:color w:val="0000FF"/>
          </w:rPr>
          <w:t>Trust Supplement No. 2012-2C(R), dated as of May 15, 2018, between American Airlines, Inc. and Wilmington Trust Company,</w:t>
        </w:r>
      </w:hyperlink>
      <w:r>
        <w:rPr>
          <w:rFonts w:ascii="Arial" w:cs="Arial" w:eastAsia="Arial" w:hAnsi="Arial"/>
          <w:sz w:val="18"/>
          <w:szCs w:val="18"/>
          <w:color w:val="auto"/>
        </w:rPr>
        <w:t xml:space="preserve"> </w:t>
      </w:r>
      <w:hyperlink r:id="rId401">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401">
        <w:r>
          <w:rPr>
            <w:rFonts w:ascii="Arial" w:cs="Arial" w:eastAsia="Arial" w:hAnsi="Arial"/>
            <w:sz w:val="18"/>
            <w:szCs w:val="18"/>
            <w:u w:val="single" w:color="auto"/>
            <w:color w:val="0000FF"/>
          </w:rPr>
          <w:t>American’s Current Report on Form 8-K filed on May 16, 2018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4.147     </w:t>
      </w:r>
      <w:hyperlink r:id="rId402">
        <w:r>
          <w:rPr>
            <w:rFonts w:ascii="Arial" w:cs="Arial" w:eastAsia="Arial" w:hAnsi="Arial"/>
            <w:sz w:val="18"/>
            <w:szCs w:val="18"/>
            <w:u w:val="single" w:color="auto"/>
            <w:color w:val="0000FF"/>
          </w:rPr>
          <w:t>Form of Amendment No. 2 to Intercreditor Agreement (2012-2C(R)) among Wilmington Trust Company, not in its individual</w:t>
        </w:r>
      </w:hyperlink>
      <w:r>
        <w:rPr>
          <w:rFonts w:ascii="Arial" w:cs="Arial" w:eastAsia="Arial" w:hAnsi="Arial"/>
          <w:sz w:val="18"/>
          <w:szCs w:val="18"/>
          <w:color w:val="auto"/>
        </w:rPr>
        <w:t xml:space="preserve"> </w:t>
      </w:r>
      <w:hyperlink r:id="rId402">
        <w:r>
          <w:rPr>
            <w:rFonts w:ascii="Arial" w:cs="Arial" w:eastAsia="Arial" w:hAnsi="Arial"/>
            <w:sz w:val="18"/>
            <w:szCs w:val="18"/>
            <w:u w:val="single" w:color="auto"/>
            <w:color w:val="0000FF"/>
          </w:rPr>
          <w:t>capacity but solely as Trustee of the American Airlines, Inc. Pass Through Trust 2012-2C(R), American Airlines, Inc. and</w:t>
        </w:r>
      </w:hyperlink>
    </w:p>
    <w:p>
      <w:pPr>
        <w:jc w:val="both"/>
        <w:ind w:left="920"/>
        <w:spacing w:after="0" w:line="220" w:lineRule="auto"/>
        <w:rPr>
          <w:rFonts w:ascii="Arial" w:cs="Arial" w:eastAsia="Arial" w:hAnsi="Arial"/>
          <w:sz w:val="18"/>
          <w:szCs w:val="18"/>
          <w:u w:val="single" w:color="auto"/>
          <w:color w:val="0000FF"/>
        </w:rPr>
      </w:pPr>
      <w:hyperlink r:id="rId402">
        <w:r>
          <w:rPr>
            <w:rFonts w:ascii="Arial" w:cs="Arial" w:eastAsia="Arial" w:hAnsi="Arial"/>
            <w:sz w:val="18"/>
            <w:szCs w:val="18"/>
            <w:u w:val="single" w:color="auto"/>
            <w:color w:val="0000FF"/>
          </w:rPr>
          <w:t>Wilmington Trust Company, not in its individual capacity but solely as Subordination Agent and Trustee (incorporated by</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reference to Exhibit C to Exhibit 4.6 to American’s Current Report on Form 8-K filed on May 16, 2018 (Commission File No. 1-</w:t>
        </w:r>
      </w:hyperlink>
      <w:hyperlink r:id="rId402">
        <w:r>
          <w:rPr>
            <w:rFonts w:ascii="Arial" w:cs="Arial" w:eastAsia="Arial" w:hAnsi="Arial"/>
            <w:sz w:val="18"/>
            <w:szCs w:val="18"/>
            <w:u w:val="single" w:color="auto"/>
            <w:color w:val="0000FF"/>
          </w:rPr>
          <w:t>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4.148     </w:t>
      </w:r>
      <w:hyperlink r:id="rId402">
        <w:r>
          <w:rPr>
            <w:rFonts w:ascii="Arial" w:cs="Arial" w:eastAsia="Arial" w:hAnsi="Arial"/>
            <w:sz w:val="18"/>
            <w:szCs w:val="18"/>
            <w:u w:val="single" w:color="auto"/>
            <w:color w:val="0000FF"/>
          </w:rPr>
          <w:t>Note Purchase Agreement, dated as of May 15, 2018, among American Airlines, Inc., Wilmington Trust Company, not in its</w:t>
        </w:r>
      </w:hyperlink>
      <w:r>
        <w:rPr>
          <w:rFonts w:ascii="Arial" w:cs="Arial" w:eastAsia="Arial" w:hAnsi="Arial"/>
          <w:sz w:val="18"/>
          <w:szCs w:val="18"/>
          <w:color w:val="auto"/>
        </w:rPr>
        <w:t xml:space="preserve"> </w:t>
      </w:r>
      <w:hyperlink r:id="rId402">
        <w:r>
          <w:rPr>
            <w:rFonts w:ascii="Arial" w:cs="Arial" w:eastAsia="Arial" w:hAnsi="Arial"/>
            <w:sz w:val="18"/>
            <w:szCs w:val="18"/>
            <w:u w:val="single" w:color="auto"/>
            <w:color w:val="0000FF"/>
          </w:rPr>
          <w:t>individual capacity, but solely as Pass Through Trustee under the Class C(R) Pass Through Trust Agreement, as Subordination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02">
        <w:r>
          <w:rPr>
            <w:rFonts w:ascii="Arial" w:cs="Arial" w:eastAsia="Arial" w:hAnsi="Arial"/>
            <w:sz w:val="18"/>
            <w:szCs w:val="18"/>
            <w:u w:val="single" w:color="auto"/>
            <w:color w:val="0000FF"/>
          </w:rPr>
          <w:t>Agent and as Indenture Trustee, Wilmington Trust, National Association, as Escrow Agent, and Wilmington Trust Company, as</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Paying Agent (incorporated by reference to Exhibit 4.6 to American’s Current Report on Form 8-K filed on May 16, 2018</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(Commission File No. 1- 2691)).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4.149     </w:t>
      </w:r>
      <w:hyperlink r:id="rId402">
        <w:r>
          <w:rPr>
            <w:rFonts w:ascii="Arial" w:cs="Arial" w:eastAsia="Arial" w:hAnsi="Arial"/>
            <w:sz w:val="18"/>
            <w:szCs w:val="18"/>
            <w:u w:val="single" w:color="auto"/>
            <w:color w:val="0000FF"/>
          </w:rPr>
          <w:t>Form of Amendment to Participation Agreement (Amendment to Participation Agreement among American Airlines, Inc.,</w:t>
        </w:r>
      </w:hyperlink>
      <w:r>
        <w:rPr>
          <w:rFonts w:ascii="Arial" w:cs="Arial" w:eastAsia="Arial" w:hAnsi="Arial"/>
          <w:sz w:val="18"/>
          <w:szCs w:val="18"/>
          <w:color w:val="auto"/>
        </w:rPr>
        <w:t xml:space="preserve"> </w:t>
      </w:r>
      <w:hyperlink r:id="rId402">
        <w:r>
          <w:rPr>
            <w:rFonts w:ascii="Arial" w:cs="Arial" w:eastAsia="Arial" w:hAnsi="Arial"/>
            <w:sz w:val="18"/>
            <w:szCs w:val="18"/>
            <w:u w:val="single" w:color="auto"/>
            <w:color w:val="0000FF"/>
          </w:rPr>
          <w:t>Wilmington Trust Company, not in its individual capacity, but solely as Subordination Agent and as Indenture Trustee, and</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02">
        <w:r>
          <w:rPr>
            <w:rFonts w:ascii="Arial" w:cs="Arial" w:eastAsia="Arial" w:hAnsi="Arial"/>
            <w:sz w:val="18"/>
            <w:szCs w:val="18"/>
            <w:u w:val="single" w:color="auto"/>
            <w:color w:val="0000FF"/>
          </w:rPr>
          <w:t>Wilmington Trust Company, not in its individual capacity, but solely as Pass Through Trustee under each of the Pass Through</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Trust Agreements) (incorporated by reference to Exhibit A to Exhibit 4.6 to American’s Current Report on Form 8-K filed on May</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16, 2018 (Commission File No. 1- 2691)).</w:t>
        </w:r>
      </w:hyperlink>
    </w:p>
    <w:p>
      <w:pPr>
        <w:spacing w:after="0" w:line="6" w:lineRule="exact"/>
        <w:rPr>
          <w:rFonts w:ascii="Arial" w:cs="Arial" w:eastAsia="Arial" w:hAnsi="Arial"/>
          <w:sz w:val="18"/>
          <w:szCs w:val="18"/>
          <w:u w:val="single" w:color="auto"/>
          <w:color w:val="0000FF"/>
        </w:rPr>
      </w:pPr>
    </w:p>
    <w:p>
      <w:pPr>
        <w:ind w:left="920" w:right="520" w:hanging="889"/>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4.150</w:t>
      </w:r>
      <w:r>
        <w:rPr>
          <w:sz w:val="20"/>
          <w:szCs w:val="20"/>
          <w:color w:val="auto"/>
        </w:rPr>
        <w:tab/>
      </w:r>
      <w:hyperlink r:id="rId403">
        <w:r>
          <w:rPr>
            <w:rFonts w:ascii="Arial" w:cs="Arial" w:eastAsia="Arial" w:hAnsi="Arial"/>
            <w:sz w:val="18"/>
            <w:szCs w:val="18"/>
            <w:u w:val="single" w:color="auto"/>
            <w:color w:val="0000FF"/>
          </w:rPr>
          <w:t>Form of Pass Through Trust Certificate, Series 2021-1A (incorporated by reference to Exhibit A to Exhibit 4.2 to American’s</w:t>
        </w:r>
      </w:hyperlink>
      <w:r>
        <w:rPr>
          <w:rFonts w:ascii="Arial" w:cs="Arial" w:eastAsia="Arial" w:hAnsi="Arial"/>
          <w:sz w:val="18"/>
          <w:szCs w:val="18"/>
          <w:u w:val="single" w:color="auto"/>
          <w:color w:val="0000FF"/>
        </w:rPr>
        <w:t xml:space="preserve"> </w:t>
      </w:r>
      <w:hyperlink r:id="rId403">
        <w:r>
          <w:rPr>
            <w:rFonts w:ascii="Arial" w:cs="Arial" w:eastAsia="Arial" w:hAnsi="Arial"/>
            <w:sz w:val="18"/>
            <w:szCs w:val="18"/>
            <w:u w:val="single" w:color="auto"/>
            <w:color w:val="0000FF"/>
          </w:rPr>
          <w:t>Current Report on Form 8-K filed on November 12, 2021 (Commission File No. 1-02691)).</w:t>
        </w:r>
      </w:hyperlink>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5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4.151</w:t>
      </w:r>
      <w:r>
        <w:rPr>
          <w:sz w:val="20"/>
          <w:szCs w:val="20"/>
          <w:color w:val="auto"/>
        </w:rPr>
        <w:tab/>
      </w:r>
      <w:hyperlink r:id="rId405">
        <w:r>
          <w:rPr>
            <w:rFonts w:ascii="Arial" w:cs="Arial" w:eastAsia="Arial" w:hAnsi="Arial"/>
            <w:sz w:val="18"/>
            <w:szCs w:val="18"/>
            <w:u w:val="single" w:color="auto"/>
            <w:color w:val="0000FF"/>
          </w:rPr>
          <w:t>Form of Pass Through Trust Certificate, Series 2021-1B (incorporated by reference to Exhibit A to Exhibit 4.3 to American’s</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Current Report on Form 8-K filed on November 12, 2021 (Commission File No. 1-02691)).</w:t>
        </w:r>
      </w:hyperlink>
    </w:p>
    <w:p>
      <w:pPr>
        <w:spacing w:after="0" w:line="9" w:lineRule="exact"/>
        <w:rPr>
          <w:sz w:val="20"/>
          <w:szCs w:val="20"/>
          <w:color w:val="auto"/>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4.152</w:t>
      </w:r>
      <w:r>
        <w:rPr>
          <w:sz w:val="20"/>
          <w:szCs w:val="20"/>
          <w:color w:val="auto"/>
        </w:rPr>
        <w:tab/>
      </w:r>
      <w:hyperlink r:id="rId406">
        <w:r>
          <w:rPr>
            <w:rFonts w:ascii="Arial" w:cs="Arial" w:eastAsia="Arial" w:hAnsi="Arial"/>
            <w:sz w:val="18"/>
            <w:szCs w:val="18"/>
            <w:u w:val="single" w:color="auto"/>
            <w:color w:val="0000FF"/>
          </w:rPr>
          <w:t>Revolving Credit Agreement (2021-1A), dated as of November 8, 2021, between Wilmington Trust Company, as Subordination</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Agent, as agent and trustee for the trustee of the American Airlines Pass Through Trust 2021-1A, as Borrower, and Crédit</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Exhibit 4.14 to American’s Current Report on Form 8-K filed on November 12, 2021 (Commission File No. 1-02691)).</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4.153</w:t>
      </w:r>
      <w:r>
        <w:rPr>
          <w:sz w:val="20"/>
          <w:szCs w:val="20"/>
          <w:color w:val="auto"/>
        </w:rPr>
        <w:tab/>
      </w:r>
      <w:hyperlink r:id="rId407">
        <w:r>
          <w:rPr>
            <w:rFonts w:ascii="Arial" w:cs="Arial" w:eastAsia="Arial" w:hAnsi="Arial"/>
            <w:sz w:val="18"/>
            <w:szCs w:val="18"/>
            <w:u w:val="single" w:color="auto"/>
            <w:color w:val="0000FF"/>
          </w:rPr>
          <w:t>Revolving Credit Agreement (2021-1B), dated as of November 8, 2021, between Wilmington Trust Company, as Subordination</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Agent, as agent and trustee for the trustee of the American Airlines Pass Through Trust 2021-1B, as Borrower, and Crédit</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Exhibit 4.15 to American’s Current Report on Form 8-K filed on November 12, 2021 (Commission File No. 1-02691)).</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4.154</w:t>
      </w:r>
      <w:r>
        <w:rPr>
          <w:sz w:val="20"/>
          <w:szCs w:val="20"/>
          <w:color w:val="auto"/>
        </w:rPr>
        <w:tab/>
      </w:r>
      <w:hyperlink r:id="rId408">
        <w:r>
          <w:rPr>
            <w:rFonts w:ascii="Arial" w:cs="Arial" w:eastAsia="Arial" w:hAnsi="Arial"/>
            <w:sz w:val="18"/>
            <w:szCs w:val="18"/>
            <w:u w:val="single" w:color="auto"/>
            <w:color w:val="0000FF"/>
          </w:rPr>
          <w:t>Tax Benefit Preservation Plan, dated as of December 21, 2021, between American Airlines Group Inc. and American Stock</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Transfer &amp; Trust Company, LLC, which includes the Form of Certificate of Designations of Series B Junior Participating Preferred</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Stock as Exhibit A, the Form of Right Certificate as Exhibit B and the Summary of Rights to Purchase Preferred Shares as Exhibit</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C (incorporated by reference to Exhibit 4.1 to AAG’s Current Report on Form 8-K filed on December 22, 2021 (Commission File</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No. 1-8400)).</w:t>
        </w:r>
      </w:hyperlink>
    </w:p>
    <w:p>
      <w:pPr>
        <w:spacing w:after="0" w:line="17"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4.155</w:t>
      </w:r>
      <w:r>
        <w:rPr>
          <w:sz w:val="20"/>
          <w:szCs w:val="20"/>
          <w:color w:val="auto"/>
        </w:rPr>
        <w:tab/>
      </w:r>
      <w:hyperlink r:id="rId409">
        <w:r>
          <w:rPr>
            <w:rFonts w:ascii="Arial" w:cs="Arial" w:eastAsia="Arial" w:hAnsi="Arial"/>
            <w:sz w:val="18"/>
            <w:szCs w:val="18"/>
            <w:u w:val="single" w:color="auto"/>
            <w:color w:val="0000FF"/>
          </w:rPr>
          <w:t>Amendment No. 1 to the Tax Benefit Preservation Plan, dated as of October 31, 2024, by and between American Airlines Group</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Inc. and Equiniti Trust Company, LLC, as rights agent. (incorporated by reference to Exhibit 4.1 to AAG’s Current Report on Form</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9">
        <w:r>
          <w:rPr>
            <w:rFonts w:ascii="Arial" w:cs="Arial" w:eastAsia="Arial" w:hAnsi="Arial"/>
            <w:sz w:val="18"/>
            <w:szCs w:val="18"/>
            <w:u w:val="single" w:color="auto"/>
            <w:color w:val="0000FF"/>
          </w:rPr>
          <w:t>8-K filed on November 1, 2024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4.156</w:t>
      </w:r>
      <w:r>
        <w:rPr>
          <w:sz w:val="20"/>
          <w:szCs w:val="20"/>
          <w:color w:val="auto"/>
        </w:rPr>
        <w:tab/>
      </w:r>
      <w:hyperlink r:id="rId402">
        <w:r>
          <w:rPr>
            <w:rFonts w:ascii="Arial" w:cs="Arial" w:eastAsia="Arial" w:hAnsi="Arial"/>
            <w:sz w:val="18"/>
            <w:szCs w:val="18"/>
            <w:u w:val="single" w:color="auto"/>
            <w:color w:val="0000FF"/>
          </w:rPr>
          <w:t>Form of Amendment to Trust Indenture and Security Agreement (Amendment to Trust Indenture and Security Agreement</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between American Airlines, Inc., Wilmington Trust Company, not in its individual capacity, but solely as Indenture Trustee, and</w:t>
        </w:r>
      </w:hyperlink>
    </w:p>
    <w:p>
      <w:pPr>
        <w:jc w:val="both"/>
        <w:ind w:left="920"/>
        <w:spacing w:after="0" w:line="229" w:lineRule="auto"/>
        <w:rPr>
          <w:rFonts w:ascii="Arial" w:cs="Arial" w:eastAsia="Arial" w:hAnsi="Arial"/>
          <w:sz w:val="18"/>
          <w:szCs w:val="18"/>
          <w:u w:val="single" w:color="auto"/>
          <w:color w:val="0000FF"/>
        </w:rPr>
      </w:pPr>
      <w:hyperlink r:id="rId402">
        <w:r>
          <w:rPr>
            <w:rFonts w:ascii="Arial" w:cs="Arial" w:eastAsia="Arial" w:hAnsi="Arial"/>
            <w:sz w:val="18"/>
            <w:szCs w:val="18"/>
            <w:u w:val="single" w:color="auto"/>
            <w:color w:val="0000FF"/>
          </w:rPr>
          <w:t>Wilmington Trust, National Association, as Securities Intermediary) (incorporated by reference to Exhibit B to Exhibit 4.6 to</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American’s Current Report on Form 8-K filed on May 16, 2018 (Commission File No. 1-2691)).</w:t>
        </w:r>
      </w:hyperlink>
    </w:p>
    <w:p>
      <w:pPr>
        <w:spacing w:after="0" w:line="1"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4.157</w:t>
      </w:r>
      <w:r>
        <w:rPr>
          <w:sz w:val="20"/>
          <w:szCs w:val="20"/>
          <w:color w:val="auto"/>
        </w:rPr>
        <w:tab/>
      </w:r>
      <w:hyperlink r:id="rId401">
        <w:r>
          <w:rPr>
            <w:rFonts w:ascii="Arial" w:cs="Arial" w:eastAsia="Arial" w:hAnsi="Arial"/>
            <w:sz w:val="18"/>
            <w:szCs w:val="18"/>
            <w:u w:val="single" w:color="auto"/>
            <w:color w:val="0000FF"/>
          </w:rPr>
          <w:t>Form of Pass Through Trust Certificate, Series 2012-2C(R) (incorporated by reference to Exhibit A to Exhibit 4.2 to American’s</w:t>
        </w:r>
      </w:hyperlink>
      <w:r>
        <w:rPr>
          <w:rFonts w:ascii="Arial" w:cs="Arial" w:eastAsia="Arial" w:hAnsi="Arial"/>
          <w:sz w:val="18"/>
          <w:szCs w:val="18"/>
          <w:u w:val="single" w:color="auto"/>
          <w:color w:val="0000FF"/>
        </w:rPr>
        <w:t xml:space="preserve"> </w:t>
      </w:r>
      <w:hyperlink r:id="rId401">
        <w:r>
          <w:rPr>
            <w:rFonts w:ascii="Arial" w:cs="Arial" w:eastAsia="Arial" w:hAnsi="Arial"/>
            <w:sz w:val="18"/>
            <w:szCs w:val="18"/>
            <w:u w:val="single" w:color="auto"/>
            <w:color w:val="0000FF"/>
          </w:rPr>
          <w:t>Current Report on Form 8-K filed on May 16, 2018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4.158     </w:t>
      </w:r>
      <w:hyperlink r:id="rId410">
        <w:r>
          <w:rPr>
            <w:rFonts w:ascii="Arial" w:cs="Arial" w:eastAsia="Arial" w:hAnsi="Arial"/>
            <w:sz w:val="18"/>
            <w:szCs w:val="18"/>
            <w:u w:val="single" w:color="auto"/>
            <w:color w:val="0000FF"/>
          </w:rPr>
          <w:t>Trust Supplement No. 2019-1AA (Aircraft EETC), dated as of August 15, 2019, between American Airlines, Inc. and Wilmington</w:t>
        </w:r>
      </w:hyperlink>
      <w:r>
        <w:rPr>
          <w:rFonts w:ascii="Arial" w:cs="Arial" w:eastAsia="Arial" w:hAnsi="Arial"/>
          <w:sz w:val="18"/>
          <w:szCs w:val="18"/>
          <w:color w:val="auto"/>
        </w:rPr>
        <w:t xml:space="preserve"> </w:t>
      </w:r>
      <w:hyperlink r:id="rId410">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0">
        <w:r>
          <w:rPr>
            <w:rFonts w:ascii="Arial" w:cs="Arial" w:eastAsia="Arial" w:hAnsi="Arial"/>
            <w:sz w:val="18"/>
            <w:szCs w:val="18"/>
            <w:u w:val="single" w:color="auto"/>
            <w:color w:val="0000FF"/>
          </w:rPr>
          <w:t>Exhibit 4.2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4.159     </w:t>
      </w:r>
      <w:hyperlink r:id="rId411">
        <w:r>
          <w:rPr>
            <w:rFonts w:ascii="Arial" w:cs="Arial" w:eastAsia="Arial" w:hAnsi="Arial"/>
            <w:sz w:val="18"/>
            <w:szCs w:val="18"/>
            <w:u w:val="single" w:color="auto"/>
            <w:color w:val="0000FF"/>
          </w:rPr>
          <w:t>Trust Supplement No. 2019-1A (Aircraft EETC), dated as of August 15, 2019, between American Airlines, Inc. and Wilmington</w:t>
        </w:r>
      </w:hyperlink>
      <w:r>
        <w:rPr>
          <w:rFonts w:ascii="Arial" w:cs="Arial" w:eastAsia="Arial" w:hAnsi="Arial"/>
          <w:sz w:val="18"/>
          <w:szCs w:val="18"/>
          <w:color w:val="auto"/>
        </w:rPr>
        <w:t xml:space="preserve"> </w:t>
      </w:r>
      <w:hyperlink r:id="rId411">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411">
        <w:r>
          <w:rPr>
            <w:rFonts w:ascii="Arial" w:cs="Arial" w:eastAsia="Arial" w:hAnsi="Arial"/>
            <w:sz w:val="18"/>
            <w:szCs w:val="18"/>
            <w:u w:val="single" w:color="auto"/>
            <w:color w:val="0000FF"/>
          </w:rPr>
          <w:t>Exhibit 4.3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4.160     </w:t>
      </w:r>
      <w:hyperlink r:id="rId412">
        <w:r>
          <w:rPr>
            <w:rFonts w:ascii="Arial" w:cs="Arial" w:eastAsia="Arial" w:hAnsi="Arial"/>
            <w:sz w:val="18"/>
            <w:szCs w:val="18"/>
            <w:u w:val="single" w:color="auto"/>
            <w:color w:val="0000FF"/>
          </w:rPr>
          <w:t>Trust Supplement No. 2019-1B (Aircraft EETC), dated as of August 15, 2019, between American Airlines, Inc. and Wilmington</w:t>
        </w:r>
      </w:hyperlink>
      <w:r>
        <w:rPr>
          <w:rFonts w:ascii="Arial" w:cs="Arial" w:eastAsia="Arial" w:hAnsi="Arial"/>
          <w:sz w:val="18"/>
          <w:szCs w:val="18"/>
          <w:color w:val="auto"/>
        </w:rPr>
        <w:t xml:space="preserve"> </w:t>
      </w:r>
      <w:hyperlink r:id="rId412">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412">
        <w:r>
          <w:rPr>
            <w:rFonts w:ascii="Arial" w:cs="Arial" w:eastAsia="Arial" w:hAnsi="Arial"/>
            <w:sz w:val="18"/>
            <w:szCs w:val="18"/>
            <w:u w:val="single" w:color="auto"/>
            <w:color w:val="0000FF"/>
          </w:rPr>
          <w:t>Exhibit 4.4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4.161     </w:t>
      </w:r>
      <w:hyperlink r:id="rId413">
        <w:r>
          <w:rPr>
            <w:rFonts w:ascii="Arial" w:cs="Arial" w:eastAsia="Arial" w:hAnsi="Arial"/>
            <w:sz w:val="18"/>
            <w:szCs w:val="18"/>
            <w:u w:val="single" w:color="auto"/>
            <w:color w:val="0000FF"/>
          </w:rPr>
          <w:t>Intercreditor Agreement (2019-1), dated as of August 15, 2019, among Wilmington Trust Company, as Trustee of the American</w:t>
        </w:r>
      </w:hyperlink>
      <w:r>
        <w:rPr>
          <w:rFonts w:ascii="Arial" w:cs="Arial" w:eastAsia="Arial" w:hAnsi="Arial"/>
          <w:sz w:val="18"/>
          <w:szCs w:val="18"/>
          <w:color w:val="auto"/>
        </w:rPr>
        <w:t xml:space="preserve"> </w:t>
      </w:r>
      <w:hyperlink r:id="rId413">
        <w:r>
          <w:rPr>
            <w:rFonts w:ascii="Arial" w:cs="Arial" w:eastAsia="Arial" w:hAnsi="Arial"/>
            <w:sz w:val="18"/>
            <w:szCs w:val="18"/>
            <w:u w:val="single" w:color="auto"/>
            <w:color w:val="0000FF"/>
          </w:rPr>
          <w:t>Airlines Pass Through Trust 2019-1AA (Aircraft EETC), as Trustee of the American Airlines Pass Through Trust 2019-1A (Aircraft</w:t>
        </w:r>
      </w:hyperlink>
    </w:p>
    <w:p>
      <w:pPr>
        <w:jc w:val="both"/>
        <w:ind w:left="920"/>
        <w:spacing w:after="0" w:line="220" w:lineRule="auto"/>
        <w:rPr>
          <w:rFonts w:ascii="Arial" w:cs="Arial" w:eastAsia="Arial" w:hAnsi="Arial"/>
          <w:sz w:val="17"/>
          <w:szCs w:val="17"/>
          <w:u w:val="single" w:color="auto"/>
          <w:color w:val="0000FF"/>
        </w:rPr>
      </w:pPr>
      <w:hyperlink r:id="rId413">
        <w:r>
          <w:rPr>
            <w:rFonts w:ascii="Arial" w:cs="Arial" w:eastAsia="Arial" w:hAnsi="Arial"/>
            <w:sz w:val="17"/>
            <w:szCs w:val="17"/>
            <w:u w:val="single" w:color="auto"/>
            <w:color w:val="0000FF"/>
          </w:rPr>
          <w:t>EETC) and as Trustee of the American Airlines Pass Through Trust 2019-1B (Aircraft EETC), National Australia Bank Limited, as</w:t>
        </w:r>
      </w:hyperlink>
      <w:r>
        <w:rPr>
          <w:rFonts w:ascii="Arial" w:cs="Arial" w:eastAsia="Arial" w:hAnsi="Arial"/>
          <w:sz w:val="17"/>
          <w:szCs w:val="17"/>
          <w:u w:val="single" w:color="auto"/>
          <w:color w:val="0000FF"/>
        </w:rPr>
        <w:t xml:space="preserve"> </w:t>
      </w:r>
      <w:hyperlink r:id="rId413">
        <w:r>
          <w:rPr>
            <w:rFonts w:ascii="Arial" w:cs="Arial" w:eastAsia="Arial" w:hAnsi="Arial"/>
            <w:sz w:val="17"/>
            <w:szCs w:val="17"/>
            <w:u w:val="single" w:color="auto"/>
            <w:color w:val="0000FF"/>
          </w:rPr>
          <w:t>Class AA Liquidity Provider, Class A Liquidity Provider and Class B Liquidity Provider, and Wilmington Trust Company, as</w:t>
        </w:r>
      </w:hyperlink>
      <w:r>
        <w:rPr>
          <w:rFonts w:ascii="Arial" w:cs="Arial" w:eastAsia="Arial" w:hAnsi="Arial"/>
          <w:sz w:val="17"/>
          <w:szCs w:val="17"/>
          <w:u w:val="single" w:color="auto"/>
          <w:color w:val="0000FF"/>
        </w:rPr>
        <w:t xml:space="preserve"> </w:t>
      </w:r>
      <w:hyperlink r:id="rId413">
        <w:r>
          <w:rPr>
            <w:rFonts w:ascii="Arial" w:cs="Arial" w:eastAsia="Arial" w:hAnsi="Arial"/>
            <w:sz w:val="17"/>
            <w:szCs w:val="17"/>
            <w:u w:val="single" w:color="auto"/>
            <w:color w:val="0000FF"/>
          </w:rPr>
          <w:t>Subordination Agent (incorporated by reference to Exhibit 4.5 to American’s Current Report on Form 8-K filed on August 15, 2019</w:t>
        </w:r>
      </w:hyperlink>
    </w:p>
    <w:p>
      <w:pPr>
        <w:spacing w:after="0" w:line="2" w:lineRule="exact"/>
        <w:rPr>
          <w:rFonts w:ascii="Arial" w:cs="Arial" w:eastAsia="Arial" w:hAnsi="Arial"/>
          <w:sz w:val="17"/>
          <w:szCs w:val="17"/>
          <w:u w:val="single" w:color="auto"/>
          <w:color w:val="0000FF"/>
        </w:rPr>
      </w:pPr>
    </w:p>
    <w:p>
      <w:pPr>
        <w:ind w:left="920"/>
        <w:spacing w:after="0"/>
        <w:rPr>
          <w:rFonts w:ascii="Arial" w:cs="Arial" w:eastAsia="Arial" w:hAnsi="Arial"/>
          <w:sz w:val="18"/>
          <w:szCs w:val="18"/>
          <w:u w:val="single" w:color="auto"/>
          <w:color w:val="0000FF"/>
        </w:rPr>
      </w:pPr>
      <w:hyperlink r:id="rId413">
        <w:r>
          <w:rPr>
            <w:rFonts w:ascii="Arial" w:cs="Arial" w:eastAsia="Arial" w:hAnsi="Arial"/>
            <w:sz w:val="18"/>
            <w:szCs w:val="18"/>
            <w:u w:val="single" w:color="auto"/>
            <w:color w:val="0000FF"/>
          </w:rPr>
          <w:t>(Commission File No. 1-02691)).</w:t>
        </w:r>
      </w:hyperlink>
    </w:p>
    <w:p>
      <w:pPr>
        <w:spacing w:after="0" w:line="14" w:lineRule="exact"/>
        <w:rPr>
          <w:rFonts w:ascii="Arial" w:cs="Arial" w:eastAsia="Arial" w:hAnsi="Arial"/>
          <w:sz w:val="17"/>
          <w:szCs w:val="17"/>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4.162     </w:t>
      </w:r>
      <w:hyperlink r:id="rId414">
        <w:r>
          <w:rPr>
            <w:rFonts w:ascii="Arial" w:cs="Arial" w:eastAsia="Arial" w:hAnsi="Arial"/>
            <w:sz w:val="18"/>
            <w:szCs w:val="18"/>
            <w:u w:val="single" w:color="auto"/>
            <w:color w:val="0000FF"/>
          </w:rPr>
          <w:t>Note Purchase Agreement, dated as of August 15, 2019, among American Airlines, Inc., Wilmington Trust Company, as Pass</w:t>
        </w:r>
      </w:hyperlink>
      <w:r>
        <w:rPr>
          <w:rFonts w:ascii="Arial" w:cs="Arial" w:eastAsia="Arial" w:hAnsi="Arial"/>
          <w:sz w:val="18"/>
          <w:szCs w:val="18"/>
          <w:color w:val="auto"/>
        </w:rPr>
        <w:t xml:space="preserve"> </w:t>
      </w:r>
      <w:hyperlink r:id="rId414">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9" w:lineRule="auto"/>
        <w:rPr>
          <w:rFonts w:ascii="Arial" w:cs="Arial" w:eastAsia="Arial" w:hAnsi="Arial"/>
          <w:sz w:val="18"/>
          <w:szCs w:val="18"/>
          <w:u w:val="single" w:color="auto"/>
          <w:color w:val="0000FF"/>
        </w:rPr>
      </w:pPr>
      <w:hyperlink r:id="rId414">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reference to Exhibit 4.12 to American’s Current Report on Form 8-K filed on August 15, 2019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4.163     </w:t>
      </w:r>
      <w:hyperlink r:id="rId414">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414">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414">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(incorporated by reference to Exhibit B to Exhibit 4.12 to American’s Current Report on Form 8-K filed on August 15, 2019</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(Commission File No. 1-02691)).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4.164     </w:t>
      </w:r>
      <w:hyperlink r:id="rId414">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414">
        <w:r>
          <w:rPr>
            <w:rFonts w:ascii="Arial" w:cs="Arial" w:eastAsia="Arial" w:hAnsi="Arial"/>
            <w:sz w:val="18"/>
            <w:szCs w:val="18"/>
            <w:u w:val="single" w:color="auto"/>
            <w:color w:val="0000FF"/>
          </w:rPr>
          <w:t>Trust Company, as Loan Trustee) (incorporated by reference to Exhibit C to Exhibit 4.12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4">
        <w:r>
          <w:rPr>
            <w:rFonts w:ascii="Arial" w:cs="Arial" w:eastAsia="Arial" w:hAnsi="Arial"/>
            <w:sz w:val="18"/>
            <w:szCs w:val="18"/>
            <w:u w:val="single" w:color="auto"/>
            <w:color w:val="0000FF"/>
          </w:rPr>
          <w:t>K filed on August 15, 2019 (Commission File No. 1-02691)).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30"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4.165</w:t>
      </w:r>
      <w:r>
        <w:rPr>
          <w:sz w:val="20"/>
          <w:szCs w:val="20"/>
          <w:color w:val="auto"/>
        </w:rPr>
        <w:tab/>
      </w:r>
      <w:hyperlink r:id="rId410">
        <w:r>
          <w:rPr>
            <w:rFonts w:ascii="Arial" w:cs="Arial" w:eastAsia="Arial" w:hAnsi="Arial"/>
            <w:sz w:val="18"/>
            <w:szCs w:val="18"/>
            <w:u w:val="single" w:color="auto"/>
            <w:color w:val="0000FF"/>
          </w:rPr>
          <w:t>Form of Pass Through Trust Certificate, Series 2019-1AA (Aircraft EETC) (incorporated by reference to Exhibit A to Exhibit 4.2 to</w:t>
        </w:r>
      </w:hyperlink>
      <w:r>
        <w:rPr>
          <w:rFonts w:ascii="Arial" w:cs="Arial" w:eastAsia="Arial" w:hAnsi="Arial"/>
          <w:sz w:val="18"/>
          <w:szCs w:val="18"/>
          <w:u w:val="single" w:color="auto"/>
          <w:color w:val="0000FF"/>
        </w:rPr>
        <w:t xml:space="preserve"> </w:t>
      </w:r>
      <w:hyperlink r:id="rId410">
        <w:r>
          <w:rPr>
            <w:rFonts w:ascii="Arial" w:cs="Arial" w:eastAsia="Arial" w:hAnsi="Arial"/>
            <w:sz w:val="18"/>
            <w:szCs w:val="18"/>
            <w:u w:val="single" w:color="auto"/>
            <w:color w:val="0000FF"/>
          </w:rPr>
          <w:t>American’s Current Report on Form 8-K filed on August 15, 2019 (Commission File No. 1-02691)).</w:t>
        </w:r>
      </w:hyperlink>
    </w:p>
    <w:p>
      <w:pPr>
        <w:spacing w:after="0" w:line="4"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4.166</w:t>
      </w:r>
      <w:r>
        <w:rPr>
          <w:sz w:val="20"/>
          <w:szCs w:val="20"/>
          <w:color w:val="auto"/>
        </w:rPr>
        <w:tab/>
      </w:r>
      <w:hyperlink r:id="rId411">
        <w:r>
          <w:rPr>
            <w:rFonts w:ascii="Arial" w:cs="Arial" w:eastAsia="Arial" w:hAnsi="Arial"/>
            <w:sz w:val="18"/>
            <w:szCs w:val="18"/>
            <w:u w:val="single" w:color="auto"/>
            <w:color w:val="0000FF"/>
          </w:rPr>
          <w:t>Form of Pass Through Trust Certificate, Series 2019-1A (Aircraft EETC) (incorporated by reference to Exhibit A to Exhibit 4.3 to</w:t>
        </w:r>
      </w:hyperlink>
      <w:r>
        <w:rPr>
          <w:rFonts w:ascii="Arial" w:cs="Arial" w:eastAsia="Arial" w:hAnsi="Arial"/>
          <w:sz w:val="18"/>
          <w:szCs w:val="18"/>
          <w:u w:val="single" w:color="auto"/>
          <w:color w:val="0000FF"/>
        </w:rPr>
        <w:t xml:space="preserve"> </w:t>
      </w:r>
      <w:hyperlink r:id="rId411">
        <w:r>
          <w:rPr>
            <w:rFonts w:ascii="Arial" w:cs="Arial" w:eastAsia="Arial" w:hAnsi="Arial"/>
            <w:sz w:val="18"/>
            <w:szCs w:val="18"/>
            <w:u w:val="single" w:color="auto"/>
            <w:color w:val="0000FF"/>
          </w:rPr>
          <w:t>American’s Current Report on Form 8-K filed on August 15, 2019 (Commission File No. 1-02691)).</w:t>
        </w:r>
      </w:hyperlink>
    </w:p>
    <w:p>
      <w:pPr>
        <w:spacing w:after="0" w:line="6"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4.167</w:t>
      </w:r>
      <w:r>
        <w:rPr>
          <w:sz w:val="20"/>
          <w:szCs w:val="20"/>
          <w:color w:val="auto"/>
        </w:rPr>
        <w:tab/>
      </w:r>
      <w:hyperlink r:id="rId412">
        <w:r>
          <w:rPr>
            <w:rFonts w:ascii="Arial" w:cs="Arial" w:eastAsia="Arial" w:hAnsi="Arial"/>
            <w:sz w:val="18"/>
            <w:szCs w:val="18"/>
            <w:u w:val="single" w:color="auto"/>
            <w:color w:val="0000FF"/>
          </w:rPr>
          <w:t>Form of Pass Through Trust Certificate, Series 2019-1B (Aircraft EETC) (incorporated by reference to Exhibit A to Exhibit 4.4 to</w:t>
        </w:r>
      </w:hyperlink>
      <w:r>
        <w:rPr>
          <w:rFonts w:ascii="Arial" w:cs="Arial" w:eastAsia="Arial" w:hAnsi="Arial"/>
          <w:sz w:val="18"/>
          <w:szCs w:val="18"/>
          <w:u w:val="single" w:color="auto"/>
          <w:color w:val="0000FF"/>
        </w:rPr>
        <w:t xml:space="preserve"> </w:t>
      </w:r>
      <w:hyperlink r:id="rId412">
        <w:r>
          <w:rPr>
            <w:rFonts w:ascii="Arial" w:cs="Arial" w:eastAsia="Arial" w:hAnsi="Arial"/>
            <w:sz w:val="18"/>
            <w:szCs w:val="18"/>
            <w:u w:val="single" w:color="auto"/>
            <w:color w:val="0000FF"/>
          </w:rPr>
          <w:t>American’s Current Report on Form 8-K filed on August 15, 2019 (Commission File No. 1-02691)).</w:t>
        </w:r>
      </w:hyperlink>
    </w:p>
    <w:p>
      <w:pPr>
        <w:spacing w:after="0" w:line="6"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4.168</w:t>
      </w:r>
      <w:r>
        <w:rPr>
          <w:sz w:val="20"/>
          <w:szCs w:val="20"/>
          <w:color w:val="auto"/>
        </w:rPr>
        <w:tab/>
      </w:r>
      <w:hyperlink r:id="rId416">
        <w:r>
          <w:rPr>
            <w:rFonts w:ascii="Arial" w:cs="Arial" w:eastAsia="Arial" w:hAnsi="Arial"/>
            <w:sz w:val="18"/>
            <w:szCs w:val="18"/>
            <w:u w:val="single" w:color="auto"/>
            <w:color w:val="0000FF"/>
          </w:rPr>
          <w:t>Revolving Credit Agreement (2019-1AA), dated as of August 15, 2019, between Wilmington Trust Company, as Subordination</w:t>
        </w:r>
      </w:hyperlink>
      <w:r>
        <w:rPr>
          <w:rFonts w:ascii="Arial" w:cs="Arial" w:eastAsia="Arial" w:hAnsi="Arial"/>
          <w:sz w:val="18"/>
          <w:szCs w:val="18"/>
          <w:u w:val="single" w:color="auto"/>
          <w:color w:val="0000FF"/>
        </w:rPr>
        <w:t xml:space="preserve"> </w:t>
      </w:r>
      <w:hyperlink r:id="rId416">
        <w:r>
          <w:rPr>
            <w:rFonts w:ascii="Arial" w:cs="Arial" w:eastAsia="Arial" w:hAnsi="Arial"/>
            <w:sz w:val="18"/>
            <w:szCs w:val="18"/>
            <w:u w:val="single" w:color="auto"/>
            <w:color w:val="0000FF"/>
          </w:rPr>
          <w:t>Agent, as agent and trustee for the trustee of the American Airlines Pass Through Trust 2019-1AA (Aircraft EETC),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16">
        <w:r>
          <w:rPr>
            <w:rFonts w:ascii="Arial" w:cs="Arial" w:eastAsia="Arial" w:hAnsi="Arial"/>
            <w:sz w:val="18"/>
            <w:szCs w:val="18"/>
            <w:u w:val="single" w:color="auto"/>
            <w:color w:val="0000FF"/>
          </w:rPr>
          <w:t>and National Australia Bank Limited, as Liquidity Provider (incorporated by reference to Exhibit 4.18 to American’s Current Report</w:t>
        </w:r>
      </w:hyperlink>
      <w:r>
        <w:rPr>
          <w:rFonts w:ascii="Arial" w:cs="Arial" w:eastAsia="Arial" w:hAnsi="Arial"/>
          <w:sz w:val="18"/>
          <w:szCs w:val="18"/>
          <w:u w:val="single" w:color="auto"/>
          <w:color w:val="0000FF"/>
        </w:rPr>
        <w:t xml:space="preserve"> </w:t>
      </w:r>
      <w:hyperlink r:id="rId416">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4.169</w:t>
      </w:r>
      <w:r>
        <w:rPr>
          <w:sz w:val="20"/>
          <w:szCs w:val="20"/>
          <w:color w:val="auto"/>
        </w:rPr>
        <w:tab/>
      </w:r>
      <w:hyperlink r:id="rId417">
        <w:r>
          <w:rPr>
            <w:rFonts w:ascii="Arial" w:cs="Arial" w:eastAsia="Arial" w:hAnsi="Arial"/>
            <w:sz w:val="18"/>
            <w:szCs w:val="18"/>
            <w:u w:val="single" w:color="auto"/>
            <w:color w:val="0000FF"/>
          </w:rPr>
          <w:t>Revolving Credit Agreement (2019-1A), dated as of August 15, 2019, between Wilmington Trust Company, as Subordination</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Agent, as agent and trustee for the trustee of the American Airlines Pass Through Trust 2019-1A (Aircraft EETC), as Borrower,</w:t>
        </w:r>
      </w:hyperlink>
    </w:p>
    <w:p>
      <w:pPr>
        <w:ind w:left="920"/>
        <w:spacing w:after="0" w:line="229" w:lineRule="auto"/>
        <w:rPr>
          <w:rFonts w:ascii="Arial" w:cs="Arial" w:eastAsia="Arial" w:hAnsi="Arial"/>
          <w:sz w:val="18"/>
          <w:szCs w:val="18"/>
          <w:u w:val="single" w:color="auto"/>
          <w:color w:val="0000FF"/>
        </w:rPr>
      </w:pPr>
      <w:hyperlink r:id="rId417">
        <w:r>
          <w:rPr>
            <w:rFonts w:ascii="Arial" w:cs="Arial" w:eastAsia="Arial" w:hAnsi="Arial"/>
            <w:sz w:val="18"/>
            <w:szCs w:val="18"/>
            <w:u w:val="single" w:color="auto"/>
            <w:color w:val="0000FF"/>
          </w:rPr>
          <w:t>and National Australia Bank Limited, as Liquidity Provider (incorporated by reference to Exhibit 4.19 to American’s Current Report</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both"/>
        <w:ind w:left="920" w:hanging="889"/>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4.170</w:t>
      </w:r>
      <w:r>
        <w:rPr>
          <w:sz w:val="20"/>
          <w:szCs w:val="20"/>
          <w:color w:val="auto"/>
        </w:rPr>
        <w:tab/>
      </w:r>
      <w:hyperlink r:id="rId403">
        <w:r>
          <w:rPr>
            <w:rFonts w:ascii="Arial" w:cs="Arial" w:eastAsia="Arial" w:hAnsi="Arial"/>
            <w:sz w:val="18"/>
            <w:szCs w:val="18"/>
            <w:u w:val="single" w:color="auto"/>
            <w:color w:val="0000FF"/>
          </w:rPr>
          <w:t>Trust Supplement No. 2021-1A, dated as of November 8, 2021, between American Airlines, Inc. and Wilmington Trust Company,</w:t>
        </w:r>
      </w:hyperlink>
      <w:r>
        <w:rPr>
          <w:rFonts w:ascii="Arial" w:cs="Arial" w:eastAsia="Arial" w:hAnsi="Arial"/>
          <w:sz w:val="18"/>
          <w:szCs w:val="18"/>
          <w:u w:val="single" w:color="auto"/>
          <w:color w:val="0000FF"/>
        </w:rPr>
        <w:t xml:space="preserve"> </w:t>
      </w:r>
      <w:hyperlink r:id="rId403">
        <w:r>
          <w:rPr>
            <w:rFonts w:ascii="Arial" w:cs="Arial" w:eastAsia="Arial" w:hAnsi="Arial"/>
            <w:sz w:val="18"/>
            <w:szCs w:val="18"/>
            <w:u w:val="single" w:color="auto"/>
            <w:color w:val="0000FF"/>
          </w:rPr>
          <w:t>as 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403">
        <w:r>
          <w:rPr>
            <w:rFonts w:ascii="Arial" w:cs="Arial" w:eastAsia="Arial" w:hAnsi="Arial"/>
            <w:sz w:val="18"/>
            <w:szCs w:val="18"/>
            <w:u w:val="single" w:color="auto"/>
            <w:color w:val="0000FF"/>
          </w:rPr>
          <w:t>American’s Current Report on Form 8-K filed on November 12, 2021 (Commission File No. 1-02691)).</w:t>
        </w:r>
      </w:hyperlink>
    </w:p>
    <w:p>
      <w:pPr>
        <w:spacing w:after="0" w:line="12"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4.171</w:t>
      </w:r>
      <w:r>
        <w:rPr>
          <w:sz w:val="20"/>
          <w:szCs w:val="20"/>
          <w:color w:val="auto"/>
        </w:rPr>
        <w:tab/>
      </w:r>
      <w:hyperlink r:id="rId405">
        <w:r>
          <w:rPr>
            <w:rFonts w:ascii="Arial" w:cs="Arial" w:eastAsia="Arial" w:hAnsi="Arial"/>
            <w:sz w:val="18"/>
            <w:szCs w:val="18"/>
            <w:u w:val="single" w:color="auto"/>
            <w:color w:val="0000FF"/>
          </w:rPr>
          <w:t>Trust Supplement No. 2021-1B, dated as of November 8, 2021, between American Airlines, Inc. and Wilmington Trust Company,</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as 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American’s Current Report on Form 8-K filed on November 12, 2021 (Commission File No. 1-02691)).</w:t>
        </w:r>
      </w:hyperlink>
    </w:p>
    <w:p>
      <w:pPr>
        <w:spacing w:after="0" w:line="9"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4.172</w:t>
      </w:r>
      <w:r>
        <w:rPr>
          <w:sz w:val="20"/>
          <w:szCs w:val="20"/>
          <w:color w:val="auto"/>
        </w:rPr>
        <w:tab/>
      </w:r>
      <w:hyperlink r:id="rId418">
        <w:r>
          <w:rPr>
            <w:rFonts w:ascii="Arial" w:cs="Arial" w:eastAsia="Arial" w:hAnsi="Arial"/>
            <w:sz w:val="18"/>
            <w:szCs w:val="18"/>
            <w:u w:val="single" w:color="auto"/>
            <w:color w:val="0000FF"/>
          </w:rPr>
          <w:t>Intercreditor Agreement (2021-1), dated as of November 8, 2021, among Wilmington Trust Company, as Trustee of the American</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Airlines Pass Through Trust 2021-1A and as Trustee of the American Airlines Pass Through Trust 2021-1B, Crédit Agricole</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Corporate and Investment Bank, acting through its New York Branch, as Class A Liquidity Provider and Class B Liquidity</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Provider, and Wilmington Trust Company, as Subordination Agent (incorporated by reference to Exhibit 4.4 to American’s Current</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Report on Form 8-K filed on November 12, 2021 (Commission File No. 1-02691)).</w:t>
        </w:r>
      </w:hyperlink>
    </w:p>
    <w:p>
      <w:pPr>
        <w:spacing w:after="0" w:line="17"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4.173</w:t>
      </w:r>
      <w:r>
        <w:rPr>
          <w:sz w:val="20"/>
          <w:szCs w:val="20"/>
          <w:color w:val="auto"/>
        </w:rPr>
        <w:tab/>
      </w:r>
      <w:hyperlink r:id="rId419">
        <w:r>
          <w:rPr>
            <w:rFonts w:ascii="Arial" w:cs="Arial" w:eastAsia="Arial" w:hAnsi="Arial"/>
            <w:sz w:val="18"/>
            <w:szCs w:val="18"/>
            <w:u w:val="single" w:color="auto"/>
            <w:color w:val="0000FF"/>
          </w:rPr>
          <w:t>Note Purchase Agreement, dated as of November 8, 2021, among American Airlines, Inc., Wilmington Trust Company, as Pass</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reference to Exhibit 4.9 to American’s Current Report on Form 8-K filed on November 12, 2021 (Commission File No. 1-02691)).</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4.174</w:t>
      </w:r>
      <w:r>
        <w:rPr>
          <w:sz w:val="20"/>
          <w:szCs w:val="20"/>
          <w:color w:val="auto"/>
        </w:rPr>
        <w:tab/>
      </w:r>
      <w:hyperlink r:id="rId419">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(incorporated by reference to Exhibit B to Exhibit 4.9 to American’s Current Report on Form 8-K filed on November 12, 2021</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(Commission File No. 1-02691)).</w:t>
        </w:r>
      </w:hyperlink>
    </w:p>
    <w:p>
      <w:pPr>
        <w:spacing w:after="0" w:line="17"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4.175</w:t>
      </w:r>
      <w:r>
        <w:rPr>
          <w:sz w:val="20"/>
          <w:szCs w:val="20"/>
          <w:color w:val="auto"/>
        </w:rPr>
        <w:tab/>
      </w:r>
      <w:hyperlink r:id="rId419">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Trust Company, as Loan Trustee) (incorporated by reference to Exhibit C to Exhibit 4.9 to American’s Current Report on Form 8-K</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filed on November 12, 2021 (Commission File No. 1-02691)).</w:t>
        </w:r>
      </w:hyperlink>
    </w:p>
    <w:p>
      <w:pPr>
        <w:spacing w:after="0" w:line="9"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4.176</w:t>
      </w:r>
      <w:r>
        <w:rPr>
          <w:sz w:val="20"/>
          <w:szCs w:val="20"/>
          <w:color w:val="auto"/>
        </w:rPr>
        <w:tab/>
      </w:r>
      <w:hyperlink r:id="rId420">
        <w:r>
          <w:rPr>
            <w:rFonts w:ascii="Arial" w:cs="Arial" w:eastAsia="Arial" w:hAnsi="Arial"/>
            <w:sz w:val="18"/>
            <w:szCs w:val="18"/>
            <w:u w:val="single" w:color="auto"/>
            <w:color w:val="0000FF"/>
          </w:rPr>
          <w:t>Revolving Credit Agreement (2019-1B), dated as of August 15, 2019, between Wilmington Trust Company, as Subordination</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Agent, as agent and trustee for the trustee of the American Airlines Pass Through Trust 2019-1B (Aircraft EETC),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20">
        <w:r>
          <w:rPr>
            <w:rFonts w:ascii="Arial" w:cs="Arial" w:eastAsia="Arial" w:hAnsi="Arial"/>
            <w:sz w:val="18"/>
            <w:szCs w:val="18"/>
            <w:u w:val="single" w:color="auto"/>
            <w:color w:val="0000FF"/>
          </w:rPr>
          <w:t>and National Australia Bank Limited, as Liquidity Provider (incorporated by reference to Exhibit 4.20 to American’s Current Report</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4.177     </w:t>
      </w:r>
      <w:hyperlink r:id="rId421">
        <w:r>
          <w:rPr>
            <w:rFonts w:ascii="Arial" w:cs="Arial" w:eastAsia="Arial" w:hAnsi="Arial"/>
            <w:sz w:val="18"/>
            <w:szCs w:val="18"/>
            <w:u w:val="single" w:color="auto"/>
            <w:color w:val="0000FF"/>
          </w:rPr>
          <w:t>Indenture, dated as of May 20, 2019, by and among American Airlines Group Inc., the Guarantor (as defined therein) and</w:t>
        </w:r>
      </w:hyperlink>
      <w:r>
        <w:rPr>
          <w:rFonts w:ascii="Arial" w:cs="Arial" w:eastAsia="Arial" w:hAnsi="Arial"/>
          <w:sz w:val="18"/>
          <w:szCs w:val="18"/>
          <w:color w:val="auto"/>
        </w:rPr>
        <w:t xml:space="preserve"> </w:t>
      </w:r>
      <w:hyperlink r:id="rId421">
        <w:r>
          <w:rPr>
            <w:rFonts w:ascii="Arial" w:cs="Arial" w:eastAsia="Arial" w:hAnsi="Arial"/>
            <w:sz w:val="18"/>
            <w:szCs w:val="18"/>
            <w:u w:val="single" w:color="auto"/>
            <w:color w:val="0000FF"/>
          </w:rPr>
          <w:t>Wilmington Trust, National Association, as trustee (incorporated by reference to Exhibit 4.1 to AAG’s Current Report on Form 8-K</w:t>
        </w:r>
      </w:hyperlink>
    </w:p>
    <w:p>
      <w:pPr>
        <w:ind w:left="920"/>
        <w:spacing w:after="0"/>
        <w:rPr>
          <w:rFonts w:ascii="Arial" w:cs="Arial" w:eastAsia="Arial" w:hAnsi="Arial"/>
          <w:sz w:val="18"/>
          <w:szCs w:val="18"/>
          <w:u w:val="single" w:color="auto"/>
          <w:color w:val="0000FF"/>
        </w:rPr>
      </w:pPr>
      <w:hyperlink r:id="rId421">
        <w:r>
          <w:rPr>
            <w:rFonts w:ascii="Arial" w:cs="Arial" w:eastAsia="Arial" w:hAnsi="Arial"/>
            <w:sz w:val="18"/>
            <w:szCs w:val="18"/>
            <w:u w:val="single" w:color="auto"/>
            <w:color w:val="0000FF"/>
          </w:rPr>
          <w:t>filed on May 21, 2019 (Commission File No. 1-8400)).</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4.178</w:t>
      </w:r>
      <w:r>
        <w:rPr>
          <w:sz w:val="20"/>
          <w:szCs w:val="20"/>
          <w:color w:val="auto"/>
        </w:rPr>
        <w:tab/>
      </w:r>
      <w:hyperlink r:id="rId421">
        <w:r>
          <w:rPr>
            <w:rFonts w:ascii="Arial" w:cs="Arial" w:eastAsia="Arial" w:hAnsi="Arial"/>
            <w:sz w:val="18"/>
            <w:szCs w:val="18"/>
            <w:u w:val="single" w:color="auto"/>
            <w:color w:val="0000FF"/>
          </w:rPr>
          <w:t>Form of 5.000% Senior Notes due 2022 (incorporated by reference to Exhibit A to Exhibit 4.1 to AAG’s Current Report on Form 8-</w:t>
        </w:r>
      </w:hyperlink>
      <w:hyperlink r:id="rId421">
        <w:r>
          <w:rPr>
            <w:rFonts w:ascii="Arial" w:cs="Arial" w:eastAsia="Arial" w:hAnsi="Arial"/>
            <w:sz w:val="18"/>
            <w:szCs w:val="18"/>
            <w:u w:val="single" w:color="auto"/>
            <w:color w:val="0000FF"/>
          </w:rPr>
          <w:t>K filed on May 21, 2019 (Commission File No. 1-8400)).</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1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4.179</w:t>
      </w:r>
      <w:r>
        <w:rPr>
          <w:sz w:val="20"/>
          <w:szCs w:val="20"/>
          <w:color w:val="auto"/>
        </w:rPr>
        <w:tab/>
      </w:r>
      <w:hyperlink r:id="rId423">
        <w:r>
          <w:rPr>
            <w:rFonts w:ascii="Arial" w:cs="Arial" w:eastAsia="Arial" w:hAnsi="Arial"/>
            <w:sz w:val="18"/>
            <w:szCs w:val="18"/>
            <w:u w:val="single" w:color="auto"/>
            <w:color w:val="0000FF"/>
          </w:rPr>
          <w:t>Indenture, dated as of February 25, 2020, by and among American Airlines Group Inc., the Guarantor (as defined therein) and</w:t>
        </w:r>
      </w:hyperlink>
      <w:r>
        <w:rPr>
          <w:rFonts w:ascii="Arial" w:cs="Arial" w:eastAsia="Arial" w:hAnsi="Arial"/>
          <w:sz w:val="18"/>
          <w:szCs w:val="18"/>
          <w:u w:val="single" w:color="auto"/>
          <w:color w:val="0000FF"/>
        </w:rPr>
        <w:t xml:space="preserve"> </w:t>
      </w:r>
      <w:hyperlink r:id="rId423">
        <w:r>
          <w:rPr>
            <w:rFonts w:ascii="Arial" w:cs="Arial" w:eastAsia="Arial" w:hAnsi="Arial"/>
            <w:sz w:val="18"/>
            <w:szCs w:val="18"/>
            <w:u w:val="single" w:color="auto"/>
            <w:color w:val="0000FF"/>
          </w:rPr>
          <w:t>Wilmington Trust, National Association, as trustee (incorporated by reference to Exhibit 4.1 to AAG's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3">
        <w:r>
          <w:rPr>
            <w:rFonts w:ascii="Arial" w:cs="Arial" w:eastAsia="Arial" w:hAnsi="Arial"/>
            <w:sz w:val="18"/>
            <w:szCs w:val="18"/>
            <w:u w:val="single" w:color="auto"/>
            <w:color w:val="0000FF"/>
          </w:rPr>
          <w:t>filed on February 26, 2020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4.180</w:t>
      </w:r>
      <w:r>
        <w:rPr>
          <w:sz w:val="20"/>
          <w:szCs w:val="20"/>
          <w:color w:val="auto"/>
        </w:rPr>
        <w:tab/>
      </w:r>
      <w:hyperlink r:id="rId423">
        <w:r>
          <w:rPr>
            <w:rFonts w:ascii="Arial" w:cs="Arial" w:eastAsia="Arial" w:hAnsi="Arial"/>
            <w:sz w:val="18"/>
            <w:szCs w:val="18"/>
            <w:u w:val="single" w:color="auto"/>
            <w:color w:val="0000FF"/>
          </w:rPr>
          <w:t>Form of 3.75% Senior Notes due 2025 (incorporated by reference to Exhibit A to Exhibit 4.1 to AAG's Current Report on Form 8-</w:t>
        </w:r>
      </w:hyperlink>
      <w:hyperlink r:id="rId423">
        <w:r>
          <w:rPr>
            <w:rFonts w:ascii="Arial" w:cs="Arial" w:eastAsia="Arial" w:hAnsi="Arial"/>
            <w:sz w:val="18"/>
            <w:szCs w:val="18"/>
            <w:u w:val="single" w:color="auto"/>
            <w:color w:val="0000FF"/>
          </w:rPr>
          <w:t>K filed on February 26, 2020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4.181</w:t>
      </w:r>
      <w:r>
        <w:rPr>
          <w:sz w:val="20"/>
          <w:szCs w:val="20"/>
          <w:color w:val="auto"/>
        </w:rPr>
        <w:tab/>
      </w:r>
      <w:hyperlink r:id="rId424">
        <w:r>
          <w:rPr>
            <w:rFonts w:ascii="Arial" w:cs="Arial" w:eastAsia="Arial" w:hAnsi="Arial"/>
            <w:sz w:val="18"/>
            <w:szCs w:val="18"/>
            <w:u w:val="single" w:color="auto"/>
            <w:color w:val="0000FF"/>
          </w:rPr>
          <w:t>Indenture, dated as of June 25, 2020, by and between American Airlines Group Inc. and Wilmington Trust, National Association,</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as trustee (incorporated by reference to Exhibit 4.1 to AAG’s Current Report on Form 8-K filed on June 25, 2020 (Commission</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4">
        <w:r>
          <w:rPr>
            <w:rFonts w:ascii="Arial" w:cs="Arial" w:eastAsia="Arial" w:hAnsi="Arial"/>
            <w:sz w:val="18"/>
            <w:szCs w:val="18"/>
            <w:u w:val="single" w:color="auto"/>
            <w:color w:val="0000FF"/>
          </w:rPr>
          <w:t>File No. 1-8400)).</w:t>
        </w:r>
      </w:hyperlink>
    </w:p>
    <w:p>
      <w:pPr>
        <w:spacing w:after="0" w:line="14" w:lineRule="exact"/>
        <w:rPr>
          <w:sz w:val="20"/>
          <w:szCs w:val="20"/>
          <w:color w:val="auto"/>
        </w:rPr>
      </w:pPr>
    </w:p>
    <w:p>
      <w:pPr>
        <w:jc w:val="both"/>
        <w:ind w:left="920" w:hanging="889"/>
        <w:spacing w:after="0" w:line="22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4.182</w:t>
      </w:r>
      <w:r>
        <w:rPr>
          <w:sz w:val="20"/>
          <w:szCs w:val="20"/>
          <w:color w:val="auto"/>
        </w:rPr>
        <w:tab/>
      </w:r>
      <w:hyperlink r:id="rId425">
        <w:r>
          <w:rPr>
            <w:rFonts w:ascii="Arial" w:cs="Arial" w:eastAsia="Arial" w:hAnsi="Arial"/>
            <w:sz w:val="17"/>
            <w:szCs w:val="17"/>
            <w:u w:val="single" w:color="auto"/>
            <w:color w:val="0000FF"/>
          </w:rPr>
          <w:t>First Supplemental Indenture, dated as of June 25, 2020, by and among American Airlines Group Inc., American Airlines, Inc. and</w:t>
        </w:r>
      </w:hyperlink>
      <w:r>
        <w:rPr>
          <w:rFonts w:ascii="Arial" w:cs="Arial" w:eastAsia="Arial" w:hAnsi="Arial"/>
          <w:sz w:val="17"/>
          <w:szCs w:val="17"/>
          <w:u w:val="single" w:color="auto"/>
          <w:color w:val="0000FF"/>
        </w:rPr>
        <w:t xml:space="preserve"> </w:t>
      </w:r>
      <w:hyperlink r:id="rId425">
        <w:r>
          <w:rPr>
            <w:rFonts w:ascii="Arial" w:cs="Arial" w:eastAsia="Arial" w:hAnsi="Arial"/>
            <w:sz w:val="17"/>
            <w:szCs w:val="17"/>
            <w:u w:val="single" w:color="auto"/>
            <w:color w:val="0000FF"/>
          </w:rPr>
          <w:t>Wilmington Trust, National Association, as trustee (incorporated by reference to Exhibit 4.2 to AAG’s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5">
        <w:r>
          <w:rPr>
            <w:rFonts w:ascii="Arial" w:cs="Arial" w:eastAsia="Arial" w:hAnsi="Arial"/>
            <w:sz w:val="18"/>
            <w:szCs w:val="18"/>
            <w:u w:val="single" w:color="auto"/>
            <w:color w:val="0000FF"/>
          </w:rPr>
          <w:t>filed on June 25, 2020 (Commission File No. 1-8400)).</w:t>
        </w:r>
      </w:hyperlink>
    </w:p>
    <w:p>
      <w:pPr>
        <w:spacing w:after="0" w:line="14" w:lineRule="exact"/>
        <w:rPr>
          <w:sz w:val="20"/>
          <w:szCs w:val="20"/>
          <w:color w:val="auto"/>
        </w:rPr>
      </w:pPr>
    </w:p>
    <w:p>
      <w:pPr>
        <w:jc w:val="both"/>
        <w:ind w:left="920" w:right="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4.183</w:t>
      </w:r>
      <w:r>
        <w:rPr>
          <w:sz w:val="20"/>
          <w:szCs w:val="20"/>
          <w:color w:val="auto"/>
        </w:rPr>
        <w:tab/>
      </w:r>
      <w:hyperlink r:id="rId425">
        <w:r>
          <w:rPr>
            <w:rFonts w:ascii="Arial" w:cs="Arial" w:eastAsia="Arial" w:hAnsi="Arial"/>
            <w:sz w:val="18"/>
            <w:szCs w:val="18"/>
            <w:u w:val="single" w:color="auto"/>
            <w:color w:val="0000FF"/>
          </w:rPr>
          <w:t>Form of 6.50% Convertible Senior Notes due 2025 (incorporated by reference to Exhibit A to Exhibit 4.2 to AAG’s Current Report</w:t>
        </w:r>
      </w:hyperlink>
      <w:r>
        <w:rPr>
          <w:rFonts w:ascii="Arial" w:cs="Arial" w:eastAsia="Arial" w:hAnsi="Arial"/>
          <w:sz w:val="18"/>
          <w:szCs w:val="18"/>
          <w:u w:val="single" w:color="auto"/>
          <w:color w:val="0000FF"/>
        </w:rPr>
        <w:t xml:space="preserve"> </w:t>
      </w:r>
      <w:hyperlink r:id="rId425">
        <w:r>
          <w:rPr>
            <w:rFonts w:ascii="Arial" w:cs="Arial" w:eastAsia="Arial" w:hAnsi="Arial"/>
            <w:sz w:val="18"/>
            <w:szCs w:val="18"/>
            <w:u w:val="single" w:color="auto"/>
            <w:color w:val="0000FF"/>
          </w:rPr>
          <w:t>on Form 8-K filed on June 25, 2020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4.184</w:t>
      </w:r>
      <w:r>
        <w:rPr>
          <w:sz w:val="20"/>
          <w:szCs w:val="20"/>
          <w:color w:val="auto"/>
        </w:rPr>
        <w:tab/>
      </w:r>
      <w:hyperlink r:id="rId426">
        <w:r>
          <w:rPr>
            <w:rFonts w:ascii="Arial" w:cs="Arial" w:eastAsia="Arial" w:hAnsi="Arial"/>
            <w:sz w:val="18"/>
            <w:szCs w:val="18"/>
            <w:u w:val="single" w:color="auto"/>
            <w:color w:val="0000FF"/>
          </w:rPr>
          <w:t>Indenture, dated as of June 30, 2020, by and among American Airlines, Inc., American Airlines Group, Inc. and Wilmington Trust,</w:t>
        </w:r>
      </w:hyperlink>
      <w:r>
        <w:rPr>
          <w:rFonts w:ascii="Arial" w:cs="Arial" w:eastAsia="Arial" w:hAnsi="Arial"/>
          <w:sz w:val="18"/>
          <w:szCs w:val="18"/>
          <w:u w:val="single" w:color="auto"/>
          <w:color w:val="0000FF"/>
        </w:rPr>
        <w:t xml:space="preserve"> </w:t>
      </w:r>
      <w:hyperlink r:id="rId426">
        <w:r>
          <w:rPr>
            <w:rFonts w:ascii="Arial" w:cs="Arial" w:eastAsia="Arial" w:hAnsi="Arial"/>
            <w:sz w:val="18"/>
            <w:szCs w:val="18"/>
            <w:u w:val="single" w:color="auto"/>
            <w:color w:val="0000FF"/>
          </w:rPr>
          <w:t>National Association, as trustee (incorporated by reference to Exhibit 4.1 to AAG’s Current Report on Form 8-K filed on July 2,</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6">
        <w:r>
          <w:rPr>
            <w:rFonts w:ascii="Arial" w:cs="Arial" w:eastAsia="Arial" w:hAnsi="Arial"/>
            <w:sz w:val="18"/>
            <w:szCs w:val="18"/>
            <w:u w:val="single" w:color="auto"/>
            <w:color w:val="0000FF"/>
          </w:rPr>
          <w:t>2020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4.185</w:t>
      </w:r>
      <w:r>
        <w:rPr>
          <w:sz w:val="20"/>
          <w:szCs w:val="20"/>
          <w:color w:val="auto"/>
        </w:rPr>
        <w:tab/>
      </w:r>
      <w:hyperlink r:id="rId426">
        <w:r>
          <w:rPr>
            <w:rFonts w:ascii="Arial" w:cs="Arial" w:eastAsia="Arial" w:hAnsi="Arial"/>
            <w:sz w:val="18"/>
            <w:szCs w:val="18"/>
            <w:u w:val="single" w:color="auto"/>
            <w:color w:val="0000FF"/>
          </w:rPr>
          <w:t>Form of 11.75% Senior Notes due 2025 (incorporated by reference to Exhibit A to Exhibit 4.1 to AAG’s Current Report on Form 8-</w:t>
        </w:r>
      </w:hyperlink>
      <w:hyperlink r:id="rId426">
        <w:r>
          <w:rPr>
            <w:rFonts w:ascii="Arial" w:cs="Arial" w:eastAsia="Arial" w:hAnsi="Arial"/>
            <w:sz w:val="18"/>
            <w:szCs w:val="18"/>
            <w:u w:val="single" w:color="auto"/>
            <w:color w:val="0000FF"/>
          </w:rPr>
          <w:t>K filed on July 2, 2020 (Commission File Number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4.186</w:t>
      </w:r>
      <w:r>
        <w:rPr>
          <w:sz w:val="20"/>
          <w:szCs w:val="20"/>
          <w:color w:val="auto"/>
        </w:rPr>
        <w:tab/>
      </w:r>
      <w:hyperlink r:id="rId427">
        <w:r>
          <w:rPr>
            <w:rFonts w:ascii="Arial" w:cs="Arial" w:eastAsia="Arial" w:hAnsi="Arial"/>
            <w:sz w:val="18"/>
            <w:szCs w:val="18"/>
            <w:u w:val="single" w:color="auto"/>
            <w:color w:val="0000FF"/>
          </w:rPr>
          <w:t>Indenture (IP Notes), dated as of September 25, 2020, by and among American Airlines, Inc., American Airlines Group Inc. and</w:t>
        </w:r>
      </w:hyperlink>
      <w:r>
        <w:rPr>
          <w:rFonts w:ascii="Arial" w:cs="Arial" w:eastAsia="Arial" w:hAnsi="Arial"/>
          <w:sz w:val="18"/>
          <w:szCs w:val="18"/>
          <w:u w:val="single" w:color="auto"/>
          <w:color w:val="0000FF"/>
        </w:rPr>
        <w:t xml:space="preserve"> </w:t>
      </w:r>
      <w:hyperlink r:id="rId427">
        <w:r>
          <w:rPr>
            <w:rFonts w:ascii="Arial" w:cs="Arial" w:eastAsia="Arial" w:hAnsi="Arial"/>
            <w:sz w:val="18"/>
            <w:szCs w:val="18"/>
            <w:u w:val="single" w:color="auto"/>
            <w:color w:val="0000FF"/>
          </w:rPr>
          <w:t>Wilmington Trust, National Association, as trustee and as collateral trustee (incorporated by reference to Exhibit 4.1 to AAG’s</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27">
        <w:r>
          <w:rPr>
            <w:rFonts w:ascii="Arial" w:cs="Arial" w:eastAsia="Arial" w:hAnsi="Arial"/>
            <w:sz w:val="18"/>
            <w:szCs w:val="18"/>
            <w:u w:val="single" w:color="auto"/>
            <w:color w:val="0000FF"/>
          </w:rPr>
          <w:t>Quarterly Report on Form 10-Q for the quarter ended September 30,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4.187</w:t>
      </w:r>
      <w:r>
        <w:rPr>
          <w:sz w:val="20"/>
          <w:szCs w:val="20"/>
          <w:color w:val="auto"/>
        </w:rPr>
        <w:tab/>
      </w:r>
      <w:hyperlink r:id="rId427">
        <w:r>
          <w:rPr>
            <w:rFonts w:ascii="Arial" w:cs="Arial" w:eastAsia="Arial" w:hAnsi="Arial"/>
            <w:sz w:val="18"/>
            <w:szCs w:val="18"/>
            <w:u w:val="single" w:color="auto"/>
            <w:color w:val="0000FF"/>
          </w:rPr>
          <w:t>Form of 10.75%/12.00% PIK Senior Secured IP Notes due 2026 (incorporated by reference to Exhibit A to Exhibit 4.1 to AAG’s</w:t>
        </w:r>
      </w:hyperlink>
      <w:r>
        <w:rPr>
          <w:rFonts w:ascii="Arial" w:cs="Arial" w:eastAsia="Arial" w:hAnsi="Arial"/>
          <w:sz w:val="18"/>
          <w:szCs w:val="18"/>
          <w:u w:val="single" w:color="auto"/>
          <w:color w:val="0000FF"/>
        </w:rPr>
        <w:t xml:space="preserve"> </w:t>
      </w:r>
      <w:hyperlink r:id="rId427">
        <w:r>
          <w:rPr>
            <w:rFonts w:ascii="Arial" w:cs="Arial" w:eastAsia="Arial" w:hAnsi="Arial"/>
            <w:sz w:val="18"/>
            <w:szCs w:val="18"/>
            <w:u w:val="single" w:color="auto"/>
            <w:color w:val="0000FF"/>
          </w:rPr>
          <w:t>Quarterly Report on Form 10-Q for the quarter ended September 30, 2020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4.188</w:t>
      </w:r>
      <w:r>
        <w:rPr>
          <w:sz w:val="20"/>
          <w:szCs w:val="20"/>
          <w:color w:val="auto"/>
        </w:rPr>
        <w:tab/>
      </w:r>
      <w:hyperlink r:id="rId428">
        <w:r>
          <w:rPr>
            <w:rFonts w:ascii="Arial" w:cs="Arial" w:eastAsia="Arial" w:hAnsi="Arial"/>
            <w:sz w:val="18"/>
            <w:szCs w:val="18"/>
            <w:u w:val="single" w:color="auto"/>
            <w:color w:val="0000FF"/>
          </w:rPr>
          <w:t>Indenture (LGA/DCA Notes), dated as of September 25, 2020, by and among American Airlines, Inc., American Airlines Group</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Inc. and Wilmington Trust, National Association, as trustee and as collateral trustee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28">
        <w:r>
          <w:rPr>
            <w:rFonts w:ascii="Arial" w:cs="Arial" w:eastAsia="Arial" w:hAnsi="Arial"/>
            <w:sz w:val="18"/>
            <w:szCs w:val="18"/>
            <w:u w:val="single" w:color="auto"/>
            <w:color w:val="0000FF"/>
          </w:rPr>
          <w:t>AAG’s Quarterly Report on Form 10-Q for the quarter ended September 30,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4.189</w:t>
      </w:r>
      <w:r>
        <w:rPr>
          <w:sz w:val="20"/>
          <w:szCs w:val="20"/>
          <w:color w:val="auto"/>
        </w:rPr>
        <w:tab/>
      </w:r>
      <w:hyperlink r:id="rId428">
        <w:r>
          <w:rPr>
            <w:rFonts w:ascii="Arial" w:cs="Arial" w:eastAsia="Arial" w:hAnsi="Arial"/>
            <w:sz w:val="18"/>
            <w:szCs w:val="18"/>
            <w:u w:val="single" w:color="auto"/>
            <w:color w:val="0000FF"/>
          </w:rPr>
          <w:t>Form of 10.75%/12.00% PIK Senior Secured Notes due 2026 (incorporated by reference to Exhibit A to Exhibit 4.3 to AAG’s</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Quarterly Report on Form 10-Q for the quarter ended September 30, 2020 (Commission File No. 1-8400)).</w:t>
        </w:r>
      </w:hyperlink>
    </w:p>
    <w:p>
      <w:pPr>
        <w:spacing w:after="0" w:line="5" w:lineRule="exact"/>
        <w:rPr>
          <w:sz w:val="20"/>
          <w:szCs w:val="20"/>
          <w:color w:val="auto"/>
        </w:rPr>
      </w:pPr>
    </w:p>
    <w:p>
      <w:pPr>
        <w:jc w:val="both"/>
        <w:ind w:left="920" w:hanging="889"/>
        <w:spacing w:after="0" w:line="234"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4.190</w:t>
      </w:r>
      <w:r>
        <w:rPr>
          <w:sz w:val="20"/>
          <w:szCs w:val="20"/>
          <w:color w:val="auto"/>
        </w:rPr>
        <w:tab/>
      </w:r>
      <w:hyperlink r:id="rId429">
        <w:r>
          <w:rPr>
            <w:rFonts w:ascii="Arial" w:cs="Arial" w:eastAsia="Arial" w:hAnsi="Arial"/>
            <w:sz w:val="17"/>
            <w:szCs w:val="17"/>
            <w:u w:val="single" w:color="auto"/>
            <w:color w:val="0000FF"/>
          </w:rPr>
          <w:t>Warrant Agreement, dated as of April 20, 2020, between American Airlines Group, Inc. and the United States Department of the</w:t>
        </w:r>
      </w:hyperlink>
      <w:r>
        <w:rPr>
          <w:rFonts w:ascii="Arial" w:cs="Arial" w:eastAsia="Arial" w:hAnsi="Arial"/>
          <w:sz w:val="17"/>
          <w:szCs w:val="17"/>
          <w:u w:val="single" w:color="auto"/>
          <w:color w:val="0000FF"/>
        </w:rPr>
        <w:t xml:space="preserve"> </w:t>
      </w:r>
      <w:hyperlink r:id="rId429">
        <w:r>
          <w:rPr>
            <w:rFonts w:ascii="Arial" w:cs="Arial" w:eastAsia="Arial" w:hAnsi="Arial"/>
            <w:sz w:val="17"/>
            <w:szCs w:val="17"/>
            <w:u w:val="single" w:color="auto"/>
            <w:color w:val="0000FF"/>
          </w:rPr>
          <w:t>Treasury (incorporated by reference to Exhibit 4.3 to AAG’s Quarterly Report on Form 10-Q for the quarter ended March 31, 2020</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29">
        <w:r>
          <w:rPr>
            <w:rFonts w:ascii="Arial" w:cs="Arial" w:eastAsia="Arial" w:hAnsi="Arial"/>
            <w:sz w:val="18"/>
            <w:szCs w:val="18"/>
            <w:u w:val="single" w:color="auto"/>
            <w:color w:val="0000FF"/>
          </w:rPr>
          <w:t>(Commission File No. 1-8400)).</w:t>
        </w:r>
      </w:hyperlink>
    </w:p>
    <w:p>
      <w:pPr>
        <w:spacing w:after="0" w:line="14" w:lineRule="exact"/>
        <w:rPr>
          <w:sz w:val="20"/>
          <w:szCs w:val="20"/>
          <w:color w:val="auto"/>
        </w:rPr>
      </w:pPr>
    </w:p>
    <w:p>
      <w:pPr>
        <w:jc w:val="both"/>
        <w:ind w:left="920" w:right="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4.191</w:t>
      </w:r>
      <w:r>
        <w:rPr>
          <w:sz w:val="20"/>
          <w:szCs w:val="20"/>
          <w:color w:val="auto"/>
        </w:rPr>
        <w:tab/>
      </w:r>
      <w:hyperlink r:id="rId429">
        <w:r>
          <w:rPr>
            <w:rFonts w:ascii="Arial" w:cs="Arial" w:eastAsia="Arial" w:hAnsi="Arial"/>
            <w:sz w:val="18"/>
            <w:szCs w:val="18"/>
            <w:u w:val="single" w:color="auto"/>
            <w:color w:val="0000FF"/>
          </w:rPr>
          <w:t>Form of PSP1 Warrant (incorporated by reference to Annex B to Exhibit 4.3 to AAG’s Quarterly Report on Form 10-Q for the</w:t>
        </w:r>
      </w:hyperlink>
      <w:r>
        <w:rPr>
          <w:rFonts w:ascii="Arial" w:cs="Arial" w:eastAsia="Arial" w:hAnsi="Arial"/>
          <w:sz w:val="18"/>
          <w:szCs w:val="18"/>
          <w:u w:val="single" w:color="auto"/>
          <w:color w:val="0000FF"/>
        </w:rPr>
        <w:t xml:space="preserve"> </w:t>
      </w:r>
      <w:hyperlink r:id="rId429">
        <w:r>
          <w:rPr>
            <w:rFonts w:ascii="Arial" w:cs="Arial" w:eastAsia="Arial" w:hAnsi="Arial"/>
            <w:sz w:val="18"/>
            <w:szCs w:val="18"/>
            <w:u w:val="single" w:color="auto"/>
            <w:color w:val="0000FF"/>
          </w:rPr>
          <w:t>quarter ended March 31, 2020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4.192</w:t>
      </w:r>
      <w:r>
        <w:rPr>
          <w:sz w:val="20"/>
          <w:szCs w:val="20"/>
          <w:color w:val="auto"/>
        </w:rPr>
        <w:tab/>
      </w:r>
      <w:hyperlink r:id="rId430">
        <w:r>
          <w:rPr>
            <w:rFonts w:ascii="Arial" w:cs="Arial" w:eastAsia="Arial" w:hAnsi="Arial"/>
            <w:sz w:val="18"/>
            <w:szCs w:val="18"/>
            <w:u w:val="single" w:color="auto"/>
            <w:color w:val="0000FF"/>
          </w:rPr>
          <w:t>Warrant Agreement, dated as of September 25, 2020, between American Airlines Group, Inc. and the United States Department</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of the Treasury (incorporated by reference to Exhibit 4.5 to AAG’s Quarterly Report on Form 10-Q for the quarter ended</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30">
        <w:r>
          <w:rPr>
            <w:rFonts w:ascii="Arial" w:cs="Arial" w:eastAsia="Arial" w:hAnsi="Arial"/>
            <w:sz w:val="18"/>
            <w:szCs w:val="18"/>
            <w:u w:val="single" w:color="auto"/>
            <w:color w:val="0000FF"/>
          </w:rPr>
          <w:t>September 30, 2020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4.193</w:t>
      </w:r>
      <w:r>
        <w:rPr>
          <w:sz w:val="20"/>
          <w:szCs w:val="20"/>
          <w:color w:val="auto"/>
        </w:rPr>
        <w:tab/>
      </w:r>
      <w:hyperlink r:id="rId430">
        <w:r>
          <w:rPr>
            <w:rFonts w:ascii="Arial" w:cs="Arial" w:eastAsia="Arial" w:hAnsi="Arial"/>
            <w:sz w:val="18"/>
            <w:szCs w:val="18"/>
            <w:u w:val="single" w:color="auto"/>
            <w:color w:val="0000FF"/>
          </w:rPr>
          <w:t>Form of Treasury Loan Warrant (incorporated by reference to Annex B to Exhibit 4.5 to AAG’s Quarterly Report on Form 10-Q for</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the quarter ended September 30, 2020 (Commission File No. 1-8400)).</w:t>
        </w:r>
      </w:hyperlink>
    </w:p>
    <w:p>
      <w:pPr>
        <w:spacing w:after="0" w:line="5" w:lineRule="exact"/>
        <w:rPr>
          <w:sz w:val="20"/>
          <w:szCs w:val="20"/>
          <w:color w:val="auto"/>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4.194</w:t>
      </w:r>
      <w:r>
        <w:rPr>
          <w:sz w:val="20"/>
          <w:szCs w:val="20"/>
          <w:color w:val="auto"/>
        </w:rPr>
        <w:tab/>
      </w:r>
      <w:hyperlink r:id="rId431">
        <w:r>
          <w:rPr>
            <w:rFonts w:ascii="Arial" w:cs="Arial" w:eastAsia="Arial" w:hAnsi="Arial"/>
            <w:sz w:val="18"/>
            <w:szCs w:val="18"/>
            <w:u w:val="single" w:color="auto"/>
            <w:color w:val="0000FF"/>
          </w:rPr>
          <w:t>Warrant Agreement, dated as of January 15, 2021, between American Airlines Group, Inc. and the United States Department of</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the Treasury (incorporated by reference to Exhibit 4.182 to AAG’s Annual Report on Form 10-K for the year ended December 31,</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2020 (Commission File No. 1-8400)).</w:t>
        </w:r>
      </w:hyperlink>
    </w:p>
    <w:p>
      <w:pPr>
        <w:spacing w:after="0" w:line="9" w:lineRule="exact"/>
        <w:rPr>
          <w:rFonts w:ascii="Arial" w:cs="Arial" w:eastAsia="Arial" w:hAnsi="Arial"/>
          <w:sz w:val="18"/>
          <w:szCs w:val="18"/>
          <w:u w:val="single" w:color="auto"/>
          <w:color w:val="0000FF"/>
        </w:rPr>
      </w:pPr>
    </w:p>
    <w:p>
      <w:pPr>
        <w:ind w:left="20"/>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4.195</w:t>
      </w:r>
      <w:r>
        <w:rPr>
          <w:sz w:val="20"/>
          <w:szCs w:val="20"/>
          <w:color w:val="auto"/>
        </w:rPr>
        <w:tab/>
      </w:r>
      <w:hyperlink r:id="rId431">
        <w:r>
          <w:rPr>
            <w:rFonts w:ascii="Arial" w:cs="Arial" w:eastAsia="Arial" w:hAnsi="Arial"/>
            <w:sz w:val="17"/>
            <w:szCs w:val="17"/>
            <w:u w:val="single" w:color="auto"/>
            <w:color w:val="0000FF"/>
          </w:rPr>
          <w:t>Form of PSP2 Warrant (incorporated by reference to Annex B to Exhibit 4.182).</w:t>
        </w:r>
      </w:hyperlink>
    </w:p>
    <w:p>
      <w:pPr>
        <w:spacing w:after="0" w:line="32" w:lineRule="exact"/>
        <w:rPr>
          <w:rFonts w:ascii="Arial" w:cs="Arial" w:eastAsia="Arial" w:hAnsi="Arial"/>
          <w:sz w:val="18"/>
          <w:szCs w:val="18"/>
          <w:u w:val="single" w:color="auto"/>
          <w:color w:val="0000FF"/>
        </w:rPr>
      </w:pPr>
    </w:p>
    <w:p>
      <w:pPr>
        <w:jc w:val="both"/>
        <w:ind w:left="920" w:hanging="889"/>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4.196</w:t>
      </w:r>
      <w:r>
        <w:rPr>
          <w:sz w:val="20"/>
          <w:szCs w:val="20"/>
          <w:color w:val="auto"/>
        </w:rPr>
        <w:tab/>
      </w:r>
      <w:hyperlink r:id="rId432">
        <w:r>
          <w:rPr>
            <w:rFonts w:ascii="Arial" w:cs="Arial" w:eastAsia="Arial" w:hAnsi="Arial"/>
            <w:sz w:val="18"/>
            <w:szCs w:val="18"/>
            <w:u w:val="single" w:color="auto"/>
            <w:color w:val="0000FF"/>
          </w:rPr>
          <w:t>Warrant Agreement, dated as of April 23, 2021, between American Airlines Group Inc. and the United States Department of the</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Treasury (incorporated by reference to Exhibit 4.1 to AAG’s Quarterly Report on Form 10-Q for the quarter ended June 30, 2021</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(Commission File No. 1-8400)).</w:t>
        </w:r>
      </w:hyperlink>
    </w:p>
    <w:p>
      <w:pPr>
        <w:spacing w:after="0" w:line="12" w:lineRule="exact"/>
        <w:rPr>
          <w:rFonts w:ascii="Arial" w:cs="Arial" w:eastAsia="Arial" w:hAnsi="Arial"/>
          <w:sz w:val="18"/>
          <w:szCs w:val="18"/>
          <w:u w:val="single" w:color="auto"/>
          <w:color w:val="0000FF"/>
        </w:rPr>
      </w:pPr>
    </w:p>
    <w:p>
      <w:pPr>
        <w:jc w:val="both"/>
        <w:ind w:left="920" w:right="20" w:hanging="889"/>
        <w:spacing w:after="0" w:line="26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4.197</w:t>
      </w:r>
      <w:r>
        <w:rPr>
          <w:sz w:val="20"/>
          <w:szCs w:val="20"/>
          <w:color w:val="auto"/>
        </w:rPr>
        <w:tab/>
      </w:r>
      <w:hyperlink r:id="rId432">
        <w:r>
          <w:rPr>
            <w:rFonts w:ascii="Arial" w:cs="Arial" w:eastAsia="Arial" w:hAnsi="Arial"/>
            <w:sz w:val="18"/>
            <w:szCs w:val="18"/>
            <w:u w:val="single" w:color="auto"/>
            <w:color w:val="0000FF"/>
          </w:rPr>
          <w:t>Form of PSP3 Warrant (incorporated by reference to Annex B to Exhibit 4.1 to AAG’s Quarterly Report on Form 10-Q for the</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quarter ended June 30, 2021 (Commission File No. 1-8400)).</w:t>
        </w:r>
      </w:hyperlink>
    </w:p>
    <w:p>
      <w:pPr>
        <w:spacing w:after="0" w:line="1" w:lineRule="exact"/>
        <w:rPr>
          <w:sz w:val="20"/>
          <w:szCs w:val="20"/>
          <w:color w:val="auto"/>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4.198</w:t>
      </w:r>
      <w:r>
        <w:rPr>
          <w:sz w:val="20"/>
          <w:szCs w:val="20"/>
          <w:color w:val="auto"/>
        </w:rPr>
        <w:tab/>
      </w:r>
      <w:hyperlink r:id="rId433">
        <w:r>
          <w:rPr>
            <w:rFonts w:ascii="Arial" w:cs="Arial" w:eastAsia="Arial" w:hAnsi="Arial"/>
            <w:sz w:val="18"/>
            <w:szCs w:val="18"/>
            <w:u w:val="single" w:color="auto"/>
            <w:color w:val="0000FF"/>
          </w:rPr>
          <w:t>Indenture, dated as of March 24, 2021, by and among American Airlines, Inc., AAdvantage Loyalty IP Ltd., American Airlines</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Group Inc., AAdvantage Holdings 1, Ltd. and AAdvantage Holdings 2, Ltd. and Wilmington Trust, National Association, as trustee</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(incorporated by reference to Exhibit 4.3 to AAG’s Quarterly Report on Form 10-Q for the quarter ended March 31, 2021</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4.199</w:t>
      </w:r>
      <w:r>
        <w:rPr>
          <w:sz w:val="20"/>
          <w:szCs w:val="20"/>
          <w:color w:val="auto"/>
        </w:rPr>
        <w:tab/>
      </w:r>
      <w:hyperlink r:id="rId433">
        <w:r>
          <w:rPr>
            <w:rFonts w:ascii="Arial" w:cs="Arial" w:eastAsia="Arial" w:hAnsi="Arial"/>
            <w:sz w:val="18"/>
            <w:szCs w:val="18"/>
            <w:u w:val="single" w:color="auto"/>
            <w:color w:val="0000FF"/>
          </w:rPr>
          <w:t>Form of 5.50% Senior Secured Notes due 2026 (incorporated by reference as Exhibit A-1 to Exhibit 4.3 to AAG’s Quarterly</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Report on Form 10-Q for the quarter ended March 31, 2021 (Commission File No. 1-8400)).</w:t>
        </w:r>
      </w:hyperlink>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5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4.200</w:t>
      </w:r>
      <w:r>
        <w:rPr>
          <w:sz w:val="20"/>
          <w:szCs w:val="20"/>
          <w:color w:val="auto"/>
        </w:rPr>
        <w:tab/>
      </w:r>
      <w:hyperlink r:id="rId433">
        <w:r>
          <w:rPr>
            <w:rFonts w:ascii="Arial" w:cs="Arial" w:eastAsia="Arial" w:hAnsi="Arial"/>
            <w:sz w:val="18"/>
            <w:szCs w:val="18"/>
            <w:u w:val="single" w:color="auto"/>
            <w:color w:val="0000FF"/>
          </w:rPr>
          <w:t>Form of 5.75% Senior Secured Notes due 2029 (incorporated by reference as Exhibit A-2 to Exhibit 4.3 to AAG’s Quarterly</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Report on Form 10-Q for the quarter ended March 31, 2021 (Commission File No. 1-8400)).</w:t>
        </w:r>
      </w:hyperlink>
    </w:p>
    <w:p>
      <w:pPr>
        <w:spacing w:after="0" w:line="9"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4.201</w:t>
      </w:r>
      <w:r>
        <w:rPr>
          <w:sz w:val="20"/>
          <w:szCs w:val="20"/>
          <w:color w:val="auto"/>
        </w:rPr>
        <w:tab/>
      </w:r>
      <w:hyperlink r:id="rId435">
        <w:r>
          <w:rPr>
            <w:rFonts w:ascii="Arial" w:cs="Arial" w:eastAsia="Arial" w:hAnsi="Arial"/>
            <w:sz w:val="18"/>
            <w:szCs w:val="18"/>
            <w:u w:val="single" w:color="auto"/>
            <w:color w:val="0000FF"/>
          </w:rPr>
          <w:t>Indenture, dated as of February 15, 2023, by and among American Airlines, Inc., American Airlines Group Inc. and Wilmington</w:t>
        </w:r>
      </w:hyperlink>
      <w:r>
        <w:rPr>
          <w:rFonts w:ascii="Arial" w:cs="Arial" w:eastAsia="Arial" w:hAnsi="Arial"/>
          <w:sz w:val="18"/>
          <w:szCs w:val="18"/>
          <w:u w:val="single" w:color="auto"/>
          <w:color w:val="0000FF"/>
        </w:rPr>
        <w:t xml:space="preserve"> </w:t>
      </w:r>
      <w:hyperlink r:id="rId435">
        <w:r>
          <w:rPr>
            <w:rFonts w:ascii="Arial" w:cs="Arial" w:eastAsia="Arial" w:hAnsi="Arial"/>
            <w:sz w:val="18"/>
            <w:szCs w:val="18"/>
            <w:u w:val="single" w:color="auto"/>
            <w:color w:val="0000FF"/>
          </w:rPr>
          <w:t>Trust, National Association, as trustee and as collateral agent (incorporated by reference to Exhibit 4.1 to AAG’s Current Report</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35">
        <w:r>
          <w:rPr>
            <w:rFonts w:ascii="Arial" w:cs="Arial" w:eastAsia="Arial" w:hAnsi="Arial"/>
            <w:sz w:val="18"/>
            <w:szCs w:val="18"/>
            <w:u w:val="single" w:color="auto"/>
            <w:color w:val="0000FF"/>
          </w:rPr>
          <w:t>on Form 8-K filed on February 15, 2023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4.202</w:t>
      </w:r>
      <w:r>
        <w:rPr>
          <w:sz w:val="20"/>
          <w:szCs w:val="20"/>
          <w:color w:val="auto"/>
        </w:rPr>
        <w:tab/>
      </w:r>
      <w:hyperlink r:id="rId435">
        <w:r>
          <w:rPr>
            <w:rFonts w:ascii="Arial" w:cs="Arial" w:eastAsia="Arial" w:hAnsi="Arial"/>
            <w:sz w:val="18"/>
            <w:szCs w:val="18"/>
            <w:u w:val="single" w:color="auto"/>
            <w:color w:val="0000FF"/>
          </w:rPr>
          <w:t>Form of 7.25% Senior Secured Notes due 2028 (incorporated by reference to Exhibit A to Exhibit 4.1 of AAG’s Current Report on</w:t>
        </w:r>
      </w:hyperlink>
      <w:r>
        <w:rPr>
          <w:rFonts w:ascii="Arial" w:cs="Arial" w:eastAsia="Arial" w:hAnsi="Arial"/>
          <w:sz w:val="18"/>
          <w:szCs w:val="18"/>
          <w:u w:val="single" w:color="auto"/>
          <w:color w:val="0000FF"/>
        </w:rPr>
        <w:t xml:space="preserve"> </w:t>
      </w:r>
      <w:hyperlink r:id="rId435">
        <w:r>
          <w:rPr>
            <w:rFonts w:ascii="Arial" w:cs="Arial" w:eastAsia="Arial" w:hAnsi="Arial"/>
            <w:sz w:val="18"/>
            <w:szCs w:val="18"/>
            <w:u w:val="single" w:color="auto"/>
            <w:color w:val="0000FF"/>
          </w:rPr>
          <w:t>Form 8-K filed on February 15, 2023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4.203</w:t>
      </w:r>
      <w:r>
        <w:rPr>
          <w:sz w:val="20"/>
          <w:szCs w:val="20"/>
          <w:color w:val="auto"/>
        </w:rPr>
        <w:tab/>
      </w:r>
      <w:hyperlink r:id="rId436">
        <w:r>
          <w:rPr>
            <w:rFonts w:ascii="Arial" w:cs="Arial" w:eastAsia="Arial" w:hAnsi="Arial"/>
            <w:sz w:val="18"/>
            <w:szCs w:val="18"/>
            <w:u w:val="single" w:color="auto"/>
            <w:color w:val="0000FF"/>
          </w:rPr>
          <w:t>Indenture, dated as of December 4, 2023, by and among American Airlines, Inc., American Airlines Group Inc. and Wilmington</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Trust, National Association, as trustee and as collateral trustee (incorporated by reference to Exhibit 4.1 to AAG’s Current Report</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36">
        <w:r>
          <w:rPr>
            <w:rFonts w:ascii="Arial" w:cs="Arial" w:eastAsia="Arial" w:hAnsi="Arial"/>
            <w:sz w:val="18"/>
            <w:szCs w:val="18"/>
            <w:u w:val="single" w:color="auto"/>
            <w:color w:val="0000FF"/>
          </w:rPr>
          <w:t>on Form 8-K filed on December 4, 2023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4.204</w:t>
      </w:r>
      <w:r>
        <w:rPr>
          <w:sz w:val="20"/>
          <w:szCs w:val="20"/>
          <w:color w:val="auto"/>
        </w:rPr>
        <w:tab/>
      </w:r>
      <w:hyperlink r:id="rId436">
        <w:r>
          <w:rPr>
            <w:rFonts w:ascii="Arial" w:cs="Arial" w:eastAsia="Arial" w:hAnsi="Arial"/>
            <w:sz w:val="18"/>
            <w:szCs w:val="18"/>
            <w:u w:val="single" w:color="auto"/>
            <w:color w:val="0000FF"/>
          </w:rPr>
          <w:t>Form of 8.50% Senior Secured Notes due 2029 (incorporated by reference to Exhibit A to Exhibit 4.1 of AAG’s Current Report on</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Form 8-K filed on December 4, 2023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37">
        <w:r>
          <w:rPr>
            <w:rFonts w:ascii="Arial" w:cs="Arial" w:eastAsia="Arial" w:hAnsi="Arial"/>
            <w:sz w:val="18"/>
            <w:szCs w:val="18"/>
            <w:u w:val="single" w:color="auto"/>
            <w:color w:val="0000FF"/>
          </w:rPr>
          <w:t>Payroll Support Program Agreement, dated as of April 20, 2020, between American Airlines, Inc. and the United States</w:t>
        </w:r>
      </w:hyperlink>
      <w:r>
        <w:rPr>
          <w:rFonts w:ascii="Arial" w:cs="Arial" w:eastAsia="Arial" w:hAnsi="Arial"/>
          <w:sz w:val="18"/>
          <w:szCs w:val="18"/>
          <w:u w:val="single" w:color="auto"/>
          <w:color w:val="0000FF"/>
        </w:rPr>
        <w:t xml:space="preserve"> </w:t>
      </w:r>
      <w:hyperlink r:id="rId437">
        <w:r>
          <w:rPr>
            <w:rFonts w:ascii="Arial" w:cs="Arial" w:eastAsia="Arial" w:hAnsi="Arial"/>
            <w:sz w:val="18"/>
            <w:szCs w:val="18"/>
            <w:u w:val="single" w:color="auto"/>
            <w:color w:val="0000FF"/>
          </w:rPr>
          <w:t>Department of the Treasury (incorporated by reference to Exhibit 10.5 to AAG’s Quarterly Report on Form 10-Q for the quarter</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37">
        <w:r>
          <w:rPr>
            <w:rFonts w:ascii="Arial" w:cs="Arial" w:eastAsia="Arial" w:hAnsi="Arial"/>
            <w:sz w:val="18"/>
            <w:szCs w:val="18"/>
            <w:u w:val="single" w:color="auto"/>
            <w:color w:val="0000FF"/>
          </w:rPr>
          <w:t>ended March 31, 2020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38">
        <w:r>
          <w:rPr>
            <w:rFonts w:ascii="Arial" w:cs="Arial" w:eastAsia="Arial" w:hAnsi="Arial"/>
            <w:sz w:val="18"/>
            <w:szCs w:val="18"/>
            <w:u w:val="single" w:color="auto"/>
            <w:color w:val="0000FF"/>
          </w:rPr>
          <w:t>Promissory Note, dated as of April 20, 2020, issued by American Airlines Group Inc. in the name of the United States Department</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of the Treasury and guaranteed by American Airlines, Inc., Envoy Air Inc., Piedmont Airlines, Inc. and PSA Airlines, Inc.</w:t>
        </w:r>
      </w:hyperlink>
    </w:p>
    <w:p>
      <w:pPr>
        <w:ind w:left="920"/>
        <w:spacing w:after="0" w:line="229" w:lineRule="auto"/>
        <w:rPr>
          <w:rFonts w:ascii="Arial" w:cs="Arial" w:eastAsia="Arial" w:hAnsi="Arial"/>
          <w:sz w:val="18"/>
          <w:szCs w:val="18"/>
          <w:u w:val="single" w:color="auto"/>
          <w:color w:val="0000FF"/>
        </w:rPr>
      </w:pPr>
      <w:hyperlink r:id="rId438">
        <w:r>
          <w:rPr>
            <w:rFonts w:ascii="Arial" w:cs="Arial" w:eastAsia="Arial" w:hAnsi="Arial"/>
            <w:sz w:val="18"/>
            <w:szCs w:val="18"/>
            <w:u w:val="single" w:color="auto"/>
            <w:color w:val="0000FF"/>
          </w:rPr>
          <w:t>(incorporated by reference to Exhibit 10.6 to AAG’s Quarterly Report on Form 10-Q for the quarter ended March 31, 2020</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(Commission File No. 1-8400)).</w:t>
        </w:r>
      </w:hyperlink>
    </w:p>
    <w:p>
      <w:pPr>
        <w:spacing w:after="0" w:line="1" w:lineRule="exact"/>
        <w:rPr>
          <w:sz w:val="20"/>
          <w:szCs w:val="20"/>
          <w:color w:val="auto"/>
        </w:rPr>
      </w:pPr>
    </w:p>
    <w:p>
      <w:pPr>
        <w:jc w:val="both"/>
        <w:ind w:left="920" w:hanging="889"/>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39">
        <w:r>
          <w:rPr>
            <w:rFonts w:ascii="Arial" w:cs="Arial" w:eastAsia="Arial" w:hAnsi="Arial"/>
            <w:sz w:val="18"/>
            <w:szCs w:val="18"/>
            <w:u w:val="single" w:color="auto"/>
            <w:color w:val="0000FF"/>
          </w:rPr>
          <w:t>Payroll Support Program Extension Agreement, dated as of January 15, 2021, between American Airlines, Inc. and the United</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States Department of the Treasury (incorporated by reference to Exhibit 10.3 to AAG’s Annual Report on Form 10-K for the year</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ended December 31, 2020 (Commission File No. 1-8400)).</w:t>
        </w:r>
      </w:hyperlink>
    </w:p>
    <w:p>
      <w:pPr>
        <w:spacing w:after="0" w:line="12"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40">
        <w:r>
          <w:rPr>
            <w:rFonts w:ascii="Arial" w:cs="Arial" w:eastAsia="Arial" w:hAnsi="Arial"/>
            <w:sz w:val="18"/>
            <w:szCs w:val="18"/>
            <w:u w:val="single" w:color="auto"/>
            <w:color w:val="0000FF"/>
          </w:rPr>
          <w:t>Promissory Note, dated as of January 15, 2021, issued by American Airlines Group Inc. in the name of the United States</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Department of the Treasury and guaranteed by American Airlines, Inc., Envoy Air Inc., Piedmont Airlines, Inc. and PSA Airlines,</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Inc. (incorporated by reference to Exhibit 10.4 to AAG’s Annual Report on Form 10-K for the year ended December 31, 2020</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(Commission File No. 1-8400)).</w:t>
        </w:r>
      </w:hyperlink>
    </w:p>
    <w:p>
      <w:pPr>
        <w:spacing w:after="0" w:line="11"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441">
        <w:r>
          <w:rPr>
            <w:rFonts w:ascii="Arial" w:cs="Arial" w:eastAsia="Arial" w:hAnsi="Arial"/>
            <w:sz w:val="18"/>
            <w:szCs w:val="18"/>
            <w:u w:val="single" w:color="auto"/>
            <w:color w:val="0000FF"/>
          </w:rPr>
          <w:t>Amendment, dated as of June 30, 2022, to the Promissory Notes and the Warrants issued by American Airlines Group Inc. to the</w:t>
        </w:r>
      </w:hyperlink>
      <w:r>
        <w:rPr>
          <w:rFonts w:ascii="Arial" w:cs="Arial" w:eastAsia="Arial" w:hAnsi="Arial"/>
          <w:sz w:val="18"/>
          <w:szCs w:val="18"/>
          <w:u w:val="single" w:color="auto"/>
          <w:color w:val="0000FF"/>
        </w:rPr>
        <w:t xml:space="preserve"> </w:t>
      </w:r>
      <w:hyperlink r:id="rId441">
        <w:r>
          <w:rPr>
            <w:rFonts w:ascii="Arial" w:cs="Arial" w:eastAsia="Arial" w:hAnsi="Arial"/>
            <w:sz w:val="18"/>
            <w:szCs w:val="18"/>
            <w:u w:val="single" w:color="auto"/>
            <w:color w:val="0000FF"/>
          </w:rPr>
          <w:t>United States Department of the Treasury (incorporated by reference to Exhibit 10.3 to AAG’s Quarterly Report on Form 10-Q for</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41">
        <w:r>
          <w:rPr>
            <w:rFonts w:ascii="Arial" w:cs="Arial" w:eastAsia="Arial" w:hAnsi="Arial"/>
            <w:sz w:val="18"/>
            <w:szCs w:val="18"/>
            <w:u w:val="single" w:color="auto"/>
            <w:color w:val="0000FF"/>
          </w:rPr>
          <w:t>the quarter ended June 30, 2022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42">
        <w:r>
          <w:rPr>
            <w:rFonts w:ascii="Arial" w:cs="Arial" w:eastAsia="Arial" w:hAnsi="Arial"/>
            <w:sz w:val="18"/>
            <w:szCs w:val="18"/>
            <w:u w:val="single" w:color="auto"/>
            <w:color w:val="0000FF"/>
          </w:rPr>
          <w:t>Loan and Guarantee Agreement, dated as of September 25, 2020, among American Airlines, Inc., American Airlines Group Inc.,</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the other guarantors party thereto from time to time, the United States Department of the Treasury and the Bank of New York</w:t>
        </w:r>
      </w:hyperlink>
    </w:p>
    <w:p>
      <w:pPr>
        <w:ind w:left="920"/>
        <w:spacing w:after="0" w:line="229" w:lineRule="auto"/>
        <w:rPr>
          <w:rFonts w:ascii="Arial" w:cs="Arial" w:eastAsia="Arial" w:hAnsi="Arial"/>
          <w:sz w:val="18"/>
          <w:szCs w:val="18"/>
          <w:u w:val="single" w:color="auto"/>
          <w:color w:val="0000FF"/>
        </w:rPr>
      </w:pPr>
      <w:hyperlink r:id="rId442">
        <w:r>
          <w:rPr>
            <w:rFonts w:ascii="Arial" w:cs="Arial" w:eastAsia="Arial" w:hAnsi="Arial"/>
            <w:sz w:val="18"/>
            <w:szCs w:val="18"/>
            <w:u w:val="single" w:color="auto"/>
            <w:color w:val="0000FF"/>
          </w:rPr>
          <w:t>Mellon, as administrative and collateral agent (incorporated by reference to Exhibit 10.1 to AAG’s Quarterly Report on Form 10-Q</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for the quarter ended September 30, 2020 (Commission File No. 1-8400).</w:t>
        </w:r>
      </w:hyperlink>
    </w:p>
    <w:p>
      <w:pPr>
        <w:spacing w:after="0" w:line="1" w:lineRule="exact"/>
        <w:rPr>
          <w:sz w:val="20"/>
          <w:szCs w:val="20"/>
          <w:color w:val="auto"/>
        </w:rPr>
      </w:pPr>
    </w:p>
    <w:p>
      <w:pPr>
        <w:jc w:val="both"/>
        <w:ind w:left="920" w:hanging="889"/>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10.7</w:t>
      </w:r>
      <w:r>
        <w:rPr>
          <w:sz w:val="20"/>
          <w:szCs w:val="20"/>
          <w:color w:val="auto"/>
        </w:rPr>
        <w:tab/>
      </w:r>
      <w:hyperlink r:id="rId443">
        <w:r>
          <w:rPr>
            <w:rFonts w:ascii="Arial" w:cs="Arial" w:eastAsia="Arial" w:hAnsi="Arial"/>
            <w:sz w:val="18"/>
            <w:szCs w:val="18"/>
            <w:u w:val="single" w:color="auto"/>
            <w:color w:val="0000FF"/>
          </w:rPr>
          <w:t>Restatement Agreement, dated as of October 21, 2020, to Loan and Guarantee Agreement, dated as of September 25, 2020,</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among American Airlines, Inc., American Airlines Group Inc., the other guarantors party thereto from time to time, the United</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States Department of the Treasury and the Bank of New York Mellon, as administrative and collateral agent (incorporated by</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reference to Exhibit 10.6 to AAG’s Annual Report on Form 10-K for the year ended December 31, 2020 (Commission File No. 1-</w:t>
        </w:r>
      </w:hyperlink>
      <w:hyperlink r:id="rId443">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21"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44">
        <w:r>
          <w:rPr>
            <w:rFonts w:ascii="Arial" w:cs="Arial" w:eastAsia="Arial" w:hAnsi="Arial"/>
            <w:sz w:val="18"/>
            <w:szCs w:val="18"/>
            <w:u w:val="single" w:color="auto"/>
            <w:color w:val="0000FF"/>
          </w:rPr>
          <w:t>Letter Agreement, dated as of January 15, 2021, to Loan and Guarantee Agreement, dated as of September 25, 2020, among</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American Airlines, Inc., American Airlines Group Inc., the other guarantors party thereto from time to time, the United States</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Department of the Treasury and the Bank of New York Mellon, as administrative and collateral agent (incorporated by reference</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to Exhibit 10.7 to AAG’s Annual Report on Form 10-K for the year ended December 31, 2020 (Commission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45">
        <w:r>
          <w:rPr>
            <w:rFonts w:ascii="Arial" w:cs="Arial" w:eastAsia="Arial" w:hAnsi="Arial"/>
            <w:sz w:val="18"/>
            <w:szCs w:val="18"/>
            <w:u w:val="single" w:color="auto"/>
            <w:color w:val="0000FF"/>
          </w:rPr>
          <w:t>Amended and Restated Credit and Guaranty Agreement, dated as of December 15, 2016, amending the Loan Agreement, dated</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as of May 23, 2013, among American Airlines, Inc. (as successor in interest to US Airways, Inc., as borrower), as the borrower,</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45">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guarantor), the lenders from time to time party thereto, Citibank N.A., as administrative agent and collateral agent (as successor</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in interest to Citicorp North America Inc., as administrative agent and collateral agent), and certain other parties thereto.</w:t>
        </w:r>
      </w:hyperlink>
    </w:p>
    <w:p>
      <w:pPr>
        <w:spacing w:after="0" w:line="1" w:lineRule="exact"/>
        <w:rPr>
          <w:rFonts w:ascii="Arial" w:cs="Arial" w:eastAsia="Arial" w:hAnsi="Arial"/>
          <w:sz w:val="18"/>
          <w:szCs w:val="18"/>
          <w:u w:val="single" w:color="auto"/>
          <w:color w:val="0000FF"/>
        </w:rPr>
      </w:pPr>
    </w:p>
    <w:p>
      <w:pPr>
        <w:jc w:val="both"/>
        <w:ind w:left="920"/>
        <w:spacing w:after="0" w:line="229" w:lineRule="auto"/>
        <w:rPr>
          <w:rFonts w:ascii="Arial" w:cs="Arial" w:eastAsia="Arial" w:hAnsi="Arial"/>
          <w:sz w:val="18"/>
          <w:szCs w:val="18"/>
          <w:u w:val="single" w:color="auto"/>
          <w:color w:val="0000FF"/>
        </w:rPr>
      </w:pPr>
      <w:hyperlink r:id="rId445">
        <w:r>
          <w:rPr>
            <w:rFonts w:ascii="Arial" w:cs="Arial" w:eastAsia="Arial" w:hAnsi="Arial"/>
            <w:sz w:val="18"/>
            <w:szCs w:val="18"/>
            <w:u w:val="single" w:color="auto"/>
            <w:color w:val="0000FF"/>
          </w:rPr>
          <w:t>(incorporated by reference to Exhibit 10.1 to AAG’s Annual Report on Form 10-K for the year ended December 31, 2016</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(Commission File No. 1-8400)).</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447">
        <w:r>
          <w:rPr>
            <w:rFonts w:ascii="Arial" w:cs="Arial" w:eastAsia="Arial" w:hAnsi="Arial"/>
            <w:sz w:val="18"/>
            <w:szCs w:val="18"/>
            <w:u w:val="single" w:color="auto"/>
            <w:color w:val="0000FF"/>
          </w:rPr>
          <w:t>First Amendment to Amended and Restated Credit and Guaranty Agreement, dated as of November 14, 2017, amending the</w:t>
        </w:r>
      </w:hyperlink>
      <w:r>
        <w:rPr>
          <w:rFonts w:ascii="Arial" w:cs="Arial" w:eastAsia="Arial" w:hAnsi="Arial"/>
          <w:sz w:val="18"/>
          <w:szCs w:val="18"/>
          <w:color w:val="auto"/>
        </w:rPr>
        <w:t xml:space="preserve"> </w:t>
      </w:r>
      <w:hyperlink r:id="rId447">
        <w:r>
          <w:rPr>
            <w:rFonts w:ascii="Arial" w:cs="Arial" w:eastAsia="Arial" w:hAnsi="Arial"/>
            <w:sz w:val="18"/>
            <w:szCs w:val="18"/>
            <w:u w:val="single" w:color="auto"/>
            <w:color w:val="0000FF"/>
          </w:rPr>
          <w:t>Amended and Restated Credit and Guaranty Agreement, dated as of December 15, 2016, amending the Loan Agreement, dated</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47">
        <w:r>
          <w:rPr>
            <w:rFonts w:ascii="Arial" w:cs="Arial" w:eastAsia="Arial" w:hAnsi="Arial"/>
            <w:sz w:val="18"/>
            <w:szCs w:val="18"/>
            <w:u w:val="single" w:color="auto"/>
            <w:color w:val="0000FF"/>
          </w:rPr>
          <w:t>as of May 23, 2013, among American Airlines, Inc. (as successor in interest to US Airways, Inc., as borrower), as the borrower,</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guarantor), the lenders from time to time party thereto, Citibank N.A., as administrative agent and collateral agent (as successor</w:t>
        </w:r>
      </w:hyperlink>
    </w:p>
    <w:p>
      <w:pPr>
        <w:spacing w:after="0" w:line="1" w:lineRule="exact"/>
        <w:rPr>
          <w:rFonts w:ascii="Arial" w:cs="Arial" w:eastAsia="Arial" w:hAnsi="Arial"/>
          <w:sz w:val="18"/>
          <w:szCs w:val="18"/>
          <w:u w:val="single" w:color="auto"/>
          <w:color w:val="0000FF"/>
        </w:rPr>
      </w:pPr>
    </w:p>
    <w:p>
      <w:pPr>
        <w:jc w:val="both"/>
        <w:ind w:left="920"/>
        <w:spacing w:after="0" w:line="220" w:lineRule="auto"/>
        <w:rPr>
          <w:rFonts w:ascii="Arial" w:cs="Arial" w:eastAsia="Arial" w:hAnsi="Arial"/>
          <w:sz w:val="18"/>
          <w:szCs w:val="18"/>
          <w:u w:val="single" w:color="auto"/>
          <w:color w:val="0000FF"/>
        </w:rPr>
      </w:pPr>
      <w:hyperlink r:id="rId447">
        <w:r>
          <w:rPr>
            <w:rFonts w:ascii="Arial" w:cs="Arial" w:eastAsia="Arial" w:hAnsi="Arial"/>
            <w:sz w:val="18"/>
            <w:szCs w:val="18"/>
            <w:u w:val="single" w:color="auto"/>
            <w:color w:val="0000FF"/>
          </w:rPr>
          <w:t>in interest to Citicorp North America Inc., as administrative agent and collateral agent), and certain other parties thereto</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(incorporated by reference to Exhibit 10.2 to AAG’s Annual Report on Form 10-K for the year ended December 31, 2017</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448">
        <w:r>
          <w:rPr>
            <w:rFonts w:ascii="Arial" w:cs="Arial" w:eastAsia="Arial" w:hAnsi="Arial"/>
            <w:sz w:val="18"/>
            <w:szCs w:val="18"/>
            <w:u w:val="single" w:color="auto"/>
            <w:color w:val="0000FF"/>
          </w:rPr>
          <w:t>First Amendment and Restatement Agreement, dated as of April 20, 2015, in relation to the Credit and Guaranty Agreement,</w:t>
        </w:r>
      </w:hyperlink>
      <w:r>
        <w:rPr>
          <w:rFonts w:ascii="Arial" w:cs="Arial" w:eastAsia="Arial" w:hAnsi="Arial"/>
          <w:sz w:val="18"/>
          <w:szCs w:val="18"/>
          <w:color w:val="auto"/>
        </w:rPr>
        <w:t xml:space="preserve"> </w:t>
      </w:r>
      <w:hyperlink r:id="rId448">
        <w:r>
          <w:rPr>
            <w:rFonts w:ascii="Arial" w:cs="Arial" w:eastAsia="Arial" w:hAnsi="Arial"/>
            <w:sz w:val="18"/>
            <w:szCs w:val="18"/>
            <w:u w:val="single" w:color="auto"/>
            <w:color w:val="0000FF"/>
          </w:rPr>
          <w:t>dated as of October 10, 2014 (as amended), among American Airlines Group Inc. (as successor in interest to US Airways Group,</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48">
        <w:r>
          <w:rPr>
            <w:rFonts w:ascii="Arial" w:cs="Arial" w:eastAsia="Arial" w:hAnsi="Arial"/>
            <w:sz w:val="18"/>
            <w:szCs w:val="18"/>
            <w:u w:val="single" w:color="auto"/>
            <w:color w:val="0000FF"/>
          </w:rPr>
          <w:t>Inc.), American Airlines, Inc. (as successor in interest to US Airways, Inc.), the Revolving Lenders (as defined therein) party</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thereto, the 2015 Term Loan Lenders (as defined therein) party thereto and Citibank N.A., as administrative agent and collateral</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agent (incorporated by reference to Exhibit 10.4 to AAG’s Quarterly Report on Form 10-Q for the quarter ended June 30, 2015</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48">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449">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color w:val="auto"/>
        </w:rPr>
        <w:t xml:space="preserve"> </w:t>
      </w:r>
      <w:hyperlink r:id="rId449">
        <w:r>
          <w:rPr>
            <w:rFonts w:ascii="Arial" w:cs="Arial" w:eastAsia="Arial" w:hAnsi="Arial"/>
            <w:sz w:val="18"/>
            <w:szCs w:val="18"/>
            <w:u w:val="single" w:color="auto"/>
            <w:color w:val="0000FF"/>
          </w:rPr>
          <w:t>Amended and Restated Credit and Guaranty Agreement, dated as of April 20, 2015, among American Airlines, Inc. (as successor</w:t>
        </w:r>
      </w:hyperlink>
    </w:p>
    <w:p>
      <w:pPr>
        <w:jc w:val="both"/>
        <w:ind w:left="920"/>
        <w:spacing w:after="0" w:line="233" w:lineRule="auto"/>
        <w:rPr>
          <w:rFonts w:ascii="Arial" w:cs="Arial" w:eastAsia="Arial" w:hAnsi="Arial"/>
          <w:sz w:val="17"/>
          <w:szCs w:val="17"/>
          <w:u w:val="single" w:color="auto"/>
          <w:color w:val="0000FF"/>
        </w:rPr>
      </w:pPr>
      <w:hyperlink r:id="rId449">
        <w:r>
          <w:rPr>
            <w:rFonts w:ascii="Arial" w:cs="Arial" w:eastAsia="Arial" w:hAnsi="Arial"/>
            <w:sz w:val="17"/>
            <w:szCs w:val="17"/>
            <w:u w:val="single" w:color="auto"/>
            <w:color w:val="0000FF"/>
          </w:rPr>
          <w:t>in interest to US Airways, Inc.), American Airlines Group Inc. (as successor in interest to US Airways Group, Inc.), the lenders</w:t>
        </w:r>
      </w:hyperlink>
      <w:r>
        <w:rPr>
          <w:rFonts w:ascii="Arial" w:cs="Arial" w:eastAsia="Arial" w:hAnsi="Arial"/>
          <w:sz w:val="17"/>
          <w:szCs w:val="17"/>
          <w:u w:val="single" w:color="auto"/>
          <w:color w:val="0000FF"/>
        </w:rPr>
        <w:t xml:space="preserve"> </w:t>
      </w:r>
      <w:hyperlink r:id="rId449">
        <w:r>
          <w:rPr>
            <w:rFonts w:ascii="Arial" w:cs="Arial" w:eastAsia="Arial" w:hAnsi="Arial"/>
            <w:sz w:val="17"/>
            <w:szCs w:val="17"/>
            <w:u w:val="single" w:color="auto"/>
            <w:color w:val="0000FF"/>
          </w:rPr>
          <w:t>from time to time party thereto, Citibank N.A., as administrative agent, and certain other parties thereto (incorporated by reference</w:t>
        </w:r>
      </w:hyperlink>
      <w:r>
        <w:rPr>
          <w:rFonts w:ascii="Arial" w:cs="Arial" w:eastAsia="Arial" w:hAnsi="Arial"/>
          <w:sz w:val="17"/>
          <w:szCs w:val="17"/>
          <w:u w:val="single" w:color="auto"/>
          <w:color w:val="0000FF"/>
        </w:rPr>
        <w:t xml:space="preserve"> </w:t>
      </w:r>
      <w:hyperlink r:id="rId449">
        <w:r>
          <w:rPr>
            <w:rFonts w:ascii="Arial" w:cs="Arial" w:eastAsia="Arial" w:hAnsi="Arial"/>
            <w:sz w:val="17"/>
            <w:szCs w:val="17"/>
            <w:u w:val="single" w:color="auto"/>
            <w:color w:val="0000FF"/>
          </w:rPr>
          <w:t>to Exhibit 10.6 to AAG’s Annual Report on Form 10-K for the year ended December 31, 2015 (Commission File No. 1-8400)).</w:t>
        </w:r>
      </w:hyperlink>
    </w:p>
    <w:p>
      <w:pPr>
        <w:spacing w:after="0" w:line="6" w:lineRule="exact"/>
        <w:rPr>
          <w:rFonts w:ascii="Arial" w:cs="Arial" w:eastAsia="Arial" w:hAnsi="Arial"/>
          <w:sz w:val="17"/>
          <w:szCs w:val="17"/>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450">
        <w:r>
          <w:rPr>
            <w:rFonts w:ascii="Arial" w:cs="Arial" w:eastAsia="Arial" w:hAnsi="Arial"/>
            <w:sz w:val="18"/>
            <w:szCs w:val="18"/>
            <w:u w:val="single" w:color="auto"/>
            <w:color w:val="0000FF"/>
          </w:rPr>
          <w:t>Second Amendment to Amended and Restated Credit and Guaranty Agreement, dated as of September 22, 2016, amending the</w:t>
        </w:r>
      </w:hyperlink>
      <w:r>
        <w:rPr>
          <w:rFonts w:ascii="Arial" w:cs="Arial" w:eastAsia="Arial" w:hAnsi="Arial"/>
          <w:sz w:val="18"/>
          <w:szCs w:val="18"/>
          <w:color w:val="auto"/>
        </w:rPr>
        <w:t xml:space="preserve"> </w:t>
      </w:r>
      <w:hyperlink r:id="rId450">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50">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2016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451">
        <w:r>
          <w:rPr>
            <w:rFonts w:ascii="Arial" w:cs="Arial" w:eastAsia="Arial" w:hAnsi="Arial"/>
            <w:sz w:val="18"/>
            <w:szCs w:val="18"/>
            <w:u w:val="single" w:color="auto"/>
            <w:color w:val="0000FF"/>
          </w:rPr>
          <w:t>Letter Agreement No. AAL-LA-2100511, dated as of March 9, 2021, to Purchase Agreement No. 3219 by and between American</w:t>
        </w:r>
      </w:hyperlink>
      <w:r>
        <w:rPr>
          <w:rFonts w:ascii="Arial" w:cs="Arial" w:eastAsia="Arial" w:hAnsi="Arial"/>
          <w:sz w:val="18"/>
          <w:szCs w:val="18"/>
          <w:color w:val="auto"/>
        </w:rPr>
        <w:t xml:space="preserve"> </w:t>
      </w:r>
      <w:hyperlink r:id="rId451">
        <w:r>
          <w:rPr>
            <w:rFonts w:ascii="Arial" w:cs="Arial" w:eastAsia="Arial" w:hAnsi="Arial"/>
            <w:sz w:val="18"/>
            <w:szCs w:val="18"/>
            <w:u w:val="single" w:color="auto"/>
            <w:color w:val="0000FF"/>
          </w:rPr>
          <w:t>Airlines, Inc. and The Boeing Company (incorporated by reference to Exhibit 10.8 to AAG’s Quarterly Report on Form 10-Q for</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51">
        <w:r>
          <w:rPr>
            <w:rFonts w:ascii="Arial" w:cs="Arial" w:eastAsia="Arial" w:hAnsi="Arial"/>
            <w:sz w:val="18"/>
            <w:szCs w:val="18"/>
            <w:u w:val="single" w:color="auto"/>
            <w:color w:val="0000FF"/>
          </w:rPr>
          <w:t>the quarter ended March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452">
        <w:r>
          <w:rPr>
            <w:rFonts w:ascii="Arial" w:cs="Arial" w:eastAsia="Arial" w:hAnsi="Arial"/>
            <w:sz w:val="18"/>
            <w:szCs w:val="18"/>
            <w:u w:val="single" w:color="auto"/>
            <w:color w:val="0000FF"/>
          </w:rPr>
          <w:t>Amendment 1, dated as of March 25, 2021, to the Letter Agreement No. AAL-LA-2100511, dated as of March 9, 2021, to</w:t>
        </w:r>
      </w:hyperlink>
      <w:r>
        <w:rPr>
          <w:rFonts w:ascii="Arial" w:cs="Arial" w:eastAsia="Arial" w:hAnsi="Arial"/>
          <w:sz w:val="18"/>
          <w:szCs w:val="18"/>
          <w:color w:val="auto"/>
        </w:rPr>
        <w:t xml:space="preserve"> </w:t>
      </w:r>
      <w:hyperlink r:id="rId452">
        <w:r>
          <w:rPr>
            <w:rFonts w:ascii="Arial" w:cs="Arial" w:eastAsia="Arial" w:hAnsi="Arial"/>
            <w:sz w:val="18"/>
            <w:szCs w:val="18"/>
            <w:u w:val="single" w:color="auto"/>
            <w:color w:val="0000FF"/>
          </w:rPr>
          <w:t>Purchase Agreement No. 3219 by and between American Airlines, Inc. and The Boeing Company (incorporated by reference to</w:t>
        </w:r>
      </w:hyperlink>
    </w:p>
    <w:p>
      <w:pPr>
        <w:ind w:left="920"/>
        <w:spacing w:after="0"/>
        <w:rPr>
          <w:rFonts w:ascii="Arial" w:cs="Arial" w:eastAsia="Arial" w:hAnsi="Arial"/>
          <w:sz w:val="18"/>
          <w:szCs w:val="18"/>
          <w:color w:val="0000FF"/>
        </w:rPr>
      </w:pPr>
      <w:hyperlink r:id="rId452">
        <w:r>
          <w:rPr>
            <w:rFonts w:ascii="Arial" w:cs="Arial" w:eastAsia="Arial" w:hAnsi="Arial"/>
            <w:sz w:val="18"/>
            <w:szCs w:val="18"/>
            <w:u w:val="single" w:color="auto"/>
            <w:color w:val="0000FF"/>
          </w:rPr>
          <w:t>Exhibit 10.9 to AAG’s Quarterly Report on Form 10-Q for the quarter ended March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453">
        <w:r>
          <w:rPr>
            <w:rFonts w:ascii="Arial" w:cs="Arial" w:eastAsia="Arial" w:hAnsi="Arial"/>
            <w:sz w:val="18"/>
            <w:szCs w:val="18"/>
            <w:u w:val="single" w:color="auto"/>
            <w:color w:val="0000FF"/>
          </w:rPr>
          <w:t>Amendment 2, dated as of June 28, 2021, to the Letter Agreement No. AAL-LA-2100511, dated as of March 9, 2021, to Purchase</w:t>
        </w:r>
      </w:hyperlink>
      <w:r>
        <w:rPr>
          <w:rFonts w:ascii="Arial" w:cs="Arial" w:eastAsia="Arial" w:hAnsi="Arial"/>
          <w:sz w:val="18"/>
          <w:szCs w:val="18"/>
          <w:color w:val="auto"/>
        </w:rPr>
        <w:t xml:space="preserve"> </w:t>
      </w:r>
      <w:hyperlink r:id="rId453">
        <w:r>
          <w:rPr>
            <w:rFonts w:ascii="Arial" w:cs="Arial" w:eastAsia="Arial" w:hAnsi="Arial"/>
            <w:sz w:val="18"/>
            <w:szCs w:val="18"/>
            <w:u w:val="single" w:color="auto"/>
            <w:color w:val="0000FF"/>
          </w:rPr>
          <w:t>Agreement No. 3219 by and between American Airlines, Inc. and The Boeing Company (incorporated by reference to Exhibit 10.3</w:t>
        </w:r>
      </w:hyperlink>
    </w:p>
    <w:p>
      <w:pPr>
        <w:ind w:left="920"/>
        <w:spacing w:after="0"/>
        <w:rPr>
          <w:rFonts w:ascii="Arial" w:cs="Arial" w:eastAsia="Arial" w:hAnsi="Arial"/>
          <w:sz w:val="18"/>
          <w:szCs w:val="18"/>
          <w:color w:val="0000FF"/>
        </w:rPr>
      </w:pPr>
      <w:hyperlink r:id="rId453">
        <w:r>
          <w:rPr>
            <w:rFonts w:ascii="Arial" w:cs="Arial" w:eastAsia="Arial" w:hAnsi="Arial"/>
            <w:sz w:val="18"/>
            <w:szCs w:val="18"/>
            <w:u w:val="single" w:color="auto"/>
            <w:color w:val="0000FF"/>
          </w:rPr>
          <w:t>to AAG’s Quarterly Report on Form 10-Q for the quarter ended June 30,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454">
        <w:r>
          <w:rPr>
            <w:rFonts w:ascii="Arial" w:cs="Arial" w:eastAsia="Arial" w:hAnsi="Arial"/>
            <w:sz w:val="18"/>
            <w:szCs w:val="18"/>
            <w:u w:val="single" w:color="auto"/>
            <w:color w:val="0000FF"/>
          </w:rPr>
          <w:t>Amendment No. 3, dated as of September 24, 2021, to the Letter Agreement No. AAL-LA-2100511, dated as of March 9, 2021, to</w:t>
        </w:r>
      </w:hyperlink>
      <w:r>
        <w:rPr>
          <w:rFonts w:ascii="Arial" w:cs="Arial" w:eastAsia="Arial" w:hAnsi="Arial"/>
          <w:sz w:val="18"/>
          <w:szCs w:val="18"/>
          <w:color w:val="auto"/>
        </w:rPr>
        <w:t xml:space="preserve"> </w:t>
      </w:r>
      <w:hyperlink r:id="rId454">
        <w:r>
          <w:rPr>
            <w:rFonts w:ascii="Arial" w:cs="Arial" w:eastAsia="Arial" w:hAnsi="Arial"/>
            <w:sz w:val="18"/>
            <w:szCs w:val="18"/>
            <w:u w:val="single" w:color="auto"/>
            <w:color w:val="0000FF"/>
          </w:rPr>
          <w:t>Purchase Agreement No. 3219 by and between American Airlines, Inc. and The Boeing Company (incorporated by reference to</w:t>
        </w:r>
      </w:hyperlink>
    </w:p>
    <w:p>
      <w:pPr>
        <w:jc w:val="both"/>
        <w:ind w:left="920"/>
        <w:spacing w:after="0" w:line="229" w:lineRule="auto"/>
        <w:rPr>
          <w:rFonts w:ascii="Arial" w:cs="Arial" w:eastAsia="Arial" w:hAnsi="Arial"/>
          <w:sz w:val="18"/>
          <w:szCs w:val="18"/>
          <w:color w:val="0000FF"/>
        </w:rPr>
      </w:pPr>
      <w:hyperlink r:id="rId454">
        <w:r>
          <w:rPr>
            <w:rFonts w:ascii="Arial" w:cs="Arial" w:eastAsia="Arial" w:hAnsi="Arial"/>
            <w:sz w:val="18"/>
            <w:szCs w:val="18"/>
            <w:u w:val="single" w:color="auto"/>
            <w:color w:val="0000FF"/>
          </w:rPr>
          <w:t>Exhibit 10.1 to AAG’s Quarterly Report on Form 10-Q for the quarter ended September 30, 2021 (Commission File No. 1-</w:t>
        </w:r>
      </w:hyperlink>
      <w:hyperlink r:id="rId454">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455">
        <w:r>
          <w:rPr>
            <w:rFonts w:ascii="Arial" w:cs="Arial" w:eastAsia="Arial" w:hAnsi="Arial"/>
            <w:sz w:val="18"/>
            <w:szCs w:val="18"/>
            <w:u w:val="single" w:color="auto"/>
            <w:color w:val="0000FF"/>
          </w:rPr>
          <w:t>Letter Agreement No. AAL LA 2100530, dated as of March 9, 2021, to Purchase Agreement No. 3219 by and between American</w:t>
        </w:r>
      </w:hyperlink>
      <w:r>
        <w:rPr>
          <w:rFonts w:ascii="Arial" w:cs="Arial" w:eastAsia="Arial" w:hAnsi="Arial"/>
          <w:sz w:val="18"/>
          <w:szCs w:val="18"/>
          <w:color w:val="auto"/>
        </w:rPr>
        <w:t xml:space="preserve"> </w:t>
      </w:r>
      <w:hyperlink r:id="rId455">
        <w:r>
          <w:rPr>
            <w:rFonts w:ascii="Arial" w:cs="Arial" w:eastAsia="Arial" w:hAnsi="Arial"/>
            <w:sz w:val="18"/>
            <w:szCs w:val="18"/>
            <w:u w:val="single" w:color="auto"/>
            <w:color w:val="0000FF"/>
          </w:rPr>
          <w:t>Airlines, Inc. and The Boeing Company (incorporated by reference to Exhibit 10.10 to AAG’s Quarterly Report on Form 10-Q for</w:t>
        </w:r>
      </w:hyperlink>
    </w:p>
    <w:p>
      <w:pPr>
        <w:ind w:left="920"/>
        <w:spacing w:after="0"/>
        <w:rPr>
          <w:rFonts w:ascii="Arial" w:cs="Arial" w:eastAsia="Arial" w:hAnsi="Arial"/>
          <w:sz w:val="18"/>
          <w:szCs w:val="18"/>
          <w:color w:val="0000FF"/>
        </w:rPr>
      </w:pPr>
      <w:hyperlink r:id="rId455">
        <w:r>
          <w:rPr>
            <w:rFonts w:ascii="Arial" w:cs="Arial" w:eastAsia="Arial" w:hAnsi="Arial"/>
            <w:sz w:val="18"/>
            <w:szCs w:val="18"/>
            <w:u w:val="single" w:color="auto"/>
            <w:color w:val="0000FF"/>
          </w:rPr>
          <w:t>the quarter ended March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456">
        <w:r>
          <w:rPr>
            <w:rFonts w:ascii="Arial" w:cs="Arial" w:eastAsia="Arial" w:hAnsi="Arial"/>
            <w:sz w:val="18"/>
            <w:szCs w:val="18"/>
            <w:u w:val="single" w:color="auto"/>
            <w:color w:val="0000FF"/>
          </w:rPr>
          <w:t>Amendment No. 4, dated as of December 15, 2021, to the Letter Agreement No. AAL-LA-2100511, dated as of March 9, 2021, to</w:t>
        </w:r>
      </w:hyperlink>
      <w:r>
        <w:rPr>
          <w:rFonts w:ascii="Arial" w:cs="Arial" w:eastAsia="Arial" w:hAnsi="Arial"/>
          <w:sz w:val="18"/>
          <w:szCs w:val="18"/>
          <w:color w:val="auto"/>
        </w:rPr>
        <w:t xml:space="preserve"> </w:t>
      </w:r>
      <w:hyperlink r:id="rId456">
        <w:r>
          <w:rPr>
            <w:rFonts w:ascii="Arial" w:cs="Arial" w:eastAsia="Arial" w:hAnsi="Arial"/>
            <w:sz w:val="18"/>
            <w:szCs w:val="18"/>
            <w:u w:val="single" w:color="auto"/>
            <w:color w:val="0000FF"/>
          </w:rPr>
          <w:t>Purchase Agreement No. 3219 by and between American Airlines, Inc. and The Boeing Company (incorporated by reference to</w:t>
        </w:r>
      </w:hyperlink>
    </w:p>
    <w:p>
      <w:pPr>
        <w:ind w:left="920"/>
        <w:spacing w:after="0"/>
        <w:rPr>
          <w:rFonts w:ascii="Arial" w:cs="Arial" w:eastAsia="Arial" w:hAnsi="Arial"/>
          <w:sz w:val="18"/>
          <w:szCs w:val="18"/>
          <w:color w:val="0000FF"/>
        </w:rPr>
      </w:pPr>
      <w:hyperlink r:id="rId456">
        <w:r>
          <w:rPr>
            <w:rFonts w:ascii="Arial" w:cs="Arial" w:eastAsia="Arial" w:hAnsi="Arial"/>
            <w:sz w:val="18"/>
            <w:szCs w:val="18"/>
            <w:u w:val="single" w:color="auto"/>
            <w:color w:val="0000FF"/>
          </w:rPr>
          <w:t>Exhibit 10.19 to AAG’s Annual Report on Form 10-K for the year ended December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457">
        <w:r>
          <w:rPr>
            <w:rFonts w:ascii="Arial" w:cs="Arial" w:eastAsia="Arial" w:hAnsi="Arial"/>
            <w:sz w:val="18"/>
            <w:szCs w:val="18"/>
            <w:u w:val="single" w:color="auto"/>
            <w:color w:val="0000FF"/>
          </w:rPr>
          <w:t>Letter Agreement, dated as of January 19, 2023, to Purchase Agreement No. 3219 dated as of October 15, 2008, by and</w:t>
        </w:r>
      </w:hyperlink>
      <w:r>
        <w:rPr>
          <w:rFonts w:ascii="Arial" w:cs="Arial" w:eastAsia="Arial" w:hAnsi="Arial"/>
          <w:sz w:val="18"/>
          <w:szCs w:val="18"/>
          <w:color w:val="auto"/>
        </w:rPr>
        <w:t xml:space="preserve"> </w:t>
      </w:r>
      <w:hyperlink r:id="rId457">
        <w:r>
          <w:rPr>
            <w:rFonts w:ascii="Arial" w:cs="Arial" w:eastAsia="Arial" w:hAnsi="Arial"/>
            <w:sz w:val="18"/>
            <w:szCs w:val="18"/>
            <w:u w:val="single" w:color="auto"/>
            <w:color w:val="0000FF"/>
          </w:rPr>
          <w:t>between American Airlines, Inc. and The Boeing Company (incorporated by reference to Exhibit 10.1 to AAG’s Quarterly Report</w:t>
        </w:r>
      </w:hyperlink>
    </w:p>
    <w:p>
      <w:pPr>
        <w:ind w:left="920"/>
        <w:spacing w:after="0"/>
        <w:rPr>
          <w:rFonts w:ascii="Arial" w:cs="Arial" w:eastAsia="Arial" w:hAnsi="Arial"/>
          <w:sz w:val="18"/>
          <w:szCs w:val="18"/>
          <w:u w:val="single" w:color="auto"/>
          <w:color w:val="0000FF"/>
        </w:rPr>
      </w:pPr>
      <w:hyperlink r:id="rId457">
        <w:r>
          <w:rPr>
            <w:rFonts w:ascii="Arial" w:cs="Arial" w:eastAsia="Arial" w:hAnsi="Arial"/>
            <w:sz w:val="18"/>
            <w:szCs w:val="18"/>
            <w:u w:val="single" w:color="auto"/>
            <w:color w:val="0000FF"/>
          </w:rPr>
          <w:t>on Form 10-Q for the quarter ended March 31, 2023 (Commission File No. 1-8400)).**</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458">
        <w:r>
          <w:rPr>
            <w:rFonts w:ascii="Arial" w:cs="Arial" w:eastAsia="Arial" w:hAnsi="Arial"/>
            <w:sz w:val="18"/>
            <w:szCs w:val="18"/>
            <w:u w:val="single" w:color="auto"/>
            <w:color w:val="0000FF"/>
          </w:rPr>
          <w:t>Third Amendment to the Amended and Restated Credit and Guaranty Agreement, dated as of June 14, 2017, amending the</w:t>
        </w:r>
      </w:hyperlink>
      <w:r>
        <w:rPr>
          <w:rFonts w:ascii="Arial" w:cs="Arial" w:eastAsia="Arial" w:hAnsi="Arial"/>
          <w:sz w:val="18"/>
          <w:szCs w:val="18"/>
          <w:color w:val="auto"/>
        </w:rPr>
        <w:t xml:space="preserve"> </w:t>
      </w:r>
      <w:hyperlink r:id="rId458">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jc w:val="both"/>
        <w:ind w:left="920"/>
        <w:spacing w:after="0" w:line="220" w:lineRule="auto"/>
        <w:rPr>
          <w:rFonts w:ascii="Arial" w:cs="Arial" w:eastAsia="Arial" w:hAnsi="Arial"/>
          <w:sz w:val="18"/>
          <w:szCs w:val="18"/>
          <w:u w:val="single" w:color="auto"/>
          <w:color w:val="0000FF"/>
        </w:rPr>
      </w:pPr>
      <w:hyperlink r:id="rId458">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thereto (incorporated by reference to Exhibit 10.2 to AAG’s Quarterly Report on Form 10-Q for the quarter ended June 30, 2017</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(Commission File No. 1-8400)).</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460">
        <w:r>
          <w:rPr>
            <w:rFonts w:ascii="Arial" w:cs="Arial" w:eastAsia="Arial" w:hAnsi="Arial"/>
            <w:sz w:val="18"/>
            <w:szCs w:val="18"/>
            <w:u w:val="single" w:color="auto"/>
            <w:color w:val="0000FF"/>
          </w:rPr>
          <w:t>Fourth Amendment to the Amended and Restated Credit and Guaranty Agreement, dated as of August 21, 2017, amending the</w:t>
        </w:r>
      </w:hyperlink>
      <w:r>
        <w:rPr>
          <w:rFonts w:ascii="Arial" w:cs="Arial" w:eastAsia="Arial" w:hAnsi="Arial"/>
          <w:sz w:val="18"/>
          <w:szCs w:val="18"/>
          <w:color w:val="auto"/>
        </w:rPr>
        <w:t xml:space="preserve"> </w:t>
      </w:r>
      <w:hyperlink r:id="rId460">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color w:val="0000FF"/>
        </w:rPr>
      </w:pPr>
      <w:hyperlink r:id="rId460">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thereto (incorporated by reference to Exhibit 10.1 to AAG’s Quarterly Report on Form 10-Q for the quarter ended March 31, 2018</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461">
        <w:r>
          <w:rPr>
            <w:rFonts w:ascii="Arial" w:cs="Arial" w:eastAsia="Arial" w:hAnsi="Arial"/>
            <w:sz w:val="18"/>
            <w:szCs w:val="18"/>
            <w:u w:val="single" w:color="auto"/>
            <w:color w:val="0000FF"/>
          </w:rPr>
          <w:t>Fifth Amendment to the Amended and Restated Credit and Guaranty Agreement, dated as of September 17, 2018, amending the</w:t>
        </w:r>
      </w:hyperlink>
      <w:r>
        <w:rPr>
          <w:rFonts w:ascii="Arial" w:cs="Arial" w:eastAsia="Arial" w:hAnsi="Arial"/>
          <w:sz w:val="18"/>
          <w:szCs w:val="18"/>
          <w:color w:val="auto"/>
        </w:rPr>
        <w:t xml:space="preserve"> </w:t>
      </w:r>
      <w:hyperlink r:id="rId461">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61">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2018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462">
        <w:r>
          <w:rPr>
            <w:rFonts w:ascii="Arial" w:cs="Arial" w:eastAsia="Arial" w:hAnsi="Arial"/>
            <w:sz w:val="18"/>
            <w:szCs w:val="18"/>
            <w:u w:val="single" w:color="auto"/>
            <w:color w:val="0000FF"/>
          </w:rPr>
          <w:t>Sixth Amendment to the Amended and Restated Credit and Guaranty Agreement, dated as of December 10, 2018, amending the</w:t>
        </w:r>
      </w:hyperlink>
      <w:r>
        <w:rPr>
          <w:rFonts w:ascii="Arial" w:cs="Arial" w:eastAsia="Arial" w:hAnsi="Arial"/>
          <w:sz w:val="18"/>
          <w:szCs w:val="18"/>
          <w:color w:val="auto"/>
        </w:rPr>
        <w:t xml:space="preserve"> </w:t>
      </w:r>
      <w:hyperlink r:id="rId462">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62">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62">
        <w:r>
          <w:rPr>
            <w:rFonts w:ascii="Arial" w:cs="Arial" w:eastAsia="Arial" w:hAnsi="Arial"/>
            <w:sz w:val="18"/>
            <w:szCs w:val="18"/>
            <w:u w:val="single" w:color="auto"/>
            <w:color w:val="0000FF"/>
          </w:rPr>
          <w:t>thereto (incorporated by reference to Exhibit 10.24 to AAG’s Annual Report on Form 10-K for the year ended December 31, 2023</w:t>
        </w:r>
      </w:hyperlink>
      <w:r>
        <w:rPr>
          <w:rFonts w:ascii="Arial" w:cs="Arial" w:eastAsia="Arial" w:hAnsi="Arial"/>
          <w:sz w:val="18"/>
          <w:szCs w:val="18"/>
          <w:u w:val="single" w:color="auto"/>
          <w:color w:val="0000FF"/>
        </w:rPr>
        <w:t xml:space="preserve"> </w:t>
      </w:r>
      <w:hyperlink r:id="rId462">
        <w:r>
          <w:rPr>
            <w:rFonts w:ascii="Arial" w:cs="Arial" w:eastAsia="Arial" w:hAnsi="Arial"/>
            <w:sz w:val="18"/>
            <w:szCs w:val="18"/>
            <w:u w:val="single" w:color="auto"/>
            <w:color w:val="0000FF"/>
          </w:rPr>
          <w:t>(Commission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463">
        <w:r>
          <w:rPr>
            <w:rFonts w:ascii="Arial" w:cs="Arial" w:eastAsia="Arial" w:hAnsi="Arial"/>
            <w:sz w:val="18"/>
            <w:szCs w:val="18"/>
            <w:u w:val="single" w:color="auto"/>
            <w:color w:val="0000FF"/>
          </w:rPr>
          <w:t>Seventh Amendment to the Amended and Restated Credit and Guaranty Agreement, dated as of November 8, 2019, amending</w:t>
        </w:r>
      </w:hyperlink>
      <w:r>
        <w:rPr>
          <w:rFonts w:ascii="Arial" w:cs="Arial" w:eastAsia="Arial" w:hAnsi="Arial"/>
          <w:sz w:val="18"/>
          <w:szCs w:val="18"/>
          <w:color w:val="auto"/>
        </w:rPr>
        <w:t xml:space="preserve"> </w:t>
      </w:r>
      <w:hyperlink r:id="rId463">
        <w:r>
          <w:rPr>
            <w:rFonts w:ascii="Arial" w:cs="Arial" w:eastAsia="Arial" w:hAnsi="Arial"/>
            <w:sz w:val="18"/>
            <w:szCs w:val="18"/>
            <w:u w:val="single" w:color="auto"/>
            <w:color w:val="0000FF"/>
          </w:rPr>
          <w:t>the 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color w:val="0000FF"/>
        </w:rPr>
      </w:pPr>
      <w:hyperlink r:id="rId463">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63">
        <w:r>
          <w:rPr>
            <w:rFonts w:ascii="Arial" w:cs="Arial" w:eastAsia="Arial" w:hAnsi="Arial"/>
            <w:sz w:val="18"/>
            <w:szCs w:val="18"/>
            <w:u w:val="single" w:color="auto"/>
            <w:color w:val="0000FF"/>
          </w:rPr>
          <w:t>thereto (incorporated by reference to Exhibit 10.10 to AAG’s Annual Report on Form 10-K for the year ended December 31, 2019</w:t>
        </w:r>
      </w:hyperlink>
      <w:r>
        <w:rPr>
          <w:rFonts w:ascii="Arial" w:cs="Arial" w:eastAsia="Arial" w:hAnsi="Arial"/>
          <w:sz w:val="18"/>
          <w:szCs w:val="18"/>
          <w:u w:val="single" w:color="auto"/>
          <w:color w:val="0000FF"/>
        </w:rPr>
        <w:t xml:space="preserve"> </w:t>
      </w:r>
      <w:hyperlink r:id="rId463">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464">
        <w:r>
          <w:rPr>
            <w:rFonts w:ascii="Arial" w:cs="Arial" w:eastAsia="Arial" w:hAnsi="Arial"/>
            <w:sz w:val="18"/>
            <w:szCs w:val="18"/>
            <w:u w:val="single" w:color="auto"/>
            <w:color w:val="0000FF"/>
          </w:rPr>
          <w:t>Eighth Amendment to the Amended and Restated Credit and Guaranty Agreement, dated as of January 29, 2020, amending the</w:t>
        </w:r>
      </w:hyperlink>
      <w:r>
        <w:rPr>
          <w:rFonts w:ascii="Arial" w:cs="Arial" w:eastAsia="Arial" w:hAnsi="Arial"/>
          <w:sz w:val="18"/>
          <w:szCs w:val="18"/>
          <w:color w:val="auto"/>
        </w:rPr>
        <w:t xml:space="preserve"> </w:t>
      </w:r>
      <w:hyperlink r:id="rId464">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64">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thereto (incorporated by reference to Exhibit 10.3 to AAG’s quarterly Report on Form 10-Q for the quarter ended March 31, 2020</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465">
        <w:r>
          <w:rPr>
            <w:rFonts w:ascii="Arial" w:cs="Arial" w:eastAsia="Arial" w:hAnsi="Arial"/>
            <w:sz w:val="18"/>
            <w:szCs w:val="18"/>
            <w:u w:val="single" w:color="auto"/>
            <w:color w:val="0000FF"/>
          </w:rPr>
          <w:t>Ninth Amendment to the Amended and Restated Credit and Guaranty Agreement, dated as of March 13, 2023, amending the</w:t>
        </w:r>
      </w:hyperlink>
      <w:r>
        <w:rPr>
          <w:rFonts w:ascii="Arial" w:cs="Arial" w:eastAsia="Arial" w:hAnsi="Arial"/>
          <w:sz w:val="18"/>
          <w:szCs w:val="18"/>
          <w:color w:val="auto"/>
        </w:rPr>
        <w:t xml:space="preserve"> </w:t>
      </w:r>
      <w:hyperlink r:id="rId465">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65">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65">
        <w:r>
          <w:rPr>
            <w:rFonts w:ascii="Arial" w:cs="Arial" w:eastAsia="Arial" w:hAnsi="Arial"/>
            <w:sz w:val="18"/>
            <w:szCs w:val="18"/>
            <w:u w:val="single" w:color="auto"/>
            <w:color w:val="0000FF"/>
          </w:rPr>
          <w:t>thereto (incorporated by reference to Exhibit 10.4 to AAG’s quarterly Report on Form 10-Q for the quarter ended September 30,</w:t>
        </w:r>
      </w:hyperlink>
      <w:r>
        <w:rPr>
          <w:rFonts w:ascii="Arial" w:cs="Arial" w:eastAsia="Arial" w:hAnsi="Arial"/>
          <w:sz w:val="18"/>
          <w:szCs w:val="18"/>
          <w:u w:val="single" w:color="auto"/>
          <w:color w:val="0000FF"/>
        </w:rPr>
        <w:t xml:space="preserve"> </w:t>
      </w:r>
      <w:hyperlink r:id="rId465">
        <w:r>
          <w:rPr>
            <w:rFonts w:ascii="Arial" w:cs="Arial" w:eastAsia="Arial" w:hAnsi="Arial"/>
            <w:sz w:val="18"/>
            <w:szCs w:val="18"/>
            <w:u w:val="single" w:color="auto"/>
            <w:color w:val="0000FF"/>
          </w:rPr>
          <w:t>2024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466">
        <w:r>
          <w:rPr>
            <w:rFonts w:ascii="Arial" w:cs="Arial" w:eastAsia="Arial" w:hAnsi="Arial"/>
            <w:sz w:val="18"/>
            <w:szCs w:val="18"/>
            <w:u w:val="single" w:color="auto"/>
            <w:color w:val="0000FF"/>
          </w:rPr>
          <w:t>Tenth Amendment to the Amended and Restated Credit and Guaranty Agreement, dated as of June 4, 2024, amending the</w:t>
        </w:r>
      </w:hyperlink>
      <w:r>
        <w:rPr>
          <w:rFonts w:ascii="Arial" w:cs="Arial" w:eastAsia="Arial" w:hAnsi="Arial"/>
          <w:sz w:val="18"/>
          <w:szCs w:val="18"/>
          <w:color w:val="auto"/>
        </w:rPr>
        <w:t xml:space="preserve"> </w:t>
      </w:r>
      <w:hyperlink r:id="rId466">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66">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thereto (incorporated by reference to Exhibit 10.2 to AAG’s quarterly Report on Form 10-Q for the quarter ended June 30, 2024</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10.29     </w:t>
      </w:r>
      <w:hyperlink r:id="rId467">
        <w:r>
          <w:rPr>
            <w:rFonts w:ascii="Arial" w:cs="Arial" w:eastAsia="Arial" w:hAnsi="Arial"/>
            <w:sz w:val="18"/>
            <w:szCs w:val="18"/>
            <w:u w:val="single" w:color="auto"/>
            <w:color w:val="0000FF"/>
          </w:rPr>
          <w:t>First Amendment and Restatement Agreement, dated as of May 21, 2015, in relation to the Credit and Guaranty Agreement,</w:t>
        </w:r>
      </w:hyperlink>
      <w:r>
        <w:rPr>
          <w:rFonts w:ascii="Arial" w:cs="Arial" w:eastAsia="Arial" w:hAnsi="Arial"/>
          <w:sz w:val="18"/>
          <w:szCs w:val="18"/>
          <w:color w:val="auto"/>
        </w:rPr>
        <w:t xml:space="preserve"> </w:t>
      </w:r>
      <w:hyperlink r:id="rId467">
        <w:r>
          <w:rPr>
            <w:rFonts w:ascii="Arial" w:cs="Arial" w:eastAsia="Arial" w:hAnsi="Arial"/>
            <w:sz w:val="18"/>
            <w:szCs w:val="18"/>
            <w:u w:val="single" w:color="auto"/>
            <w:color w:val="0000FF"/>
          </w:rPr>
          <w:t>dated as of June 27, 2013 (as amended), among American Airlines Group Inc. (as successor in interest to US Airways Group,</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67">
        <w:r>
          <w:rPr>
            <w:rFonts w:ascii="Arial" w:cs="Arial" w:eastAsia="Arial" w:hAnsi="Arial"/>
            <w:sz w:val="18"/>
            <w:szCs w:val="18"/>
            <w:u w:val="single" w:color="auto"/>
            <w:color w:val="0000FF"/>
          </w:rPr>
          <w:t>Inc.), American Airlines, Inc. (as successor in interest to US Airways, Inc.), the Revolving Lenders (as defined therein) party</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thereto, the 2015 Term Loan Lenders (as defined therein) party thereto and Deutsche Bank AG New York Branch, as</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administrative agent and collateral agent (incorporated by reference to Exhibit 10.5 to AAG’s Quarterly Report on Form 10-Q for</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67">
        <w:r>
          <w:rPr>
            <w:rFonts w:ascii="Arial" w:cs="Arial" w:eastAsia="Arial" w:hAnsi="Arial"/>
            <w:sz w:val="18"/>
            <w:szCs w:val="18"/>
            <w:u w:val="single" w:color="auto"/>
            <w:color w:val="0000FF"/>
          </w:rPr>
          <w:t>the quarter ended June 30, 2015 (Commission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468">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color w:val="auto"/>
        </w:rPr>
        <w:t xml:space="preserve"> </w:t>
      </w:r>
      <w:hyperlink r:id="rId468">
        <w:r>
          <w:rPr>
            <w:rFonts w:ascii="Arial" w:cs="Arial" w:eastAsia="Arial" w:hAnsi="Arial"/>
            <w:sz w:val="18"/>
            <w:szCs w:val="18"/>
            <w:u w:val="single" w:color="auto"/>
            <w:color w:val="0000FF"/>
          </w:rPr>
          <w:t>Amended and Restated Credit and Guaranty Agreement, dated as of May 21, 2015, among American Airlines, Inc. (as successor</w:t>
        </w:r>
      </w:hyperlink>
    </w:p>
    <w:p>
      <w:pPr>
        <w:jc w:val="both"/>
        <w:ind w:left="920"/>
        <w:spacing w:after="0" w:line="208" w:lineRule="auto"/>
        <w:rPr>
          <w:rFonts w:ascii="Arial" w:cs="Arial" w:eastAsia="Arial" w:hAnsi="Arial"/>
          <w:sz w:val="18"/>
          <w:szCs w:val="18"/>
          <w:u w:val="single" w:color="auto"/>
          <w:color w:val="0000FF"/>
        </w:rPr>
      </w:pPr>
      <w:hyperlink r:id="rId468">
        <w:r>
          <w:rPr>
            <w:rFonts w:ascii="Arial" w:cs="Arial" w:eastAsia="Arial" w:hAnsi="Arial"/>
            <w:sz w:val="18"/>
            <w:szCs w:val="18"/>
            <w:u w:val="single" w:color="auto"/>
            <w:color w:val="0000FF"/>
          </w:rPr>
          <w:t>in interest to US Airways, Inc.), American Airlines Group Inc., (as successor in interest to US Airways Group, Inc.), the lenders</w:t>
        </w:r>
      </w:hyperlink>
      <w:r>
        <w:rPr>
          <w:rFonts w:ascii="Arial" w:cs="Arial" w:eastAsia="Arial" w:hAnsi="Arial"/>
          <w:sz w:val="18"/>
          <w:szCs w:val="18"/>
          <w:u w:val="single" w:color="auto"/>
          <w:color w:val="0000FF"/>
        </w:rPr>
        <w:t xml:space="preserve"> </w:t>
      </w:r>
      <w:hyperlink r:id="rId468">
        <w:r>
          <w:rPr>
            <w:rFonts w:ascii="Arial" w:cs="Arial" w:eastAsia="Arial" w:hAnsi="Arial"/>
            <w:sz w:val="18"/>
            <w:szCs w:val="18"/>
            <w:u w:val="single" w:color="auto"/>
            <w:color w:val="0000FF"/>
          </w:rPr>
          <w:t>from time to time party thereto, Deutsche Bank AG New York Branch, as administrative agent, and certain other parties thereto</w:t>
        </w:r>
      </w:hyperlink>
      <w:r>
        <w:rPr>
          <w:rFonts w:ascii="Arial" w:cs="Arial" w:eastAsia="Arial" w:hAnsi="Arial"/>
          <w:sz w:val="18"/>
          <w:szCs w:val="18"/>
          <w:u w:val="single" w:color="auto"/>
          <w:color w:val="0000FF"/>
        </w:rPr>
        <w:t xml:space="preserve"> </w:t>
      </w:r>
      <w:hyperlink r:id="rId468">
        <w:r>
          <w:rPr>
            <w:rFonts w:ascii="Arial" w:cs="Arial" w:eastAsia="Arial" w:hAnsi="Arial"/>
            <w:sz w:val="18"/>
            <w:szCs w:val="18"/>
            <w:u w:val="single" w:color="auto"/>
            <w:color w:val="0000FF"/>
          </w:rPr>
          <w:t>(incorporated by reference to Exhibit 10.8 to AAG’s Annual Report on Form 10-K for the year ended December 31, 2015</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68">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469">
        <w:r>
          <w:rPr>
            <w:rFonts w:ascii="Arial" w:cs="Arial" w:eastAsia="Arial" w:hAnsi="Arial"/>
            <w:sz w:val="18"/>
            <w:szCs w:val="18"/>
            <w:u w:val="single" w:color="auto"/>
            <w:color w:val="0000FF"/>
          </w:rPr>
          <w:t>Second Amendment to Amended and Restated Credit and Guaranty Agreement, dated as of March 14, 2017, amending the</w:t>
        </w:r>
      </w:hyperlink>
      <w:r>
        <w:rPr>
          <w:rFonts w:ascii="Arial" w:cs="Arial" w:eastAsia="Arial" w:hAnsi="Arial"/>
          <w:sz w:val="18"/>
          <w:szCs w:val="18"/>
          <w:color w:val="auto"/>
        </w:rPr>
        <w:t xml:space="preserve"> </w:t>
      </w:r>
      <w:hyperlink r:id="rId469">
        <w:r>
          <w:rPr>
            <w:rFonts w:ascii="Arial" w:cs="Arial" w:eastAsia="Arial" w:hAnsi="Arial"/>
            <w:sz w:val="18"/>
            <w:szCs w:val="18"/>
            <w:u w:val="single" w:color="auto"/>
            <w:color w:val="0000FF"/>
          </w:rPr>
          <w:t>Amended and Restated Credit and Guaranty Agreement, dated as of May 21, 2015, among American Airlines, Inc., American</w:t>
        </w:r>
      </w:hyperlink>
    </w:p>
    <w:p>
      <w:pPr>
        <w:jc w:val="both"/>
        <w:ind w:left="920"/>
        <w:spacing w:after="0" w:line="220" w:lineRule="auto"/>
        <w:rPr>
          <w:rFonts w:ascii="Arial" w:cs="Arial" w:eastAsia="Arial" w:hAnsi="Arial"/>
          <w:sz w:val="18"/>
          <w:szCs w:val="18"/>
          <w:u w:val="single" w:color="auto"/>
          <w:color w:val="0000FF"/>
        </w:rPr>
      </w:pPr>
      <w:hyperlink r:id="rId469">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69">
        <w:r>
          <w:rPr>
            <w:rFonts w:ascii="Arial" w:cs="Arial" w:eastAsia="Arial" w:hAnsi="Arial"/>
            <w:sz w:val="18"/>
            <w:szCs w:val="18"/>
            <w:u w:val="single" w:color="auto"/>
            <w:color w:val="0000FF"/>
          </w:rPr>
          <w:t>and certain other parties thereto (incorporated by reference to Exhibit 10.2 to AAG’s Quarterly Report on Form 10-Q for the</w:t>
        </w:r>
      </w:hyperlink>
      <w:r>
        <w:rPr>
          <w:rFonts w:ascii="Arial" w:cs="Arial" w:eastAsia="Arial" w:hAnsi="Arial"/>
          <w:sz w:val="18"/>
          <w:szCs w:val="18"/>
          <w:u w:val="single" w:color="auto"/>
          <w:color w:val="0000FF"/>
        </w:rPr>
        <w:t xml:space="preserve"> </w:t>
      </w:r>
      <w:hyperlink r:id="rId469">
        <w:r>
          <w:rPr>
            <w:rFonts w:ascii="Arial" w:cs="Arial" w:eastAsia="Arial" w:hAnsi="Arial"/>
            <w:sz w:val="18"/>
            <w:szCs w:val="18"/>
            <w:u w:val="single" w:color="auto"/>
            <w:color w:val="0000FF"/>
          </w:rPr>
          <w:t>quarter ended March 31, 2017 (Commission File No. 1-8400)).</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471">
        <w:r>
          <w:rPr>
            <w:rFonts w:ascii="Arial" w:cs="Arial" w:eastAsia="Arial" w:hAnsi="Arial"/>
            <w:sz w:val="18"/>
            <w:szCs w:val="18"/>
            <w:u w:val="single" w:color="auto"/>
            <w:color w:val="0000FF"/>
          </w:rPr>
          <w:t>Third Amendment to the Amended and Restated Credit And Guaranty Agreement, dated as of August 21, 2017, amending the</w:t>
        </w:r>
      </w:hyperlink>
      <w:r>
        <w:rPr>
          <w:rFonts w:ascii="Arial" w:cs="Arial" w:eastAsia="Arial" w:hAnsi="Arial"/>
          <w:sz w:val="18"/>
          <w:szCs w:val="18"/>
          <w:color w:val="auto"/>
        </w:rPr>
        <w:t xml:space="preserve"> </w:t>
      </w:r>
      <w:hyperlink r:id="rId471">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color w:val="0000FF"/>
        </w:rPr>
      </w:pPr>
      <w:hyperlink r:id="rId471">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and certain other parties thereto (incorporated by reference to Exhibit 10.11 to AAG’s Annual Report on Form 10-K for the year</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ended December 31, 2017 (Commission File No. 1-8400)).</w:t>
        </w:r>
        <w:r>
          <w:rPr>
            <w:rFonts w:ascii="Arial" w:cs="Arial" w:eastAsia="Arial" w:hAnsi="Arial"/>
            <w:sz w:val="18"/>
            <w:szCs w:val="18"/>
            <w:color w:val="000000"/>
          </w:rPr>
          <w:t>*</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10.33     </w:t>
      </w:r>
      <w:hyperlink r:id="rId472">
        <w:r>
          <w:rPr>
            <w:rFonts w:ascii="Arial" w:cs="Arial" w:eastAsia="Arial" w:hAnsi="Arial"/>
            <w:sz w:val="18"/>
            <w:szCs w:val="18"/>
            <w:u w:val="single" w:color="auto"/>
            <w:color w:val="0000FF"/>
          </w:rPr>
          <w:t>Fourth Amendment to Amended and Restated Credit and Guaranty Agreement, dated as of May 15, 2018, amending the</w:t>
        </w:r>
      </w:hyperlink>
      <w:r>
        <w:rPr>
          <w:rFonts w:ascii="Arial" w:cs="Arial" w:eastAsia="Arial" w:hAnsi="Arial"/>
          <w:sz w:val="18"/>
          <w:szCs w:val="18"/>
          <w:color w:val="auto"/>
        </w:rPr>
        <w:t xml:space="preserve"> </w:t>
      </w:r>
      <w:hyperlink r:id="rId472">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72">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72">
        <w:r>
          <w:rPr>
            <w:rFonts w:ascii="Arial" w:cs="Arial" w:eastAsia="Arial" w:hAnsi="Arial"/>
            <w:sz w:val="18"/>
            <w:szCs w:val="18"/>
            <w:u w:val="single" w:color="auto"/>
            <w:color w:val="0000FF"/>
          </w:rPr>
          <w:t>and Barclays Bank PLC, as designated replacement term lender (incorporated by reference to Exhibit 10.3 to AAG’s Quarterly</w:t>
        </w:r>
      </w:hyperlink>
      <w:r>
        <w:rPr>
          <w:rFonts w:ascii="Arial" w:cs="Arial" w:eastAsia="Arial" w:hAnsi="Arial"/>
          <w:sz w:val="18"/>
          <w:szCs w:val="18"/>
          <w:u w:val="single" w:color="auto"/>
          <w:color w:val="0000FF"/>
        </w:rPr>
        <w:t xml:space="preserve"> </w:t>
      </w:r>
      <w:hyperlink r:id="rId472">
        <w:r>
          <w:rPr>
            <w:rFonts w:ascii="Arial" w:cs="Arial" w:eastAsia="Arial" w:hAnsi="Arial"/>
            <w:sz w:val="18"/>
            <w:szCs w:val="18"/>
            <w:u w:val="single" w:color="auto"/>
            <w:color w:val="0000FF"/>
          </w:rPr>
          <w:t>Report on Form 10-Q for the quarter ended June 30, 2018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10.34     </w:t>
      </w:r>
      <w:hyperlink r:id="rId473">
        <w:r>
          <w:rPr>
            <w:rFonts w:ascii="Arial" w:cs="Arial" w:eastAsia="Arial" w:hAnsi="Arial"/>
            <w:sz w:val="18"/>
            <w:szCs w:val="18"/>
            <w:u w:val="single" w:color="auto"/>
            <w:color w:val="0000FF"/>
          </w:rPr>
          <w:t>Fifth Amendment to Amended and Restated Credit and Guaranty Agreement, dated as of December 10, 2018, amending the</w:t>
        </w:r>
      </w:hyperlink>
      <w:r>
        <w:rPr>
          <w:rFonts w:ascii="Arial" w:cs="Arial" w:eastAsia="Arial" w:hAnsi="Arial"/>
          <w:sz w:val="18"/>
          <w:szCs w:val="18"/>
          <w:color w:val="auto"/>
        </w:rPr>
        <w:t xml:space="preserve"> </w:t>
      </w:r>
      <w:hyperlink r:id="rId473">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73">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and Barclays Bank PLC, as designated replacement term lender (incorporated by reference to Exhibit 10.31 to AGG’s Annual</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Report on Form 10-K for the year ended December 31, 2023 (Commission File No. 1-8500)).**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10.35     </w:t>
      </w:r>
      <w:hyperlink r:id="rId474">
        <w:r>
          <w:rPr>
            <w:rFonts w:ascii="Arial" w:cs="Arial" w:eastAsia="Arial" w:hAnsi="Arial"/>
            <w:sz w:val="18"/>
            <w:szCs w:val="18"/>
            <w:u w:val="single" w:color="auto"/>
            <w:color w:val="0000FF"/>
          </w:rPr>
          <w:t>Sixth Amendment to Amended and Restated Credit and Guaranty Agreement, dated as of November 8, 2019, amending the</w:t>
        </w:r>
      </w:hyperlink>
      <w:r>
        <w:rPr>
          <w:rFonts w:ascii="Arial" w:cs="Arial" w:eastAsia="Arial" w:hAnsi="Arial"/>
          <w:sz w:val="18"/>
          <w:szCs w:val="18"/>
          <w:color w:val="auto"/>
        </w:rPr>
        <w:t xml:space="preserve"> </w:t>
      </w:r>
      <w:hyperlink r:id="rId474">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color w:val="0000FF"/>
        </w:rPr>
      </w:pPr>
      <w:hyperlink r:id="rId474">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and Barclays Bank PLC, as designated replacement term lender (incorporated by reference to Exhibit 10.17 to AAG’s Annual</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Report on Form 10-K for the year ended December 31, 2019 (Commission File No. 1-8400)).</w:t>
        </w:r>
        <w:r>
          <w:rPr>
            <w:rFonts w:ascii="Arial" w:cs="Arial" w:eastAsia="Arial" w:hAnsi="Arial"/>
            <w:sz w:val="18"/>
            <w:szCs w:val="18"/>
            <w:color w:val="000000"/>
          </w:rPr>
          <w:t>**</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10.36     </w:t>
      </w:r>
      <w:hyperlink r:id="rId475">
        <w:r>
          <w:rPr>
            <w:rFonts w:ascii="Arial" w:cs="Arial" w:eastAsia="Arial" w:hAnsi="Arial"/>
            <w:sz w:val="18"/>
            <w:szCs w:val="18"/>
            <w:u w:val="single" w:color="auto"/>
            <w:color w:val="0000FF"/>
          </w:rPr>
          <w:t>Seventh Amendment to Amended and Restated Credit and Guaranty Agreement, dated as of February 15, 2023, amending the</w:t>
        </w:r>
      </w:hyperlink>
      <w:r>
        <w:rPr>
          <w:rFonts w:ascii="Arial" w:cs="Arial" w:eastAsia="Arial" w:hAnsi="Arial"/>
          <w:sz w:val="18"/>
          <w:szCs w:val="18"/>
          <w:color w:val="auto"/>
        </w:rPr>
        <w:t xml:space="preserve"> </w:t>
      </w:r>
      <w:hyperlink r:id="rId475">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75">
        <w:r>
          <w:rPr>
            <w:rFonts w:ascii="Arial" w:cs="Arial" w:eastAsia="Arial" w:hAnsi="Arial"/>
            <w:sz w:val="18"/>
            <w:szCs w:val="18"/>
            <w:u w:val="single" w:color="auto"/>
            <w:color w:val="0000FF"/>
          </w:rPr>
          <w:t>Airlines Group Inc., the lenders from time to time party thereto and Barclays Bank PLC, as administrative agent (incorporated by</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reference to Exhibit 10.1 to AAG’s Quarterly Report on Form 10-Q for the quarter ended September 30, 2024 (Commission File</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10.37     </w:t>
      </w:r>
      <w:hyperlink r:id="rId476">
        <w:r>
          <w:rPr>
            <w:rFonts w:ascii="Arial" w:cs="Arial" w:eastAsia="Arial" w:hAnsi="Arial"/>
            <w:sz w:val="18"/>
            <w:szCs w:val="18"/>
            <w:u w:val="single" w:color="auto"/>
            <w:color w:val="0000FF"/>
          </w:rPr>
          <w:t>Eighth Amendment to Amended and Restated Credit and Guaranty Agreement, dated as of March 13, 2023, amending the</w:t>
        </w:r>
      </w:hyperlink>
      <w:r>
        <w:rPr>
          <w:rFonts w:ascii="Arial" w:cs="Arial" w:eastAsia="Arial" w:hAnsi="Arial"/>
          <w:sz w:val="18"/>
          <w:szCs w:val="18"/>
          <w:color w:val="auto"/>
        </w:rPr>
        <w:t xml:space="preserve"> </w:t>
      </w:r>
      <w:hyperlink r:id="rId476">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76">
        <w:r>
          <w:rPr>
            <w:rFonts w:ascii="Arial" w:cs="Arial" w:eastAsia="Arial" w:hAnsi="Arial"/>
            <w:sz w:val="18"/>
            <w:szCs w:val="18"/>
            <w:u w:val="single" w:color="auto"/>
            <w:color w:val="0000FF"/>
          </w:rPr>
          <w:t>Airlines Group Inc., the lenders from time to time party thereto and Barclays Bank PLC, as administrative agent (incorporated by</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reference to Exhibit 10.2 to AAG’s Quarterly Report on Form 10-Q for the quarter ended September 30, 2024 (Commission File</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No. 1-8400)).**</w:t>
        </w:r>
      </w:hyperlink>
    </w:p>
    <w:p>
      <w:pPr>
        <w:spacing w:after="0" w:line="249"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10.38     </w:t>
      </w:r>
      <w:hyperlink r:id="rId477">
        <w:r>
          <w:rPr>
            <w:rFonts w:ascii="Arial" w:cs="Arial" w:eastAsia="Arial" w:hAnsi="Arial"/>
            <w:sz w:val="18"/>
            <w:szCs w:val="18"/>
            <w:u w:val="single" w:color="auto"/>
            <w:color w:val="0000FF"/>
          </w:rPr>
          <w:t>Ninth Amendment to Amended and Restated Credit and Guaranty Agreement, dated as of June 4, 2024, amending the Amended</w:t>
        </w:r>
      </w:hyperlink>
      <w:r>
        <w:rPr>
          <w:rFonts w:ascii="Arial" w:cs="Arial" w:eastAsia="Arial" w:hAnsi="Arial"/>
          <w:sz w:val="18"/>
          <w:szCs w:val="18"/>
          <w:color w:val="auto"/>
        </w:rPr>
        <w:t xml:space="preserve"> </w:t>
      </w:r>
      <w:hyperlink r:id="rId477">
        <w:r>
          <w:rPr>
            <w:rFonts w:ascii="Arial" w:cs="Arial" w:eastAsia="Arial" w:hAnsi="Arial"/>
            <w:sz w:val="18"/>
            <w:szCs w:val="18"/>
            <w:u w:val="single" w:color="auto"/>
            <w:color w:val="0000FF"/>
          </w:rPr>
          <w:t>and Restated Credit and Guaranty Agreement, dated as of May 21, 2015, among American Airlines, Inc., American Airlines</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77">
        <w:r>
          <w:rPr>
            <w:rFonts w:ascii="Arial" w:cs="Arial" w:eastAsia="Arial" w:hAnsi="Arial"/>
            <w:sz w:val="18"/>
            <w:szCs w:val="18"/>
            <w:u w:val="single" w:color="auto"/>
            <w:color w:val="0000FF"/>
          </w:rPr>
          <w:t>Group Inc., the lenders from time to time party thereto and Barclays Bank PLC, as administrative agent (incorporated by</w:t>
        </w:r>
      </w:hyperlink>
      <w:r>
        <w:rPr>
          <w:rFonts w:ascii="Arial" w:cs="Arial" w:eastAsia="Arial" w:hAnsi="Arial"/>
          <w:sz w:val="18"/>
          <w:szCs w:val="18"/>
          <w:u w:val="single" w:color="auto"/>
          <w:color w:val="0000FF"/>
        </w:rPr>
        <w:t xml:space="preserve"> </w:t>
      </w:r>
      <w:hyperlink r:id="rId477">
        <w:r>
          <w:rPr>
            <w:rFonts w:ascii="Arial" w:cs="Arial" w:eastAsia="Arial" w:hAnsi="Arial"/>
            <w:sz w:val="18"/>
            <w:szCs w:val="18"/>
            <w:u w:val="single" w:color="auto"/>
            <w:color w:val="0000FF"/>
          </w:rPr>
          <w:t>reference to Exhibit 10.1 to AAG’s Quarterly Report on Form 10-Q for the quarter ended June 30, 2024 (Commission File No. 1-</w:t>
        </w:r>
      </w:hyperlink>
      <w:hyperlink r:id="rId477">
        <w:r>
          <w:rPr>
            <w:rFonts w:ascii="Arial" w:cs="Arial" w:eastAsia="Arial" w:hAnsi="Arial"/>
            <w:sz w:val="18"/>
            <w:szCs w:val="18"/>
            <w:u w:val="single" w:color="auto"/>
            <w:color w:val="0000FF"/>
          </w:rPr>
          <w:t>8400)).**</w:t>
        </w:r>
      </w:hyperlink>
    </w:p>
    <w:p>
      <w:pPr>
        <w:spacing w:after="0" w:line="6"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478">
        <w:r>
          <w:rPr>
            <w:rFonts w:ascii="Arial" w:cs="Arial" w:eastAsia="Arial" w:hAnsi="Arial"/>
            <w:sz w:val="18"/>
            <w:szCs w:val="18"/>
            <w:u w:val="single" w:color="auto"/>
            <w:color w:val="0000FF"/>
          </w:rPr>
          <w:t>Tenth Amendment to Amended and Restated Credit and Guaranty Agreement, dated as of December 19, 2024, amending the</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478">
        <w:r>
          <w:rPr>
            <w:rFonts w:ascii="Arial" w:cs="Arial" w:eastAsia="Arial" w:hAnsi="Arial"/>
            <w:sz w:val="18"/>
            <w:szCs w:val="18"/>
            <w:u w:val="single" w:color="auto"/>
            <w:color w:val="0000FF"/>
          </w:rPr>
          <w:t>Airlines Group Inc., the lenders from time to time party thereto and Barclays Bank PLC, as administrative agent (incorporated by</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reference to Exhibit 10.1 to AAG’s Current Report on Form 8-K filed on December 23, 2024 (Commission File No. 1-8400)).**</w:t>
        </w:r>
      </w:hyperlink>
    </w:p>
    <w:p>
      <w:pPr>
        <w:spacing w:after="0" w:line="1"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479">
        <w:r>
          <w:rPr>
            <w:rFonts w:ascii="Arial" w:cs="Arial" w:eastAsia="Arial" w:hAnsi="Arial"/>
            <w:sz w:val="18"/>
            <w:szCs w:val="18"/>
            <w:u w:val="single" w:color="auto"/>
            <w:color w:val="0000FF"/>
          </w:rPr>
          <w:t>Credit and Guaranty Agreement, dated as of April 29, 2016, among American Airlines, Inc. as borrower, American Airlines Group</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Inc., as parent and guarantor, certain other subsidiaries of American Airlines Group Inc., as guarantors, the lenders party thereto,</w:t>
        </w:r>
      </w:hyperlink>
    </w:p>
    <w:p>
      <w:pPr>
        <w:ind w:left="920"/>
        <w:spacing w:after="0" w:line="229" w:lineRule="auto"/>
        <w:rPr>
          <w:rFonts w:ascii="Arial" w:cs="Arial" w:eastAsia="Arial" w:hAnsi="Arial"/>
          <w:sz w:val="18"/>
          <w:szCs w:val="18"/>
          <w:u w:val="single" w:color="auto"/>
          <w:color w:val="0000FF"/>
        </w:rPr>
      </w:pPr>
      <w:hyperlink r:id="rId479">
        <w:r>
          <w:rPr>
            <w:rFonts w:ascii="Arial" w:cs="Arial" w:eastAsia="Arial" w:hAnsi="Arial"/>
            <w:sz w:val="18"/>
            <w:szCs w:val="18"/>
            <w:u w:val="single" w:color="auto"/>
            <w:color w:val="0000FF"/>
          </w:rPr>
          <w:t>Barclays Bank PLC, as administrative agent and collateral agent, and certain other parties thereto (incorporated by reference to</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Exhibit 10.2 to AAG’s Quarterly Report on Form 10-Q filed on July 22, 2016 (Commission File No. 1-8400)).</w:t>
        </w:r>
      </w:hyperlink>
    </w:p>
    <w:p>
      <w:pPr>
        <w:spacing w:after="0" w:line="1"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480">
        <w:r>
          <w:rPr>
            <w:rFonts w:ascii="Arial" w:cs="Arial" w:eastAsia="Arial" w:hAnsi="Arial"/>
            <w:sz w:val="18"/>
            <w:szCs w:val="18"/>
            <w:u w:val="single" w:color="auto"/>
            <w:color w:val="0000FF"/>
          </w:rPr>
          <w:t>First Amendment to Credit and Guaranty Agreement, dated as of October 31, 2016, amending the Credit and Guaranty</w:t>
        </w:r>
      </w:hyperlink>
      <w:r>
        <w:rPr>
          <w:rFonts w:ascii="Arial" w:cs="Arial" w:eastAsia="Arial" w:hAnsi="Arial"/>
          <w:sz w:val="18"/>
          <w:szCs w:val="18"/>
          <w:u w:val="single" w:color="auto"/>
          <w:color w:val="0000FF"/>
        </w:rPr>
        <w:t xml:space="preserve"> </w:t>
      </w:r>
      <w:hyperlink r:id="rId480">
        <w:r>
          <w:rPr>
            <w:rFonts w:ascii="Arial" w:cs="Arial" w:eastAsia="Arial" w:hAnsi="Arial"/>
            <w:sz w:val="18"/>
            <w:szCs w:val="18"/>
            <w:u w:val="single" w:color="auto"/>
            <w:color w:val="0000FF"/>
          </w:rPr>
          <w:t>Agreement, dated as of April 29, 2016, among American Airlines, Inc. as borrower, American Airlines Group Inc., as parent and</w:t>
        </w:r>
      </w:hyperlink>
    </w:p>
    <w:p>
      <w:pPr>
        <w:ind w:left="920"/>
        <w:spacing w:after="0" w:line="229" w:lineRule="auto"/>
        <w:rPr>
          <w:rFonts w:ascii="Arial" w:cs="Arial" w:eastAsia="Arial" w:hAnsi="Arial"/>
          <w:sz w:val="18"/>
          <w:szCs w:val="18"/>
          <w:u w:val="single" w:color="auto"/>
          <w:color w:val="0000FF"/>
        </w:rPr>
      </w:pPr>
      <w:hyperlink r:id="rId480">
        <w:r>
          <w:rPr>
            <w:rFonts w:ascii="Arial" w:cs="Arial" w:eastAsia="Arial" w:hAnsi="Arial"/>
            <w:sz w:val="18"/>
            <w:szCs w:val="18"/>
            <w:u w:val="single" w:color="auto"/>
            <w:color w:val="0000FF"/>
          </w:rPr>
          <w:t>guarantor, the lenders party thereto, Barclays Bank PLC, as administrative agent (incorporated by reference to Exhibit 10.81 to</w:t>
        </w:r>
      </w:hyperlink>
      <w:r>
        <w:rPr>
          <w:rFonts w:ascii="Arial" w:cs="Arial" w:eastAsia="Arial" w:hAnsi="Arial"/>
          <w:sz w:val="18"/>
          <w:szCs w:val="18"/>
          <w:u w:val="single" w:color="auto"/>
          <w:color w:val="0000FF"/>
        </w:rPr>
        <w:t xml:space="preserve"> </w:t>
      </w:r>
      <w:hyperlink r:id="rId480">
        <w:r>
          <w:rPr>
            <w:rFonts w:ascii="Arial" w:cs="Arial" w:eastAsia="Arial" w:hAnsi="Arial"/>
            <w:sz w:val="18"/>
            <w:szCs w:val="18"/>
            <w:u w:val="single" w:color="auto"/>
            <w:color w:val="0000FF"/>
          </w:rPr>
          <w:t>AAG’s Annual Report on Form 10-K for the year ended December 31, 2016 (Commission File No. 1-8400)).</w:t>
        </w:r>
      </w:hyperlink>
    </w:p>
    <w:p>
      <w:pPr>
        <w:spacing w:after="0" w:line="1"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10.42</w:t>
      </w:r>
      <w:r>
        <w:rPr>
          <w:sz w:val="20"/>
          <w:szCs w:val="20"/>
          <w:color w:val="auto"/>
        </w:rPr>
        <w:tab/>
      </w:r>
      <w:hyperlink r:id="rId481">
        <w:r>
          <w:rPr>
            <w:rFonts w:ascii="Arial" w:cs="Arial" w:eastAsia="Arial" w:hAnsi="Arial"/>
            <w:sz w:val="18"/>
            <w:szCs w:val="18"/>
            <w:u w:val="single" w:color="auto"/>
            <w:color w:val="0000FF"/>
          </w:rPr>
          <w:t>Second Amendment to the Credit and Guaranty Agreement, dated as of August 21, 2017, amending the Credit and Guaranty</w:t>
        </w:r>
      </w:hyperlink>
      <w:r>
        <w:rPr>
          <w:rFonts w:ascii="Arial" w:cs="Arial" w:eastAsia="Arial" w:hAnsi="Arial"/>
          <w:sz w:val="18"/>
          <w:szCs w:val="18"/>
          <w:u w:val="single" w:color="auto"/>
          <w:color w:val="0000FF"/>
        </w:rPr>
        <w:t xml:space="preserve"> </w:t>
      </w:r>
      <w:hyperlink r:id="rId481">
        <w:r>
          <w:rPr>
            <w:rFonts w:ascii="Arial" w:cs="Arial" w:eastAsia="Arial" w:hAnsi="Arial"/>
            <w:sz w:val="18"/>
            <w:szCs w:val="18"/>
            <w:u w:val="single" w:color="auto"/>
            <w:color w:val="0000FF"/>
          </w:rPr>
          <w:t>Agreement, dated as of April 29, 2016, among American Airlines, Inc., American Airlines Group Inc., the lenders from time to time</w:t>
        </w:r>
      </w:hyperlink>
      <w:r>
        <w:rPr>
          <w:rFonts w:ascii="Arial" w:cs="Arial" w:eastAsia="Arial" w:hAnsi="Arial"/>
          <w:sz w:val="18"/>
          <w:szCs w:val="18"/>
          <w:u w:val="single" w:color="auto"/>
          <w:color w:val="0000FF"/>
        </w:rPr>
        <w:t xml:space="preserve"> </w:t>
      </w:r>
      <w:hyperlink r:id="rId481">
        <w:r>
          <w:rPr>
            <w:rFonts w:ascii="Arial" w:cs="Arial" w:eastAsia="Arial" w:hAnsi="Arial"/>
            <w:sz w:val="18"/>
            <w:szCs w:val="18"/>
            <w:u w:val="single" w:color="auto"/>
            <w:color w:val="0000FF"/>
          </w:rPr>
          <w:t>party thereto, Barclays Bank PLC, as administrative agent, and certain other parties thereto (incorporated by reference to Exhibit</w:t>
        </w:r>
      </w:hyperlink>
      <w:r>
        <w:rPr>
          <w:rFonts w:ascii="Arial" w:cs="Arial" w:eastAsia="Arial" w:hAnsi="Arial"/>
          <w:sz w:val="18"/>
          <w:szCs w:val="18"/>
          <w:u w:val="single" w:color="auto"/>
          <w:color w:val="0000FF"/>
        </w:rPr>
        <w:t xml:space="preserve"> </w:t>
      </w:r>
      <w:hyperlink r:id="rId481">
        <w:r>
          <w:rPr>
            <w:rFonts w:ascii="Arial" w:cs="Arial" w:eastAsia="Arial" w:hAnsi="Arial"/>
            <w:sz w:val="18"/>
            <w:szCs w:val="18"/>
            <w:u w:val="single" w:color="auto"/>
            <w:color w:val="0000FF"/>
          </w:rPr>
          <w:t>10.15 to AAG’s Annual Report on Form 10-K for the year ended December 31, 2017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483">
        <w:r>
          <w:rPr>
            <w:rFonts w:ascii="Arial" w:cs="Arial" w:eastAsia="Arial" w:hAnsi="Arial"/>
            <w:sz w:val="18"/>
            <w:szCs w:val="18"/>
            <w:u w:val="single" w:color="auto"/>
            <w:color w:val="0000FF"/>
          </w:rPr>
          <w:t>Third Amendment to Credit and Guaranty Agreement, dated as of November 1, 2017, amending the Credit and Guaranty</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guarantor, the lenders party thereto, Barclays Bank PLC, as administrative agent (incorporated by reference to Exhibit 10.16 to</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AAG’s Annual Report on Form 10-K for the year ended December 31, 2017 (Commission File No. 1-8400)).</w:t>
        </w:r>
      </w:hyperlink>
    </w:p>
    <w:p>
      <w:pPr>
        <w:spacing w:after="0" w:line="18"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10.44</w:t>
      </w:r>
      <w:r>
        <w:rPr>
          <w:sz w:val="20"/>
          <w:szCs w:val="20"/>
          <w:color w:val="auto"/>
        </w:rPr>
        <w:tab/>
      </w:r>
      <w:hyperlink r:id="rId484">
        <w:r>
          <w:rPr>
            <w:rFonts w:ascii="Arial" w:cs="Arial" w:eastAsia="Arial" w:hAnsi="Arial"/>
            <w:sz w:val="18"/>
            <w:szCs w:val="18"/>
            <w:u w:val="single" w:color="auto"/>
            <w:color w:val="0000FF"/>
          </w:rPr>
          <w:t>Fourth Amendment to Credit and Guaranty Agreement, dated as of December 10, 2018, amending the Credit and Guaranty</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guarantor, the lenders party thereto, Barclays Bank PLC, as administrative agent (incorporated by reference to Exhibit 10.37 to</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AAG’s Annual Report on Form 10-K for the year ended December 31, 2023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10.45</w:t>
      </w:r>
      <w:r>
        <w:rPr>
          <w:sz w:val="20"/>
          <w:szCs w:val="20"/>
          <w:color w:val="auto"/>
        </w:rPr>
        <w:tab/>
      </w:r>
      <w:hyperlink r:id="rId485">
        <w:r>
          <w:rPr>
            <w:rFonts w:ascii="Arial" w:cs="Arial" w:eastAsia="Arial" w:hAnsi="Arial"/>
            <w:sz w:val="18"/>
            <w:szCs w:val="18"/>
            <w:u w:val="single" w:color="auto"/>
            <w:color w:val="0000FF"/>
          </w:rPr>
          <w:t>Fifth Amendment to Credit and Guaranty Agreement, dated as of November 8, 2019, amending the Credit and Guaranty</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guarantor, the lenders party thereto, Barclays Bank PLC, as administrative agent (incorporated by reference to Exhibit 10.23 to</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AAG’s Annual Report on Form 10-K for the year ended December 31, 2019 (Commission File No. 1-8400)).</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486">
        <w:r>
          <w:rPr>
            <w:rFonts w:ascii="Arial" w:cs="Arial" w:eastAsia="Arial" w:hAnsi="Arial"/>
            <w:sz w:val="18"/>
            <w:szCs w:val="18"/>
            <w:u w:val="single" w:color="auto"/>
            <w:color w:val="0000FF"/>
          </w:rPr>
          <w:t>Sixth Amendment to Credit and Guaranty Agreement, dated as of March 13, 2023, amending the Credit and Guaranty</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guarantor, the lenders party thereto, and Barclays Bank PLC, as administrative agent (incorporated by reference to Exhibit 10.3 to</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AAG’s Quarterly Report on Form 10-Q for the quarter ended September 30, 2024 (Commission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10.47</w:t>
      </w:r>
      <w:r>
        <w:rPr>
          <w:sz w:val="20"/>
          <w:szCs w:val="20"/>
          <w:color w:val="auto"/>
        </w:rPr>
        <w:tab/>
      </w:r>
      <w:hyperlink r:id="rId487">
        <w:r>
          <w:rPr>
            <w:rFonts w:ascii="Arial" w:cs="Arial" w:eastAsia="Arial" w:hAnsi="Arial"/>
            <w:sz w:val="18"/>
            <w:szCs w:val="18"/>
            <w:u w:val="single" w:color="auto"/>
            <w:color w:val="0000FF"/>
          </w:rPr>
          <w:t>Purchase Agreement No. 3219, dated as of October 15, 2008, between American Airlines, Inc. and The Boeing Company</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(incorporated by reference to Exhibit 10.38 to AAG’s Annual Report on Form 10-K for the year ended December 31, 2021</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10.48</w:t>
      </w:r>
      <w:r>
        <w:rPr>
          <w:sz w:val="20"/>
          <w:szCs w:val="20"/>
          <w:color w:val="auto"/>
        </w:rPr>
        <w:tab/>
      </w:r>
      <w:hyperlink r:id="rId488">
        <w:r>
          <w:rPr>
            <w:rFonts w:ascii="Arial" w:cs="Arial" w:eastAsia="Arial" w:hAnsi="Arial"/>
            <w:sz w:val="18"/>
            <w:szCs w:val="18"/>
            <w:u w:val="single" w:color="auto"/>
            <w:color w:val="0000FF"/>
          </w:rPr>
          <w:t>Supplemental Agreement No. 2, dated as of July 21, 2010, to Purchase Agreement No. 3219 between American Airlines, Inc. and</w:t>
        </w:r>
      </w:hyperlink>
      <w:r>
        <w:rPr>
          <w:rFonts w:ascii="Arial" w:cs="Arial" w:eastAsia="Arial" w:hAnsi="Arial"/>
          <w:sz w:val="18"/>
          <w:szCs w:val="18"/>
          <w:u w:val="single" w:color="auto"/>
          <w:color w:val="0000FF"/>
        </w:rPr>
        <w:t xml:space="preserve"> </w:t>
      </w:r>
      <w:hyperlink r:id="rId488">
        <w:r>
          <w:rPr>
            <w:rFonts w:ascii="Arial" w:cs="Arial" w:eastAsia="Arial" w:hAnsi="Arial"/>
            <w:sz w:val="18"/>
            <w:szCs w:val="18"/>
            <w:u w:val="single" w:color="auto"/>
            <w:color w:val="0000FF"/>
          </w:rPr>
          <w:t>The Boeing Company (incorporated by reference to Exhibit 10.39 to AAG’s Annual Report on Form 10-K for the year ended</w:t>
        </w:r>
      </w:hyperlink>
      <w:r>
        <w:rPr>
          <w:rFonts w:ascii="Arial" w:cs="Arial" w:eastAsia="Arial" w:hAnsi="Arial"/>
          <w:sz w:val="18"/>
          <w:szCs w:val="18"/>
          <w:u w:val="single" w:color="auto"/>
          <w:color w:val="0000FF"/>
        </w:rPr>
        <w:t xml:space="preserve"> </w:t>
      </w:r>
      <w:hyperlink r:id="rId488">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10.49</w:t>
      </w:r>
      <w:r>
        <w:rPr>
          <w:sz w:val="20"/>
          <w:szCs w:val="20"/>
          <w:color w:val="auto"/>
        </w:rPr>
        <w:tab/>
      </w:r>
      <w:hyperlink r:id="rId489">
        <w:r>
          <w:rPr>
            <w:rFonts w:ascii="Arial" w:cs="Arial" w:eastAsia="Arial" w:hAnsi="Arial"/>
            <w:sz w:val="18"/>
            <w:szCs w:val="18"/>
            <w:u w:val="single" w:color="auto"/>
            <w:color w:val="0000FF"/>
          </w:rPr>
          <w:t>Supplemental Agreement No. 3, dated as of February 1, 2013, to Purchase Agreement No. 3219 between American Airlines, Inc.,</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and The Boeing Company (incorporated by reference to Exhibit 10.40 to AAG’s Annual Report on Form 10-K for the year ended</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10.50</w:t>
      </w:r>
      <w:r>
        <w:rPr>
          <w:sz w:val="20"/>
          <w:szCs w:val="20"/>
          <w:color w:val="auto"/>
        </w:rPr>
        <w:tab/>
      </w:r>
      <w:hyperlink r:id="rId490">
        <w:r>
          <w:rPr>
            <w:rFonts w:ascii="Arial" w:cs="Arial" w:eastAsia="Arial" w:hAnsi="Arial"/>
            <w:sz w:val="18"/>
            <w:szCs w:val="18"/>
            <w:u w:val="single" w:color="auto"/>
            <w:color w:val="0000FF"/>
          </w:rPr>
          <w:t>Supplemental Agreement No. 4, dated as of June 9, 2014, to Purchase Agreement No. 3219 between The Boeing Company and</w:t>
        </w:r>
      </w:hyperlink>
      <w:r>
        <w:rPr>
          <w:rFonts w:ascii="Arial" w:cs="Arial" w:eastAsia="Arial" w:hAnsi="Arial"/>
          <w:sz w:val="18"/>
          <w:szCs w:val="18"/>
          <w:u w:val="single" w:color="auto"/>
          <w:color w:val="0000FF"/>
        </w:rPr>
        <w:t xml:space="preserve"> </w:t>
      </w:r>
      <w:hyperlink r:id="rId490">
        <w:r>
          <w:rPr>
            <w:rFonts w:ascii="Arial" w:cs="Arial" w:eastAsia="Arial" w:hAnsi="Arial"/>
            <w:sz w:val="18"/>
            <w:szCs w:val="18"/>
            <w:u w:val="single" w:color="auto"/>
            <w:color w:val="0000FF"/>
          </w:rPr>
          <w:t>American Airlines, Inc. dated as of October 15, 2008, relating to Boeing Model 787 Aircraft, as amended, restated, amended and</w:t>
        </w:r>
      </w:hyperlink>
      <w:r>
        <w:rPr>
          <w:rFonts w:ascii="Arial" w:cs="Arial" w:eastAsia="Arial" w:hAnsi="Arial"/>
          <w:sz w:val="18"/>
          <w:szCs w:val="18"/>
          <w:u w:val="single" w:color="auto"/>
          <w:color w:val="0000FF"/>
        </w:rPr>
        <w:t xml:space="preserve"> </w:t>
      </w:r>
      <w:hyperlink r:id="rId490">
        <w:r>
          <w:rPr>
            <w:rFonts w:ascii="Arial" w:cs="Arial" w:eastAsia="Arial" w:hAnsi="Arial"/>
            <w:sz w:val="18"/>
            <w:szCs w:val="18"/>
            <w:u w:val="single" w:color="auto"/>
            <w:color w:val="0000FF"/>
          </w:rPr>
          <w:t>restated, supplemented or otherwise modified (incorporated by reference to Exhibit 10.41 to AAG’s Annual Report on Form 10-K</w:t>
        </w:r>
      </w:hyperlink>
      <w:r>
        <w:rPr>
          <w:rFonts w:ascii="Arial" w:cs="Arial" w:eastAsia="Arial" w:hAnsi="Arial"/>
          <w:sz w:val="18"/>
          <w:szCs w:val="18"/>
          <w:u w:val="single" w:color="auto"/>
          <w:color w:val="0000FF"/>
        </w:rPr>
        <w:t xml:space="preserve"> </w:t>
      </w:r>
      <w:hyperlink r:id="rId490">
        <w:r>
          <w:rPr>
            <w:rFonts w:ascii="Arial" w:cs="Arial" w:eastAsia="Arial" w:hAnsi="Arial"/>
            <w:sz w:val="18"/>
            <w:szCs w:val="18"/>
            <w:u w:val="single" w:color="auto"/>
            <w:color w:val="0000FF"/>
          </w:rPr>
          <w:t>for the year ended December 31, 2021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10.51</w:t>
      </w:r>
      <w:r>
        <w:rPr>
          <w:sz w:val="20"/>
          <w:szCs w:val="20"/>
          <w:color w:val="auto"/>
        </w:rPr>
        <w:tab/>
      </w:r>
      <w:hyperlink r:id="rId491">
        <w:r>
          <w:rPr>
            <w:rFonts w:ascii="Arial" w:cs="Arial" w:eastAsia="Arial" w:hAnsi="Arial"/>
            <w:sz w:val="18"/>
            <w:szCs w:val="18"/>
            <w:u w:val="single" w:color="auto"/>
            <w:color w:val="0000FF"/>
          </w:rPr>
          <w:t>Supplemental Agreement No. 5, dated as of January 20, 2015, to Purchase Agreement No. 3219 between The Boeing Company</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and American Airlines, Inc., dated as of October 15, 2008, relating to Boeing Model 787 Aircraft, as amended, restated, amended</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and restated, supplemented or otherwise modified (incorporated by reference to Exhibit 10.42 to AAG’s Annual Report on Form</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10-K for the year ended December 31, 2021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10.52</w:t>
      </w:r>
      <w:r>
        <w:rPr>
          <w:sz w:val="20"/>
          <w:szCs w:val="20"/>
          <w:color w:val="auto"/>
        </w:rPr>
        <w:tab/>
      </w:r>
      <w:hyperlink r:id="rId492">
        <w:r>
          <w:rPr>
            <w:rFonts w:ascii="Arial" w:cs="Arial" w:eastAsia="Arial" w:hAnsi="Arial"/>
            <w:sz w:val="18"/>
            <w:szCs w:val="18"/>
            <w:u w:val="single" w:color="auto"/>
            <w:color w:val="0000FF"/>
          </w:rPr>
          <w:t>Supplemental Agreement No. 6, dated as of April 21, 2015, to Purchase Agreement No. 3219 between American Airlines, Inc.</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and The Boeing Company, dated as of October 15, 2008, as amended, restated, amended and restated, supplemented or</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otherwise modified (incorporated by reference to Exhibit 10.43 to AAG’s Annual Report on Form 10-K for the year ended</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10.53</w:t>
      </w:r>
      <w:r>
        <w:rPr>
          <w:sz w:val="20"/>
          <w:szCs w:val="20"/>
          <w:color w:val="auto"/>
        </w:rPr>
        <w:tab/>
      </w:r>
      <w:hyperlink r:id="rId493">
        <w:r>
          <w:rPr>
            <w:rFonts w:ascii="Arial" w:cs="Arial" w:eastAsia="Arial" w:hAnsi="Arial"/>
            <w:sz w:val="18"/>
            <w:szCs w:val="18"/>
            <w:u w:val="single" w:color="auto"/>
            <w:color w:val="0000FF"/>
          </w:rPr>
          <w:t>Supplemental Agreement No. 7, dated as of September 12, 2016, to Purchase Agreement No. 3219 dated as of October 15,</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2008, between American Airlines, Inc. and The Boeing Company (incorporated by reference to Exhibit 10.44 to AAG’s Annual</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10.54</w:t>
      </w:r>
      <w:r>
        <w:rPr>
          <w:sz w:val="20"/>
          <w:szCs w:val="20"/>
          <w:color w:val="auto"/>
        </w:rPr>
        <w:tab/>
      </w:r>
      <w:hyperlink r:id="rId494">
        <w:r>
          <w:rPr>
            <w:rFonts w:ascii="Arial" w:cs="Arial" w:eastAsia="Arial" w:hAnsi="Arial"/>
            <w:sz w:val="18"/>
            <w:szCs w:val="18"/>
            <w:u w:val="single" w:color="auto"/>
            <w:color w:val="0000FF"/>
          </w:rPr>
          <w:t>Supplemental Agreement No. 8, dated as of January 26, 2017, to Purchase Agreement No. 3219 dated as of October 15, 2008,</w:t>
        </w:r>
      </w:hyperlink>
      <w:r>
        <w:rPr>
          <w:rFonts w:ascii="Arial" w:cs="Arial" w:eastAsia="Arial" w:hAnsi="Arial"/>
          <w:sz w:val="18"/>
          <w:szCs w:val="18"/>
          <w:u w:val="single" w:color="auto"/>
          <w:color w:val="0000FF"/>
        </w:rPr>
        <w:t xml:space="preserve"> </w:t>
      </w:r>
      <w:hyperlink r:id="rId494">
        <w:r>
          <w:rPr>
            <w:rFonts w:ascii="Arial" w:cs="Arial" w:eastAsia="Arial" w:hAnsi="Arial"/>
            <w:sz w:val="18"/>
            <w:szCs w:val="18"/>
            <w:u w:val="single" w:color="auto"/>
            <w:color w:val="0000FF"/>
          </w:rPr>
          <w:t>between American Airlines, Inc. and The Boeing Company (incorporated by reference to Exhibit 10.45 to AAG’s Annual Report on</w:t>
        </w:r>
      </w:hyperlink>
      <w:r>
        <w:rPr>
          <w:rFonts w:ascii="Arial" w:cs="Arial" w:eastAsia="Arial" w:hAnsi="Arial"/>
          <w:sz w:val="18"/>
          <w:szCs w:val="18"/>
          <w:u w:val="single" w:color="auto"/>
          <w:color w:val="0000FF"/>
        </w:rPr>
        <w:t xml:space="preserve"> </w:t>
      </w:r>
      <w:hyperlink r:id="rId494">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10.55</w:t>
      </w:r>
      <w:r>
        <w:rPr>
          <w:sz w:val="20"/>
          <w:szCs w:val="20"/>
          <w:color w:val="auto"/>
        </w:rPr>
        <w:tab/>
      </w:r>
      <w:hyperlink r:id="rId495">
        <w:r>
          <w:rPr>
            <w:rFonts w:ascii="Arial" w:cs="Arial" w:eastAsia="Arial" w:hAnsi="Arial"/>
            <w:sz w:val="18"/>
            <w:szCs w:val="18"/>
            <w:u w:val="single" w:color="auto"/>
            <w:color w:val="0000FF"/>
          </w:rPr>
          <w:t>Supplemental Agreement No. 9, dated as of April 24, 2017, to Purchase Agreement No. 3219 dated as of October 15, 2008, by</w:t>
        </w:r>
      </w:hyperlink>
      <w:r>
        <w:rPr>
          <w:rFonts w:ascii="Arial" w:cs="Arial" w:eastAsia="Arial" w:hAnsi="Arial"/>
          <w:sz w:val="18"/>
          <w:szCs w:val="18"/>
          <w:u w:val="single" w:color="auto"/>
          <w:color w:val="0000FF"/>
        </w:rPr>
        <w:t xml:space="preserve"> </w:t>
      </w:r>
      <w:hyperlink r:id="rId495">
        <w:r>
          <w:rPr>
            <w:rFonts w:ascii="Arial" w:cs="Arial" w:eastAsia="Arial" w:hAnsi="Arial"/>
            <w:sz w:val="18"/>
            <w:szCs w:val="18"/>
            <w:u w:val="single" w:color="auto"/>
            <w:color w:val="0000FF"/>
          </w:rPr>
          <w:t>and between American Airlines, Inc. and The Boeing Company (incorporated by reference to Exhibit 10.46 to AAG’s Annual</w:t>
        </w:r>
      </w:hyperlink>
      <w:r>
        <w:rPr>
          <w:rFonts w:ascii="Arial" w:cs="Arial" w:eastAsia="Arial" w:hAnsi="Arial"/>
          <w:sz w:val="18"/>
          <w:szCs w:val="18"/>
          <w:u w:val="single" w:color="auto"/>
          <w:color w:val="0000FF"/>
        </w:rPr>
        <w:t xml:space="preserve"> </w:t>
      </w:r>
      <w:hyperlink r:id="rId495">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10.56</w:t>
      </w:r>
      <w:r>
        <w:rPr>
          <w:sz w:val="20"/>
          <w:szCs w:val="20"/>
          <w:color w:val="auto"/>
        </w:rPr>
        <w:tab/>
      </w:r>
      <w:hyperlink r:id="rId497">
        <w:r>
          <w:rPr>
            <w:rFonts w:ascii="Arial" w:cs="Arial" w:eastAsia="Arial" w:hAnsi="Arial"/>
            <w:sz w:val="18"/>
            <w:szCs w:val="18"/>
            <w:u w:val="single" w:color="auto"/>
            <w:color w:val="0000FF"/>
          </w:rPr>
          <w:t>Supplemental Agreement No. 10, dated as of May 11, 2017, to Purchase Agreement No. 3219 dated as of October 15, 2008, by</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and between American Airlines, Inc. and The Boeing Company (incorporated by reference to Exhibit 10.47 to AAG’s Annual</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15"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10.57</w:t>
      </w:r>
      <w:r>
        <w:rPr>
          <w:sz w:val="20"/>
          <w:szCs w:val="20"/>
          <w:color w:val="auto"/>
        </w:rPr>
        <w:tab/>
      </w:r>
      <w:hyperlink r:id="rId498">
        <w:r>
          <w:rPr>
            <w:rFonts w:ascii="Arial" w:cs="Arial" w:eastAsia="Arial" w:hAnsi="Arial"/>
            <w:sz w:val="18"/>
            <w:szCs w:val="18"/>
            <w:u w:val="single" w:color="auto"/>
            <w:color w:val="0000FF"/>
          </w:rPr>
          <w:t>Supplemental Agreement No. 11, dated as of April 6, 2018, to Purchase Agreement No. 3219 dated as of October 15, 2008, by</w:t>
        </w:r>
      </w:hyperlink>
      <w:r>
        <w:rPr>
          <w:rFonts w:ascii="Arial" w:cs="Arial" w:eastAsia="Arial" w:hAnsi="Arial"/>
          <w:sz w:val="18"/>
          <w:szCs w:val="18"/>
          <w:u w:val="single" w:color="auto"/>
          <w:color w:val="0000FF"/>
        </w:rPr>
        <w:t xml:space="preserve"> </w:t>
      </w:r>
      <w:hyperlink r:id="rId498">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498">
        <w:r>
          <w:rPr>
            <w:rFonts w:ascii="Arial" w:cs="Arial" w:eastAsia="Arial" w:hAnsi="Arial"/>
            <w:sz w:val="18"/>
            <w:szCs w:val="18"/>
            <w:u w:val="single" w:color="auto"/>
            <w:color w:val="0000FF"/>
          </w:rPr>
          <w:t>Report on Form 10-Q for the quarter ended June 30, 2018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499">
        <w:r>
          <w:rPr>
            <w:rFonts w:ascii="Arial" w:cs="Arial" w:eastAsia="Arial" w:hAnsi="Arial"/>
            <w:sz w:val="18"/>
            <w:szCs w:val="18"/>
            <w:u w:val="single" w:color="auto"/>
            <w:color w:val="0000FF"/>
          </w:rPr>
          <w:t>Supplemental Agreement No. 12, dated as of May 29, 2019, to Purchase Agreement No. 3219 dated as of October 15, 2008, by</w:t>
        </w:r>
      </w:hyperlink>
      <w:r>
        <w:rPr>
          <w:rFonts w:ascii="Arial" w:cs="Arial" w:eastAsia="Arial" w:hAnsi="Arial"/>
          <w:sz w:val="18"/>
          <w:szCs w:val="18"/>
          <w:u w:val="single" w:color="auto"/>
          <w:color w:val="0000FF"/>
        </w:rPr>
        <w:t xml:space="preserve"> </w:t>
      </w:r>
      <w:hyperlink r:id="rId499">
        <w:r>
          <w:rPr>
            <w:rFonts w:ascii="Arial" w:cs="Arial" w:eastAsia="Arial" w:hAnsi="Arial"/>
            <w:sz w:val="18"/>
            <w:szCs w:val="18"/>
            <w:u w:val="single" w:color="auto"/>
            <w:color w:val="0000FF"/>
          </w:rPr>
          <w:t>and between American Airlines, Inc. and The Boeing Company (incorporated by reference to Exhibit 10.1 to AAG’s Quarterly</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99">
        <w:r>
          <w:rPr>
            <w:rFonts w:ascii="Arial" w:cs="Arial" w:eastAsia="Arial" w:hAnsi="Arial"/>
            <w:sz w:val="18"/>
            <w:szCs w:val="18"/>
            <w:u w:val="single" w:color="auto"/>
            <w:color w:val="0000FF"/>
          </w:rPr>
          <w:t>Report on Form 10-Q for the quarter ended June 30, 2019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r:id="rId500">
        <w:r>
          <w:rPr>
            <w:rFonts w:ascii="Arial" w:cs="Arial" w:eastAsia="Arial" w:hAnsi="Arial"/>
            <w:sz w:val="18"/>
            <w:szCs w:val="18"/>
            <w:u w:val="single" w:color="auto"/>
            <w:color w:val="0000FF"/>
          </w:rPr>
          <w:t>Supplemental Agreement No. 13, dated as of August 20, 2019, to Purchase Agreement No. 3219 dated as of October 15, 2008,</w:t>
        </w:r>
      </w:hyperlink>
      <w:r>
        <w:rPr>
          <w:rFonts w:ascii="Arial" w:cs="Arial" w:eastAsia="Arial" w:hAnsi="Arial"/>
          <w:sz w:val="18"/>
          <w:szCs w:val="18"/>
          <w:u w:val="single" w:color="auto"/>
          <w:color w:val="0000FF"/>
        </w:rPr>
        <w:t xml:space="preserve"> </w:t>
      </w:r>
      <w:hyperlink r:id="rId500">
        <w:r>
          <w:rPr>
            <w:rFonts w:ascii="Arial" w:cs="Arial" w:eastAsia="Arial" w:hAnsi="Arial"/>
            <w:sz w:val="18"/>
            <w:szCs w:val="18"/>
            <w:u w:val="single" w:color="auto"/>
            <w:color w:val="0000FF"/>
          </w:rPr>
          <w:t>by and between American Airlines, Inc. and The Boeing Company (incorporated by reference to Exhibit 10.1 to AAG’s Quarterly</w:t>
        </w:r>
      </w:hyperlink>
    </w:p>
    <w:p>
      <w:pPr>
        <w:ind w:left="920"/>
        <w:spacing w:after="0"/>
        <w:rPr>
          <w:rFonts w:ascii="Arial" w:cs="Arial" w:eastAsia="Arial" w:hAnsi="Arial"/>
          <w:sz w:val="18"/>
          <w:szCs w:val="18"/>
          <w:color w:val="0000FF"/>
        </w:rPr>
      </w:pPr>
      <w:hyperlink r:id="rId500">
        <w:r>
          <w:rPr>
            <w:rFonts w:ascii="Arial" w:cs="Arial" w:eastAsia="Arial" w:hAnsi="Arial"/>
            <w:sz w:val="18"/>
            <w:szCs w:val="18"/>
            <w:u w:val="single" w:color="auto"/>
            <w:color w:val="0000FF"/>
          </w:rPr>
          <w:t>Report on Form 10-Q for the quarter ended September 30, 2019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r:id="rId501">
        <w:r>
          <w:rPr>
            <w:rFonts w:ascii="Arial" w:cs="Arial" w:eastAsia="Arial" w:hAnsi="Arial"/>
            <w:sz w:val="18"/>
            <w:szCs w:val="18"/>
            <w:u w:val="single" w:color="auto"/>
            <w:color w:val="0000FF"/>
          </w:rPr>
          <w:t>Supplemental Agreement No. 14, dated as of February 24, 2020, to Purchase Agreement No. 3219 dated as of October 15,</w:t>
        </w:r>
      </w:hyperlink>
    </w:p>
    <w:p>
      <w:pPr>
        <w:ind w:left="920"/>
        <w:spacing w:after="0" w:line="218" w:lineRule="auto"/>
        <w:rPr>
          <w:rFonts w:ascii="Arial" w:cs="Arial" w:eastAsia="Arial" w:hAnsi="Arial"/>
          <w:sz w:val="18"/>
          <w:szCs w:val="18"/>
          <w:u w:val="single" w:color="auto"/>
          <w:color w:val="0000FF"/>
        </w:rPr>
      </w:pPr>
      <w:hyperlink r:id="rId501">
        <w:r>
          <w:rPr>
            <w:rFonts w:ascii="Arial" w:cs="Arial" w:eastAsia="Arial" w:hAnsi="Arial"/>
            <w:sz w:val="18"/>
            <w:szCs w:val="18"/>
            <w:u w:val="single" w:color="auto"/>
            <w:color w:val="0000FF"/>
          </w:rPr>
          <w:t>2008, by and between American Airlines, Inc. and The Boeing Company (incorporated by reference to Exhibit 10.1 to AAG’s</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01">
        <w:r>
          <w:rPr>
            <w:rFonts w:ascii="Arial" w:cs="Arial" w:eastAsia="Arial" w:hAnsi="Arial"/>
            <w:sz w:val="18"/>
            <w:szCs w:val="18"/>
            <w:u w:val="single" w:color="auto"/>
            <w:color w:val="0000FF"/>
          </w:rPr>
          <w:t>Quarterly Report on Form 10-Q for the quarter ended March 31, 2020 (Commission File No. 1-8400)).</w:t>
        </w:r>
        <w:r>
          <w:rPr>
            <w:rFonts w:ascii="Times New Roman" w:cs="Times New Roman" w:eastAsia="Times New Roman" w:hAnsi="Times New Roman"/>
            <w:sz w:val="18"/>
            <w:szCs w:val="18"/>
            <w:color w:val="000000"/>
          </w:rPr>
          <w:t>**</w:t>
        </w:r>
      </w:hyperlink>
    </w:p>
    <w:p>
      <w:pPr>
        <w:spacing w:after="0" w:line="13"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502">
        <w:r>
          <w:rPr>
            <w:rFonts w:ascii="Arial" w:cs="Arial" w:eastAsia="Arial" w:hAnsi="Arial"/>
            <w:sz w:val="18"/>
            <w:szCs w:val="18"/>
            <w:u w:val="single" w:color="auto"/>
            <w:color w:val="0000FF"/>
          </w:rPr>
          <w:t>Supplemental Agreement No. 15, dated as of March 16, 2020, to Purchase Agreement No. 3219 dated as of October 15, 2008,</w:t>
        </w:r>
      </w:hyperlink>
      <w:r>
        <w:rPr>
          <w:rFonts w:ascii="Arial" w:cs="Arial" w:eastAsia="Arial" w:hAnsi="Arial"/>
          <w:sz w:val="18"/>
          <w:szCs w:val="18"/>
          <w:u w:val="single" w:color="auto"/>
          <w:color w:val="0000FF"/>
        </w:rPr>
        <w:t xml:space="preserve"> </w:t>
      </w:r>
      <w:hyperlink r:id="rId502">
        <w:r>
          <w:rPr>
            <w:rFonts w:ascii="Arial" w:cs="Arial" w:eastAsia="Arial" w:hAnsi="Arial"/>
            <w:sz w:val="18"/>
            <w:szCs w:val="18"/>
            <w:u w:val="single" w:color="auto"/>
            <w:color w:val="0000FF"/>
          </w:rPr>
          <w:t>by and between American Airlines, Inc. and The Boeing Company (incorporated by reference to Exhibit 10.2 to AAG’s Quarterly</w:t>
        </w:r>
      </w:hyperlink>
    </w:p>
    <w:p>
      <w:pPr>
        <w:ind w:left="920"/>
        <w:spacing w:after="0"/>
        <w:rPr>
          <w:rFonts w:ascii="Arial" w:cs="Arial" w:eastAsia="Arial" w:hAnsi="Arial"/>
          <w:sz w:val="18"/>
          <w:szCs w:val="18"/>
          <w:color w:val="0000FF"/>
        </w:rPr>
      </w:pPr>
      <w:hyperlink r:id="rId502">
        <w:r>
          <w:rPr>
            <w:rFonts w:ascii="Arial" w:cs="Arial" w:eastAsia="Arial" w:hAnsi="Arial"/>
            <w:sz w:val="18"/>
            <w:szCs w:val="18"/>
            <w:u w:val="single" w:color="auto"/>
            <w:color w:val="0000FF"/>
          </w:rPr>
          <w:t>Report on Form 10-Q for the quarter ended March 31,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r:id="rId503">
        <w:r>
          <w:rPr>
            <w:rFonts w:ascii="Arial" w:cs="Arial" w:eastAsia="Arial" w:hAnsi="Arial"/>
            <w:sz w:val="18"/>
            <w:szCs w:val="18"/>
            <w:u w:val="single" w:color="auto"/>
            <w:color w:val="0000FF"/>
          </w:rPr>
          <w:t>Supplemental Agreement No. 16, dated as of May 21, 2021, to Purchase Agreement No. 3219 dated as of October 15, 2008, by</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and between American Airlines, Inc. and The Boeing Company (incorporated by reference to Exhibit 10.4 to AAG’s Quarterly</w:t>
        </w:r>
      </w:hyperlink>
    </w:p>
    <w:p>
      <w:pPr>
        <w:ind w:left="920"/>
        <w:spacing w:after="0"/>
        <w:rPr>
          <w:rFonts w:ascii="Arial" w:cs="Arial" w:eastAsia="Arial" w:hAnsi="Arial"/>
          <w:sz w:val="18"/>
          <w:szCs w:val="18"/>
          <w:color w:val="0000FF"/>
        </w:rPr>
      </w:pPr>
      <w:hyperlink r:id="rId503">
        <w:r>
          <w:rPr>
            <w:rFonts w:ascii="Arial" w:cs="Arial" w:eastAsia="Arial" w:hAnsi="Arial"/>
            <w:sz w:val="18"/>
            <w:szCs w:val="18"/>
            <w:u w:val="single" w:color="auto"/>
            <w:color w:val="0000FF"/>
          </w:rPr>
          <w:t>Report on Form 10-Q for the quarter ended June 30,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504">
        <w:r>
          <w:rPr>
            <w:rFonts w:ascii="Arial" w:cs="Arial" w:eastAsia="Arial" w:hAnsi="Arial"/>
            <w:sz w:val="18"/>
            <w:szCs w:val="18"/>
            <w:u w:val="single" w:color="auto"/>
            <w:color w:val="0000FF"/>
          </w:rPr>
          <w:t>Supplemental Agreement No. 17, dated as of January 31, 2022, to Purchase Agreement No. 3219 dated as of October 15, 2008,</w:t>
        </w:r>
      </w:hyperlink>
      <w:r>
        <w:rPr>
          <w:rFonts w:ascii="Arial" w:cs="Arial" w:eastAsia="Arial" w:hAnsi="Arial"/>
          <w:sz w:val="18"/>
          <w:szCs w:val="18"/>
          <w:u w:val="single" w:color="auto"/>
          <w:color w:val="0000FF"/>
        </w:rPr>
        <w:t xml:space="preserve"> </w:t>
      </w:r>
      <w:hyperlink r:id="rId504">
        <w:r>
          <w:rPr>
            <w:rFonts w:ascii="Arial" w:cs="Arial" w:eastAsia="Arial" w:hAnsi="Arial"/>
            <w:sz w:val="18"/>
            <w:szCs w:val="18"/>
            <w:u w:val="single" w:color="auto"/>
            <w:color w:val="0000FF"/>
          </w:rPr>
          <w:t>by and between American Airlines, Inc. and The Boeing Company (incorporated by reference to Exhibit 10.1 to AAG’s Quarterly</w:t>
        </w:r>
      </w:hyperlink>
    </w:p>
    <w:p>
      <w:pPr>
        <w:ind w:left="920"/>
        <w:spacing w:after="0"/>
        <w:rPr>
          <w:rFonts w:ascii="Arial" w:cs="Arial" w:eastAsia="Arial" w:hAnsi="Arial"/>
          <w:sz w:val="18"/>
          <w:szCs w:val="18"/>
          <w:u w:val="single" w:color="auto"/>
          <w:color w:val="0000FF"/>
        </w:rPr>
      </w:pPr>
      <w:hyperlink r:id="rId504">
        <w:r>
          <w:rPr>
            <w:rFonts w:ascii="Arial" w:cs="Arial" w:eastAsia="Arial" w:hAnsi="Arial"/>
            <w:sz w:val="18"/>
            <w:szCs w:val="18"/>
            <w:u w:val="single" w:color="auto"/>
            <w:color w:val="0000FF"/>
          </w:rPr>
          <w:t>Report on Form 10-Q for the quarter ended March 31, 2022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505">
        <w:r>
          <w:rPr>
            <w:rFonts w:ascii="Arial" w:cs="Arial" w:eastAsia="Arial" w:hAnsi="Arial"/>
            <w:sz w:val="18"/>
            <w:szCs w:val="18"/>
            <w:u w:val="single" w:color="auto"/>
            <w:color w:val="0000FF"/>
          </w:rPr>
          <w:t>Supplemental Agreement No. 18, dated as of February 9, 2023, to Purchase Agreement No. 3219 dated as of October 15, 2008,</w:t>
        </w:r>
      </w:hyperlink>
      <w:r>
        <w:rPr>
          <w:rFonts w:ascii="Arial" w:cs="Arial" w:eastAsia="Arial" w:hAnsi="Arial"/>
          <w:sz w:val="18"/>
          <w:szCs w:val="18"/>
          <w:u w:val="single" w:color="auto"/>
          <w:color w:val="0000FF"/>
        </w:rPr>
        <w:t xml:space="preserve"> </w:t>
      </w:r>
      <w:hyperlink r:id="rId505">
        <w:r>
          <w:rPr>
            <w:rFonts w:ascii="Arial" w:cs="Arial" w:eastAsia="Arial" w:hAnsi="Arial"/>
            <w:sz w:val="18"/>
            <w:szCs w:val="18"/>
            <w:u w:val="single" w:color="auto"/>
            <w:color w:val="0000FF"/>
          </w:rPr>
          <w:t>by and between American Airlines, Inc. and The Boeing Company (incorporated by reference to Exhibit 10.2 to AAG’s Quarterly</w:t>
        </w:r>
      </w:hyperlink>
    </w:p>
    <w:p>
      <w:pPr>
        <w:ind w:left="920"/>
        <w:spacing w:after="0"/>
        <w:rPr>
          <w:rFonts w:ascii="Arial" w:cs="Arial" w:eastAsia="Arial" w:hAnsi="Arial"/>
          <w:sz w:val="18"/>
          <w:szCs w:val="18"/>
          <w:u w:val="single" w:color="auto"/>
          <w:color w:val="0000FF"/>
        </w:rPr>
      </w:pPr>
      <w:hyperlink r:id="rId505">
        <w:r>
          <w:rPr>
            <w:rFonts w:ascii="Arial" w:cs="Arial" w:eastAsia="Arial" w:hAnsi="Arial"/>
            <w:sz w:val="18"/>
            <w:szCs w:val="18"/>
            <w:u w:val="single" w:color="auto"/>
            <w:color w:val="0000FF"/>
          </w:rPr>
          <w:t>Report on Form 10-Q for the quarter ended March 31,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506">
        <w:r>
          <w:rPr>
            <w:rFonts w:ascii="Arial" w:cs="Arial" w:eastAsia="Arial" w:hAnsi="Arial"/>
            <w:sz w:val="18"/>
            <w:szCs w:val="18"/>
            <w:u w:val="single" w:color="auto"/>
            <w:color w:val="0000FF"/>
          </w:rPr>
          <w:t>Supplemental Agreement No. 19, dated as of April 23, 2023, to Purchase Agreement No. 3219 dated as of October 15, 2008, by</w:t>
        </w:r>
      </w:hyperlink>
      <w:r>
        <w:rPr>
          <w:rFonts w:ascii="Arial" w:cs="Arial" w:eastAsia="Arial" w:hAnsi="Arial"/>
          <w:sz w:val="18"/>
          <w:szCs w:val="18"/>
          <w:u w:val="single" w:color="auto"/>
          <w:color w:val="0000FF"/>
        </w:rPr>
        <w:t xml:space="preserve"> </w:t>
      </w:r>
      <w:hyperlink r:id="rId506">
        <w:r>
          <w:rPr>
            <w:rFonts w:ascii="Arial" w:cs="Arial" w:eastAsia="Arial" w:hAnsi="Arial"/>
            <w:sz w:val="18"/>
            <w:szCs w:val="18"/>
            <w:u w:val="single" w:color="auto"/>
            <w:color w:val="0000FF"/>
          </w:rPr>
          <w:t>and between American Airlines, Inc. and The Boeing Company (incorporated by reference to Exhibit 10.1 to AAG’s Quarterly</w:t>
        </w:r>
      </w:hyperlink>
    </w:p>
    <w:p>
      <w:pPr>
        <w:ind w:left="920"/>
        <w:spacing w:after="0"/>
        <w:rPr>
          <w:rFonts w:ascii="Arial" w:cs="Arial" w:eastAsia="Arial" w:hAnsi="Arial"/>
          <w:sz w:val="18"/>
          <w:szCs w:val="18"/>
          <w:u w:val="single" w:color="auto"/>
          <w:color w:val="0000FF"/>
        </w:rPr>
      </w:pPr>
      <w:hyperlink r:id="rId506">
        <w:r>
          <w:rPr>
            <w:rFonts w:ascii="Arial" w:cs="Arial" w:eastAsia="Arial" w:hAnsi="Arial"/>
            <w:sz w:val="18"/>
            <w:szCs w:val="18"/>
            <w:u w:val="single" w:color="auto"/>
            <w:color w:val="0000FF"/>
          </w:rPr>
          <w:t>Report on Form 10-Q for the quarter ended June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10.66</w:t>
      </w:r>
      <w:r>
        <w:rPr>
          <w:sz w:val="20"/>
          <w:szCs w:val="20"/>
          <w:color w:val="auto"/>
        </w:rPr>
        <w:tab/>
      </w:r>
      <w:hyperlink r:id="rId507">
        <w:r>
          <w:rPr>
            <w:rFonts w:ascii="Arial" w:cs="Arial" w:eastAsia="Arial" w:hAnsi="Arial"/>
            <w:sz w:val="18"/>
            <w:szCs w:val="18"/>
            <w:u w:val="single" w:color="auto"/>
            <w:color w:val="0000FF"/>
          </w:rPr>
          <w:t>Supplemental Agreement No. 20, dated as of August 31, 2023, to Purchase Agreement No. 3219 dated as of October 15, 2008,</w:t>
        </w:r>
      </w:hyperlink>
      <w:r>
        <w:rPr>
          <w:rFonts w:ascii="Arial" w:cs="Arial" w:eastAsia="Arial" w:hAnsi="Arial"/>
          <w:sz w:val="18"/>
          <w:szCs w:val="18"/>
          <w:u w:val="single" w:color="auto"/>
          <w:color w:val="0000FF"/>
        </w:rPr>
        <w:t xml:space="preserve"> </w:t>
      </w:r>
      <w:hyperlink r:id="rId507">
        <w:r>
          <w:rPr>
            <w:rFonts w:ascii="Arial" w:cs="Arial" w:eastAsia="Arial" w:hAnsi="Arial"/>
            <w:sz w:val="18"/>
            <w:szCs w:val="18"/>
            <w:u w:val="single" w:color="auto"/>
            <w:color w:val="0000FF"/>
          </w:rPr>
          <w:t>by and between American Airlines, Inc. and The Boeing Company (incorporated by reference to Exhibit 10.2 to AAG’s Quarterly</w:t>
        </w:r>
      </w:hyperlink>
    </w:p>
    <w:p>
      <w:pPr>
        <w:ind w:left="920"/>
        <w:spacing w:after="0"/>
        <w:rPr>
          <w:rFonts w:ascii="Arial" w:cs="Arial" w:eastAsia="Arial" w:hAnsi="Arial"/>
          <w:sz w:val="18"/>
          <w:szCs w:val="18"/>
          <w:u w:val="single" w:color="auto"/>
          <w:color w:val="0000FF"/>
        </w:rPr>
      </w:pPr>
      <w:hyperlink r:id="rId507">
        <w:r>
          <w:rPr>
            <w:rFonts w:ascii="Arial" w:cs="Arial" w:eastAsia="Arial" w:hAnsi="Arial"/>
            <w:sz w:val="18"/>
            <w:szCs w:val="18"/>
            <w:u w:val="single" w:color="auto"/>
            <w:color w:val="0000FF"/>
          </w:rPr>
          <w:t>Report on Form 10-Q for the quarter ended September 30, 2023 (Commission File No. 1-8400)).**</w:t>
        </w:r>
      </w:hyperlink>
    </w:p>
    <w:p>
      <w:pPr>
        <w:spacing w:after="0" w:line="14" w:lineRule="exact"/>
        <w:rPr>
          <w:sz w:val="20"/>
          <w:szCs w:val="20"/>
          <w:color w:val="auto"/>
        </w:rPr>
      </w:pPr>
    </w:p>
    <w:p>
      <w:pPr>
        <w:jc w:val="both"/>
        <w:ind w:left="920" w:hanging="889"/>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10.67</w:t>
      </w:r>
      <w:r>
        <w:rPr>
          <w:sz w:val="20"/>
          <w:szCs w:val="20"/>
          <w:color w:val="auto"/>
        </w:rPr>
        <w:tab/>
      </w:r>
      <w:hyperlink r:id="rId508">
        <w:r>
          <w:rPr>
            <w:rFonts w:ascii="Arial" w:cs="Arial" w:eastAsia="Arial" w:hAnsi="Arial"/>
            <w:sz w:val="18"/>
            <w:szCs w:val="18"/>
            <w:u w:val="single" w:color="auto"/>
            <w:color w:val="0000FF"/>
          </w:rPr>
          <w:t>Supplemental Agreement No. 21, dated as of February 15, 2024, to Purchase Agreement No. 3219 dated as of October 15,</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2008, by and between American Airlines, Inc. and The Boeing Company. (incorporated by reference to Exhibit 10.2 to AAG’s</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Quarterly Report on Form 10-Q for the quarter ended March 31, 2024 (Commission File No. 1-8400)).**</w:t>
        </w:r>
      </w:hyperlink>
    </w:p>
    <w:p>
      <w:pPr>
        <w:spacing w:after="0" w:line="12"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10.68</w:t>
      </w:r>
      <w:r>
        <w:rPr>
          <w:sz w:val="20"/>
          <w:szCs w:val="20"/>
          <w:color w:val="auto"/>
        </w:rPr>
        <w:tab/>
      </w:r>
      <w:hyperlink r:id="rId509">
        <w:r>
          <w:rPr>
            <w:rFonts w:ascii="Arial" w:cs="Arial" w:eastAsia="Arial" w:hAnsi="Arial"/>
            <w:sz w:val="18"/>
            <w:szCs w:val="18"/>
            <w:u w:val="single" w:color="auto"/>
            <w:color w:val="0000FF"/>
          </w:rPr>
          <w:t>A320 Family Aircraft Purchase Agreement, dated as of July 20, 2011, between American Airlines, Inc. and Airbus S.A.S</w:t>
        </w:r>
      </w:hyperlink>
      <w:r>
        <w:rPr>
          <w:rFonts w:ascii="Arial" w:cs="Arial" w:eastAsia="Arial" w:hAnsi="Arial"/>
          <w:sz w:val="18"/>
          <w:szCs w:val="18"/>
          <w:u w:val="single" w:color="auto"/>
          <w:color w:val="0000FF"/>
        </w:rPr>
        <w:t xml:space="preserve"> </w:t>
      </w:r>
      <w:hyperlink r:id="rId509">
        <w:r>
          <w:rPr>
            <w:rFonts w:ascii="Arial" w:cs="Arial" w:eastAsia="Arial" w:hAnsi="Arial"/>
            <w:sz w:val="18"/>
            <w:szCs w:val="18"/>
            <w:u w:val="single" w:color="auto"/>
            <w:color w:val="0000FF"/>
          </w:rPr>
          <w:t>(incorporated by reference to Exhibit 10.46 to AAG’s Annual Report on Form 10-K for the year ended December 31, 2020</w:t>
        </w:r>
      </w:hyperlink>
      <w:r>
        <w:rPr>
          <w:rFonts w:ascii="Arial" w:cs="Arial" w:eastAsia="Arial" w:hAnsi="Arial"/>
          <w:sz w:val="18"/>
          <w:szCs w:val="18"/>
          <w:u w:val="single" w:color="auto"/>
          <w:color w:val="0000FF"/>
        </w:rPr>
        <w:t xml:space="preserve"> </w:t>
      </w:r>
      <w:hyperlink r:id="rId509">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10.69</w:t>
      </w:r>
      <w:r>
        <w:rPr>
          <w:sz w:val="20"/>
          <w:szCs w:val="20"/>
          <w:color w:val="auto"/>
        </w:rPr>
        <w:tab/>
      </w:r>
      <w:hyperlink r:id="rId510">
        <w:r>
          <w:rPr>
            <w:rFonts w:ascii="Arial" w:cs="Arial" w:eastAsia="Arial" w:hAnsi="Arial"/>
            <w:sz w:val="18"/>
            <w:szCs w:val="18"/>
            <w:u w:val="single" w:color="auto"/>
            <w:color w:val="0000FF"/>
          </w:rPr>
          <w:t>Amendment No. 1, dated as of January 11, 2013, to A320 Family Aircraft Purchase Agreement between American Airlines, Inc.</w:t>
        </w:r>
      </w:hyperlink>
      <w:r>
        <w:rPr>
          <w:rFonts w:ascii="Arial" w:cs="Arial" w:eastAsia="Arial" w:hAnsi="Arial"/>
          <w:sz w:val="18"/>
          <w:szCs w:val="18"/>
          <w:u w:val="single" w:color="auto"/>
          <w:color w:val="0000FF"/>
        </w:rPr>
        <w:t xml:space="preserve"> </w:t>
      </w:r>
      <w:hyperlink r:id="rId510">
        <w:r>
          <w:rPr>
            <w:rFonts w:ascii="Arial" w:cs="Arial" w:eastAsia="Arial" w:hAnsi="Arial"/>
            <w:sz w:val="18"/>
            <w:szCs w:val="18"/>
            <w:u w:val="single" w:color="auto"/>
            <w:color w:val="0000FF"/>
          </w:rPr>
          <w:t>and Airbus S.A.S., dated as of July 20, 2011 (incorporated by reference to Exhibit 10.47 to AAG’s Annual Report on Form 10-K</w:t>
        </w:r>
      </w:hyperlink>
      <w:r>
        <w:rPr>
          <w:rFonts w:ascii="Arial" w:cs="Arial" w:eastAsia="Arial" w:hAnsi="Arial"/>
          <w:sz w:val="18"/>
          <w:szCs w:val="18"/>
          <w:u w:val="single" w:color="auto"/>
          <w:color w:val="0000FF"/>
        </w:rPr>
        <w:t xml:space="preserve"> </w:t>
      </w:r>
      <w:hyperlink r:id="rId510">
        <w:r>
          <w:rPr>
            <w:rFonts w:ascii="Arial" w:cs="Arial" w:eastAsia="Arial" w:hAnsi="Arial"/>
            <w:sz w:val="18"/>
            <w:szCs w:val="18"/>
            <w:u w:val="single" w:color="auto"/>
            <w:color w:val="0000FF"/>
          </w:rPr>
          <w:t>for the year ended December 31, 2020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10.70</w:t>
      </w:r>
      <w:r>
        <w:rPr>
          <w:sz w:val="20"/>
          <w:szCs w:val="20"/>
          <w:color w:val="auto"/>
        </w:rPr>
        <w:tab/>
      </w:r>
      <w:hyperlink r:id="rId511">
        <w:r>
          <w:rPr>
            <w:rFonts w:ascii="Arial" w:cs="Arial" w:eastAsia="Arial" w:hAnsi="Arial"/>
            <w:sz w:val="18"/>
            <w:szCs w:val="18"/>
            <w:u w:val="single" w:color="auto"/>
            <w:color w:val="0000FF"/>
          </w:rPr>
          <w:t>Amendment No. 2, dated as of May 30, 2013, to A320 Family Aircraft Purchase Agreement between American Airlines, Inc. and</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Airbus S.A.S, dated as of July 20, 2011 (incorporated by reference to Exhibit 10.48 to AAG’s Annual Report on Form 10-K for the</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year ended December 31, 2020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10.71</w:t>
      </w:r>
      <w:r>
        <w:rPr>
          <w:sz w:val="20"/>
          <w:szCs w:val="20"/>
          <w:color w:val="auto"/>
        </w:rPr>
        <w:tab/>
      </w:r>
      <w:hyperlink r:id="rId513">
        <w:r>
          <w:rPr>
            <w:rFonts w:ascii="Arial" w:cs="Arial" w:eastAsia="Arial" w:hAnsi="Arial"/>
            <w:sz w:val="18"/>
            <w:szCs w:val="18"/>
            <w:u w:val="single" w:color="auto"/>
            <w:color w:val="0000FF"/>
          </w:rPr>
          <w:t>Amendment No. 3, dated as of November 20, 2013, to A320 Family Aircraft Purchase Agreement between American Airlines, Inc.</w:t>
        </w:r>
      </w:hyperlink>
      <w:r>
        <w:rPr>
          <w:rFonts w:ascii="Arial" w:cs="Arial" w:eastAsia="Arial" w:hAnsi="Arial"/>
          <w:sz w:val="18"/>
          <w:szCs w:val="18"/>
          <w:u w:val="single" w:color="auto"/>
          <w:color w:val="0000FF"/>
        </w:rPr>
        <w:t xml:space="preserve"> </w:t>
      </w:r>
      <w:hyperlink r:id="rId513">
        <w:r>
          <w:rPr>
            <w:rFonts w:ascii="Arial" w:cs="Arial" w:eastAsia="Arial" w:hAnsi="Arial"/>
            <w:sz w:val="18"/>
            <w:szCs w:val="18"/>
            <w:u w:val="single" w:color="auto"/>
            <w:color w:val="0000FF"/>
          </w:rPr>
          <w:t>and Airbus S.A.S., dated as of July 20, 2011 (incorporated by reference to Exhibit 10.49 to AAG’s Annual Report on Form 10-K</w:t>
        </w:r>
      </w:hyperlink>
      <w:r>
        <w:rPr>
          <w:rFonts w:ascii="Arial" w:cs="Arial" w:eastAsia="Arial" w:hAnsi="Arial"/>
          <w:sz w:val="18"/>
          <w:szCs w:val="18"/>
          <w:u w:val="single" w:color="auto"/>
          <w:color w:val="0000FF"/>
        </w:rPr>
        <w:t xml:space="preserve"> </w:t>
      </w:r>
      <w:hyperlink r:id="rId513">
        <w:r>
          <w:rPr>
            <w:rFonts w:ascii="Arial" w:cs="Arial" w:eastAsia="Arial" w:hAnsi="Arial"/>
            <w:sz w:val="18"/>
            <w:szCs w:val="18"/>
            <w:u w:val="single" w:color="auto"/>
            <w:color w:val="0000FF"/>
          </w:rPr>
          <w:t>for the year ended December 31, 2020 (Commission File No. 1-8400)).</w:t>
        </w:r>
        <w:r>
          <w:rPr>
            <w:rFonts w:ascii="Arial" w:cs="Arial" w:eastAsia="Arial" w:hAnsi="Arial"/>
            <w:sz w:val="18"/>
            <w:szCs w:val="18"/>
            <w:color w:val="000000"/>
          </w:rPr>
          <w:t>**</w:t>
        </w:r>
      </w:hyperlink>
    </w:p>
    <w:p>
      <w:pPr>
        <w:spacing w:after="0" w:line="15"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10.72</w:t>
      </w:r>
      <w:r>
        <w:rPr>
          <w:sz w:val="20"/>
          <w:szCs w:val="20"/>
          <w:color w:val="auto"/>
        </w:rPr>
        <w:tab/>
      </w:r>
      <w:hyperlink r:id="rId514">
        <w:r>
          <w:rPr>
            <w:rFonts w:ascii="Arial" w:cs="Arial" w:eastAsia="Arial" w:hAnsi="Arial"/>
            <w:sz w:val="18"/>
            <w:szCs w:val="18"/>
            <w:u w:val="single" w:color="auto"/>
            <w:color w:val="0000FF"/>
          </w:rPr>
          <w:t>Amendment No. 4, dated as of June 18, 2014, to the A320 Family Aircraft Purchase Agreement between Airbus S.A.S., as seller,</w:t>
        </w:r>
      </w:hyperlink>
      <w:r>
        <w:rPr>
          <w:rFonts w:ascii="Arial" w:cs="Arial" w:eastAsia="Arial" w:hAnsi="Arial"/>
          <w:sz w:val="18"/>
          <w:szCs w:val="18"/>
          <w:u w:val="single" w:color="auto"/>
          <w:color w:val="0000FF"/>
        </w:rPr>
        <w:t xml:space="preserve"> </w:t>
      </w:r>
      <w:hyperlink r:id="rId514">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514">
        <w:r>
          <w:rPr>
            <w:rFonts w:ascii="Arial" w:cs="Arial" w:eastAsia="Arial" w:hAnsi="Arial"/>
            <w:sz w:val="18"/>
            <w:szCs w:val="18"/>
            <w:u w:val="single" w:color="auto"/>
            <w:color w:val="0000FF"/>
          </w:rPr>
          <w:t>otherwise modified (incorporated by reference to Exhibit 10.50 to AAG’s Annual Report on Form 10-K for the year ended</w:t>
        </w:r>
      </w:hyperlink>
      <w:r>
        <w:rPr>
          <w:rFonts w:ascii="Arial" w:cs="Arial" w:eastAsia="Arial" w:hAnsi="Arial"/>
          <w:sz w:val="18"/>
          <w:szCs w:val="18"/>
          <w:u w:val="single" w:color="auto"/>
          <w:color w:val="0000FF"/>
        </w:rPr>
        <w:t xml:space="preserve"> </w:t>
      </w:r>
      <w:hyperlink r:id="rId514">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10.73</w:t>
      </w:r>
      <w:r>
        <w:rPr>
          <w:sz w:val="20"/>
          <w:szCs w:val="20"/>
          <w:color w:val="auto"/>
        </w:rPr>
        <w:tab/>
      </w:r>
      <w:hyperlink r:id="rId515">
        <w:r>
          <w:rPr>
            <w:rFonts w:ascii="Arial" w:cs="Arial" w:eastAsia="Arial" w:hAnsi="Arial"/>
            <w:sz w:val="18"/>
            <w:szCs w:val="18"/>
            <w:u w:val="single" w:color="auto"/>
            <w:color w:val="0000FF"/>
          </w:rPr>
          <w:t>Amendment No. 5, dated as of June 24, 2014, to the A320 Family Aircraft Purchase Agreement between Airbus S.A.S., as seller,</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otherwise modified (incorporated by reference to Exhibit 10.51 to AAG’s Annual Report on Form 10-K for the year ended</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10.74</w:t>
      </w:r>
      <w:r>
        <w:rPr>
          <w:sz w:val="20"/>
          <w:szCs w:val="20"/>
          <w:color w:val="auto"/>
        </w:rPr>
        <w:tab/>
      </w:r>
      <w:hyperlink r:id="rId516">
        <w:r>
          <w:rPr>
            <w:rFonts w:ascii="Arial" w:cs="Arial" w:eastAsia="Arial" w:hAnsi="Arial"/>
            <w:sz w:val="18"/>
            <w:szCs w:val="18"/>
            <w:u w:val="single" w:color="auto"/>
            <w:color w:val="0000FF"/>
          </w:rPr>
          <w:t>Amendment No. 6, dated as of July 1, 2014, to the A320 Family Aircraft Purchase Agreement between Airbus S.A.S., as seller,</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otherwise modified (incorporated by reference to Exhibit 10.52 to AAG’s Annual Report on Form 10-K for the year ended</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10.75</w:t>
      </w:r>
      <w:r>
        <w:rPr>
          <w:sz w:val="20"/>
          <w:szCs w:val="20"/>
          <w:color w:val="auto"/>
        </w:rPr>
        <w:tab/>
      </w:r>
      <w:hyperlink r:id="rId517">
        <w:r>
          <w:rPr>
            <w:rFonts w:ascii="Arial" w:cs="Arial" w:eastAsia="Arial" w:hAnsi="Arial"/>
            <w:sz w:val="18"/>
            <w:szCs w:val="18"/>
            <w:u w:val="single" w:color="auto"/>
            <w:color w:val="0000FF"/>
          </w:rPr>
          <w:t>Amendment No. 7, dated as of November 25, 2014, to the A320 Family Aircraft Purchase Agreement between Airbus S.A.S., as</w:t>
        </w:r>
      </w:hyperlink>
      <w:r>
        <w:rPr>
          <w:rFonts w:ascii="Arial" w:cs="Arial" w:eastAsia="Arial" w:hAnsi="Arial"/>
          <w:sz w:val="18"/>
          <w:szCs w:val="18"/>
          <w:u w:val="single" w:color="auto"/>
          <w:color w:val="0000FF"/>
        </w:rPr>
        <w:t xml:space="preserve"> </w:t>
      </w:r>
      <w:hyperlink r:id="rId517">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517">
        <w:r>
          <w:rPr>
            <w:rFonts w:ascii="Arial" w:cs="Arial" w:eastAsia="Arial" w:hAnsi="Arial"/>
            <w:sz w:val="18"/>
            <w:szCs w:val="18"/>
            <w:u w:val="single" w:color="auto"/>
            <w:color w:val="0000FF"/>
          </w:rPr>
          <w:t>supplemented or otherwise (incorporated by reference to Exhibit 10.53 to AAG’s Annual Report on Form 10-K for the year ended</w:t>
        </w:r>
      </w:hyperlink>
      <w:r>
        <w:rPr>
          <w:rFonts w:ascii="Arial" w:cs="Arial" w:eastAsia="Arial" w:hAnsi="Arial"/>
          <w:sz w:val="18"/>
          <w:szCs w:val="18"/>
          <w:u w:val="single" w:color="auto"/>
          <w:color w:val="0000FF"/>
        </w:rPr>
        <w:t xml:space="preserve"> </w:t>
      </w:r>
      <w:hyperlink r:id="rId517">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10.76</w:t>
      </w:r>
      <w:r>
        <w:rPr>
          <w:sz w:val="20"/>
          <w:szCs w:val="20"/>
          <w:color w:val="auto"/>
        </w:rPr>
        <w:tab/>
      </w:r>
      <w:hyperlink r:id="rId518">
        <w:r>
          <w:rPr>
            <w:rFonts w:ascii="Arial" w:cs="Arial" w:eastAsia="Arial" w:hAnsi="Arial"/>
            <w:sz w:val="18"/>
            <w:szCs w:val="18"/>
            <w:u w:val="single" w:color="auto"/>
            <w:color w:val="0000FF"/>
          </w:rPr>
          <w:t>Amendment No. 8, dated as of June 11, 2015, to the A320 Family Aircraft Purchase Agreement between American Airlines, Inc.</w:t>
        </w:r>
      </w:hyperlink>
      <w:r>
        <w:rPr>
          <w:rFonts w:ascii="Arial" w:cs="Arial" w:eastAsia="Arial" w:hAnsi="Arial"/>
          <w:sz w:val="18"/>
          <w:szCs w:val="18"/>
          <w:u w:val="single" w:color="auto"/>
          <w:color w:val="0000FF"/>
        </w:rPr>
        <w:t xml:space="preserve"> </w:t>
      </w:r>
      <w:hyperlink r:id="rId518">
        <w:r>
          <w:rPr>
            <w:rFonts w:ascii="Arial" w:cs="Arial" w:eastAsia="Arial" w:hAnsi="Arial"/>
            <w:sz w:val="18"/>
            <w:szCs w:val="18"/>
            <w:u w:val="single" w:color="auto"/>
            <w:color w:val="0000FF"/>
          </w:rPr>
          <w:t>and Airbus S.A.S., dated as of July 20, 2011, as amended, restated, amended and restated, supplemented or otherwise modified</w:t>
        </w:r>
      </w:hyperlink>
      <w:r>
        <w:rPr>
          <w:rFonts w:ascii="Arial" w:cs="Arial" w:eastAsia="Arial" w:hAnsi="Arial"/>
          <w:sz w:val="18"/>
          <w:szCs w:val="18"/>
          <w:u w:val="single" w:color="auto"/>
          <w:color w:val="0000FF"/>
        </w:rPr>
        <w:t xml:space="preserve"> </w:t>
      </w:r>
      <w:hyperlink r:id="rId518">
        <w:r>
          <w:rPr>
            <w:rFonts w:ascii="Arial" w:cs="Arial" w:eastAsia="Arial" w:hAnsi="Arial"/>
            <w:sz w:val="18"/>
            <w:szCs w:val="18"/>
            <w:u w:val="single" w:color="auto"/>
            <w:color w:val="0000FF"/>
          </w:rPr>
          <w:t>(incorporated by reference to Exhibit 10.54 to AAG’s Annual Report on Form 10-K for the year ended December 31, 2020</w:t>
        </w:r>
      </w:hyperlink>
      <w:r>
        <w:rPr>
          <w:rFonts w:ascii="Arial" w:cs="Arial" w:eastAsia="Arial" w:hAnsi="Arial"/>
          <w:sz w:val="18"/>
          <w:szCs w:val="18"/>
          <w:u w:val="single" w:color="auto"/>
          <w:color w:val="0000FF"/>
        </w:rPr>
        <w:t xml:space="preserve"> </w:t>
      </w:r>
      <w:hyperlink r:id="rId518">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10.77</w:t>
      </w:r>
      <w:r>
        <w:rPr>
          <w:sz w:val="20"/>
          <w:szCs w:val="20"/>
          <w:color w:val="auto"/>
        </w:rPr>
        <w:tab/>
      </w:r>
      <w:hyperlink r:id="rId519">
        <w:r>
          <w:rPr>
            <w:rFonts w:ascii="Arial" w:cs="Arial" w:eastAsia="Arial" w:hAnsi="Arial"/>
            <w:sz w:val="18"/>
            <w:szCs w:val="18"/>
            <w:u w:val="single" w:color="auto"/>
            <w:color w:val="0000FF"/>
          </w:rPr>
          <w:t>Amendment No. 9, dated as of September 23, 2015, to the A320 Family Aircraft Purchase Agreement, dated as of July 20, 2011,</w:t>
        </w:r>
      </w:hyperlink>
      <w:r>
        <w:rPr>
          <w:rFonts w:ascii="Arial" w:cs="Arial" w:eastAsia="Arial" w:hAnsi="Arial"/>
          <w:sz w:val="18"/>
          <w:szCs w:val="18"/>
          <w:u w:val="single" w:color="auto"/>
          <w:color w:val="0000FF"/>
        </w:rPr>
        <w:t xml:space="preserve"> </w:t>
      </w:r>
      <w:hyperlink r:id="rId519">
        <w:r>
          <w:rPr>
            <w:rFonts w:ascii="Arial" w:cs="Arial" w:eastAsia="Arial" w:hAnsi="Arial"/>
            <w:sz w:val="18"/>
            <w:szCs w:val="18"/>
            <w:u w:val="single" w:color="auto"/>
            <w:color w:val="0000FF"/>
          </w:rPr>
          <w:t>between American Airlines, Inc. and Airbus S.A.S. (incorporated by reference to Exhibit 10.55 to AAG’s Annual Report on Form</w:t>
        </w:r>
      </w:hyperlink>
      <w:r>
        <w:rPr>
          <w:rFonts w:ascii="Arial" w:cs="Arial" w:eastAsia="Arial" w:hAnsi="Arial"/>
          <w:sz w:val="18"/>
          <w:szCs w:val="18"/>
          <w:u w:val="single" w:color="auto"/>
          <w:color w:val="0000FF"/>
        </w:rPr>
        <w:t xml:space="preserve"> </w:t>
      </w:r>
      <w:hyperlink r:id="rId519">
        <w:r>
          <w:rPr>
            <w:rFonts w:ascii="Arial" w:cs="Arial" w:eastAsia="Arial" w:hAnsi="Arial"/>
            <w:sz w:val="18"/>
            <w:szCs w:val="18"/>
            <w:u w:val="single" w:color="auto"/>
            <w:color w:val="0000FF"/>
          </w:rPr>
          <w:t>10-K for the year ended December 31, 2020 (Commission File No. 1-8400)).</w:t>
        </w:r>
        <w:r>
          <w:rPr>
            <w:rFonts w:ascii="Arial" w:cs="Arial" w:eastAsia="Arial" w:hAnsi="Arial"/>
            <w:sz w:val="18"/>
            <w:szCs w:val="18"/>
            <w:color w:val="000000"/>
          </w:rPr>
          <w:t>**</w:t>
        </w:r>
      </w:hyperlink>
    </w:p>
    <w:p>
      <w:pPr>
        <w:sectPr>
          <w:pgSz w:w="11900" w:h="16838" w:orient="portrait"/>
          <w:cols w:equalWidth="0" w:num="1">
            <w:col w:w="11220"/>
          </w:cols>
          <w:pgMar w:left="320" w:top="364" w:right="359" w:bottom="1440" w:gutter="0" w:footer="0" w:header="0"/>
        </w:sectPr>
      </w:pPr>
    </w:p>
    <w:p>
      <w:pPr>
        <w:spacing w:after="0" w:line="9"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10.78</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10.79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20">
        <w:r>
          <w:rPr>
            <w:rFonts w:ascii="Arial" w:cs="Arial" w:eastAsia="Arial" w:hAnsi="Arial"/>
            <w:sz w:val="18"/>
            <w:szCs w:val="18"/>
            <w:u w:val="single" w:color="auto"/>
            <w:color w:val="0000FF"/>
          </w:rPr>
          <w:t>Amendment No. 10, dated as of July 16, 2018, to the A320 Family Aircraft Purchase Agreement, dated as of July 20, 2011,</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between American Airlines, Inc. and Airbus S.A.S. (incorporated by reference to Exhibit 10.56 to AAG’s Annual Report on Form</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521">
        <w:r>
          <w:rPr>
            <w:rFonts w:ascii="Arial" w:cs="Arial" w:eastAsia="Arial" w:hAnsi="Arial"/>
            <w:sz w:val="18"/>
            <w:szCs w:val="18"/>
            <w:u w:val="single" w:color="auto"/>
            <w:color w:val="0000FF"/>
          </w:rPr>
          <w:t>Amendment No. 11, dated as of June 19, 2019, to the A320 Family Aircraft Purchase Agreement, dated as of July 20, 2011,</w:t>
        </w:r>
      </w:hyperlink>
      <w:r>
        <w:rPr>
          <w:rFonts w:ascii="Arial" w:cs="Arial" w:eastAsia="Arial" w:hAnsi="Arial"/>
          <w:sz w:val="18"/>
          <w:szCs w:val="18"/>
          <w:u w:val="single" w:color="auto"/>
          <w:color w:val="0000FF"/>
        </w:rPr>
        <w:t xml:space="preserve"> </w:t>
      </w:r>
      <w:hyperlink r:id="rId521">
        <w:r>
          <w:rPr>
            <w:rFonts w:ascii="Arial" w:cs="Arial" w:eastAsia="Arial" w:hAnsi="Arial"/>
            <w:sz w:val="18"/>
            <w:szCs w:val="18"/>
            <w:u w:val="single" w:color="auto"/>
            <w:color w:val="0000FF"/>
          </w:rPr>
          <w:t>between American Airlines, Inc. and Airbus S.A.S. (incorporated by reference to Exhibit 10.2 to AAG’s Quarterly Report on Form</w:t>
        </w:r>
      </w:hyperlink>
      <w:r>
        <w:rPr>
          <w:rFonts w:ascii="Arial" w:cs="Arial" w:eastAsia="Arial" w:hAnsi="Arial"/>
          <w:sz w:val="18"/>
          <w:szCs w:val="18"/>
          <w:u w:val="single" w:color="auto"/>
          <w:color w:val="0000FF"/>
        </w:rPr>
        <w:t xml:space="preserve"> </w:t>
      </w:r>
      <w:hyperlink r:id="rId521">
        <w:r>
          <w:rPr>
            <w:rFonts w:ascii="Arial" w:cs="Arial" w:eastAsia="Arial" w:hAnsi="Arial"/>
            <w:sz w:val="18"/>
            <w:szCs w:val="18"/>
            <w:u w:val="single" w:color="auto"/>
            <w:color w:val="0000FF"/>
          </w:rPr>
          <w:t>10-Q for the quarter ended June 30, 2019 (Commission File No. 1-8400)).</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480" w:space="440"/>
            <w:col w:w="10300"/>
          </w:cols>
          <w:pgMar w:left="320" w:top="364" w:right="359" w:bottom="1440" w:gutter="0" w:footer="0" w:header="0"/>
          <w:type w:val="continuous"/>
        </w:sect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10.80</w:t>
      </w:r>
      <w:r>
        <w:rPr>
          <w:sz w:val="20"/>
          <w:szCs w:val="20"/>
          <w:color w:val="auto"/>
        </w:rPr>
        <w:tab/>
      </w:r>
      <w:hyperlink r:id="rId522">
        <w:r>
          <w:rPr>
            <w:rFonts w:ascii="Arial" w:cs="Arial" w:eastAsia="Arial" w:hAnsi="Arial"/>
            <w:sz w:val="18"/>
            <w:szCs w:val="18"/>
            <w:u w:val="single" w:color="auto"/>
            <w:color w:val="0000FF"/>
          </w:rPr>
          <w:t>Amendment No. 12, dated as of June 26, 2020, to the A320 Family Aircraft Purchase Agreement between Airbus S.A.S., as</w:t>
        </w:r>
      </w:hyperlink>
      <w:r>
        <w:rPr>
          <w:rFonts w:ascii="Arial" w:cs="Arial" w:eastAsia="Arial" w:hAnsi="Arial"/>
          <w:sz w:val="18"/>
          <w:szCs w:val="18"/>
          <w:u w:val="single" w:color="auto"/>
          <w:color w:val="0000FF"/>
        </w:rPr>
        <w:t xml:space="preserve"> </w:t>
      </w:r>
      <w:hyperlink r:id="rId522">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522">
        <w:r>
          <w:rPr>
            <w:rFonts w:ascii="Arial" w:cs="Arial" w:eastAsia="Arial" w:hAnsi="Arial"/>
            <w:sz w:val="18"/>
            <w:szCs w:val="18"/>
            <w:u w:val="single" w:color="auto"/>
            <w:color w:val="0000FF"/>
          </w:rPr>
          <w:t>supplemented or otherwise (incorporated by reference to Exhibit 10.3 to AAG’s Quarterly Report on Form 10-Q for the quarter</w:t>
        </w:r>
      </w:hyperlink>
      <w:r>
        <w:rPr>
          <w:rFonts w:ascii="Arial" w:cs="Arial" w:eastAsia="Arial" w:hAnsi="Arial"/>
          <w:sz w:val="18"/>
          <w:szCs w:val="18"/>
          <w:u w:val="single" w:color="auto"/>
          <w:color w:val="0000FF"/>
        </w:rPr>
        <w:t xml:space="preserve"> </w:t>
      </w:r>
      <w:hyperlink r:id="rId522">
        <w:r>
          <w:rPr>
            <w:rFonts w:ascii="Arial" w:cs="Arial" w:eastAsia="Arial" w:hAnsi="Arial"/>
            <w:sz w:val="18"/>
            <w:szCs w:val="18"/>
            <w:u w:val="single" w:color="auto"/>
            <w:color w:val="0000FF"/>
          </w:rPr>
          <w:t>ended June 30, 2020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10.81</w:t>
      </w:r>
      <w:r>
        <w:rPr>
          <w:sz w:val="20"/>
          <w:szCs w:val="20"/>
          <w:color w:val="auto"/>
        </w:rPr>
        <w:tab/>
      </w:r>
      <w:hyperlink r:id="rId523">
        <w:r>
          <w:rPr>
            <w:rFonts w:ascii="Arial" w:cs="Arial" w:eastAsia="Arial" w:hAnsi="Arial"/>
            <w:sz w:val="18"/>
            <w:szCs w:val="18"/>
            <w:u w:val="single" w:color="auto"/>
            <w:color w:val="0000FF"/>
          </w:rPr>
          <w:t>Amendment No. 13, dated as of July 13, 2020, to the A320 Family Aircraft Purchase Agreement between Airbus S.A.S., as seller,</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otherwise (incorporated by reference to Exhibit 10.2 to AAG’s Quarterly Report on Form 10-Q for the quarter ended September</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30, 2020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10.82</w:t>
      </w:r>
      <w:r>
        <w:rPr>
          <w:sz w:val="20"/>
          <w:szCs w:val="20"/>
          <w:color w:val="auto"/>
        </w:rPr>
        <w:tab/>
      </w:r>
      <w:hyperlink r:id="rId524">
        <w:r>
          <w:rPr>
            <w:rFonts w:ascii="Arial" w:cs="Arial" w:eastAsia="Arial" w:hAnsi="Arial"/>
            <w:sz w:val="18"/>
            <w:szCs w:val="18"/>
            <w:u w:val="single" w:color="auto"/>
            <w:color w:val="0000FF"/>
          </w:rPr>
          <w:t>Amendment No. 14, dated as of October 8, 2020, to the A320 Family Aircraft Purchase Agreement between Airbus S.A.S., as</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supplemented or otherwise (incorporated by reference to Exhibit 10.60 to AAG’s Annual Report on Form 10-K for the year ended</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10.83</w:t>
      </w:r>
      <w:r>
        <w:rPr>
          <w:sz w:val="20"/>
          <w:szCs w:val="20"/>
          <w:color w:val="auto"/>
        </w:rPr>
        <w:tab/>
      </w:r>
      <w:hyperlink r:id="rId525">
        <w:r>
          <w:rPr>
            <w:rFonts w:ascii="Arial" w:cs="Arial" w:eastAsia="Arial" w:hAnsi="Arial"/>
            <w:sz w:val="18"/>
            <w:szCs w:val="18"/>
            <w:u w:val="single" w:color="auto"/>
            <w:color w:val="0000FF"/>
          </w:rPr>
          <w:t>Amendment No. 15, dated as of June 30, 2021, to the A320 Family Aircraft Purchase Agreement between Airbus S.A.S., as</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supplemented or otherwise (incorporated by reference to Exhibit 10.2 to AAG’s Quarterly Report on Form 10-Q for the quarter</w:t>
        </w:r>
      </w:hyperlink>
      <w:r>
        <w:rPr>
          <w:rFonts w:ascii="Arial" w:cs="Arial" w:eastAsia="Arial" w:hAnsi="Arial"/>
          <w:sz w:val="18"/>
          <w:szCs w:val="18"/>
          <w:u w:val="single" w:color="auto"/>
          <w:color w:val="0000FF"/>
        </w:rPr>
        <w:t xml:space="preserve"> </w:t>
      </w:r>
      <w:hyperlink r:id="rId525">
        <w:r>
          <w:rPr>
            <w:rFonts w:ascii="Arial" w:cs="Arial" w:eastAsia="Arial" w:hAnsi="Arial"/>
            <w:sz w:val="18"/>
            <w:szCs w:val="18"/>
            <w:u w:val="single" w:color="auto"/>
            <w:color w:val="0000FF"/>
          </w:rPr>
          <w:t>ended September 30, 2021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60"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10.84</w:t>
      </w:r>
      <w:r>
        <w:rPr>
          <w:sz w:val="20"/>
          <w:szCs w:val="20"/>
          <w:color w:val="auto"/>
        </w:rPr>
        <w:tab/>
      </w:r>
      <w:hyperlink r:id="rId526">
        <w:r>
          <w:rPr>
            <w:rFonts w:ascii="Arial" w:cs="Arial" w:eastAsia="Arial" w:hAnsi="Arial"/>
            <w:sz w:val="18"/>
            <w:szCs w:val="18"/>
            <w:u w:val="single" w:color="auto"/>
            <w:color w:val="0000FF"/>
          </w:rPr>
          <w:t>Amendment No. 16, dated as of March 2, 2024, to the A320 Family Aircraft Purchase Agreement between Airbus S.A.S., as</w:t>
        </w:r>
      </w:hyperlink>
      <w:r>
        <w:rPr>
          <w:rFonts w:ascii="Arial" w:cs="Arial" w:eastAsia="Arial" w:hAnsi="Arial"/>
          <w:sz w:val="18"/>
          <w:szCs w:val="18"/>
          <w:u w:val="single" w:color="auto"/>
          <w:color w:val="0000FF"/>
        </w:rPr>
        <w:t xml:space="preserve"> </w:t>
      </w:r>
      <w:hyperlink r:id="rId526">
        <w:r>
          <w:rPr>
            <w:rFonts w:ascii="Arial" w:cs="Arial" w:eastAsia="Arial" w:hAnsi="Arial"/>
            <w:sz w:val="18"/>
            <w:szCs w:val="18"/>
            <w:u w:val="single" w:color="auto"/>
            <w:color w:val="0000FF"/>
          </w:rPr>
          <w:t>seller, and American Airlines, Inc. as buyer, dated as of July 20, 2011. (incorporated by reference to Exhibit 10.1 to AAG’s</w:t>
        </w:r>
      </w:hyperlink>
      <w:r>
        <w:rPr>
          <w:rFonts w:ascii="Arial" w:cs="Arial" w:eastAsia="Arial" w:hAnsi="Arial"/>
          <w:sz w:val="18"/>
          <w:szCs w:val="18"/>
          <w:u w:val="single" w:color="auto"/>
          <w:color w:val="0000FF"/>
        </w:rPr>
        <w:t xml:space="preserve"> </w:t>
      </w:r>
      <w:hyperlink r:id="rId526">
        <w:r>
          <w:rPr>
            <w:rFonts w:ascii="Arial" w:cs="Arial" w:eastAsia="Arial" w:hAnsi="Arial"/>
            <w:sz w:val="18"/>
            <w:szCs w:val="18"/>
            <w:u w:val="single" w:color="auto"/>
            <w:color w:val="0000FF"/>
          </w:rPr>
          <w:t>Quarterly Report on Form 10-Q for the quarter ended March 31, 2024 (Commission File No. 1-8400)).**</w:t>
        </w:r>
      </w:hyperlink>
    </w:p>
    <w:p>
      <w:pPr>
        <w:sectPr>
          <w:pgSz w:w="11900" w:h="16838" w:orient="portrait"/>
          <w:cols w:equalWidth="0" w:num="1">
            <w:col w:w="11220"/>
          </w:cols>
          <w:pgMar w:left="320" w:top="364"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314"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7"/>
          <w:szCs w:val="17"/>
          <w:color w:val="auto"/>
        </w:rPr>
        <w:t>193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line="256" w:lineRule="auto"/>
        <w:rPr>
          <w:sz w:val="20"/>
          <w:szCs w:val="20"/>
          <w:color w:val="auto"/>
        </w:rPr>
      </w:pPr>
      <w:r>
        <w:rPr>
          <w:rFonts w:ascii="Arial" w:cs="Arial" w:eastAsia="Arial" w:hAnsi="Arial"/>
          <w:sz w:val="14"/>
          <w:szCs w:val="14"/>
          <w:b w:val="1"/>
          <w:bCs w:val="1"/>
          <w:color w:val="auto"/>
        </w:rPr>
        <w:t xml:space="preserve">Exhibit </w:t>
      </w:r>
      <w:r>
        <w:rPr>
          <w:rFonts w:ascii="Arial" w:cs="Arial" w:eastAsia="Arial" w:hAnsi="Arial"/>
          <w:sz w:val="14"/>
          <w:szCs w:val="14"/>
          <w:b w:val="1"/>
          <w:bCs w:val="1"/>
          <w:u w:val="single" w:color="auto"/>
          <w:color w:val="auto"/>
        </w:rPr>
        <w:t>Number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10.85</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10.86</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10.87</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10.88</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10.89</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10.90</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10.91</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10.92</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10.93</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10.94</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10.95</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10.96</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45" w:lineRule="exact"/>
        <w:rPr>
          <w:sz w:val="20"/>
          <w:szCs w:val="20"/>
          <w:color w:val="auto"/>
        </w:rPr>
      </w:pPr>
    </w:p>
    <w:p>
      <w:pPr>
        <w:jc w:val="both"/>
        <w:spacing w:after="0" w:line="260" w:lineRule="auto"/>
        <w:rPr>
          <w:rFonts w:ascii="Arial" w:cs="Arial" w:eastAsia="Arial" w:hAnsi="Arial"/>
          <w:sz w:val="18"/>
          <w:szCs w:val="18"/>
          <w:color w:val="0000FF"/>
        </w:rPr>
      </w:pPr>
      <w:hyperlink r:id="rId528">
        <w:r>
          <w:rPr>
            <w:rFonts w:ascii="Arial" w:cs="Arial" w:eastAsia="Arial" w:hAnsi="Arial"/>
            <w:sz w:val="18"/>
            <w:szCs w:val="18"/>
            <w:u w:val="single" w:color="auto"/>
            <w:color w:val="0000FF"/>
          </w:rPr>
          <w:t>Purchase Agreement No. 03735, dated as of February 1, 2013, between American Airlines, Inc., and The Boeing Company</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(incorporated by reference to Exhibit 10.69 to AAG’s Annual Report on Form 10-K for the year ended December 31, 2021</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29">
        <w:r>
          <w:rPr>
            <w:rFonts w:ascii="Arial" w:cs="Arial" w:eastAsia="Arial" w:hAnsi="Arial"/>
            <w:sz w:val="18"/>
            <w:szCs w:val="18"/>
            <w:u w:val="single" w:color="auto"/>
            <w:color w:val="0000FF"/>
          </w:rPr>
          <w:t>Supplemental Agreement No. 1, dated as of April 15, 2013, to Purchase Agreement No. 03735 dated as of February 1, 2013,</w:t>
        </w:r>
      </w:hyperlink>
      <w:r>
        <w:rPr>
          <w:rFonts w:ascii="Arial" w:cs="Arial" w:eastAsia="Arial" w:hAnsi="Arial"/>
          <w:sz w:val="18"/>
          <w:szCs w:val="18"/>
          <w:u w:val="single" w:color="auto"/>
          <w:color w:val="0000FF"/>
        </w:rPr>
        <w:t xml:space="preserve"> </w:t>
      </w:r>
      <w:hyperlink r:id="rId529">
        <w:r>
          <w:rPr>
            <w:rFonts w:ascii="Arial" w:cs="Arial" w:eastAsia="Arial" w:hAnsi="Arial"/>
            <w:sz w:val="18"/>
            <w:szCs w:val="18"/>
            <w:u w:val="single" w:color="auto"/>
            <w:color w:val="0000FF"/>
          </w:rPr>
          <w:t>between American Airlines, Inc. and The Boeing Company (incorporated by reference to Exhibit 10.70 to AAG’s Annual Report on</w:t>
        </w:r>
      </w:hyperlink>
      <w:r>
        <w:rPr>
          <w:rFonts w:ascii="Arial" w:cs="Arial" w:eastAsia="Arial" w:hAnsi="Arial"/>
          <w:sz w:val="18"/>
          <w:szCs w:val="18"/>
          <w:u w:val="single" w:color="auto"/>
          <w:color w:val="0000FF"/>
        </w:rPr>
        <w:t xml:space="preserve"> </w:t>
      </w:r>
      <w:hyperlink r:id="rId529">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0">
        <w:r>
          <w:rPr>
            <w:rFonts w:ascii="Arial" w:cs="Arial" w:eastAsia="Arial" w:hAnsi="Arial"/>
            <w:sz w:val="18"/>
            <w:szCs w:val="18"/>
            <w:u w:val="single" w:color="auto"/>
            <w:color w:val="0000FF"/>
          </w:rPr>
          <w:t>Supplemental Agreement No. 2, dated as of March 6, 2015, to Purchase Agreement No. 03735 dated as of February 1, 2013,</w:t>
        </w:r>
      </w:hyperlink>
      <w:r>
        <w:rPr>
          <w:rFonts w:ascii="Arial" w:cs="Arial" w:eastAsia="Arial" w:hAnsi="Arial"/>
          <w:sz w:val="18"/>
          <w:szCs w:val="18"/>
          <w:u w:val="single" w:color="auto"/>
          <w:color w:val="0000FF"/>
        </w:rPr>
        <w:t xml:space="preserve"> </w:t>
      </w:r>
      <w:hyperlink r:id="rId530">
        <w:r>
          <w:rPr>
            <w:rFonts w:ascii="Arial" w:cs="Arial" w:eastAsia="Arial" w:hAnsi="Arial"/>
            <w:sz w:val="18"/>
            <w:szCs w:val="18"/>
            <w:u w:val="single" w:color="auto"/>
            <w:color w:val="0000FF"/>
          </w:rPr>
          <w:t>between American Airlines, Inc. and The Boeing Company (incorporated by reference to Exhibit 10.71 to AAG’s Annual Report on</w:t>
        </w:r>
      </w:hyperlink>
      <w:r>
        <w:rPr>
          <w:rFonts w:ascii="Arial" w:cs="Arial" w:eastAsia="Arial" w:hAnsi="Arial"/>
          <w:sz w:val="18"/>
          <w:szCs w:val="18"/>
          <w:u w:val="single" w:color="auto"/>
          <w:color w:val="0000FF"/>
        </w:rPr>
        <w:t xml:space="preserve"> </w:t>
      </w:r>
      <w:hyperlink r:id="rId530">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1">
        <w:r>
          <w:rPr>
            <w:rFonts w:ascii="Arial" w:cs="Arial" w:eastAsia="Arial" w:hAnsi="Arial"/>
            <w:sz w:val="18"/>
            <w:szCs w:val="18"/>
            <w:u w:val="single" w:color="auto"/>
            <w:color w:val="0000FF"/>
          </w:rPr>
          <w:t>Supplemental Agreement No. 3, dated as of May 22, 2015, to Purchase Agreement No. 03735 dated as of February 1, 2013,</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between American Airlines, Inc. and The Boeing Company (incorporated by reference to Exhibit 10.72 to AAG’s Annual Report on</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2">
        <w:r>
          <w:rPr>
            <w:rFonts w:ascii="Arial" w:cs="Arial" w:eastAsia="Arial" w:hAnsi="Arial"/>
            <w:sz w:val="18"/>
            <w:szCs w:val="18"/>
            <w:u w:val="single" w:color="auto"/>
            <w:color w:val="0000FF"/>
          </w:rPr>
          <w:t>Letter Agreement, dated as of January 14, 2016, to Purchase Agreement No. 03735 dated as of February 1, 2013, between</w:t>
        </w:r>
      </w:hyperlink>
      <w:r>
        <w:rPr>
          <w:rFonts w:ascii="Arial" w:cs="Arial" w:eastAsia="Arial" w:hAnsi="Arial"/>
          <w:sz w:val="18"/>
          <w:szCs w:val="18"/>
          <w:u w:val="single" w:color="auto"/>
          <w:color w:val="0000FF"/>
        </w:rPr>
        <w:t xml:space="preserve"> </w:t>
      </w:r>
      <w:hyperlink r:id="rId532">
        <w:r>
          <w:rPr>
            <w:rFonts w:ascii="Arial" w:cs="Arial" w:eastAsia="Arial" w:hAnsi="Arial"/>
            <w:sz w:val="18"/>
            <w:szCs w:val="18"/>
            <w:u w:val="single" w:color="auto"/>
            <w:color w:val="0000FF"/>
          </w:rPr>
          <w:t>American Airlines, Inc. and The Boeing Company (incorporated by reference to Exhibit 10.73 to AAG’s Annual Report on Form</w:t>
        </w:r>
      </w:hyperlink>
      <w:r>
        <w:rPr>
          <w:rFonts w:ascii="Arial" w:cs="Arial" w:eastAsia="Arial" w:hAnsi="Arial"/>
          <w:sz w:val="18"/>
          <w:szCs w:val="18"/>
          <w:u w:val="single" w:color="auto"/>
          <w:color w:val="0000FF"/>
        </w:rPr>
        <w:t xml:space="preserve"> </w:t>
      </w:r>
      <w:hyperlink r:id="rId532">
        <w:r>
          <w:rPr>
            <w:rFonts w:ascii="Arial" w:cs="Arial" w:eastAsia="Arial" w:hAnsi="Arial"/>
            <w:sz w:val="18"/>
            <w:szCs w:val="18"/>
            <w:u w:val="single" w:color="auto"/>
            <w:color w:val="0000FF"/>
          </w:rPr>
          <w:t>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3">
        <w:r>
          <w:rPr>
            <w:rFonts w:ascii="Arial" w:cs="Arial" w:eastAsia="Arial" w:hAnsi="Arial"/>
            <w:sz w:val="18"/>
            <w:szCs w:val="18"/>
            <w:u w:val="single" w:color="auto"/>
            <w:color w:val="0000FF"/>
          </w:rPr>
          <w:t>Supplemental Agreement No. 4, dated as of June 6, 2016, to Purchase Agreement No. 03735 dated as of February 1, 2013,</w:t>
        </w:r>
      </w:hyperlink>
      <w:r>
        <w:rPr>
          <w:rFonts w:ascii="Arial" w:cs="Arial" w:eastAsia="Arial" w:hAnsi="Arial"/>
          <w:sz w:val="18"/>
          <w:szCs w:val="18"/>
          <w:u w:val="single" w:color="auto"/>
          <w:color w:val="0000FF"/>
        </w:rPr>
        <w:t xml:space="preserve"> </w:t>
      </w:r>
      <w:hyperlink r:id="rId533">
        <w:r>
          <w:rPr>
            <w:rFonts w:ascii="Arial" w:cs="Arial" w:eastAsia="Arial" w:hAnsi="Arial"/>
            <w:sz w:val="18"/>
            <w:szCs w:val="18"/>
            <w:u w:val="single" w:color="auto"/>
            <w:color w:val="0000FF"/>
          </w:rPr>
          <w:t>between American Airlines, Inc. and The Boeing Company (incorporated by reference to Exhibit 10.74 to AAG’s Annual Report on</w:t>
        </w:r>
      </w:hyperlink>
      <w:r>
        <w:rPr>
          <w:rFonts w:ascii="Arial" w:cs="Arial" w:eastAsia="Arial" w:hAnsi="Arial"/>
          <w:sz w:val="18"/>
          <w:szCs w:val="18"/>
          <w:u w:val="single" w:color="auto"/>
          <w:color w:val="0000FF"/>
        </w:rPr>
        <w:t xml:space="preserve"> </w:t>
      </w:r>
      <w:hyperlink r:id="rId533">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4">
        <w:r>
          <w:rPr>
            <w:rFonts w:ascii="Arial" w:cs="Arial" w:eastAsia="Arial" w:hAnsi="Arial"/>
            <w:sz w:val="18"/>
            <w:szCs w:val="18"/>
            <w:u w:val="single" w:color="auto"/>
            <w:color w:val="0000FF"/>
          </w:rPr>
          <w:t>Supplemental Agreement No. 5, dated as of August 8, 2016, to Purchase Agreement No. 03735 dated as of February 1, 2013,</w:t>
        </w:r>
      </w:hyperlink>
      <w:r>
        <w:rPr>
          <w:rFonts w:ascii="Arial" w:cs="Arial" w:eastAsia="Arial" w:hAnsi="Arial"/>
          <w:sz w:val="18"/>
          <w:szCs w:val="18"/>
          <w:u w:val="single" w:color="auto"/>
          <w:color w:val="0000FF"/>
        </w:rPr>
        <w:t xml:space="preserve"> </w:t>
      </w:r>
      <w:hyperlink r:id="rId534">
        <w:r>
          <w:rPr>
            <w:rFonts w:ascii="Arial" w:cs="Arial" w:eastAsia="Arial" w:hAnsi="Arial"/>
            <w:sz w:val="18"/>
            <w:szCs w:val="18"/>
            <w:u w:val="single" w:color="auto"/>
            <w:color w:val="0000FF"/>
          </w:rPr>
          <w:t>between American Airlines, Inc. and The Boeing Company (incorporated by reference to Exhibit 10.81 to AAG’s Annual Report</w:t>
        </w:r>
      </w:hyperlink>
      <w:r>
        <w:rPr>
          <w:rFonts w:ascii="Arial" w:cs="Arial" w:eastAsia="Arial" w:hAnsi="Arial"/>
          <w:sz w:val="18"/>
          <w:szCs w:val="18"/>
          <w:u w:val="single" w:color="auto"/>
          <w:color w:val="0000FF"/>
        </w:rPr>
        <w:t xml:space="preserve"> </w:t>
      </w:r>
      <w:hyperlink r:id="rId534">
        <w:r>
          <w:rPr>
            <w:rFonts w:ascii="Arial" w:cs="Arial" w:eastAsia="Arial" w:hAnsi="Arial"/>
            <w:sz w:val="18"/>
            <w:szCs w:val="18"/>
            <w:u w:val="single" w:color="auto"/>
            <w:color w:val="0000FF"/>
          </w:rPr>
          <w:t>on Form 10-K for the year ended December 31, 2023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5">
        <w:r>
          <w:rPr>
            <w:rFonts w:ascii="Arial" w:cs="Arial" w:eastAsia="Arial" w:hAnsi="Arial"/>
            <w:sz w:val="18"/>
            <w:szCs w:val="18"/>
            <w:u w:val="single" w:color="auto"/>
            <w:color w:val="0000FF"/>
          </w:rPr>
          <w:t>Supplemental Agreement No. 6, dated as of November 15, 2016, to Purchase Agreement No. 03735 dated as of February 1,</w:t>
        </w:r>
      </w:hyperlink>
      <w:r>
        <w:rPr>
          <w:rFonts w:ascii="Arial" w:cs="Arial" w:eastAsia="Arial" w:hAnsi="Arial"/>
          <w:sz w:val="18"/>
          <w:szCs w:val="18"/>
          <w:u w:val="single" w:color="auto"/>
          <w:color w:val="0000FF"/>
        </w:rPr>
        <w:t xml:space="preserve"> </w:t>
      </w:r>
      <w:hyperlink r:id="rId535">
        <w:r>
          <w:rPr>
            <w:rFonts w:ascii="Arial" w:cs="Arial" w:eastAsia="Arial" w:hAnsi="Arial"/>
            <w:sz w:val="18"/>
            <w:szCs w:val="18"/>
            <w:u w:val="single" w:color="auto"/>
            <w:color w:val="0000FF"/>
          </w:rPr>
          <w:t>2013, between American Airlines, Inc. and The Boeing Company (incorporated by reference to Exhibit 10.76 to AAG’s Annual</w:t>
        </w:r>
      </w:hyperlink>
      <w:r>
        <w:rPr>
          <w:rFonts w:ascii="Arial" w:cs="Arial" w:eastAsia="Arial" w:hAnsi="Arial"/>
          <w:sz w:val="18"/>
          <w:szCs w:val="18"/>
          <w:u w:val="single" w:color="auto"/>
          <w:color w:val="0000FF"/>
        </w:rPr>
        <w:t xml:space="preserve"> </w:t>
      </w:r>
      <w:hyperlink r:id="rId535">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6">
        <w:r>
          <w:rPr>
            <w:rFonts w:ascii="Arial" w:cs="Arial" w:eastAsia="Arial" w:hAnsi="Arial"/>
            <w:sz w:val="18"/>
            <w:szCs w:val="18"/>
            <w:u w:val="single" w:color="auto"/>
            <w:color w:val="0000FF"/>
          </w:rPr>
          <w:t>Supplemental Agreement No. 7, dated as of March 2, 2017, to Purchase Agreement No. 03735 dated as of February 1, 2013,</w:t>
        </w:r>
      </w:hyperlink>
      <w:r>
        <w:rPr>
          <w:rFonts w:ascii="Arial" w:cs="Arial" w:eastAsia="Arial" w:hAnsi="Arial"/>
          <w:sz w:val="18"/>
          <w:szCs w:val="18"/>
          <w:u w:val="single" w:color="auto"/>
          <w:color w:val="0000FF"/>
        </w:rPr>
        <w:t xml:space="preserve"> </w:t>
      </w:r>
      <w:hyperlink r:id="rId536">
        <w:r>
          <w:rPr>
            <w:rFonts w:ascii="Arial" w:cs="Arial" w:eastAsia="Arial" w:hAnsi="Arial"/>
            <w:sz w:val="18"/>
            <w:szCs w:val="18"/>
            <w:u w:val="single" w:color="auto"/>
            <w:color w:val="0000FF"/>
          </w:rPr>
          <w:t>between American Airlines, Inc. and The Boeing Company (incorporated by reference to Exhibit 10.77 to AAG’s Annual Report on</w:t>
        </w:r>
      </w:hyperlink>
      <w:r>
        <w:rPr>
          <w:rFonts w:ascii="Arial" w:cs="Arial" w:eastAsia="Arial" w:hAnsi="Arial"/>
          <w:sz w:val="18"/>
          <w:szCs w:val="18"/>
          <w:u w:val="single" w:color="auto"/>
          <w:color w:val="0000FF"/>
        </w:rPr>
        <w:t xml:space="preserve"> </w:t>
      </w:r>
      <w:hyperlink r:id="rId536">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7">
        <w:r>
          <w:rPr>
            <w:rFonts w:ascii="Arial" w:cs="Arial" w:eastAsia="Arial" w:hAnsi="Arial"/>
            <w:sz w:val="18"/>
            <w:szCs w:val="18"/>
            <w:u w:val="single" w:color="auto"/>
            <w:color w:val="0000FF"/>
          </w:rPr>
          <w:t>Supplemental Agreement No. 8, dated as of December 7, 2017, to Purchase Agreement No. 03735 dated as of February 1, 2013,</w:t>
        </w:r>
      </w:hyperlink>
      <w:r>
        <w:rPr>
          <w:rFonts w:ascii="Arial" w:cs="Arial" w:eastAsia="Arial" w:hAnsi="Arial"/>
          <w:sz w:val="18"/>
          <w:szCs w:val="18"/>
          <w:u w:val="single" w:color="auto"/>
          <w:color w:val="0000FF"/>
        </w:rPr>
        <w:t xml:space="preserve"> </w:t>
      </w:r>
      <w:hyperlink r:id="rId537">
        <w:r>
          <w:rPr>
            <w:rFonts w:ascii="Arial" w:cs="Arial" w:eastAsia="Arial" w:hAnsi="Arial"/>
            <w:sz w:val="18"/>
            <w:szCs w:val="18"/>
            <w:u w:val="single" w:color="auto"/>
            <w:color w:val="0000FF"/>
          </w:rPr>
          <w:t>between American Airlines, Inc. and The Boeing Company (incorporated by reference to Exhibit 10.45 to AAG’s Annual Report on</w:t>
        </w:r>
      </w:hyperlink>
      <w:r>
        <w:rPr>
          <w:rFonts w:ascii="Arial" w:cs="Arial" w:eastAsia="Arial" w:hAnsi="Arial"/>
          <w:sz w:val="18"/>
          <w:szCs w:val="18"/>
          <w:u w:val="single" w:color="auto"/>
          <w:color w:val="0000FF"/>
        </w:rPr>
        <w:t xml:space="preserve"> </w:t>
      </w:r>
      <w:hyperlink r:id="rId537">
        <w:r>
          <w:rPr>
            <w:rFonts w:ascii="Arial" w:cs="Arial" w:eastAsia="Arial" w:hAnsi="Arial"/>
            <w:sz w:val="18"/>
            <w:szCs w:val="18"/>
            <w:u w:val="single" w:color="auto"/>
            <w:color w:val="0000FF"/>
          </w:rPr>
          <w:t>Form 10-K for the year ended December 31, 2017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8">
        <w:r>
          <w:rPr>
            <w:rFonts w:ascii="Arial" w:cs="Arial" w:eastAsia="Arial" w:hAnsi="Arial"/>
            <w:sz w:val="18"/>
            <w:szCs w:val="18"/>
            <w:u w:val="single" w:color="auto"/>
            <w:color w:val="0000FF"/>
          </w:rPr>
          <w:t>Supplemental Agreement No. 9, dated as of April 6, 2018, to Purchase Agreement No. 03735 dated as of February 1, 2013, by</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Report on Form 10-Q for the quarter ended June 30, 2018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39">
        <w:r>
          <w:rPr>
            <w:rFonts w:ascii="Arial" w:cs="Arial" w:eastAsia="Arial" w:hAnsi="Arial"/>
            <w:sz w:val="18"/>
            <w:szCs w:val="18"/>
            <w:u w:val="single" w:color="auto"/>
            <w:color w:val="0000FF"/>
          </w:rPr>
          <w:t>Supplemental Agreement No. 10, dated as of March 26, 2019, to Purchase Agreement No. 03735 dated as of February 1, 2013,</w:t>
        </w:r>
      </w:hyperlink>
      <w:r>
        <w:rPr>
          <w:rFonts w:ascii="Arial" w:cs="Arial" w:eastAsia="Arial" w:hAnsi="Arial"/>
          <w:sz w:val="18"/>
          <w:szCs w:val="18"/>
          <w:u w:val="single" w:color="auto"/>
          <w:color w:val="0000FF"/>
        </w:rPr>
        <w:t xml:space="preserve"> </w:t>
      </w:r>
      <w:hyperlink r:id="rId539">
        <w:r>
          <w:rPr>
            <w:rFonts w:ascii="Arial" w:cs="Arial" w:eastAsia="Arial" w:hAnsi="Arial"/>
            <w:sz w:val="18"/>
            <w:szCs w:val="18"/>
            <w:u w:val="single" w:color="auto"/>
            <w:color w:val="0000FF"/>
          </w:rPr>
          <w:t>by 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39">
        <w:r>
          <w:rPr>
            <w:rFonts w:ascii="Arial" w:cs="Arial" w:eastAsia="Arial" w:hAnsi="Arial"/>
            <w:sz w:val="18"/>
            <w:szCs w:val="18"/>
            <w:u w:val="single" w:color="auto"/>
            <w:color w:val="0000FF"/>
          </w:rPr>
          <w:t>Report on Form 10-Q for the quarter ended March 31, 2019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540">
        <w:r>
          <w:rPr>
            <w:rFonts w:ascii="Arial" w:cs="Arial" w:eastAsia="Arial" w:hAnsi="Arial"/>
            <w:sz w:val="18"/>
            <w:szCs w:val="18"/>
            <w:u w:val="single" w:color="auto"/>
            <w:color w:val="0000FF"/>
          </w:rPr>
          <w:t>Letter Agreement, dated as of September 4, 2020, to Purchase Agreement No. 03735 dated as of February 1, 2013, by and</w:t>
        </w:r>
      </w:hyperlink>
      <w:r>
        <w:rPr>
          <w:rFonts w:ascii="Arial" w:cs="Arial" w:eastAsia="Arial" w:hAnsi="Arial"/>
          <w:sz w:val="18"/>
          <w:szCs w:val="18"/>
          <w:u w:val="single" w:color="auto"/>
          <w:color w:val="0000FF"/>
        </w:rPr>
        <w:t xml:space="preserve"> </w:t>
      </w:r>
      <w:hyperlink r:id="rId540">
        <w:r>
          <w:rPr>
            <w:rFonts w:ascii="Arial" w:cs="Arial" w:eastAsia="Arial" w:hAnsi="Arial"/>
            <w:sz w:val="18"/>
            <w:szCs w:val="18"/>
            <w:u w:val="single" w:color="auto"/>
            <w:color w:val="0000FF"/>
          </w:rPr>
          <w:t>between American Airlines, Inc. and The Boeing Company (incorporated by reference to Exhibit 10.3 to AAG’s Quarterly Report</w:t>
        </w:r>
      </w:hyperlink>
      <w:r>
        <w:rPr>
          <w:rFonts w:ascii="Arial" w:cs="Arial" w:eastAsia="Arial" w:hAnsi="Arial"/>
          <w:sz w:val="18"/>
          <w:szCs w:val="18"/>
          <w:u w:val="single" w:color="auto"/>
          <w:color w:val="0000FF"/>
        </w:rPr>
        <w:t xml:space="preserve"> </w:t>
      </w:r>
      <w:hyperlink r:id="rId540">
        <w:r>
          <w:rPr>
            <w:rFonts w:ascii="Arial" w:cs="Arial" w:eastAsia="Arial" w:hAnsi="Arial"/>
            <w:sz w:val="18"/>
            <w:szCs w:val="18"/>
            <w:u w:val="single" w:color="auto"/>
            <w:color w:val="0000FF"/>
          </w:rPr>
          <w:t>on Form 10-Q for the quarter ended September 30, 2020 (Commission File No. 1-8400)).</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560" w:space="360"/>
            <w:col w:w="10300"/>
          </w:cols>
          <w:pgMar w:left="320" w:top="364" w:right="359" w:bottom="1440" w:gutter="0" w:footer="0" w:header="0"/>
          <w:type w:val="continuous"/>
        </w:sectPr>
      </w:pPr>
    </w:p>
    <w:p>
      <w:pPr>
        <w:jc w:val="both"/>
        <w:ind w:left="920" w:hanging="889"/>
        <w:spacing w:after="0" w:line="260"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10.98</w:t>
      </w:r>
      <w:r>
        <w:rPr>
          <w:sz w:val="20"/>
          <w:szCs w:val="20"/>
          <w:color w:val="auto"/>
        </w:rPr>
        <w:tab/>
      </w:r>
      <w:hyperlink r:id="rId541">
        <w:r>
          <w:rPr>
            <w:rFonts w:ascii="Arial" w:cs="Arial" w:eastAsia="Arial" w:hAnsi="Arial"/>
            <w:sz w:val="18"/>
            <w:szCs w:val="18"/>
            <w:u w:val="single" w:color="auto"/>
            <w:color w:val="0000FF"/>
          </w:rPr>
          <w:t>Supplemental Agreement No. 11, dated as of October 9, 2020, to Purchase Agreement No. 03735 dated as of February 1, 2013,</w:t>
        </w:r>
      </w:hyperlink>
      <w:r>
        <w:rPr>
          <w:rFonts w:ascii="Arial" w:cs="Arial" w:eastAsia="Arial" w:hAnsi="Arial"/>
          <w:sz w:val="18"/>
          <w:szCs w:val="18"/>
          <w:u w:val="single" w:color="auto"/>
          <w:color w:val="0000FF"/>
        </w:rPr>
        <w:t xml:space="preserve"> </w:t>
      </w:r>
      <w:hyperlink r:id="rId541">
        <w:r>
          <w:rPr>
            <w:rFonts w:ascii="Arial" w:cs="Arial" w:eastAsia="Arial" w:hAnsi="Arial"/>
            <w:sz w:val="18"/>
            <w:szCs w:val="18"/>
            <w:u w:val="single" w:color="auto"/>
            <w:color w:val="0000FF"/>
          </w:rPr>
          <w:t>by and between American Airlines, Inc. and The Boeing Company (incorporated by reference to Exhibit 10.74 to AAG’s Annual</w:t>
        </w:r>
      </w:hyperlink>
      <w:r>
        <w:rPr>
          <w:rFonts w:ascii="Arial" w:cs="Arial" w:eastAsia="Arial" w:hAnsi="Arial"/>
          <w:sz w:val="18"/>
          <w:szCs w:val="18"/>
          <w:u w:val="single" w:color="auto"/>
          <w:color w:val="0000FF"/>
        </w:rPr>
        <w:t xml:space="preserve"> </w:t>
      </w:r>
      <w:hyperlink r:id="rId541">
        <w:r>
          <w:rPr>
            <w:rFonts w:ascii="Arial" w:cs="Arial" w:eastAsia="Arial" w:hAnsi="Arial"/>
            <w:sz w:val="18"/>
            <w:szCs w:val="18"/>
            <w:u w:val="single" w:color="auto"/>
            <w:color w:val="0000FF"/>
          </w:rPr>
          <w:t>Report on Form 10-K for the year ended December 31, 2020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14"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5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10.99</w:t>
      </w:r>
      <w:r>
        <w:rPr>
          <w:sz w:val="20"/>
          <w:szCs w:val="20"/>
          <w:color w:val="auto"/>
        </w:rPr>
        <w:tab/>
      </w:r>
      <w:hyperlink r:id="rId543">
        <w:r>
          <w:rPr>
            <w:rFonts w:ascii="Arial" w:cs="Arial" w:eastAsia="Arial" w:hAnsi="Arial"/>
            <w:sz w:val="18"/>
            <w:szCs w:val="18"/>
            <w:u w:val="single" w:color="auto"/>
            <w:color w:val="0000FF"/>
          </w:rPr>
          <w:t>Supplemental Agreement No. 12, dated as of October 22, 2020, to Purchase Agreement No. 03735 dated as of February 1,</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2013, by and between American Airlines, Inc. and The Boeing Company (incorporated by reference to Exhibit 10.75 to AAG’s</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jc w:val="both"/>
        <w:ind w:left="920" w:hanging="889"/>
        <w:spacing w:after="0" w:line="260"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10.100</w:t>
      </w:r>
      <w:r>
        <w:rPr>
          <w:sz w:val="20"/>
          <w:szCs w:val="20"/>
          <w:color w:val="auto"/>
        </w:rPr>
        <w:tab/>
      </w:r>
      <w:hyperlink r:id="rId544">
        <w:r>
          <w:rPr>
            <w:rFonts w:ascii="Arial" w:cs="Arial" w:eastAsia="Arial" w:hAnsi="Arial"/>
            <w:sz w:val="18"/>
            <w:szCs w:val="18"/>
            <w:u w:val="single" w:color="auto"/>
            <w:color w:val="0000FF"/>
          </w:rPr>
          <w:t>Supplemental Agreement No. 13, dated as of November 17, 2020, to Purchase Agreement No. 03735 dated as of February 1,</w:t>
        </w:r>
      </w:hyperlink>
      <w:r>
        <w:rPr>
          <w:rFonts w:ascii="Arial" w:cs="Arial" w:eastAsia="Arial" w:hAnsi="Arial"/>
          <w:sz w:val="18"/>
          <w:szCs w:val="18"/>
          <w:u w:val="single" w:color="auto"/>
          <w:color w:val="0000FF"/>
        </w:rPr>
        <w:t xml:space="preserve"> </w:t>
      </w:r>
      <w:hyperlink r:id="rId544">
        <w:r>
          <w:rPr>
            <w:rFonts w:ascii="Arial" w:cs="Arial" w:eastAsia="Arial" w:hAnsi="Arial"/>
            <w:sz w:val="18"/>
            <w:szCs w:val="18"/>
            <w:u w:val="single" w:color="auto"/>
            <w:color w:val="0000FF"/>
          </w:rPr>
          <w:t>2013, by and between American Airlines, Inc. and The Boeing Company (incorporated by reference to Exhibit 10.76 to AAG’s</w:t>
        </w:r>
      </w:hyperlink>
      <w:r>
        <w:rPr>
          <w:rFonts w:ascii="Arial" w:cs="Arial" w:eastAsia="Arial" w:hAnsi="Arial"/>
          <w:sz w:val="18"/>
          <w:szCs w:val="18"/>
          <w:u w:val="single" w:color="auto"/>
          <w:color w:val="0000FF"/>
        </w:rPr>
        <w:t xml:space="preserve"> </w:t>
      </w:r>
      <w:hyperlink r:id="rId544">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ind w:left="920" w:hanging="889"/>
        <w:spacing w:after="0" w:line="260"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10.101</w:t>
      </w:r>
      <w:r>
        <w:rPr>
          <w:sz w:val="20"/>
          <w:szCs w:val="20"/>
          <w:color w:val="auto"/>
        </w:rPr>
        <w:tab/>
      </w:r>
      <w:hyperlink r:id="rId545">
        <w:r>
          <w:rPr>
            <w:rFonts w:ascii="Arial" w:cs="Arial" w:eastAsia="Arial" w:hAnsi="Arial"/>
            <w:sz w:val="18"/>
            <w:szCs w:val="18"/>
            <w:u w:val="single" w:color="auto"/>
            <w:color w:val="0000FF"/>
          </w:rPr>
          <w:t>Supplemental Agreement No. 14, dated as of November 25, 2020, to Purchase Agreement No. 03735 dated as of February 1,</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2013, by and between American Airlines, Inc. and The Boeing Company (incorporated by reference to Exhibit 10.77 to AAG’s</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ind w:left="920" w:hanging="889"/>
        <w:spacing w:after="0" w:line="260"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10.102</w:t>
      </w:r>
      <w:r>
        <w:rPr>
          <w:sz w:val="20"/>
          <w:szCs w:val="20"/>
          <w:color w:val="auto"/>
        </w:rPr>
        <w:tab/>
      </w:r>
      <w:hyperlink r:id="rId546">
        <w:r>
          <w:rPr>
            <w:rFonts w:ascii="Arial" w:cs="Arial" w:eastAsia="Arial" w:hAnsi="Arial"/>
            <w:sz w:val="18"/>
            <w:szCs w:val="18"/>
            <w:u w:val="single" w:color="auto"/>
            <w:color w:val="0000FF"/>
          </w:rPr>
          <w:t>Supplemental Agreement No. 15, dated as of December 15, 2020, to Purchase Agreement No. 03735 dated as of February 1,</w:t>
        </w:r>
      </w:hyperlink>
      <w:r>
        <w:rPr>
          <w:rFonts w:ascii="Arial" w:cs="Arial" w:eastAsia="Arial" w:hAnsi="Arial"/>
          <w:sz w:val="18"/>
          <w:szCs w:val="18"/>
          <w:u w:val="single" w:color="auto"/>
          <w:color w:val="0000FF"/>
        </w:rPr>
        <w:t xml:space="preserve"> </w:t>
      </w:r>
      <w:hyperlink r:id="rId546">
        <w:r>
          <w:rPr>
            <w:rFonts w:ascii="Arial" w:cs="Arial" w:eastAsia="Arial" w:hAnsi="Arial"/>
            <w:sz w:val="18"/>
            <w:szCs w:val="18"/>
            <w:u w:val="single" w:color="auto"/>
            <w:color w:val="0000FF"/>
          </w:rPr>
          <w:t>2013, by and between American Airlines, Inc. and The Boeing Company (incorporated by reference to Exhibit 10.78 to AAG’s</w:t>
        </w:r>
      </w:hyperlink>
      <w:r>
        <w:rPr>
          <w:rFonts w:ascii="Arial" w:cs="Arial" w:eastAsia="Arial" w:hAnsi="Arial"/>
          <w:sz w:val="18"/>
          <w:szCs w:val="18"/>
          <w:u w:val="single" w:color="auto"/>
          <w:color w:val="0000FF"/>
        </w:rPr>
        <w:t xml:space="preserve"> </w:t>
      </w:r>
      <w:hyperlink r:id="rId546">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10.103</w:t>
      </w:r>
      <w:r>
        <w:rPr>
          <w:sz w:val="20"/>
          <w:szCs w:val="20"/>
          <w:color w:val="auto"/>
        </w:rPr>
        <w:tab/>
      </w:r>
      <w:hyperlink r:id="rId547">
        <w:r>
          <w:rPr>
            <w:rFonts w:ascii="Arial" w:cs="Arial" w:eastAsia="Arial" w:hAnsi="Arial"/>
            <w:sz w:val="18"/>
            <w:szCs w:val="18"/>
            <w:u w:val="single" w:color="auto"/>
            <w:color w:val="0000FF"/>
          </w:rPr>
          <w:t>Amendment 1, dated as of December 31, 2020, to the Letter Agreement, dated as of September 4, 2020, to Purchase Agreement</w:t>
        </w:r>
      </w:hyperlink>
      <w:r>
        <w:rPr>
          <w:rFonts w:ascii="Arial" w:cs="Arial" w:eastAsia="Arial" w:hAnsi="Arial"/>
          <w:sz w:val="18"/>
          <w:szCs w:val="18"/>
          <w:u w:val="single" w:color="auto"/>
          <w:color w:val="0000FF"/>
        </w:rPr>
        <w:t xml:space="preserve"> </w:t>
      </w:r>
      <w:hyperlink r:id="rId547">
        <w:r>
          <w:rPr>
            <w:rFonts w:ascii="Arial" w:cs="Arial" w:eastAsia="Arial" w:hAnsi="Arial"/>
            <w:sz w:val="18"/>
            <w:szCs w:val="18"/>
            <w:u w:val="single" w:color="auto"/>
            <w:color w:val="0000FF"/>
          </w:rPr>
          <w:t>No. 03735 dated as of February 1, 2013, by and between American Airlines, Inc. and The Boeing Company (incorporated by</w:t>
        </w:r>
      </w:hyperlink>
      <w:r>
        <w:rPr>
          <w:rFonts w:ascii="Arial" w:cs="Arial" w:eastAsia="Arial" w:hAnsi="Arial"/>
          <w:sz w:val="18"/>
          <w:szCs w:val="18"/>
          <w:u w:val="single" w:color="auto"/>
          <w:color w:val="0000FF"/>
        </w:rPr>
        <w:t xml:space="preserve"> </w:t>
      </w:r>
      <w:hyperlink r:id="rId547">
        <w:r>
          <w:rPr>
            <w:rFonts w:ascii="Arial" w:cs="Arial" w:eastAsia="Arial" w:hAnsi="Arial"/>
            <w:sz w:val="18"/>
            <w:szCs w:val="18"/>
            <w:u w:val="single" w:color="auto"/>
            <w:color w:val="0000FF"/>
          </w:rPr>
          <w:t>reference to Exhibit 10.79 to AAG’s Annual Report on Form 10-K for the year ended December 31, 2020 (Commission File No. 1-</w:t>
        </w:r>
      </w:hyperlink>
      <w:hyperlink r:id="rId547">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10.104</w:t>
      </w:r>
      <w:r>
        <w:rPr>
          <w:sz w:val="20"/>
          <w:szCs w:val="20"/>
          <w:color w:val="auto"/>
        </w:rPr>
        <w:tab/>
      </w:r>
      <w:hyperlink r:id="rId548">
        <w:r>
          <w:rPr>
            <w:rFonts w:ascii="Arial" w:cs="Arial" w:eastAsia="Arial" w:hAnsi="Arial"/>
            <w:sz w:val="18"/>
            <w:szCs w:val="18"/>
            <w:u w:val="single" w:color="auto"/>
            <w:color w:val="0000FF"/>
          </w:rPr>
          <w:t>Supplemental Agreement No. 16, dated as of January 14, 2021, to Purchase Agreement No. 03735 dated as of February 1,</w:t>
        </w:r>
      </w:hyperlink>
      <w:r>
        <w:rPr>
          <w:rFonts w:ascii="Arial" w:cs="Arial" w:eastAsia="Arial" w:hAnsi="Arial"/>
          <w:sz w:val="18"/>
          <w:szCs w:val="18"/>
          <w:u w:val="single" w:color="auto"/>
          <w:color w:val="0000FF"/>
        </w:rPr>
        <w:t xml:space="preserve"> </w:t>
      </w:r>
      <w:hyperlink r:id="rId548">
        <w:r>
          <w:rPr>
            <w:rFonts w:ascii="Arial" w:cs="Arial" w:eastAsia="Arial" w:hAnsi="Arial"/>
            <w:sz w:val="18"/>
            <w:szCs w:val="18"/>
            <w:u w:val="single" w:color="auto"/>
            <w:color w:val="0000FF"/>
          </w:rPr>
          <w:t>2013, by and between American Airlines, Inc. and The Boeing Company (incorporated by reference to Exhibit 10.5 to AAG’s</w:t>
        </w:r>
      </w:hyperlink>
      <w:r>
        <w:rPr>
          <w:rFonts w:ascii="Arial" w:cs="Arial" w:eastAsia="Arial" w:hAnsi="Arial"/>
          <w:sz w:val="18"/>
          <w:szCs w:val="18"/>
          <w:u w:val="single" w:color="auto"/>
          <w:color w:val="0000FF"/>
        </w:rPr>
        <w:t xml:space="preserve"> </w:t>
      </w:r>
      <w:hyperlink r:id="rId548">
        <w:r>
          <w:rPr>
            <w:rFonts w:ascii="Arial" w:cs="Arial" w:eastAsia="Arial" w:hAnsi="Arial"/>
            <w:sz w:val="18"/>
            <w:szCs w:val="18"/>
            <w:u w:val="single" w:color="auto"/>
            <w:color w:val="0000FF"/>
          </w:rPr>
          <w:t>Quarterly Report on Form 10-Q for the quarter ended March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10.105</w:t>
      </w:r>
      <w:r>
        <w:rPr>
          <w:sz w:val="20"/>
          <w:szCs w:val="20"/>
          <w:color w:val="auto"/>
        </w:rPr>
        <w:tab/>
      </w:r>
      <w:hyperlink r:id="rId549">
        <w:r>
          <w:rPr>
            <w:rFonts w:ascii="Arial" w:cs="Arial" w:eastAsia="Arial" w:hAnsi="Arial"/>
            <w:sz w:val="18"/>
            <w:szCs w:val="18"/>
            <w:u w:val="single" w:color="auto"/>
            <w:color w:val="0000FF"/>
          </w:rPr>
          <w:t>Supplemental Agreement No. 17, dated as of February 11, 2021, to Purchase Agreement No. 03735 dated as of February 1,</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2013, by and between American Airlines, Inc. and The Boeing Company (incorporated by reference to Exhibit 10.6 to AAG’s</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Quarterly Report on Form 10-Q for the quarter ended March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10.106</w:t>
      </w:r>
      <w:r>
        <w:rPr>
          <w:sz w:val="20"/>
          <w:szCs w:val="20"/>
          <w:color w:val="auto"/>
        </w:rPr>
        <w:tab/>
      </w:r>
      <w:hyperlink r:id="rId550">
        <w:r>
          <w:rPr>
            <w:rFonts w:ascii="Arial" w:cs="Arial" w:eastAsia="Arial" w:hAnsi="Arial"/>
            <w:sz w:val="18"/>
            <w:szCs w:val="18"/>
            <w:u w:val="single" w:color="auto"/>
            <w:color w:val="0000FF"/>
          </w:rPr>
          <w:t>Supplemental Agreement No. 18, dated as of March 12, 2021, to Purchase Agreement No. 03735 dated as of February 1, 2013,</w:t>
        </w:r>
      </w:hyperlink>
      <w:r>
        <w:rPr>
          <w:rFonts w:ascii="Arial" w:cs="Arial" w:eastAsia="Arial" w:hAnsi="Arial"/>
          <w:sz w:val="18"/>
          <w:szCs w:val="18"/>
          <w:u w:val="single" w:color="auto"/>
          <w:color w:val="0000FF"/>
        </w:rPr>
        <w:t xml:space="preserve"> </w:t>
      </w:r>
      <w:hyperlink r:id="rId550">
        <w:r>
          <w:rPr>
            <w:rFonts w:ascii="Arial" w:cs="Arial" w:eastAsia="Arial" w:hAnsi="Arial"/>
            <w:sz w:val="18"/>
            <w:szCs w:val="18"/>
            <w:u w:val="single" w:color="auto"/>
            <w:color w:val="0000FF"/>
          </w:rPr>
          <w:t>by and between American Airlines, Inc. and The Boeing Company (incorporated by reference to Exhibit 10.7 to AAG’s Quarterly</w:t>
        </w:r>
      </w:hyperlink>
      <w:r>
        <w:rPr>
          <w:rFonts w:ascii="Arial" w:cs="Arial" w:eastAsia="Arial" w:hAnsi="Arial"/>
          <w:sz w:val="18"/>
          <w:szCs w:val="18"/>
          <w:u w:val="single" w:color="auto"/>
          <w:color w:val="0000FF"/>
        </w:rPr>
        <w:t xml:space="preserve"> </w:t>
      </w:r>
      <w:hyperlink r:id="rId550">
        <w:r>
          <w:rPr>
            <w:rFonts w:ascii="Arial" w:cs="Arial" w:eastAsia="Arial" w:hAnsi="Arial"/>
            <w:sz w:val="18"/>
            <w:szCs w:val="18"/>
            <w:u w:val="single" w:color="auto"/>
            <w:color w:val="0000FF"/>
          </w:rPr>
          <w:t>Report on Form 10-Q for the quarter ended March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10.107</w:t>
      </w:r>
      <w:r>
        <w:rPr>
          <w:sz w:val="20"/>
          <w:szCs w:val="20"/>
          <w:color w:val="auto"/>
        </w:rPr>
        <w:tab/>
      </w:r>
      <w:hyperlink r:id="rId551">
        <w:r>
          <w:rPr>
            <w:rFonts w:ascii="Arial" w:cs="Arial" w:eastAsia="Arial" w:hAnsi="Arial"/>
            <w:sz w:val="18"/>
            <w:szCs w:val="18"/>
            <w:u w:val="single" w:color="auto"/>
            <w:color w:val="0000FF"/>
          </w:rPr>
          <w:t>Supplemental Agreement No. 19, dated as of April 8, 2021, to Purchase Agreement No. 03735 dated as of February 1, 2013, by</w:t>
        </w:r>
      </w:hyperlink>
      <w:r>
        <w:rPr>
          <w:rFonts w:ascii="Arial" w:cs="Arial" w:eastAsia="Arial" w:hAnsi="Arial"/>
          <w:sz w:val="18"/>
          <w:szCs w:val="18"/>
          <w:u w:val="single" w:color="auto"/>
          <w:color w:val="0000FF"/>
        </w:rPr>
        <w:t xml:space="preserve"> </w:t>
      </w:r>
      <w:hyperlink r:id="rId551">
        <w:r>
          <w:rPr>
            <w:rFonts w:ascii="Arial" w:cs="Arial" w:eastAsia="Arial" w:hAnsi="Arial"/>
            <w:sz w:val="18"/>
            <w:szCs w:val="18"/>
            <w:u w:val="single" w:color="auto"/>
            <w:color w:val="0000FF"/>
          </w:rPr>
          <w:t>and between American Airlines, Inc. and The Boeing Company (incorporated by reference to Exhibit 10.5 to AAG’s Quarterly</w:t>
        </w:r>
      </w:hyperlink>
      <w:r>
        <w:rPr>
          <w:rFonts w:ascii="Arial" w:cs="Arial" w:eastAsia="Arial" w:hAnsi="Arial"/>
          <w:sz w:val="18"/>
          <w:szCs w:val="18"/>
          <w:u w:val="single" w:color="auto"/>
          <w:color w:val="0000FF"/>
        </w:rPr>
        <w:t xml:space="preserve"> </w:t>
      </w:r>
      <w:hyperlink r:id="rId551">
        <w:r>
          <w:rPr>
            <w:rFonts w:ascii="Arial" w:cs="Arial" w:eastAsia="Arial" w:hAnsi="Arial"/>
            <w:sz w:val="18"/>
            <w:szCs w:val="18"/>
            <w:u w:val="single" w:color="auto"/>
            <w:color w:val="0000FF"/>
          </w:rPr>
          <w:t>Report on Form 10-Q for the quarter ended June 30,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10.108</w:t>
      </w:r>
      <w:r>
        <w:rPr>
          <w:sz w:val="20"/>
          <w:szCs w:val="20"/>
          <w:color w:val="auto"/>
        </w:rPr>
        <w:tab/>
      </w:r>
      <w:hyperlink r:id="rId552">
        <w:r>
          <w:rPr>
            <w:rFonts w:ascii="Arial" w:cs="Arial" w:eastAsia="Arial" w:hAnsi="Arial"/>
            <w:sz w:val="18"/>
            <w:szCs w:val="18"/>
            <w:u w:val="single" w:color="auto"/>
            <w:color w:val="0000FF"/>
          </w:rPr>
          <w:t>Supplemental Agreement No. 20, dated as of November 12, 2021, to Purchase Agreement No. 03735 dated as of February 1,</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2013, between American Airlines, Inc. and The Boeing Company (incorporated by reference to Exhibit 10.92 to AAG’s Annual</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10.109</w:t>
      </w:r>
      <w:r>
        <w:rPr>
          <w:sz w:val="20"/>
          <w:szCs w:val="20"/>
          <w:color w:val="auto"/>
        </w:rPr>
        <w:tab/>
      </w:r>
      <w:hyperlink r:id="rId553">
        <w:r>
          <w:rPr>
            <w:rFonts w:ascii="Arial" w:cs="Arial" w:eastAsia="Arial" w:hAnsi="Arial"/>
            <w:sz w:val="18"/>
            <w:szCs w:val="18"/>
            <w:u w:val="single" w:color="auto"/>
            <w:color w:val="0000FF"/>
          </w:rPr>
          <w:t>Supplemental Agreement No. 21, dated as of January 14, 2022, to Purchase Agreement No. 03735 dated as of February 1,</w:t>
        </w:r>
      </w:hyperlink>
      <w:r>
        <w:rPr>
          <w:rFonts w:ascii="Arial" w:cs="Arial" w:eastAsia="Arial" w:hAnsi="Arial"/>
          <w:sz w:val="18"/>
          <w:szCs w:val="18"/>
          <w:u w:val="single" w:color="auto"/>
          <w:color w:val="0000FF"/>
        </w:rPr>
        <w:t xml:space="preserve"> </w:t>
      </w:r>
      <w:hyperlink r:id="rId553">
        <w:r>
          <w:rPr>
            <w:rFonts w:ascii="Arial" w:cs="Arial" w:eastAsia="Arial" w:hAnsi="Arial"/>
            <w:sz w:val="18"/>
            <w:szCs w:val="18"/>
            <w:u w:val="single" w:color="auto"/>
            <w:color w:val="0000FF"/>
          </w:rPr>
          <w:t>2013, by and between American Airlines, Inc. and The Boeing Company (incorporated by reference to Exhibit 10.2 to AAG’s</w:t>
        </w:r>
      </w:hyperlink>
      <w:r>
        <w:rPr>
          <w:rFonts w:ascii="Arial" w:cs="Arial" w:eastAsia="Arial" w:hAnsi="Arial"/>
          <w:sz w:val="18"/>
          <w:szCs w:val="18"/>
          <w:u w:val="single" w:color="auto"/>
          <w:color w:val="0000FF"/>
        </w:rPr>
        <w:t xml:space="preserve"> </w:t>
      </w:r>
      <w:hyperlink r:id="rId553">
        <w:r>
          <w:rPr>
            <w:rFonts w:ascii="Arial" w:cs="Arial" w:eastAsia="Arial" w:hAnsi="Arial"/>
            <w:sz w:val="18"/>
            <w:szCs w:val="18"/>
            <w:u w:val="single" w:color="auto"/>
            <w:color w:val="0000FF"/>
          </w:rPr>
          <w:t>Quarterly Report on Form 10-Q for the quarter ended March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10.110</w:t>
      </w:r>
      <w:r>
        <w:rPr>
          <w:sz w:val="20"/>
          <w:szCs w:val="20"/>
          <w:color w:val="auto"/>
        </w:rPr>
        <w:tab/>
      </w:r>
      <w:hyperlink r:id="rId554">
        <w:r>
          <w:rPr>
            <w:rFonts w:ascii="Arial" w:cs="Arial" w:eastAsia="Arial" w:hAnsi="Arial"/>
            <w:sz w:val="18"/>
            <w:szCs w:val="18"/>
            <w:u w:val="single" w:color="auto"/>
            <w:color w:val="0000FF"/>
          </w:rPr>
          <w:t>Supplemental Agreement No. 22, dated as of January 31, 2022, to Purchase Agreement No. 03735 dated as of February 1,</w:t>
        </w:r>
      </w:hyperlink>
      <w:r>
        <w:rPr>
          <w:rFonts w:ascii="Arial" w:cs="Arial" w:eastAsia="Arial" w:hAnsi="Arial"/>
          <w:sz w:val="18"/>
          <w:szCs w:val="18"/>
          <w:u w:val="single" w:color="auto"/>
          <w:color w:val="0000FF"/>
        </w:rPr>
        <w:t xml:space="preserve"> </w:t>
      </w:r>
      <w:hyperlink r:id="rId554">
        <w:r>
          <w:rPr>
            <w:rFonts w:ascii="Arial" w:cs="Arial" w:eastAsia="Arial" w:hAnsi="Arial"/>
            <w:sz w:val="18"/>
            <w:szCs w:val="18"/>
            <w:u w:val="single" w:color="auto"/>
            <w:color w:val="0000FF"/>
          </w:rPr>
          <w:t>2013, by and between American Airlines, Inc. and The Boeing Company (incorporated by reference to Exhibit 10.3 to AAG’s</w:t>
        </w:r>
      </w:hyperlink>
      <w:r>
        <w:rPr>
          <w:rFonts w:ascii="Arial" w:cs="Arial" w:eastAsia="Arial" w:hAnsi="Arial"/>
          <w:sz w:val="18"/>
          <w:szCs w:val="18"/>
          <w:u w:val="single" w:color="auto"/>
          <w:color w:val="0000FF"/>
        </w:rPr>
        <w:t xml:space="preserve"> </w:t>
      </w:r>
      <w:hyperlink r:id="rId554">
        <w:r>
          <w:rPr>
            <w:rFonts w:ascii="Arial" w:cs="Arial" w:eastAsia="Arial" w:hAnsi="Arial"/>
            <w:sz w:val="18"/>
            <w:szCs w:val="18"/>
            <w:u w:val="single" w:color="auto"/>
            <w:color w:val="0000FF"/>
          </w:rPr>
          <w:t>Quarterly Report on Form 10-Q for the quarter ended March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10.111</w:t>
      </w:r>
      <w:r>
        <w:rPr>
          <w:sz w:val="20"/>
          <w:szCs w:val="20"/>
          <w:color w:val="auto"/>
        </w:rPr>
        <w:tab/>
      </w:r>
      <w:hyperlink r:id="rId555">
        <w:r>
          <w:rPr>
            <w:rFonts w:ascii="Arial" w:cs="Arial" w:eastAsia="Arial" w:hAnsi="Arial"/>
            <w:sz w:val="18"/>
            <w:szCs w:val="18"/>
            <w:u w:val="single" w:color="auto"/>
            <w:color w:val="0000FF"/>
          </w:rPr>
          <w:t>Supplemental Agreement No. 23, dated as of May 5, 2022, to Purchase Agreement No. 03735 dated as of February 1, 2013, by</w:t>
        </w:r>
      </w:hyperlink>
      <w:r>
        <w:rPr>
          <w:rFonts w:ascii="Arial" w:cs="Arial" w:eastAsia="Arial" w:hAnsi="Arial"/>
          <w:sz w:val="18"/>
          <w:szCs w:val="18"/>
          <w:u w:val="single" w:color="auto"/>
          <w:color w:val="0000FF"/>
        </w:rPr>
        <w:t xml:space="preserve"> </w:t>
      </w:r>
      <w:hyperlink r:id="rId555">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55">
        <w:r>
          <w:rPr>
            <w:rFonts w:ascii="Arial" w:cs="Arial" w:eastAsia="Arial" w:hAnsi="Arial"/>
            <w:sz w:val="18"/>
            <w:szCs w:val="18"/>
            <w:u w:val="single" w:color="auto"/>
            <w:color w:val="0000FF"/>
          </w:rPr>
          <w:t>Report on Form 10-Q for the quarter ended June 30,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10.112</w:t>
      </w:r>
      <w:r>
        <w:rPr>
          <w:sz w:val="20"/>
          <w:szCs w:val="20"/>
          <w:color w:val="auto"/>
        </w:rPr>
        <w:tab/>
      </w:r>
      <w:hyperlink r:id="rId556">
        <w:r>
          <w:rPr>
            <w:rFonts w:ascii="Arial" w:cs="Arial" w:eastAsia="Arial" w:hAnsi="Arial"/>
            <w:sz w:val="18"/>
            <w:szCs w:val="18"/>
            <w:u w:val="single" w:color="auto"/>
            <w:color w:val="0000FF"/>
          </w:rPr>
          <w:t>Supplemental Agreement No. 24, dated as of June 6, 2022, to Purchase Agreement No. 03735 dated as of February 1, 2013, by</w:t>
        </w:r>
      </w:hyperlink>
      <w:r>
        <w:rPr>
          <w:rFonts w:ascii="Arial" w:cs="Arial" w:eastAsia="Arial" w:hAnsi="Arial"/>
          <w:sz w:val="18"/>
          <w:szCs w:val="18"/>
          <w:u w:val="single" w:color="auto"/>
          <w:color w:val="0000FF"/>
        </w:rPr>
        <w:t xml:space="preserve"> </w:t>
      </w:r>
      <w:hyperlink r:id="rId556">
        <w:r>
          <w:rPr>
            <w:rFonts w:ascii="Arial" w:cs="Arial" w:eastAsia="Arial" w:hAnsi="Arial"/>
            <w:sz w:val="18"/>
            <w:szCs w:val="18"/>
            <w:u w:val="single" w:color="auto"/>
            <w:color w:val="0000FF"/>
          </w:rPr>
          <w:t>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56">
        <w:r>
          <w:rPr>
            <w:rFonts w:ascii="Arial" w:cs="Arial" w:eastAsia="Arial" w:hAnsi="Arial"/>
            <w:sz w:val="18"/>
            <w:szCs w:val="18"/>
            <w:u w:val="single" w:color="auto"/>
            <w:color w:val="0000FF"/>
          </w:rPr>
          <w:t>Report on Form 10-Q for the quarter ended June 30, 2022 (Commission File No. 1-8400)).**</w:t>
        </w:r>
      </w:hyperlink>
    </w:p>
    <w:p>
      <w:pPr>
        <w:spacing w:after="0" w:line="200" w:lineRule="exact"/>
        <w:rPr>
          <w:rFonts w:ascii="Arial" w:cs="Arial" w:eastAsia="Arial" w:hAnsi="Arial"/>
          <w:sz w:val="18"/>
          <w:szCs w:val="18"/>
          <w:u w:val="single" w:color="auto"/>
          <w:color w:val="0000FF"/>
        </w:rPr>
      </w:pPr>
    </w:p>
    <w:p>
      <w:pPr>
        <w:spacing w:after="0" w:line="32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10.113</w:t>
      </w:r>
      <w:r>
        <w:rPr>
          <w:sz w:val="20"/>
          <w:szCs w:val="20"/>
          <w:color w:val="auto"/>
        </w:rPr>
        <w:tab/>
      </w:r>
      <w:hyperlink r:id="rId558">
        <w:r>
          <w:rPr>
            <w:rFonts w:ascii="Arial" w:cs="Arial" w:eastAsia="Arial" w:hAnsi="Arial"/>
            <w:sz w:val="18"/>
            <w:szCs w:val="18"/>
            <w:u w:val="single" w:color="auto"/>
            <w:color w:val="0000FF"/>
          </w:rPr>
          <w:t>Supplemental Agreement No. 25, dated as of July 1, 2022, to Purchase Agreement No. 03735 dated as of February 1, 2013, by</w:t>
        </w:r>
      </w:hyperlink>
      <w:r>
        <w:rPr>
          <w:rFonts w:ascii="Arial" w:cs="Arial" w:eastAsia="Arial" w:hAnsi="Arial"/>
          <w:sz w:val="18"/>
          <w:szCs w:val="18"/>
          <w:u w:val="single" w:color="auto"/>
          <w:color w:val="0000FF"/>
        </w:rPr>
        <w:t xml:space="preserve"> </w:t>
      </w:r>
      <w:hyperlink r:id="rId558">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58">
        <w:r>
          <w:rPr>
            <w:rFonts w:ascii="Arial" w:cs="Arial" w:eastAsia="Arial" w:hAnsi="Arial"/>
            <w:sz w:val="18"/>
            <w:szCs w:val="18"/>
            <w:u w:val="single" w:color="auto"/>
            <w:color w:val="0000FF"/>
          </w:rPr>
          <w:t>Report on Form 10-Q for the quarter ended September 30, 2022 (Commission File No. 1-8400)).**</w:t>
        </w:r>
      </w:hyperlink>
    </w:p>
    <w:p>
      <w:pPr>
        <w:spacing w:after="0" w:line="15"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10.113</w:t>
      </w:r>
      <w:r>
        <w:rPr>
          <w:sz w:val="20"/>
          <w:szCs w:val="20"/>
          <w:color w:val="auto"/>
        </w:rPr>
        <w:tab/>
      </w:r>
      <w:hyperlink r:id="rId559">
        <w:r>
          <w:rPr>
            <w:rFonts w:ascii="Arial" w:cs="Arial" w:eastAsia="Arial" w:hAnsi="Arial"/>
            <w:sz w:val="18"/>
            <w:szCs w:val="18"/>
            <w:u w:val="single" w:color="auto"/>
            <w:color w:val="0000FF"/>
          </w:rPr>
          <w:t>Supplemental Agreement No. 26, dated as of August 1, 2022, to Purchase Agreement No. 03735 dated as of February 1, 2013,</w:t>
        </w:r>
      </w:hyperlink>
      <w:r>
        <w:rPr>
          <w:rFonts w:ascii="Arial" w:cs="Arial" w:eastAsia="Arial" w:hAnsi="Arial"/>
          <w:sz w:val="18"/>
          <w:szCs w:val="18"/>
          <w:u w:val="single" w:color="auto"/>
          <w:color w:val="0000FF"/>
        </w:rPr>
        <w:t xml:space="preserve"> </w:t>
      </w:r>
      <w:hyperlink r:id="rId559">
        <w:r>
          <w:rPr>
            <w:rFonts w:ascii="Arial" w:cs="Arial" w:eastAsia="Arial" w:hAnsi="Arial"/>
            <w:sz w:val="18"/>
            <w:szCs w:val="18"/>
            <w:u w:val="single" w:color="auto"/>
            <w:color w:val="0000FF"/>
          </w:rPr>
          <w:t>by 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59">
        <w:r>
          <w:rPr>
            <w:rFonts w:ascii="Arial" w:cs="Arial" w:eastAsia="Arial" w:hAnsi="Arial"/>
            <w:sz w:val="18"/>
            <w:szCs w:val="18"/>
            <w:u w:val="single" w:color="auto"/>
            <w:color w:val="0000FF"/>
          </w:rPr>
          <w:t>Report on Form 10-Q for the quarter ended September 30,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10.114</w:t>
      </w:r>
      <w:r>
        <w:rPr>
          <w:sz w:val="20"/>
          <w:szCs w:val="20"/>
          <w:color w:val="auto"/>
        </w:rPr>
        <w:tab/>
      </w:r>
      <w:hyperlink r:id="rId560">
        <w:r>
          <w:rPr>
            <w:rFonts w:ascii="Arial" w:cs="Arial" w:eastAsia="Arial" w:hAnsi="Arial"/>
            <w:sz w:val="18"/>
            <w:szCs w:val="18"/>
            <w:u w:val="single" w:color="auto"/>
            <w:color w:val="0000FF"/>
          </w:rPr>
          <w:t>Supplemental Agreement No. 27, dated as of October 3, 2022, to Purchase Agreement No. 03735 dated as of February 1, 2013,</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between American Airlines, Inc. and the Boeing Company (incorporated by reference to Exhibit 10.101 to AAG’s Annual Report</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on Form 10-K for the year ended December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10.115</w:t>
      </w:r>
      <w:r>
        <w:rPr>
          <w:sz w:val="20"/>
          <w:szCs w:val="20"/>
          <w:color w:val="auto"/>
        </w:rPr>
        <w:tab/>
      </w:r>
      <w:hyperlink r:id="rId561">
        <w:r>
          <w:rPr>
            <w:rFonts w:ascii="Arial" w:cs="Arial" w:eastAsia="Arial" w:hAnsi="Arial"/>
            <w:sz w:val="18"/>
            <w:szCs w:val="18"/>
            <w:u w:val="single" w:color="auto"/>
            <w:color w:val="0000FF"/>
          </w:rPr>
          <w:t>Supplemental Agreement No. 28, dated as of November 4, 2022, to Purchase Agreement No. 03735 dated as of February 1,</w:t>
        </w:r>
      </w:hyperlink>
      <w:r>
        <w:rPr>
          <w:rFonts w:ascii="Arial" w:cs="Arial" w:eastAsia="Arial" w:hAnsi="Arial"/>
          <w:sz w:val="18"/>
          <w:szCs w:val="18"/>
          <w:u w:val="single" w:color="auto"/>
          <w:color w:val="0000FF"/>
        </w:rPr>
        <w:t xml:space="preserve"> </w:t>
      </w:r>
      <w:hyperlink r:id="rId561">
        <w:r>
          <w:rPr>
            <w:rFonts w:ascii="Arial" w:cs="Arial" w:eastAsia="Arial" w:hAnsi="Arial"/>
            <w:sz w:val="18"/>
            <w:szCs w:val="18"/>
            <w:u w:val="single" w:color="auto"/>
            <w:color w:val="0000FF"/>
          </w:rPr>
          <w:t>2013, between American Airlines, Inc. and the Boeing Company (incorporated by reference to Exhibit 10.102 to AAG’s Annual</w:t>
        </w:r>
      </w:hyperlink>
      <w:r>
        <w:rPr>
          <w:rFonts w:ascii="Arial" w:cs="Arial" w:eastAsia="Arial" w:hAnsi="Arial"/>
          <w:sz w:val="18"/>
          <w:szCs w:val="18"/>
          <w:u w:val="single" w:color="auto"/>
          <w:color w:val="0000FF"/>
        </w:rPr>
        <w:t xml:space="preserve"> </w:t>
      </w:r>
      <w:hyperlink r:id="rId561">
        <w:r>
          <w:rPr>
            <w:rFonts w:ascii="Arial" w:cs="Arial" w:eastAsia="Arial" w:hAnsi="Arial"/>
            <w:sz w:val="18"/>
            <w:szCs w:val="18"/>
            <w:u w:val="single" w:color="auto"/>
            <w:color w:val="0000FF"/>
          </w:rPr>
          <w:t>Report on Form 10-K for the year ended December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10.116</w:t>
      </w:r>
      <w:r>
        <w:rPr>
          <w:sz w:val="20"/>
          <w:szCs w:val="20"/>
          <w:color w:val="auto"/>
        </w:rPr>
        <w:tab/>
      </w:r>
      <w:hyperlink r:id="rId562">
        <w:r>
          <w:rPr>
            <w:rFonts w:ascii="Arial" w:cs="Arial" w:eastAsia="Arial" w:hAnsi="Arial"/>
            <w:sz w:val="18"/>
            <w:szCs w:val="18"/>
            <w:u w:val="single" w:color="auto"/>
            <w:color w:val="0000FF"/>
          </w:rPr>
          <w:t>Supplemental Agreement No. 29, dated as of May 23, 2023, to Purchase Agreement No. 03735 dated as of February 1, 2013,</w:t>
        </w:r>
      </w:hyperlink>
      <w:r>
        <w:rPr>
          <w:rFonts w:ascii="Arial" w:cs="Arial" w:eastAsia="Arial" w:hAnsi="Arial"/>
          <w:sz w:val="18"/>
          <w:szCs w:val="18"/>
          <w:u w:val="single" w:color="auto"/>
          <w:color w:val="0000FF"/>
        </w:rPr>
        <w:t xml:space="preserve"> </w:t>
      </w:r>
      <w:hyperlink r:id="rId562">
        <w:r>
          <w:rPr>
            <w:rFonts w:ascii="Arial" w:cs="Arial" w:eastAsia="Arial" w:hAnsi="Arial"/>
            <w:sz w:val="18"/>
            <w:szCs w:val="18"/>
            <w:u w:val="single" w:color="auto"/>
            <w:color w:val="0000FF"/>
          </w:rPr>
          <w:t>between American Airlines, Inc. and the Boeing Company (incorporated by reference to Exhibit 10.2 to AAG’s Quarterly Report</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562">
        <w:r>
          <w:rPr>
            <w:rFonts w:ascii="Arial" w:cs="Arial" w:eastAsia="Arial" w:hAnsi="Arial"/>
            <w:sz w:val="18"/>
            <w:szCs w:val="18"/>
            <w:u w:val="single" w:color="auto"/>
            <w:color w:val="0000FF"/>
          </w:rPr>
          <w:t>on Form 10-Q for the quarter ended June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10.117</w:t>
      </w:r>
      <w:r>
        <w:rPr>
          <w:sz w:val="20"/>
          <w:szCs w:val="20"/>
          <w:color w:val="auto"/>
        </w:rPr>
        <w:tab/>
      </w:r>
      <w:hyperlink r:id="rId563">
        <w:r>
          <w:rPr>
            <w:rFonts w:ascii="Arial" w:cs="Arial" w:eastAsia="Arial" w:hAnsi="Arial"/>
            <w:sz w:val="18"/>
            <w:szCs w:val="18"/>
            <w:u w:val="single" w:color="auto"/>
            <w:color w:val="0000FF"/>
          </w:rPr>
          <w:t>Supplemental Agreement No. 30, dated as of June 2, 2023, to Purchase Agreement No. 03735 dated as of February 1, 2013,</w:t>
        </w:r>
      </w:hyperlink>
      <w:r>
        <w:rPr>
          <w:rFonts w:ascii="Arial" w:cs="Arial" w:eastAsia="Arial" w:hAnsi="Arial"/>
          <w:sz w:val="18"/>
          <w:szCs w:val="18"/>
          <w:u w:val="single" w:color="auto"/>
          <w:color w:val="0000FF"/>
        </w:rPr>
        <w:t xml:space="preserve"> </w:t>
      </w:r>
      <w:hyperlink r:id="rId563">
        <w:r>
          <w:rPr>
            <w:rFonts w:ascii="Arial" w:cs="Arial" w:eastAsia="Arial" w:hAnsi="Arial"/>
            <w:sz w:val="18"/>
            <w:szCs w:val="18"/>
            <w:u w:val="single" w:color="auto"/>
            <w:color w:val="0000FF"/>
          </w:rPr>
          <w:t>between American Airlines, Inc. and the Boeing Company (incorporated by reference to Exhibit 10.3 to AAG’s Quarterly Report</w:t>
        </w:r>
      </w:hyperlink>
    </w:p>
    <w:p>
      <w:pPr>
        <w:ind w:left="920"/>
        <w:spacing w:after="0"/>
        <w:rPr>
          <w:rFonts w:ascii="Arial" w:cs="Arial" w:eastAsia="Arial" w:hAnsi="Arial"/>
          <w:sz w:val="18"/>
          <w:szCs w:val="18"/>
          <w:u w:val="single" w:color="auto"/>
          <w:color w:val="0000FF"/>
        </w:rPr>
      </w:pPr>
      <w:hyperlink r:id="rId563">
        <w:r>
          <w:rPr>
            <w:rFonts w:ascii="Arial" w:cs="Arial" w:eastAsia="Arial" w:hAnsi="Arial"/>
            <w:sz w:val="18"/>
            <w:szCs w:val="18"/>
            <w:u w:val="single" w:color="auto"/>
            <w:color w:val="0000FF"/>
          </w:rPr>
          <w:t>on Form 10-Q for the quarter ended June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10.118</w:t>
      </w:r>
      <w:r>
        <w:rPr>
          <w:sz w:val="20"/>
          <w:szCs w:val="20"/>
          <w:color w:val="auto"/>
        </w:rPr>
        <w:tab/>
      </w:r>
      <w:hyperlink r:id="rId564">
        <w:r>
          <w:rPr>
            <w:rFonts w:ascii="Arial" w:cs="Arial" w:eastAsia="Arial" w:hAnsi="Arial"/>
            <w:sz w:val="18"/>
            <w:szCs w:val="18"/>
            <w:u w:val="single" w:color="auto"/>
            <w:color w:val="0000FF"/>
          </w:rPr>
          <w:t>Supplemental Agreement No. 31, dated as of July 5, 2023, to Purchase Agreement No. 03735 dated as of February 1, 2013,</w:t>
        </w:r>
      </w:hyperlink>
      <w:r>
        <w:rPr>
          <w:rFonts w:ascii="Arial" w:cs="Arial" w:eastAsia="Arial" w:hAnsi="Arial"/>
          <w:sz w:val="18"/>
          <w:szCs w:val="18"/>
          <w:u w:val="single" w:color="auto"/>
          <w:color w:val="0000FF"/>
        </w:rPr>
        <w:t xml:space="preserve"> </w:t>
      </w:r>
      <w:hyperlink r:id="rId564">
        <w:r>
          <w:rPr>
            <w:rFonts w:ascii="Arial" w:cs="Arial" w:eastAsia="Arial" w:hAnsi="Arial"/>
            <w:sz w:val="18"/>
            <w:szCs w:val="18"/>
            <w:u w:val="single" w:color="auto"/>
            <w:color w:val="0000FF"/>
          </w:rPr>
          <w:t>between American Airlines, Inc. and the Boeing Company (incorporated by reference to Exhibit 10.1 to AAG’s Quarterly Report</w:t>
        </w:r>
      </w:hyperlink>
    </w:p>
    <w:p>
      <w:pPr>
        <w:ind w:left="920"/>
        <w:spacing w:after="0"/>
        <w:rPr>
          <w:rFonts w:ascii="Arial" w:cs="Arial" w:eastAsia="Arial" w:hAnsi="Arial"/>
          <w:sz w:val="18"/>
          <w:szCs w:val="18"/>
          <w:u w:val="single" w:color="auto"/>
          <w:color w:val="0000FF"/>
        </w:rPr>
      </w:pPr>
      <w:hyperlink r:id="rId564">
        <w:r>
          <w:rPr>
            <w:rFonts w:ascii="Arial" w:cs="Arial" w:eastAsia="Arial" w:hAnsi="Arial"/>
            <w:sz w:val="18"/>
            <w:szCs w:val="18"/>
            <w:u w:val="single" w:color="auto"/>
            <w:color w:val="0000FF"/>
          </w:rPr>
          <w:t>on Form 10-Q for the quarter ended September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10.119</w:t>
      </w:r>
      <w:r>
        <w:rPr>
          <w:sz w:val="20"/>
          <w:szCs w:val="20"/>
          <w:color w:val="auto"/>
        </w:rPr>
        <w:tab/>
      </w:r>
      <w:hyperlink r:id="rId565">
        <w:r>
          <w:rPr>
            <w:rFonts w:ascii="Arial" w:cs="Arial" w:eastAsia="Arial" w:hAnsi="Arial"/>
            <w:sz w:val="18"/>
            <w:szCs w:val="18"/>
            <w:u w:val="single" w:color="auto"/>
            <w:color w:val="0000FF"/>
          </w:rPr>
          <w:t>Supplemental Agreement No. 32, dated as of March 4, 2024, to Purchase Agreement No. 03735 dated as of February 1, 2013,</w:t>
        </w:r>
      </w:hyperlink>
      <w:r>
        <w:rPr>
          <w:rFonts w:ascii="Arial" w:cs="Arial" w:eastAsia="Arial" w:hAnsi="Arial"/>
          <w:sz w:val="18"/>
          <w:szCs w:val="18"/>
          <w:u w:val="single" w:color="auto"/>
          <w:color w:val="0000FF"/>
        </w:rPr>
        <w:t xml:space="preserve"> </w:t>
      </w:r>
      <w:hyperlink r:id="rId565">
        <w:r>
          <w:rPr>
            <w:rFonts w:ascii="Arial" w:cs="Arial" w:eastAsia="Arial" w:hAnsi="Arial"/>
            <w:sz w:val="18"/>
            <w:szCs w:val="18"/>
            <w:u w:val="single" w:color="auto"/>
            <w:color w:val="0000FF"/>
          </w:rPr>
          <w:t>by and between American Airlines, Inc. and The Boeing Company (incorporated by reference to Exhibit 10.3 to AAG’s Quarterly</w:t>
        </w:r>
      </w:hyperlink>
    </w:p>
    <w:p>
      <w:pPr>
        <w:ind w:left="920"/>
        <w:spacing w:after="0"/>
        <w:rPr>
          <w:rFonts w:ascii="Arial" w:cs="Arial" w:eastAsia="Arial" w:hAnsi="Arial"/>
          <w:sz w:val="18"/>
          <w:szCs w:val="18"/>
          <w:u w:val="single" w:color="auto"/>
          <w:color w:val="0000FF"/>
        </w:rPr>
      </w:pPr>
      <w:hyperlink r:id="rId565">
        <w:r>
          <w:rPr>
            <w:rFonts w:ascii="Arial" w:cs="Arial" w:eastAsia="Arial" w:hAnsi="Arial"/>
            <w:sz w:val="18"/>
            <w:szCs w:val="18"/>
            <w:u w:val="single" w:color="auto"/>
            <w:color w:val="0000FF"/>
          </w:rPr>
          <w:t>Report on Form 10-Q for the quarter ended March 31, 2024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10.120</w:t>
      </w:r>
      <w:r>
        <w:rPr>
          <w:sz w:val="20"/>
          <w:szCs w:val="20"/>
          <w:color w:val="auto"/>
        </w:rPr>
        <w:tab/>
      </w:r>
      <w:hyperlink r:id="rId566">
        <w:r>
          <w:rPr>
            <w:rFonts w:ascii="Arial" w:cs="Arial" w:eastAsia="Arial" w:hAnsi="Arial"/>
            <w:sz w:val="18"/>
            <w:szCs w:val="18"/>
            <w:u w:val="single" w:color="auto"/>
            <w:color w:val="0000FF"/>
          </w:rPr>
          <w:t>Supplemental Agreement No. 33 to Purchase Agreement No. 03735, dated as of August 21, 2024, between The Boeing</w:t>
        </w:r>
      </w:hyperlink>
      <w:r>
        <w:rPr>
          <w:rFonts w:ascii="Arial" w:cs="Arial" w:eastAsia="Arial" w:hAnsi="Arial"/>
          <w:sz w:val="18"/>
          <w:szCs w:val="18"/>
          <w:u w:val="single" w:color="auto"/>
          <w:color w:val="0000FF"/>
        </w:rPr>
        <w:t xml:space="preserve"> </w:t>
      </w:r>
      <w:hyperlink r:id="rId566">
        <w:r>
          <w:rPr>
            <w:rFonts w:ascii="Arial" w:cs="Arial" w:eastAsia="Arial" w:hAnsi="Arial"/>
            <w:sz w:val="18"/>
            <w:szCs w:val="18"/>
            <w:u w:val="single" w:color="auto"/>
            <w:color w:val="0000FF"/>
          </w:rPr>
          <w:t>Company and American Airlines, Inc. Relating to Boeing Model 737 MAX Aircraft (incorporated by reference to Exhibit 10.5 to</w:t>
        </w:r>
      </w:hyperlink>
    </w:p>
    <w:p>
      <w:pPr>
        <w:ind w:left="920"/>
        <w:spacing w:after="0"/>
        <w:rPr>
          <w:rFonts w:ascii="Arial" w:cs="Arial" w:eastAsia="Arial" w:hAnsi="Arial"/>
          <w:sz w:val="18"/>
          <w:szCs w:val="18"/>
          <w:u w:val="single" w:color="auto"/>
          <w:color w:val="0000FF"/>
        </w:rPr>
      </w:pPr>
      <w:hyperlink r:id="rId566">
        <w:r>
          <w:rPr>
            <w:rFonts w:ascii="Arial" w:cs="Arial" w:eastAsia="Arial" w:hAnsi="Arial"/>
            <w:sz w:val="18"/>
            <w:szCs w:val="18"/>
            <w:u w:val="single" w:color="auto"/>
            <w:color w:val="0000FF"/>
          </w:rPr>
          <w:t>AAG’s Quarterly Report on Form 10-Q for the quarter ended September 30, 2024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10.121</w:t>
      </w:r>
      <w:r>
        <w:rPr>
          <w:sz w:val="20"/>
          <w:szCs w:val="20"/>
          <w:color w:val="auto"/>
        </w:rPr>
        <w:tab/>
      </w:r>
      <w:hyperlink r:id="rId567">
        <w:r>
          <w:rPr>
            <w:rFonts w:ascii="Arial" w:cs="Arial" w:eastAsia="Arial" w:hAnsi="Arial"/>
            <w:sz w:val="18"/>
            <w:szCs w:val="18"/>
            <w:u w:val="single" w:color="auto"/>
            <w:color w:val="0000FF"/>
          </w:rPr>
          <w:t>Consent Agreement, dated as of October 5, 2015, between American Airlines, Inc. (as successor in interest to US Airways, Inc.),</w:t>
        </w:r>
      </w:hyperlink>
      <w:r>
        <w:rPr>
          <w:rFonts w:ascii="Arial" w:cs="Arial" w:eastAsia="Arial" w:hAnsi="Arial"/>
          <w:sz w:val="18"/>
          <w:szCs w:val="18"/>
          <w:u w:val="single" w:color="auto"/>
          <w:color w:val="0000FF"/>
        </w:rPr>
        <w:t xml:space="preserve"> </w:t>
      </w:r>
      <w:hyperlink r:id="rId567">
        <w:r>
          <w:rPr>
            <w:rFonts w:ascii="Arial" w:cs="Arial" w:eastAsia="Arial" w:hAnsi="Arial"/>
            <w:sz w:val="18"/>
            <w:szCs w:val="18"/>
            <w:u w:val="single" w:color="auto"/>
            <w:color w:val="0000FF"/>
          </w:rPr>
          <w:t>American Airlines, Inc. and Airbus S.A.S. (incorporated by reference to Exhibit 10.95 to AAG’s Annual Report on Form 10-K for</w:t>
        </w:r>
      </w:hyperlink>
    </w:p>
    <w:p>
      <w:pPr>
        <w:ind w:left="920"/>
        <w:spacing w:after="0"/>
        <w:rPr>
          <w:rFonts w:ascii="Arial" w:cs="Arial" w:eastAsia="Arial" w:hAnsi="Arial"/>
          <w:sz w:val="18"/>
          <w:szCs w:val="18"/>
          <w:color w:val="0000FF"/>
        </w:rPr>
      </w:pPr>
      <w:hyperlink r:id="rId567">
        <w:r>
          <w:rPr>
            <w:rFonts w:ascii="Arial" w:cs="Arial" w:eastAsia="Arial" w:hAnsi="Arial"/>
            <w:sz w:val="18"/>
            <w:szCs w:val="18"/>
            <w:u w:val="single" w:color="auto"/>
            <w:color w:val="0000FF"/>
          </w:rPr>
          <w:t>the year ended December 31, 2021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10.122</w:t>
      </w:r>
      <w:r>
        <w:rPr>
          <w:sz w:val="20"/>
          <w:szCs w:val="20"/>
          <w:color w:val="auto"/>
        </w:rPr>
        <w:tab/>
      </w:r>
      <w:hyperlink r:id="rId568">
        <w:r>
          <w:rPr>
            <w:rFonts w:ascii="Arial" w:cs="Arial" w:eastAsia="Arial" w:hAnsi="Arial"/>
            <w:sz w:val="18"/>
            <w:szCs w:val="18"/>
            <w:u w:val="single" w:color="auto"/>
            <w:color w:val="0000FF"/>
          </w:rPr>
          <w:t>Supplemental Executive Retirement Program for Officers of American Airlines, Inc., as amended and restated as of January 1,</w:t>
        </w:r>
      </w:hyperlink>
    </w:p>
    <w:p>
      <w:pPr>
        <w:ind w:left="920"/>
        <w:spacing w:after="0" w:line="218" w:lineRule="auto"/>
        <w:rPr>
          <w:rFonts w:ascii="Arial" w:cs="Arial" w:eastAsia="Arial" w:hAnsi="Arial"/>
          <w:sz w:val="18"/>
          <w:szCs w:val="18"/>
          <w:u w:val="single" w:color="auto"/>
          <w:color w:val="0000FF"/>
        </w:rPr>
      </w:pPr>
      <w:hyperlink r:id="rId568">
        <w:r>
          <w:rPr>
            <w:rFonts w:ascii="Arial" w:cs="Arial" w:eastAsia="Arial" w:hAnsi="Arial"/>
            <w:sz w:val="18"/>
            <w:szCs w:val="18"/>
            <w:u w:val="single" w:color="auto"/>
            <w:color w:val="0000FF"/>
          </w:rPr>
          <w:t>2005 (incorporated by reference to Exhibit 10.127 to AMR’s Annual Report on Form 10-K for the year ended December 31, 2008</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68">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10.123</w:t>
      </w:r>
      <w:r>
        <w:rPr>
          <w:sz w:val="20"/>
          <w:szCs w:val="20"/>
          <w:color w:val="auto"/>
        </w:rPr>
        <w:tab/>
      </w:r>
      <w:hyperlink r:id="rId569">
        <w:r>
          <w:rPr>
            <w:rFonts w:ascii="Arial" w:cs="Arial" w:eastAsia="Arial" w:hAnsi="Arial"/>
            <w:sz w:val="18"/>
            <w:szCs w:val="18"/>
            <w:u w:val="single" w:color="auto"/>
            <w:color w:val="0000FF"/>
          </w:rPr>
          <w:t>Trust Agreement Under Supplemental Retirement Program for Officers of American Airlines, Inc., as amended and restated as of</w:t>
        </w:r>
      </w:hyperlink>
      <w:r>
        <w:rPr>
          <w:rFonts w:ascii="Arial" w:cs="Arial" w:eastAsia="Arial" w:hAnsi="Arial"/>
          <w:sz w:val="18"/>
          <w:szCs w:val="18"/>
          <w:u w:val="single" w:color="auto"/>
          <w:color w:val="0000FF"/>
        </w:rPr>
        <w:t xml:space="preserve"> </w:t>
      </w:r>
      <w:hyperlink r:id="rId569">
        <w:r>
          <w:rPr>
            <w:rFonts w:ascii="Arial" w:cs="Arial" w:eastAsia="Arial" w:hAnsi="Arial"/>
            <w:sz w:val="18"/>
            <w:szCs w:val="18"/>
            <w:u w:val="single" w:color="auto"/>
            <w:color w:val="0000FF"/>
          </w:rPr>
          <w:t>June 1, 2007 (incorporated by reference to Exhibit 10.128 to AMR’s Annual Report on Form 10-K for the year ended</w:t>
        </w:r>
      </w:hyperlink>
    </w:p>
    <w:p>
      <w:pPr>
        <w:ind w:left="920"/>
        <w:spacing w:after="0"/>
        <w:rPr>
          <w:rFonts w:ascii="Arial" w:cs="Arial" w:eastAsia="Arial" w:hAnsi="Arial"/>
          <w:sz w:val="18"/>
          <w:szCs w:val="18"/>
          <w:color w:val="0000FF"/>
        </w:rPr>
      </w:pPr>
      <w:hyperlink r:id="rId569">
        <w:r>
          <w:rPr>
            <w:rFonts w:ascii="Arial" w:cs="Arial" w:eastAsia="Arial" w:hAnsi="Arial"/>
            <w:sz w:val="18"/>
            <w:szCs w:val="18"/>
            <w:u w:val="single" w:color="auto"/>
            <w:color w:val="0000FF"/>
          </w:rPr>
          <w:t>December 31, 2008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10.124</w:t>
      </w:r>
      <w:r>
        <w:rPr>
          <w:sz w:val="20"/>
          <w:szCs w:val="20"/>
          <w:color w:val="auto"/>
        </w:rPr>
        <w:tab/>
      </w:r>
      <w:hyperlink r:id="rId570">
        <w:r>
          <w:rPr>
            <w:rFonts w:ascii="Arial" w:cs="Arial" w:eastAsia="Arial" w:hAnsi="Arial"/>
            <w:sz w:val="18"/>
            <w:szCs w:val="18"/>
            <w:u w:val="single" w:color="auto"/>
            <w:color w:val="0000FF"/>
          </w:rPr>
          <w:t>Trust Agreement Under Supplemental Executive Retirement Program for Officers of American Airlines, Inc. Participating in the</w:t>
        </w:r>
      </w:hyperlink>
      <w:r>
        <w:rPr>
          <w:rFonts w:ascii="Arial" w:cs="Arial" w:eastAsia="Arial" w:hAnsi="Arial"/>
          <w:sz w:val="18"/>
          <w:szCs w:val="18"/>
          <w:u w:val="single" w:color="auto"/>
          <w:color w:val="0000FF"/>
        </w:rPr>
        <w:t xml:space="preserve"> </w:t>
      </w:r>
      <w:hyperlink r:id="rId570">
        <w:r>
          <w:rPr>
            <w:rFonts w:ascii="Arial" w:cs="Arial" w:eastAsia="Arial" w:hAnsi="Arial"/>
            <w:sz w:val="18"/>
            <w:szCs w:val="18"/>
            <w:u w:val="single" w:color="auto"/>
            <w:color w:val="0000FF"/>
          </w:rPr>
          <w:t>Super Saver Plus Plan, as amended and restated as of June 1, 2007 (incorporated by reference to Exhibit 10.129 to AMR’s</w:t>
        </w:r>
      </w:hyperlink>
    </w:p>
    <w:p>
      <w:pPr>
        <w:ind w:left="920"/>
        <w:spacing w:after="0"/>
        <w:rPr>
          <w:rFonts w:ascii="Arial" w:cs="Arial" w:eastAsia="Arial" w:hAnsi="Arial"/>
          <w:sz w:val="18"/>
          <w:szCs w:val="18"/>
          <w:color w:val="0000FF"/>
        </w:rPr>
      </w:pPr>
      <w:hyperlink r:id="rId570">
        <w:r>
          <w:rPr>
            <w:rFonts w:ascii="Arial" w:cs="Arial" w:eastAsia="Arial" w:hAnsi="Arial"/>
            <w:sz w:val="18"/>
            <w:szCs w:val="18"/>
            <w:u w:val="single" w:color="auto"/>
            <w:color w:val="0000FF"/>
          </w:rPr>
          <w:t>Annual Report on Form 10-K for the year ended December 31, 2008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10.125</w:t>
      </w:r>
      <w:r>
        <w:rPr>
          <w:sz w:val="20"/>
          <w:szCs w:val="20"/>
          <w:color w:val="auto"/>
        </w:rPr>
        <w:tab/>
      </w:r>
      <w:hyperlink r:id="rId571">
        <w:r>
          <w:rPr>
            <w:rFonts w:ascii="Arial" w:cs="Arial" w:eastAsia="Arial" w:hAnsi="Arial"/>
            <w:sz w:val="18"/>
            <w:szCs w:val="18"/>
            <w:u w:val="single" w:color="auto"/>
            <w:color w:val="0000FF"/>
          </w:rPr>
          <w:t>American Airlines Group Inc. 2013 Incentive Award Plan (incorporated by reference to Exhibit 4.1 of AAG’s Form S-8 Registration</w:t>
        </w:r>
      </w:hyperlink>
      <w:r>
        <w:rPr>
          <w:rFonts w:ascii="Arial" w:cs="Arial" w:eastAsia="Arial" w:hAnsi="Arial"/>
          <w:sz w:val="18"/>
          <w:szCs w:val="18"/>
          <w:u w:val="single" w:color="auto"/>
          <w:color w:val="0000FF"/>
        </w:rPr>
        <w:t xml:space="preserve"> </w:t>
      </w:r>
      <w:hyperlink r:id="rId571">
        <w:r>
          <w:rPr>
            <w:rFonts w:ascii="Arial" w:cs="Arial" w:eastAsia="Arial" w:hAnsi="Arial"/>
            <w:sz w:val="18"/>
            <w:szCs w:val="18"/>
            <w:u w:val="single" w:color="auto"/>
            <w:color w:val="0000FF"/>
          </w:rPr>
          <w:t>Statement, filed on December 4, 2013 (Registration No. 333-192660)).</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10.126</w:t>
      </w:r>
      <w:r>
        <w:rPr>
          <w:sz w:val="20"/>
          <w:szCs w:val="20"/>
          <w:color w:val="auto"/>
        </w:rPr>
        <w:tab/>
      </w:r>
      <w:hyperlink r:id="rId572">
        <w:r>
          <w:rPr>
            <w:rFonts w:ascii="Arial" w:cs="Arial" w:eastAsia="Arial" w:hAnsi="Arial"/>
            <w:sz w:val="18"/>
            <w:szCs w:val="18"/>
            <w:u w:val="single" w:color="auto"/>
            <w:color w:val="0000FF"/>
          </w:rPr>
          <w:t>First Amendment to the American Airlines Group Inc. 2013 Incentive Award Plan (incorporated by reference to Exhibit 10.64 to</w:t>
        </w:r>
      </w:hyperlink>
      <w:r>
        <w:rPr>
          <w:rFonts w:ascii="Arial" w:cs="Arial" w:eastAsia="Arial" w:hAnsi="Arial"/>
          <w:sz w:val="18"/>
          <w:szCs w:val="18"/>
          <w:u w:val="single" w:color="auto"/>
          <w:color w:val="0000FF"/>
        </w:rPr>
        <w:t xml:space="preserve"> </w:t>
      </w:r>
      <w:hyperlink r:id="rId572">
        <w:r>
          <w:rPr>
            <w:rFonts w:ascii="Arial" w:cs="Arial" w:eastAsia="Arial" w:hAnsi="Arial"/>
            <w:sz w:val="18"/>
            <w:szCs w:val="18"/>
            <w:u w:val="single" w:color="auto"/>
            <w:color w:val="0000FF"/>
          </w:rPr>
          <w:t>AAG’s Annual Report on Form 10-K for the year ended December 31, 2017 (Commission File No. 1-8400)).</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10.127</w:t>
      </w:r>
      <w:r>
        <w:rPr>
          <w:sz w:val="20"/>
          <w:szCs w:val="20"/>
          <w:color w:val="auto"/>
        </w:rPr>
        <w:tab/>
      </w:r>
      <w:hyperlink r:id="rId573">
        <w:r>
          <w:rPr>
            <w:rFonts w:ascii="Arial" w:cs="Arial" w:eastAsia="Arial" w:hAnsi="Arial"/>
            <w:sz w:val="18"/>
            <w:szCs w:val="18"/>
            <w:u w:val="single" w:color="auto"/>
            <w:color w:val="0000FF"/>
          </w:rPr>
          <w:t>Form of American Airlines Group Inc. 2013 Incentive Award Plan Restricted Stock Unit (Cash-Settled) Award Grant Notice and</w:t>
        </w:r>
      </w:hyperlink>
      <w:r>
        <w:rPr>
          <w:rFonts w:ascii="Arial" w:cs="Arial" w:eastAsia="Arial" w:hAnsi="Arial"/>
          <w:sz w:val="18"/>
          <w:szCs w:val="18"/>
          <w:u w:val="single" w:color="auto"/>
          <w:color w:val="0000FF"/>
        </w:rPr>
        <w:t xml:space="preserve"> </w:t>
      </w:r>
      <w:hyperlink r:id="rId573">
        <w:r>
          <w:rPr>
            <w:rFonts w:ascii="Arial" w:cs="Arial" w:eastAsia="Arial" w:hAnsi="Arial"/>
            <w:sz w:val="18"/>
            <w:szCs w:val="18"/>
            <w:u w:val="single" w:color="auto"/>
            <w:color w:val="0000FF"/>
          </w:rPr>
          <w:t>Award Agreement (incorporated by reference to Exhibit 10.125 to AAG’s Annual Report on Form 10-K for the year ended</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73">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1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10.128</w:t>
      </w:r>
      <w:r>
        <w:rPr>
          <w:sz w:val="20"/>
          <w:szCs w:val="20"/>
          <w:color w:val="auto"/>
        </w:rPr>
        <w:tab/>
      </w:r>
      <w:hyperlink r:id="rId575">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575">
        <w:r>
          <w:rPr>
            <w:rFonts w:ascii="Arial" w:cs="Arial" w:eastAsia="Arial" w:hAnsi="Arial"/>
            <w:sz w:val="18"/>
            <w:szCs w:val="18"/>
            <w:u w:val="single" w:color="auto"/>
            <w:color w:val="0000FF"/>
          </w:rPr>
          <w:t>Award Agreement (incorporated by reference to Exhibit 10.127 to AAG’s Annual Report on Form 10-K for the year ended</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75">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10.129</w:t>
      </w:r>
      <w:r>
        <w:rPr>
          <w:sz w:val="20"/>
          <w:szCs w:val="20"/>
          <w:color w:val="auto"/>
        </w:rPr>
        <w:tab/>
      </w:r>
      <w:hyperlink r:id="rId576">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576">
        <w:r>
          <w:rPr>
            <w:rFonts w:ascii="Arial" w:cs="Arial" w:eastAsia="Arial" w:hAnsi="Arial"/>
            <w:sz w:val="18"/>
            <w:szCs w:val="18"/>
            <w:u w:val="single" w:color="auto"/>
            <w:color w:val="0000FF"/>
          </w:rPr>
          <w:t>Award Agreement for Director Grants (incorporated by reference to Exhibit 10.129 to AAG’s Annual Report on Form 10-K for the</w:t>
        </w:r>
      </w:hyperlink>
    </w:p>
    <w:p>
      <w:pPr>
        <w:ind w:left="920"/>
        <w:spacing w:after="0"/>
        <w:rPr>
          <w:rFonts w:ascii="Arial" w:cs="Arial" w:eastAsia="Arial" w:hAnsi="Arial"/>
          <w:sz w:val="18"/>
          <w:szCs w:val="18"/>
          <w:color w:val="0000FF"/>
        </w:rPr>
      </w:pPr>
      <w:hyperlink r:id="rId576">
        <w:r>
          <w:rPr>
            <w:rFonts w:ascii="Arial" w:cs="Arial" w:eastAsia="Arial" w:hAnsi="Arial"/>
            <w:sz w:val="18"/>
            <w:szCs w:val="18"/>
            <w:u w:val="single" w:color="auto"/>
            <w:color w:val="0000FF"/>
          </w:rPr>
          <w:t>year ended 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10.130</w:t>
      </w:r>
      <w:r>
        <w:rPr>
          <w:sz w:val="20"/>
          <w:szCs w:val="20"/>
          <w:color w:val="auto"/>
        </w:rPr>
        <w:tab/>
      </w:r>
      <w:hyperlink r:id="rId577">
        <w:r>
          <w:rPr>
            <w:rFonts w:ascii="Arial" w:cs="Arial" w:eastAsia="Arial" w:hAnsi="Arial"/>
            <w:sz w:val="18"/>
            <w:szCs w:val="18"/>
            <w:u w:val="single" w:color="auto"/>
            <w:color w:val="0000FF"/>
          </w:rPr>
          <w:t>Form of Indemnification Agreement (incorporated by reference to Exhibit 10.9 to AAG’s Current Report on Form 8-K filed on</w:t>
        </w:r>
      </w:hyperlink>
      <w:r>
        <w:rPr>
          <w:rFonts w:ascii="Arial" w:cs="Arial" w:eastAsia="Arial" w:hAnsi="Arial"/>
          <w:sz w:val="18"/>
          <w:szCs w:val="18"/>
          <w:u w:val="single" w:color="auto"/>
          <w:color w:val="0000FF"/>
        </w:rPr>
        <w:t xml:space="preserve"> </w:t>
      </w:r>
      <w:hyperlink r:id="rId577">
        <w:r>
          <w:rPr>
            <w:rFonts w:ascii="Arial" w:cs="Arial" w:eastAsia="Arial" w:hAnsi="Arial"/>
            <w:sz w:val="18"/>
            <w:szCs w:val="18"/>
            <w:u w:val="single" w:color="auto"/>
            <w:color w:val="0000FF"/>
          </w:rPr>
          <w:t>December 9, 2013 (Commission File No. 1-8400)).</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10.131</w:t>
      </w:r>
      <w:r>
        <w:rPr>
          <w:sz w:val="20"/>
          <w:szCs w:val="20"/>
          <w:color w:val="auto"/>
        </w:rPr>
        <w:tab/>
      </w:r>
      <w:hyperlink r:id="rId578">
        <w:r>
          <w:rPr>
            <w:rFonts w:ascii="Arial" w:cs="Arial" w:eastAsia="Arial" w:hAnsi="Arial"/>
            <w:sz w:val="18"/>
            <w:szCs w:val="18"/>
            <w:u w:val="single" w:color="auto"/>
            <w:color w:val="0000FF"/>
          </w:rPr>
          <w:t>2014 Short-Term Incentive Program Under 2013 Incentive Award Plan (incorporated by reference to Exhibit 10.8 to AAG’s</w:t>
        </w:r>
      </w:hyperlink>
      <w:r>
        <w:rPr>
          <w:rFonts w:ascii="Arial" w:cs="Arial" w:eastAsia="Arial" w:hAnsi="Arial"/>
          <w:sz w:val="18"/>
          <w:szCs w:val="18"/>
          <w:u w:val="single" w:color="auto"/>
          <w:color w:val="0000FF"/>
        </w:rPr>
        <w:t xml:space="preserve"> </w:t>
      </w:r>
      <w:hyperlink r:id="rId578">
        <w:r>
          <w:rPr>
            <w:rFonts w:ascii="Arial" w:cs="Arial" w:eastAsia="Arial" w:hAnsi="Arial"/>
            <w:sz w:val="18"/>
            <w:szCs w:val="18"/>
            <w:u w:val="single" w:color="auto"/>
            <w:color w:val="0000FF"/>
          </w:rPr>
          <w:t>Quarterly Report on Form 10-Q for the quarter ended June 30, 2014 (Commission File No. 1-8400)).</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10.132</w:t>
      </w:r>
      <w:r>
        <w:rPr>
          <w:sz w:val="20"/>
          <w:szCs w:val="20"/>
          <w:color w:val="auto"/>
        </w:rPr>
        <w:tab/>
      </w:r>
      <w:hyperlink r:id="rId579">
        <w:r>
          <w:rPr>
            <w:rFonts w:ascii="Arial" w:cs="Arial" w:eastAsia="Arial" w:hAnsi="Arial"/>
            <w:sz w:val="18"/>
            <w:szCs w:val="18"/>
            <w:u w:val="single" w:color="auto"/>
            <w:color w:val="0000FF"/>
          </w:rPr>
          <w:t>American Airlines Group Inc. 2023 Incentive Award Plan (incorporated by reference to Exhibit 99.1 of AAG’s Form S-8</w:t>
        </w:r>
      </w:hyperlink>
      <w:r>
        <w:rPr>
          <w:rFonts w:ascii="Arial" w:cs="Arial" w:eastAsia="Arial" w:hAnsi="Arial"/>
          <w:sz w:val="18"/>
          <w:szCs w:val="18"/>
          <w:u w:val="single" w:color="auto"/>
          <w:color w:val="0000FF"/>
        </w:rPr>
        <w:t xml:space="preserve"> </w:t>
      </w:r>
      <w:hyperlink r:id="rId579">
        <w:r>
          <w:rPr>
            <w:rFonts w:ascii="Arial" w:cs="Arial" w:eastAsia="Arial" w:hAnsi="Arial"/>
            <w:sz w:val="18"/>
            <w:szCs w:val="18"/>
            <w:u w:val="single" w:color="auto"/>
            <w:color w:val="0000FF"/>
          </w:rPr>
          <w:t>Registration Statement, filed on May 10, 2023 (Registration No. 333-271802)).</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10.133</w:t>
      </w:r>
      <w:r>
        <w:rPr>
          <w:sz w:val="20"/>
          <w:szCs w:val="20"/>
          <w:color w:val="auto"/>
        </w:rPr>
        <w:tab/>
      </w:r>
      <w:hyperlink r:id="rId580">
        <w:r>
          <w:rPr>
            <w:rFonts w:ascii="Arial" w:cs="Arial" w:eastAsia="Arial" w:hAnsi="Arial"/>
            <w:sz w:val="18"/>
            <w:szCs w:val="18"/>
            <w:u w:val="single" w:color="auto"/>
            <w:color w:val="0000FF"/>
          </w:rPr>
          <w:t>Form of American Airlines Group Inc. 2023 Incentive Award Plan Restricted Stock Unit (Stock-Settled) Award Grant Notice and</w:t>
        </w:r>
      </w:hyperlink>
      <w:r>
        <w:rPr>
          <w:rFonts w:ascii="Arial" w:cs="Arial" w:eastAsia="Arial" w:hAnsi="Arial"/>
          <w:sz w:val="18"/>
          <w:szCs w:val="18"/>
          <w:u w:val="single" w:color="auto"/>
          <w:color w:val="0000FF"/>
        </w:rPr>
        <w:t xml:space="preserve"> </w:t>
      </w:r>
      <w:hyperlink r:id="rId580">
        <w:r>
          <w:rPr>
            <w:rFonts w:ascii="Arial" w:cs="Arial" w:eastAsia="Arial" w:hAnsi="Arial"/>
            <w:sz w:val="18"/>
            <w:szCs w:val="18"/>
            <w:u w:val="single" w:color="auto"/>
            <w:color w:val="0000FF"/>
          </w:rPr>
          <w:t>Award Agreement (incorporated by reference to Exhibit 10.122 to AAG’s Annual Report on Form 10-K for the year ended</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80">
        <w:r>
          <w:rPr>
            <w:rFonts w:ascii="Arial" w:cs="Arial" w:eastAsia="Arial" w:hAnsi="Arial"/>
            <w:sz w:val="18"/>
            <w:szCs w:val="18"/>
            <w:u w:val="single" w:color="auto"/>
            <w:color w:val="0000FF"/>
          </w:rPr>
          <w:t>December 31, 2023 (Commission</w:t>
        </w:r>
        <w:r>
          <w:rPr>
            <w:rFonts w:ascii="Arial" w:cs="Arial" w:eastAsia="Arial" w:hAnsi="Arial"/>
            <w:sz w:val="18"/>
            <w:szCs w:val="18"/>
            <w:color w:val="0000FF"/>
          </w:rPr>
          <w:t xml:space="preserve"> File No. 1-8400)).</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-19050</wp:posOffset>
            </wp:positionV>
            <wp:extent cx="9194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81">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jc w:val="both"/>
        <w:ind w:left="920" w:hanging="889"/>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10.134</w:t>
      </w:r>
      <w:r>
        <w:rPr>
          <w:sz w:val="20"/>
          <w:szCs w:val="20"/>
          <w:color w:val="auto"/>
        </w:rPr>
        <w:tab/>
      </w:r>
      <w:hyperlink r:id="rId582">
        <w:r>
          <w:rPr>
            <w:rFonts w:ascii="Arial" w:cs="Arial" w:eastAsia="Arial" w:hAnsi="Arial"/>
            <w:sz w:val="18"/>
            <w:szCs w:val="18"/>
            <w:u w:val="single" w:color="auto"/>
            <w:color w:val="0000FF"/>
          </w:rPr>
          <w:t>Form of Letter Agreement for Directors Travel Program (incorporated by reference to Exhibit 10.106 to US Airways Group’s</w:t>
        </w:r>
      </w:hyperlink>
      <w:r>
        <w:rPr>
          <w:rFonts w:ascii="Arial" w:cs="Arial" w:eastAsia="Arial" w:hAnsi="Arial"/>
          <w:sz w:val="18"/>
          <w:szCs w:val="18"/>
          <w:u w:val="single" w:color="auto"/>
          <w:color w:val="0000FF"/>
        </w:rPr>
        <w:t xml:space="preserve"> </w:t>
      </w:r>
      <w:hyperlink r:id="rId582">
        <w:r>
          <w:rPr>
            <w:rFonts w:ascii="Arial" w:cs="Arial" w:eastAsia="Arial" w:hAnsi="Arial"/>
            <w:sz w:val="18"/>
            <w:szCs w:val="18"/>
            <w:u w:val="single" w:color="auto"/>
            <w:color w:val="0000FF"/>
          </w:rPr>
          <w:t>Annual Report on Form 10-K for the year ended December 31, 2007 (Commission File No. 1-8444)).</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10.135</w:t>
      </w:r>
      <w:r>
        <w:rPr>
          <w:sz w:val="20"/>
          <w:szCs w:val="20"/>
          <w:color w:val="auto"/>
        </w:rPr>
        <w:tab/>
      </w:r>
      <w:hyperlink r:id="rId583">
        <w:r>
          <w:rPr>
            <w:rFonts w:ascii="Arial" w:cs="Arial" w:eastAsia="Arial" w:hAnsi="Arial"/>
            <w:sz w:val="18"/>
            <w:szCs w:val="18"/>
            <w:u w:val="single" w:color="auto"/>
            <w:color w:val="0000FF"/>
          </w:rPr>
          <w:t>Amended and Restated Employment Agreement, dated as of November 28, 2007, among US Airways Group, US Airways, Inc.</w:t>
        </w:r>
      </w:hyperlink>
      <w:r>
        <w:rPr>
          <w:rFonts w:ascii="Arial" w:cs="Arial" w:eastAsia="Arial" w:hAnsi="Arial"/>
          <w:sz w:val="18"/>
          <w:szCs w:val="18"/>
          <w:u w:val="single" w:color="auto"/>
          <w:color w:val="0000FF"/>
        </w:rPr>
        <w:t xml:space="preserve"> </w:t>
      </w:r>
      <w:hyperlink r:id="rId583">
        <w:r>
          <w:rPr>
            <w:rFonts w:ascii="Arial" w:cs="Arial" w:eastAsia="Arial" w:hAnsi="Arial"/>
            <w:sz w:val="18"/>
            <w:szCs w:val="18"/>
            <w:u w:val="single" w:color="auto"/>
            <w:color w:val="0000FF"/>
          </w:rPr>
          <w:t>and W. Douglas Parker (incorporated by reference to Exhibit 10.1 to US Airways Group’s Current Report on Form 8-K filed on</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83">
        <w:r>
          <w:rPr>
            <w:rFonts w:ascii="Arial" w:cs="Arial" w:eastAsia="Arial" w:hAnsi="Arial"/>
            <w:sz w:val="18"/>
            <w:szCs w:val="18"/>
            <w:u w:val="single" w:color="auto"/>
            <w:color w:val="0000FF"/>
          </w:rPr>
          <w:t>November 29, 2007 (Commission File No. 1-8444)).</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10.136</w:t>
      </w:r>
      <w:r>
        <w:rPr>
          <w:sz w:val="20"/>
          <w:szCs w:val="20"/>
          <w:color w:val="auto"/>
        </w:rPr>
        <w:tab/>
      </w:r>
      <w:hyperlink r:id="rId584">
        <w:r>
          <w:rPr>
            <w:rFonts w:ascii="Arial" w:cs="Arial" w:eastAsia="Arial" w:hAnsi="Arial"/>
            <w:sz w:val="18"/>
            <w:szCs w:val="18"/>
            <w:u w:val="single" w:color="auto"/>
            <w:color w:val="0000FF"/>
          </w:rPr>
          <w:t>Form of Letter Agreement, dated April 25, 2017, by and between American Airlines Group Inc. and each of Robert D. Isom, Jr.,</w:t>
        </w:r>
      </w:hyperlink>
      <w:r>
        <w:rPr>
          <w:rFonts w:ascii="Arial" w:cs="Arial" w:eastAsia="Arial" w:hAnsi="Arial"/>
          <w:sz w:val="18"/>
          <w:szCs w:val="18"/>
          <w:u w:val="single" w:color="auto"/>
          <w:color w:val="0000FF"/>
        </w:rPr>
        <w:t xml:space="preserve"> </w:t>
      </w:r>
      <w:hyperlink r:id="rId584">
        <w:r>
          <w:rPr>
            <w:rFonts w:ascii="Arial" w:cs="Arial" w:eastAsia="Arial" w:hAnsi="Arial"/>
            <w:sz w:val="18"/>
            <w:szCs w:val="18"/>
            <w:u w:val="single" w:color="auto"/>
            <w:color w:val="0000FF"/>
          </w:rPr>
          <w:t>Stephen L. Johnson and Derek J. Kerr (incorporated by reference to Exhibit 10.1 to AAG’s Current Report on Form 8-K filed on</w:t>
        </w:r>
      </w:hyperlink>
    </w:p>
    <w:p>
      <w:pPr>
        <w:ind w:left="920"/>
        <w:spacing w:after="0"/>
        <w:rPr>
          <w:rFonts w:ascii="Arial" w:cs="Arial" w:eastAsia="Arial" w:hAnsi="Arial"/>
          <w:sz w:val="18"/>
          <w:szCs w:val="18"/>
          <w:color w:val="0000FF"/>
        </w:rPr>
      </w:pPr>
      <w:hyperlink r:id="rId584">
        <w:r>
          <w:rPr>
            <w:rFonts w:ascii="Arial" w:cs="Arial" w:eastAsia="Arial" w:hAnsi="Arial"/>
            <w:sz w:val="18"/>
            <w:szCs w:val="18"/>
            <w:u w:val="single" w:color="auto"/>
            <w:color w:val="0000FF"/>
          </w:rPr>
          <w:t>May 1, 2017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10.137</w:t>
      </w:r>
      <w:r>
        <w:rPr>
          <w:sz w:val="20"/>
          <w:szCs w:val="20"/>
          <w:color w:val="auto"/>
        </w:rPr>
        <w:tab/>
      </w:r>
      <w:hyperlink r:id="rId585">
        <w:r>
          <w:rPr>
            <w:rFonts w:ascii="Arial" w:cs="Arial" w:eastAsia="Arial" w:hAnsi="Arial"/>
            <w:sz w:val="18"/>
            <w:szCs w:val="18"/>
            <w:u w:val="single" w:color="auto"/>
            <w:color w:val="0000FF"/>
          </w:rPr>
          <w:t>Letter Agreement, dated as of April 28, 2016, between American Airlines Group Inc. and W. Douglas Parker (incorporated by</w:t>
        </w:r>
      </w:hyperlink>
    </w:p>
    <w:p>
      <w:pPr>
        <w:jc w:val="center"/>
        <w:ind w:right="-39"/>
        <w:spacing w:after="0"/>
        <w:rPr>
          <w:rFonts w:ascii="Arial" w:cs="Arial" w:eastAsia="Arial" w:hAnsi="Arial"/>
          <w:sz w:val="18"/>
          <w:szCs w:val="18"/>
          <w:color w:val="0000FF"/>
        </w:rPr>
      </w:pPr>
      <w:hyperlink r:id="rId585">
        <w:r>
          <w:rPr>
            <w:rFonts w:ascii="Arial" w:cs="Arial" w:eastAsia="Arial" w:hAnsi="Arial"/>
            <w:sz w:val="18"/>
            <w:szCs w:val="18"/>
            <w:u w:val="single" w:color="auto"/>
            <w:color w:val="0000FF"/>
          </w:rPr>
          <w:t>reference to Exhibit 10.1 to AAG’s Current Report on Form 8-K filed on April 29, 2016 (Commission File No. 1-8400)).</w:t>
        </w:r>
        <w:r>
          <w:rPr>
            <w:rFonts w:ascii="Arial" w:cs="Arial" w:eastAsia="Arial" w:hAnsi="Arial"/>
            <w:sz w:val="18"/>
            <w:szCs w:val="18"/>
            <w:color w:val="000000"/>
          </w:rPr>
          <w:t>†</w:t>
        </w:r>
      </w:hyperlink>
    </w:p>
    <w:p>
      <w:pPr>
        <w:spacing w:after="0" w:line="18" w:lineRule="exact"/>
        <w:rPr>
          <w:sz w:val="20"/>
          <w:szCs w:val="20"/>
          <w:color w:val="auto"/>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10.138</w:t>
      </w:r>
      <w:r>
        <w:rPr>
          <w:sz w:val="20"/>
          <w:szCs w:val="20"/>
          <w:color w:val="auto"/>
        </w:rPr>
        <w:tab/>
      </w:r>
      <w:hyperlink r:id="rId586">
        <w:r>
          <w:rPr>
            <w:rFonts w:ascii="Arial" w:cs="Arial" w:eastAsia="Arial" w:hAnsi="Arial"/>
            <w:sz w:val="18"/>
            <w:szCs w:val="18"/>
            <w:u w:val="single" w:color="auto"/>
            <w:color w:val="0000FF"/>
          </w:rPr>
          <w:t>Payroll Support Program 3 Agreement, dated as of April 23, 2021, between American Airlines, Inc. and the United States</w:t>
        </w:r>
      </w:hyperlink>
      <w:r>
        <w:rPr>
          <w:rFonts w:ascii="Arial" w:cs="Arial" w:eastAsia="Arial" w:hAnsi="Arial"/>
          <w:sz w:val="18"/>
          <w:szCs w:val="18"/>
          <w:u w:val="single" w:color="auto"/>
          <w:color w:val="0000FF"/>
        </w:rPr>
        <w:t xml:space="preserve"> </w:t>
      </w:r>
      <w:hyperlink r:id="rId586">
        <w:r>
          <w:rPr>
            <w:rFonts w:ascii="Arial" w:cs="Arial" w:eastAsia="Arial" w:hAnsi="Arial"/>
            <w:sz w:val="18"/>
            <w:szCs w:val="18"/>
            <w:u w:val="single" w:color="auto"/>
            <w:color w:val="0000FF"/>
          </w:rPr>
          <w:t>Department of the Treasury (incorporated by reference to Exhibit 10.1 to AAG’s Quarterly Report on Form 10-Q for the quarter</w:t>
        </w:r>
      </w:hyperlink>
      <w:r>
        <w:rPr>
          <w:rFonts w:ascii="Arial" w:cs="Arial" w:eastAsia="Arial" w:hAnsi="Arial"/>
          <w:sz w:val="18"/>
          <w:szCs w:val="18"/>
          <w:u w:val="single" w:color="auto"/>
          <w:color w:val="0000FF"/>
        </w:rPr>
        <w:t xml:space="preserve"> </w:t>
      </w:r>
      <w:hyperlink r:id="rId586">
        <w:r>
          <w:rPr>
            <w:rFonts w:ascii="Arial" w:cs="Arial" w:eastAsia="Arial" w:hAnsi="Arial"/>
            <w:sz w:val="18"/>
            <w:szCs w:val="18"/>
            <w:u w:val="single" w:color="auto"/>
            <w:color w:val="0000FF"/>
          </w:rPr>
          <w:t>ended June 30, 2021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10.139</w:t>
      </w:r>
      <w:r>
        <w:rPr>
          <w:sz w:val="20"/>
          <w:szCs w:val="20"/>
          <w:color w:val="auto"/>
        </w:rPr>
        <w:tab/>
      </w:r>
      <w:hyperlink r:id="rId587">
        <w:r>
          <w:rPr>
            <w:rFonts w:ascii="Arial" w:cs="Arial" w:eastAsia="Arial" w:hAnsi="Arial"/>
            <w:sz w:val="18"/>
            <w:szCs w:val="18"/>
            <w:u w:val="single" w:color="auto"/>
            <w:color w:val="0000FF"/>
          </w:rPr>
          <w:t>Promissory Note, dated as of April 23, 2021, issued by American Airlines Group Inc. in the name of the United States Department</w:t>
        </w:r>
      </w:hyperlink>
      <w:r>
        <w:rPr>
          <w:rFonts w:ascii="Arial" w:cs="Arial" w:eastAsia="Arial" w:hAnsi="Arial"/>
          <w:sz w:val="18"/>
          <w:szCs w:val="18"/>
          <w:u w:val="single" w:color="auto"/>
          <w:color w:val="0000FF"/>
        </w:rPr>
        <w:t xml:space="preserve"> </w:t>
      </w:r>
      <w:hyperlink r:id="rId587">
        <w:r>
          <w:rPr>
            <w:rFonts w:ascii="Arial" w:cs="Arial" w:eastAsia="Arial" w:hAnsi="Arial"/>
            <w:sz w:val="18"/>
            <w:szCs w:val="18"/>
            <w:u w:val="single" w:color="auto"/>
            <w:color w:val="0000FF"/>
          </w:rPr>
          <w:t>of the Treasury and guaranteed by American Airlines, Inc., Envoy Air Inc., Piedmont Airlines, Inc. and PSA Airlines, Inc.</w:t>
        </w:r>
      </w:hyperlink>
      <w:r>
        <w:rPr>
          <w:rFonts w:ascii="Arial" w:cs="Arial" w:eastAsia="Arial" w:hAnsi="Arial"/>
          <w:sz w:val="18"/>
          <w:szCs w:val="18"/>
          <w:u w:val="single" w:color="auto"/>
          <w:color w:val="0000FF"/>
        </w:rPr>
        <w:t xml:space="preserve"> </w:t>
      </w:r>
      <w:hyperlink r:id="rId587">
        <w:r>
          <w:rPr>
            <w:rFonts w:ascii="Arial" w:cs="Arial" w:eastAsia="Arial" w:hAnsi="Arial"/>
            <w:sz w:val="18"/>
            <w:szCs w:val="18"/>
            <w:u w:val="single" w:color="auto"/>
            <w:color w:val="0000FF"/>
          </w:rPr>
          <w:t>(incorporated by reference to Exhibit 10.2 to AAG’s Quarterly Report on Form 10-Q for the quarter ended June 30, 2021</w:t>
        </w:r>
      </w:hyperlink>
      <w:r>
        <w:rPr>
          <w:rFonts w:ascii="Arial" w:cs="Arial" w:eastAsia="Arial" w:hAnsi="Arial"/>
          <w:sz w:val="18"/>
          <w:szCs w:val="18"/>
          <w:u w:val="single" w:color="auto"/>
          <w:color w:val="0000FF"/>
        </w:rPr>
        <w:t xml:space="preserve"> </w:t>
      </w:r>
      <w:hyperlink r:id="rId587">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10.140</w:t>
      </w:r>
      <w:r>
        <w:rPr>
          <w:sz w:val="20"/>
          <w:szCs w:val="20"/>
          <w:color w:val="auto"/>
        </w:rPr>
        <w:tab/>
      </w:r>
      <w:hyperlink r:id="rId588">
        <w:r>
          <w:rPr>
            <w:rFonts w:ascii="Arial" w:cs="Arial" w:eastAsia="Arial" w:hAnsi="Arial"/>
            <w:sz w:val="18"/>
            <w:szCs w:val="18"/>
            <w:u w:val="single" w:color="auto"/>
            <w:color w:val="0000FF"/>
          </w:rPr>
          <w:t>Term Loan Credit and Guaranty Agreement, dated as of March 24, 2021, among American Airlines, Inc., AAdvantage Loyalty IP</w:t>
        </w:r>
      </w:hyperlink>
      <w:r>
        <w:rPr>
          <w:rFonts w:ascii="Arial" w:cs="Arial" w:eastAsia="Arial" w:hAnsi="Arial"/>
          <w:sz w:val="18"/>
          <w:szCs w:val="18"/>
          <w:u w:val="single" w:color="auto"/>
          <w:color w:val="0000FF"/>
        </w:rPr>
        <w:t xml:space="preserve"> </w:t>
      </w:r>
      <w:hyperlink r:id="rId588">
        <w:r>
          <w:rPr>
            <w:rFonts w:ascii="Arial" w:cs="Arial" w:eastAsia="Arial" w:hAnsi="Arial"/>
            <w:sz w:val="18"/>
            <w:szCs w:val="18"/>
            <w:u w:val="single" w:color="auto"/>
            <w:color w:val="0000FF"/>
          </w:rPr>
          <w:t>Ltd., American Airlines Group Inc., AAdvantage Holdings 1, Ltd., AAdvantage Holdings 2, Ltd., Barclays Bank PLC, as</w:t>
        </w:r>
      </w:hyperlink>
      <w:r>
        <w:rPr>
          <w:rFonts w:ascii="Arial" w:cs="Arial" w:eastAsia="Arial" w:hAnsi="Arial"/>
          <w:sz w:val="18"/>
          <w:szCs w:val="18"/>
          <w:u w:val="single" w:color="auto"/>
          <w:color w:val="0000FF"/>
        </w:rPr>
        <w:t xml:space="preserve"> </w:t>
      </w:r>
      <w:hyperlink r:id="rId588">
        <w:r>
          <w:rPr>
            <w:rFonts w:ascii="Arial" w:cs="Arial" w:eastAsia="Arial" w:hAnsi="Arial"/>
            <w:sz w:val="18"/>
            <w:szCs w:val="18"/>
            <w:u w:val="single" w:color="auto"/>
            <w:color w:val="0000FF"/>
          </w:rPr>
          <w:t>administrative agent, Wilmington Trust, National Association, as collateral administrator, and the lenders party thereto</w:t>
        </w:r>
      </w:hyperlink>
      <w:r>
        <w:rPr>
          <w:rFonts w:ascii="Arial" w:cs="Arial" w:eastAsia="Arial" w:hAnsi="Arial"/>
          <w:sz w:val="18"/>
          <w:szCs w:val="18"/>
          <w:u w:val="single" w:color="auto"/>
          <w:color w:val="0000FF"/>
        </w:rPr>
        <w:t xml:space="preserve"> </w:t>
      </w:r>
      <w:hyperlink r:id="rId588">
        <w:r>
          <w:rPr>
            <w:rFonts w:ascii="Arial" w:cs="Arial" w:eastAsia="Arial" w:hAnsi="Arial"/>
            <w:sz w:val="18"/>
            <w:szCs w:val="18"/>
            <w:u w:val="single" w:color="auto"/>
            <w:color w:val="0000FF"/>
          </w:rPr>
          <w:t>(incorporated by reference as Exhibit 10.4 to AAG’s Quarterly Report on Form 10-Q for the quarter ended March 31, 2021</w:t>
        </w:r>
      </w:hyperlink>
      <w:r>
        <w:rPr>
          <w:rFonts w:ascii="Arial" w:cs="Arial" w:eastAsia="Arial" w:hAnsi="Arial"/>
          <w:sz w:val="18"/>
          <w:szCs w:val="18"/>
          <w:u w:val="single" w:color="auto"/>
          <w:color w:val="0000FF"/>
        </w:rPr>
        <w:t xml:space="preserve"> </w:t>
      </w:r>
      <w:hyperlink r:id="rId588">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7"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10.141</w:t>
      </w:r>
      <w:r>
        <w:rPr>
          <w:sz w:val="20"/>
          <w:szCs w:val="20"/>
          <w:color w:val="auto"/>
        </w:rPr>
        <w:tab/>
      </w:r>
      <w:hyperlink r:id="rId589">
        <w:r>
          <w:rPr>
            <w:rFonts w:ascii="Arial" w:cs="Arial" w:eastAsia="Arial" w:hAnsi="Arial"/>
            <w:sz w:val="18"/>
            <w:szCs w:val="18"/>
            <w:u w:val="single" w:color="auto"/>
            <w:color w:val="0000FF"/>
          </w:rPr>
          <w:t>Severance Agreement and Restrictive Covenants Agreement, dated as of September 20, 2023, among American Airlines Group,</w:t>
        </w:r>
      </w:hyperlink>
      <w:r>
        <w:rPr>
          <w:rFonts w:ascii="Arial" w:cs="Arial" w:eastAsia="Arial" w:hAnsi="Arial"/>
          <w:sz w:val="18"/>
          <w:szCs w:val="18"/>
          <w:u w:val="single" w:color="auto"/>
          <w:color w:val="0000FF"/>
        </w:rPr>
        <w:t xml:space="preserve"> </w:t>
      </w:r>
      <w:hyperlink r:id="rId589">
        <w:r>
          <w:rPr>
            <w:rFonts w:ascii="Arial" w:cs="Arial" w:eastAsia="Arial" w:hAnsi="Arial"/>
            <w:sz w:val="18"/>
            <w:szCs w:val="18"/>
            <w:u w:val="single" w:color="auto"/>
            <w:color w:val="0000FF"/>
          </w:rPr>
          <w:t>Inc., American Airlines, Inc. and Robert D. Isom (incorporated by reference to Exhibit 10.130 to AAG’s Annual Report on Form</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89">
        <w:r>
          <w:rPr>
            <w:rFonts w:ascii="Arial" w:cs="Arial" w:eastAsia="Arial" w:hAnsi="Arial"/>
            <w:sz w:val="18"/>
            <w:szCs w:val="18"/>
            <w:u w:val="single" w:color="auto"/>
            <w:color w:val="0000FF"/>
          </w:rPr>
          <w:t>10-K for the year ended December 31, 2023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10.142</w:t>
      </w:r>
      <w:r>
        <w:rPr>
          <w:sz w:val="20"/>
          <w:szCs w:val="20"/>
          <w:color w:val="auto"/>
        </w:rPr>
        <w:tab/>
      </w:r>
      <w:hyperlink r:id="rId590">
        <w:r>
          <w:rPr>
            <w:rFonts w:ascii="Arial" w:cs="Arial" w:eastAsia="Arial" w:hAnsi="Arial"/>
            <w:sz w:val="18"/>
            <w:szCs w:val="18"/>
            <w:u w:val="single" w:color="auto"/>
            <w:color w:val="0000FF"/>
          </w:rPr>
          <w:t>Severance Agreement and Restrictive Covenants Agreement, dated as of September 20, 2023, among American Airlines Group,</w:t>
        </w:r>
      </w:hyperlink>
      <w:r>
        <w:rPr>
          <w:rFonts w:ascii="Arial" w:cs="Arial" w:eastAsia="Arial" w:hAnsi="Arial"/>
          <w:sz w:val="18"/>
          <w:szCs w:val="18"/>
          <w:u w:val="single" w:color="auto"/>
          <w:color w:val="0000FF"/>
        </w:rPr>
        <w:t xml:space="preserve"> </w:t>
      </w:r>
      <w:hyperlink r:id="rId590">
        <w:r>
          <w:rPr>
            <w:rFonts w:ascii="Arial" w:cs="Arial" w:eastAsia="Arial" w:hAnsi="Arial"/>
            <w:sz w:val="18"/>
            <w:szCs w:val="18"/>
            <w:u w:val="single" w:color="auto"/>
            <w:color w:val="0000FF"/>
          </w:rPr>
          <w:t>Inc., American Airlines, Inc. and Stephen L. Johnson (incorporated by reference to Exhibit 10.4 to AAG’s Quarterly Report on</w:t>
        </w:r>
      </w:hyperlink>
    </w:p>
    <w:p>
      <w:pPr>
        <w:ind w:left="920"/>
        <w:spacing w:after="0"/>
        <w:rPr>
          <w:rFonts w:ascii="Arial" w:cs="Arial" w:eastAsia="Arial" w:hAnsi="Arial"/>
          <w:sz w:val="18"/>
          <w:szCs w:val="18"/>
          <w:color w:val="0000FF"/>
        </w:rPr>
      </w:pPr>
      <w:hyperlink r:id="rId590">
        <w:r>
          <w:rPr>
            <w:rFonts w:ascii="Arial" w:cs="Arial" w:eastAsia="Arial" w:hAnsi="Arial"/>
            <w:sz w:val="18"/>
            <w:szCs w:val="18"/>
            <w:u w:val="single" w:color="auto"/>
            <w:color w:val="0000FF"/>
          </w:rPr>
          <w:t>Form 10-Q for the quarter ended March 31, 2024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10.143</w:t>
      </w:r>
      <w:r>
        <w:rPr>
          <w:sz w:val="20"/>
          <w:szCs w:val="20"/>
          <w:color w:val="auto"/>
        </w:rPr>
        <w:tab/>
      </w:r>
      <w:hyperlink r:id="rId591">
        <w:r>
          <w:rPr>
            <w:rFonts w:ascii="Arial" w:cs="Arial" w:eastAsia="Arial" w:hAnsi="Arial"/>
            <w:sz w:val="18"/>
            <w:szCs w:val="18"/>
            <w:u w:val="single" w:color="auto"/>
            <w:color w:val="0000FF"/>
          </w:rPr>
          <w:t>Severance Agreement and Restrictive Covenants Agreement, dated as of September 20, 2023, among American Airlines Group,</w:t>
        </w:r>
      </w:hyperlink>
      <w:r>
        <w:rPr>
          <w:rFonts w:ascii="Arial" w:cs="Arial" w:eastAsia="Arial" w:hAnsi="Arial"/>
          <w:sz w:val="18"/>
          <w:szCs w:val="18"/>
          <w:u w:val="single" w:color="auto"/>
          <w:color w:val="0000FF"/>
        </w:rPr>
        <w:t xml:space="preserve"> </w:t>
      </w:r>
      <w:hyperlink r:id="rId591">
        <w:r>
          <w:rPr>
            <w:rFonts w:ascii="Arial" w:cs="Arial" w:eastAsia="Arial" w:hAnsi="Arial"/>
            <w:sz w:val="18"/>
            <w:szCs w:val="18"/>
            <w:u w:val="single" w:color="auto"/>
            <w:color w:val="0000FF"/>
          </w:rPr>
          <w:t>Inc., American Airlines, Inc. and David G. Seymour (incorporated by reference to Exhibit 10.5 to AAG’s Quarterly Report on Form</w:t>
        </w:r>
      </w:hyperlink>
    </w:p>
    <w:p>
      <w:pPr>
        <w:ind w:left="920"/>
        <w:spacing w:after="0"/>
        <w:rPr>
          <w:rFonts w:ascii="Arial" w:cs="Arial" w:eastAsia="Arial" w:hAnsi="Arial"/>
          <w:sz w:val="18"/>
          <w:szCs w:val="18"/>
          <w:color w:val="0000FF"/>
        </w:rPr>
      </w:pPr>
      <w:hyperlink r:id="rId591">
        <w:r>
          <w:rPr>
            <w:rFonts w:ascii="Arial" w:cs="Arial" w:eastAsia="Arial" w:hAnsi="Arial"/>
            <w:sz w:val="18"/>
            <w:szCs w:val="18"/>
            <w:u w:val="single" w:color="auto"/>
            <w:color w:val="0000FF"/>
          </w:rPr>
          <w:t>10-Q for the quarter ended September 30, 2023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10.144</w:t>
      </w:r>
      <w:r>
        <w:rPr>
          <w:sz w:val="20"/>
          <w:szCs w:val="20"/>
          <w:color w:val="auto"/>
        </w:rPr>
        <w:tab/>
      </w:r>
      <w:hyperlink r:id="rId592">
        <w:r>
          <w:rPr>
            <w:rFonts w:ascii="Arial" w:cs="Arial" w:eastAsia="Arial" w:hAnsi="Arial"/>
            <w:sz w:val="18"/>
            <w:szCs w:val="18"/>
            <w:u w:val="single" w:color="auto"/>
            <w:color w:val="0000FF"/>
          </w:rPr>
          <w:t>Severance Agreement and Restrictive Covenants Agreement, dated as of February 21, 2024, among American Airlines Group,</w:t>
        </w:r>
      </w:hyperlink>
      <w:r>
        <w:rPr>
          <w:rFonts w:ascii="Arial" w:cs="Arial" w:eastAsia="Arial" w:hAnsi="Arial"/>
          <w:sz w:val="18"/>
          <w:szCs w:val="18"/>
          <w:u w:val="single" w:color="auto"/>
          <w:color w:val="0000FF"/>
        </w:rPr>
        <w:t xml:space="preserve"> </w:t>
      </w:r>
      <w:hyperlink r:id="rId592">
        <w:r>
          <w:rPr>
            <w:rFonts w:ascii="Arial" w:cs="Arial" w:eastAsia="Arial" w:hAnsi="Arial"/>
            <w:sz w:val="18"/>
            <w:szCs w:val="18"/>
            <w:u w:val="single" w:color="auto"/>
            <w:color w:val="0000FF"/>
          </w:rPr>
          <w:t>Inc., American Airlines, Inc. and Devon May. (incorporated by reference to Exhibit 10.5 to AAG’s Quarterly Report on Form 10-Q</w:t>
        </w:r>
      </w:hyperlink>
    </w:p>
    <w:p>
      <w:pPr>
        <w:ind w:left="920"/>
        <w:spacing w:after="0"/>
        <w:rPr>
          <w:rFonts w:ascii="Arial" w:cs="Arial" w:eastAsia="Arial" w:hAnsi="Arial"/>
          <w:sz w:val="18"/>
          <w:szCs w:val="18"/>
          <w:color w:val="0000FF"/>
        </w:rPr>
      </w:pPr>
      <w:hyperlink r:id="rId592">
        <w:r>
          <w:rPr>
            <w:rFonts w:ascii="Arial" w:cs="Arial" w:eastAsia="Arial" w:hAnsi="Arial"/>
            <w:sz w:val="18"/>
            <w:szCs w:val="18"/>
            <w:u w:val="single" w:color="auto"/>
            <w:color w:val="0000FF"/>
          </w:rPr>
          <w:t>for the quarter ended March 31, 2024 (Commission File No. 1-8400)).</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10.145</w:t>
      </w:r>
      <w:r>
        <w:rPr>
          <w:sz w:val="20"/>
          <w:szCs w:val="20"/>
          <w:color w:val="auto"/>
        </w:rPr>
        <w:tab/>
      </w:r>
      <w:hyperlink r:id="rId593">
        <w:r>
          <w:rPr>
            <w:rFonts w:ascii="Arial" w:cs="Arial" w:eastAsia="Arial" w:hAnsi="Arial"/>
            <w:sz w:val="18"/>
            <w:szCs w:val="18"/>
            <w:u w:val="single" w:color="auto"/>
            <w:color w:val="0000FF"/>
          </w:rPr>
          <w:t>Severance Agreement, dated as of July 11, 2024, among American Airlines Group, Inc., American Airlines, Inc. and Vasu Raja</w:t>
        </w:r>
      </w:hyperlink>
      <w:r>
        <w:rPr>
          <w:rFonts w:ascii="Arial" w:cs="Arial" w:eastAsia="Arial" w:hAnsi="Arial"/>
          <w:sz w:val="18"/>
          <w:szCs w:val="18"/>
          <w:u w:val="single" w:color="auto"/>
          <w:color w:val="0000FF"/>
        </w:rPr>
        <w:t xml:space="preserve"> </w:t>
      </w:r>
      <w:hyperlink r:id="rId593">
        <w:r>
          <w:rPr>
            <w:rFonts w:ascii="Arial" w:cs="Arial" w:eastAsia="Arial" w:hAnsi="Arial"/>
            <w:sz w:val="18"/>
            <w:szCs w:val="18"/>
            <w:u w:val="single" w:color="auto"/>
            <w:color w:val="0000FF"/>
          </w:rPr>
          <w:t>(incorporated by reference to Exhibit 99.1 to AAG’s Current Report on Form 8-K filed on July 12, 2024 (Commission File No. 1-</w:t>
        </w:r>
      </w:hyperlink>
    </w:p>
    <w:p>
      <w:pPr>
        <w:ind w:left="920"/>
        <w:spacing w:after="0"/>
        <w:rPr>
          <w:rFonts w:ascii="Arial" w:cs="Arial" w:eastAsia="Arial" w:hAnsi="Arial"/>
          <w:sz w:val="18"/>
          <w:szCs w:val="18"/>
          <w:color w:val="0000FF"/>
        </w:rPr>
      </w:pPr>
      <w:hyperlink r:id="rId593">
        <w:r>
          <w:rPr>
            <w:rFonts w:ascii="Arial" w:cs="Arial" w:eastAsia="Arial" w:hAnsi="Arial"/>
            <w:sz w:val="18"/>
            <w:szCs w:val="18"/>
            <w:u w:val="single" w:color="auto"/>
            <w:color w:val="0000FF"/>
          </w:rPr>
          <w:t>8400)).</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10.146    </w:t>
      </w:r>
      <w:hyperlink r:id="rId595">
        <w:r>
          <w:rPr>
            <w:rFonts w:ascii="Arial" w:cs="Arial" w:eastAsia="Arial" w:hAnsi="Arial"/>
            <w:sz w:val="18"/>
            <w:szCs w:val="18"/>
            <w:u w:val="single" w:color="auto"/>
            <w:color w:val="0000FF"/>
          </w:rPr>
          <w:t>Credit and Guaranty Agreement, dated as of December 4, 2023, among American Airlines Inc., as the borrower, American</w:t>
        </w:r>
      </w:hyperlink>
      <w:r>
        <w:rPr>
          <w:rFonts w:ascii="Arial" w:cs="Arial" w:eastAsia="Arial" w:hAnsi="Arial"/>
          <w:sz w:val="18"/>
          <w:szCs w:val="18"/>
          <w:color w:val="auto"/>
        </w:rPr>
        <w:t xml:space="preserve"> </w:t>
      </w:r>
      <w:hyperlink r:id="rId595">
        <w:r>
          <w:rPr>
            <w:rFonts w:ascii="Arial" w:cs="Arial" w:eastAsia="Arial" w:hAnsi="Arial"/>
            <w:sz w:val="18"/>
            <w:szCs w:val="18"/>
            <w:u w:val="single" w:color="auto"/>
            <w:color w:val="0000FF"/>
          </w:rPr>
          <w:t>Airlines Group Inc., as parent and guarantor, the lenders from time to time party thereto, Citibank, N.A., as administrative agent,</w:t>
        </w:r>
      </w:hyperlink>
    </w:p>
    <w:p>
      <w:pPr>
        <w:spacing w:after="0" w:line="1"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595">
        <w:r>
          <w:rPr>
            <w:rFonts w:ascii="Arial" w:cs="Arial" w:eastAsia="Arial" w:hAnsi="Arial"/>
            <w:sz w:val="18"/>
            <w:szCs w:val="18"/>
            <w:u w:val="single" w:color="auto"/>
            <w:color w:val="0000FF"/>
          </w:rPr>
          <w:t>and certain other parties from time to time party thereto (incorporated by reference to Exhibit 4.3 to AAG’s Current Report on</w:t>
        </w:r>
      </w:hyperlink>
      <w:r>
        <w:rPr>
          <w:rFonts w:ascii="Arial" w:cs="Arial" w:eastAsia="Arial" w:hAnsi="Arial"/>
          <w:sz w:val="18"/>
          <w:szCs w:val="18"/>
          <w:u w:val="single" w:color="auto"/>
          <w:color w:val="0000FF"/>
        </w:rPr>
        <w:t xml:space="preserve"> </w:t>
      </w:r>
      <w:hyperlink r:id="rId595">
        <w:r>
          <w:rPr>
            <w:rFonts w:ascii="Arial" w:cs="Arial" w:eastAsia="Arial" w:hAnsi="Arial"/>
            <w:sz w:val="18"/>
            <w:szCs w:val="18"/>
            <w:u w:val="single" w:color="auto"/>
            <w:color w:val="0000FF"/>
          </w:rPr>
          <w:t>Form 8-K filed on December 4, 2023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10.147    </w:t>
      </w:r>
      <w:hyperlink r:id="rId596">
        <w:r>
          <w:rPr>
            <w:rFonts w:ascii="Arial" w:cs="Arial" w:eastAsia="Arial" w:hAnsi="Arial"/>
            <w:sz w:val="18"/>
            <w:szCs w:val="18"/>
            <w:u w:val="single" w:color="auto"/>
            <w:color w:val="0000FF"/>
          </w:rPr>
          <w:t>First Amendment to Credit and Guaranty Agreement, dated as of June 4, 2024, amending the Credit and Guaranty Agreement,</w:t>
        </w:r>
      </w:hyperlink>
      <w:r>
        <w:rPr>
          <w:rFonts w:ascii="Arial" w:cs="Arial" w:eastAsia="Arial" w:hAnsi="Arial"/>
          <w:sz w:val="18"/>
          <w:szCs w:val="18"/>
          <w:color w:val="auto"/>
        </w:rPr>
        <w:t xml:space="preserve"> </w:t>
      </w:r>
      <w:hyperlink r:id="rId596">
        <w:r>
          <w:rPr>
            <w:rFonts w:ascii="Arial" w:cs="Arial" w:eastAsia="Arial" w:hAnsi="Arial"/>
            <w:sz w:val="18"/>
            <w:szCs w:val="18"/>
            <w:u w:val="single" w:color="auto"/>
            <w:color w:val="0000FF"/>
          </w:rPr>
          <w:t>dated as of December 4, 2023, among American Airlines, Inc., as the borrower, American Airlines Group Inc., as parent and</w:t>
        </w:r>
      </w:hyperlink>
    </w:p>
    <w:p>
      <w:pPr>
        <w:jc w:val="both"/>
        <w:ind w:left="920"/>
        <w:spacing w:after="0" w:line="220" w:lineRule="auto"/>
        <w:rPr>
          <w:rFonts w:ascii="Arial" w:cs="Arial" w:eastAsia="Arial" w:hAnsi="Arial"/>
          <w:sz w:val="18"/>
          <w:szCs w:val="18"/>
          <w:u w:val="single" w:color="auto"/>
          <w:color w:val="0000FF"/>
        </w:rPr>
      </w:pPr>
      <w:hyperlink r:id="rId596">
        <w:r>
          <w:rPr>
            <w:rFonts w:ascii="Arial" w:cs="Arial" w:eastAsia="Arial" w:hAnsi="Arial"/>
            <w:sz w:val="18"/>
            <w:szCs w:val="18"/>
            <w:u w:val="single" w:color="auto"/>
            <w:color w:val="0000FF"/>
          </w:rPr>
          <w:t>guarantor, the lenders from time to time party thereto, Citibank, N.A., as administrative agent, and certain other parties from time</w:t>
        </w:r>
      </w:hyperlink>
      <w:r>
        <w:rPr>
          <w:rFonts w:ascii="Arial" w:cs="Arial" w:eastAsia="Arial" w:hAnsi="Arial"/>
          <w:sz w:val="18"/>
          <w:szCs w:val="18"/>
          <w:u w:val="single" w:color="auto"/>
          <w:color w:val="0000FF"/>
        </w:rPr>
        <w:t xml:space="preserve"> </w:t>
      </w:r>
      <w:hyperlink r:id="rId596">
        <w:r>
          <w:rPr>
            <w:rFonts w:ascii="Arial" w:cs="Arial" w:eastAsia="Arial" w:hAnsi="Arial"/>
            <w:sz w:val="18"/>
            <w:szCs w:val="18"/>
            <w:u w:val="single" w:color="auto"/>
            <w:color w:val="0000FF"/>
          </w:rPr>
          <w:t>to time party thereto (incorporated by reference to Exhibit 10.3 to AAG’s Quarterly Report on Form 10-Q for the quarter ended</w:t>
        </w:r>
      </w:hyperlink>
      <w:r>
        <w:rPr>
          <w:rFonts w:ascii="Arial" w:cs="Arial" w:eastAsia="Arial" w:hAnsi="Arial"/>
          <w:sz w:val="18"/>
          <w:szCs w:val="18"/>
          <w:u w:val="single" w:color="auto"/>
          <w:color w:val="0000FF"/>
        </w:rPr>
        <w:t xml:space="preserve"> </w:t>
      </w:r>
      <w:hyperlink r:id="rId596">
        <w:r>
          <w:rPr>
            <w:rFonts w:ascii="Arial" w:cs="Arial" w:eastAsia="Arial" w:hAnsi="Arial"/>
            <w:sz w:val="18"/>
            <w:szCs w:val="18"/>
            <w:u w:val="single" w:color="auto"/>
            <w:color w:val="0000FF"/>
          </w:rPr>
          <w:t>June 30, 2024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10.148    </w:t>
      </w:r>
      <w:hyperlink r:id="rId597">
        <w:r>
          <w:rPr>
            <w:rFonts w:ascii="Arial" w:cs="Arial" w:eastAsia="Arial" w:hAnsi="Arial"/>
            <w:sz w:val="18"/>
            <w:szCs w:val="18"/>
            <w:u w:val="single" w:color="auto"/>
            <w:color w:val="0000FF"/>
          </w:rPr>
          <w:t>Second Amendment to Credit and Guaranty Agreement, dated as of June 4, 2024, amending the Credit and Guaranty</w:t>
        </w:r>
      </w:hyperlink>
      <w:r>
        <w:rPr>
          <w:rFonts w:ascii="Arial" w:cs="Arial" w:eastAsia="Arial" w:hAnsi="Arial"/>
          <w:sz w:val="18"/>
          <w:szCs w:val="18"/>
          <w:color w:val="auto"/>
        </w:rPr>
        <w:t xml:space="preserve"> </w:t>
      </w:r>
      <w:hyperlink r:id="rId597">
        <w:r>
          <w:rPr>
            <w:rFonts w:ascii="Arial" w:cs="Arial" w:eastAsia="Arial" w:hAnsi="Arial"/>
            <w:sz w:val="18"/>
            <w:szCs w:val="18"/>
            <w:u w:val="single" w:color="auto"/>
            <w:color w:val="0000FF"/>
          </w:rPr>
          <w:t>Agreement, dated as of December 4, 2023, among American Airlines, Inc., as the borrower, American Airlines Group Inc., as</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color w:val="0000FF"/>
        </w:rPr>
      </w:pPr>
      <w:hyperlink r:id="rId597">
        <w:r>
          <w:rPr>
            <w:rFonts w:ascii="Arial" w:cs="Arial" w:eastAsia="Arial" w:hAnsi="Arial"/>
            <w:sz w:val="18"/>
            <w:szCs w:val="18"/>
            <w:u w:val="single" w:color="auto"/>
            <w:color w:val="0000FF"/>
          </w:rPr>
          <w:t>parent and guarantor,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597">
        <w:r>
          <w:rPr>
            <w:rFonts w:ascii="Arial" w:cs="Arial" w:eastAsia="Arial" w:hAnsi="Arial"/>
            <w:sz w:val="18"/>
            <w:szCs w:val="18"/>
            <w:u w:val="single" w:color="auto"/>
            <w:color w:val="0000FF"/>
          </w:rPr>
          <w:t>from time to time party thereto (incorporated by reference to Exhibit 10.4 to AAG’s Quarterly Report on Form 10-Q for the quarter</w:t>
        </w:r>
      </w:hyperlink>
      <w:r>
        <w:rPr>
          <w:rFonts w:ascii="Arial" w:cs="Arial" w:eastAsia="Arial" w:hAnsi="Arial"/>
          <w:sz w:val="18"/>
          <w:szCs w:val="18"/>
          <w:u w:val="single" w:color="auto"/>
          <w:color w:val="0000FF"/>
        </w:rPr>
        <w:t xml:space="preserve"> </w:t>
      </w:r>
      <w:hyperlink r:id="rId597">
        <w:r>
          <w:rPr>
            <w:rFonts w:ascii="Arial" w:cs="Arial" w:eastAsia="Arial" w:hAnsi="Arial"/>
            <w:sz w:val="18"/>
            <w:szCs w:val="18"/>
            <w:u w:val="single" w:color="auto"/>
            <w:color w:val="0000FF"/>
          </w:rPr>
          <w:t>ended June 30, 2024 (Commission File No. 1-8400)).</w:t>
        </w:r>
        <w:r>
          <w:rPr>
            <w:rFonts w:ascii="Arial" w:cs="Arial" w:eastAsia="Arial" w:hAnsi="Arial"/>
            <w:sz w:val="18"/>
            <w:szCs w:val="18"/>
            <w:color w:val="000000"/>
          </w:rPr>
          <w:t>**</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10.149    </w:t>
      </w:r>
      <w:hyperlink r:id="rId598">
        <w:r>
          <w:rPr>
            <w:rFonts w:ascii="Arial" w:cs="Arial" w:eastAsia="Arial" w:hAnsi="Arial"/>
            <w:sz w:val="18"/>
            <w:szCs w:val="18"/>
            <w:u w:val="single" w:color="auto"/>
            <w:color w:val="0000FF"/>
          </w:rPr>
          <w:t>Third Amendment to Credit and Guaranty Agreement, dated as of December 23, 2024, amending the Credit and Guaranty</w:t>
        </w:r>
      </w:hyperlink>
      <w:r>
        <w:rPr>
          <w:rFonts w:ascii="Arial" w:cs="Arial" w:eastAsia="Arial" w:hAnsi="Arial"/>
          <w:sz w:val="18"/>
          <w:szCs w:val="18"/>
          <w:color w:val="auto"/>
        </w:rPr>
        <w:t xml:space="preserve"> </w:t>
      </w:r>
      <w:hyperlink r:id="rId598">
        <w:r>
          <w:rPr>
            <w:rFonts w:ascii="Arial" w:cs="Arial" w:eastAsia="Arial" w:hAnsi="Arial"/>
            <w:sz w:val="18"/>
            <w:szCs w:val="18"/>
            <w:u w:val="single" w:color="auto"/>
            <w:color w:val="0000FF"/>
          </w:rPr>
          <w:t>Agreement, dated as of December 4, 2023, among American Airlines, Inc., as the borrower, American Airlines Group Inc., as</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598">
        <w:r>
          <w:rPr>
            <w:rFonts w:ascii="Arial" w:cs="Arial" w:eastAsia="Arial" w:hAnsi="Arial"/>
            <w:sz w:val="18"/>
            <w:szCs w:val="18"/>
            <w:u w:val="single" w:color="auto"/>
            <w:color w:val="0000FF"/>
          </w:rPr>
          <w:t>parent and guarantor,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598">
        <w:r>
          <w:rPr>
            <w:rFonts w:ascii="Arial" w:cs="Arial" w:eastAsia="Arial" w:hAnsi="Arial"/>
            <w:sz w:val="18"/>
            <w:szCs w:val="18"/>
            <w:u w:val="single" w:color="auto"/>
            <w:color w:val="0000FF"/>
          </w:rPr>
          <w:t>from time to time party thereto (incorporated by reference to Exhibit 10.2 to AAG’s Current Report on Form 8-K filed on December</w:t>
        </w:r>
      </w:hyperlink>
      <w:r>
        <w:rPr>
          <w:rFonts w:ascii="Arial" w:cs="Arial" w:eastAsia="Arial" w:hAnsi="Arial"/>
          <w:sz w:val="18"/>
          <w:szCs w:val="18"/>
          <w:u w:val="single" w:color="auto"/>
          <w:color w:val="0000FF"/>
        </w:rPr>
        <w:t xml:space="preserve"> </w:t>
      </w:r>
      <w:hyperlink r:id="rId598">
        <w:r>
          <w:rPr>
            <w:rFonts w:ascii="Arial" w:cs="Arial" w:eastAsia="Arial" w:hAnsi="Arial"/>
            <w:sz w:val="18"/>
            <w:szCs w:val="18"/>
            <w:u w:val="single" w:color="auto"/>
            <w:color w:val="0000FF"/>
          </w:rPr>
          <w:t>23, 2024 (Commission File No. 1-8400))**</w:t>
        </w:r>
      </w:hyperlink>
    </w:p>
    <w:p>
      <w:pPr>
        <w:spacing w:after="0" w:line="6" w:lineRule="exact"/>
        <w:rPr>
          <w:rFonts w:ascii="Arial" w:cs="Arial" w:eastAsia="Arial" w:hAnsi="Arial"/>
          <w:sz w:val="18"/>
          <w:szCs w:val="18"/>
          <w:u w:val="single" w:color="auto"/>
          <w:color w:val="0000FF"/>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14.1</w:t>
      </w:r>
      <w:r>
        <w:rPr>
          <w:sz w:val="20"/>
          <w:szCs w:val="20"/>
          <w:color w:val="auto"/>
        </w:rPr>
        <w:tab/>
      </w:r>
      <w:hyperlink r:id="rId599">
        <w:r>
          <w:rPr>
            <w:rFonts w:ascii="Arial" w:cs="Arial" w:eastAsia="Arial" w:hAnsi="Arial"/>
            <w:sz w:val="18"/>
            <w:szCs w:val="18"/>
            <w:u w:val="single" w:color="auto"/>
            <w:color w:val="0000FF"/>
          </w:rPr>
          <w:t>Code of Ethics (incorporated by reference to Exhibit 14.1 to AAG’s Current Report on Form 8-K filed on December 9, 2013</w:t>
        </w:r>
      </w:hyperlink>
      <w:r>
        <w:rPr>
          <w:rFonts w:ascii="Arial" w:cs="Arial" w:eastAsia="Arial" w:hAnsi="Arial"/>
          <w:sz w:val="18"/>
          <w:szCs w:val="18"/>
          <w:u w:val="single" w:color="auto"/>
          <w:color w:val="0000FF"/>
        </w:rPr>
        <w:t xml:space="preserve"> </w:t>
      </w:r>
      <w:hyperlink r:id="rId599">
        <w:r>
          <w:rPr>
            <w:rFonts w:ascii="Arial" w:cs="Arial" w:eastAsia="Arial" w:hAnsi="Arial"/>
            <w:sz w:val="18"/>
            <w:szCs w:val="18"/>
            <w:u w:val="single" w:color="auto"/>
            <w:color w:val="0000FF"/>
          </w:rPr>
          <w:t>(Commission File No. 1-8400)).</w:t>
        </w:r>
      </w:hyperlink>
    </w:p>
    <w:p>
      <w:pPr>
        <w:spacing w:after="0" w:line="6"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u w:val="single" w:color="auto"/>
          <w:color w:val="0000FF"/>
        </w:rPr>
        <w:t>American Airlines Group Inc. Amended and Restated Insider Trading Compliance Policy</w:t>
      </w:r>
    </w:p>
    <w:p>
      <w:pPr>
        <w:spacing w:after="0" w:line="3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Significant subsidiaries of AAG and American as of December 31, 2024.</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Independent Registered Public Accounting Firm – KPMG LLP.</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u w:val="single" w:color="auto"/>
          <w:color w:val="0000FF"/>
        </w:rPr>
        <w:t>Powers of Attorney (included in signature page of this Annual Report on Form 10-K).</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AAG Chief Executive Officer pursuant to Rule 13a-14(a).</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AAG Chief Financial Officer pursuant to Rule 13a-14(a).</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0000FF"/>
        </w:rPr>
        <w:t>Certification of American Chief Executive Officer pursuant to Rule 13a-14(a).</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u w:val="single" w:color="auto"/>
          <w:color w:val="0000FF"/>
        </w:rPr>
        <w:t>Certification of American Chief Financial Officer pursuant to Rule 13a-14(a).</w:t>
      </w:r>
    </w:p>
    <w:p>
      <w:pPr>
        <w:ind w:left="2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pursuant to Rule 13a-14(b) and section 906 of the Sarbanes-Oxley Act of 2002 (subsections (a) and (b) of section</w:t>
      </w:r>
    </w:p>
    <w:p>
      <w:pPr>
        <w:ind w:left="920"/>
        <w:spacing w:after="0"/>
        <w:rPr>
          <w:sz w:val="20"/>
          <w:szCs w:val="20"/>
          <w:color w:val="auto"/>
        </w:rPr>
      </w:pPr>
      <w:r>
        <w:rPr>
          <w:rFonts w:ascii="Arial" w:cs="Arial" w:eastAsia="Arial" w:hAnsi="Arial"/>
          <w:sz w:val="18"/>
          <w:szCs w:val="18"/>
          <w:u w:val="single" w:color="auto"/>
          <w:color w:val="0000FF"/>
        </w:rPr>
        <w:t>1350, chapter 63 of title 18, United States Code).</w:t>
      </w:r>
    </w:p>
    <w:p>
      <w:pPr>
        <w:spacing w:after="0" w:line="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pursuant to Rule 13a-14(b) and section 906 of the Sarbanes-Oxley Act of 2002 (subsections (a) and (b) of section</w:t>
      </w:r>
    </w:p>
    <w:p>
      <w:pPr>
        <w:ind w:left="920"/>
        <w:spacing w:after="0"/>
        <w:rPr>
          <w:sz w:val="20"/>
          <w:szCs w:val="20"/>
          <w:color w:val="auto"/>
        </w:rPr>
      </w:pPr>
      <w:r>
        <w:rPr>
          <w:rFonts w:ascii="Arial" w:cs="Arial" w:eastAsia="Arial" w:hAnsi="Arial"/>
          <w:sz w:val="18"/>
          <w:szCs w:val="18"/>
          <w:u w:val="single" w:color="auto"/>
          <w:color w:val="0000FF"/>
        </w:rPr>
        <w:t>1350, chapter 63 of title 18, United States Code).</w:t>
      </w:r>
    </w:p>
    <w:p>
      <w:pPr>
        <w:spacing w:after="0" w:line="4" w:lineRule="exact"/>
        <w:rPr>
          <w:sz w:val="20"/>
          <w:szCs w:val="20"/>
          <w:color w:val="auto"/>
        </w:rPr>
      </w:pPr>
    </w:p>
    <w:p>
      <w:pPr>
        <w:ind w:left="2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97.1</w:t>
      </w:r>
      <w:r>
        <w:rPr>
          <w:sz w:val="20"/>
          <w:szCs w:val="20"/>
          <w:color w:val="auto"/>
        </w:rPr>
        <w:tab/>
      </w:r>
      <w:hyperlink r:id="rId600">
        <w:r>
          <w:rPr>
            <w:rFonts w:ascii="Arial" w:cs="Arial" w:eastAsia="Arial" w:hAnsi="Arial"/>
            <w:sz w:val="18"/>
            <w:szCs w:val="18"/>
            <w:u w:val="single" w:color="auto"/>
            <w:color w:val="0000FF"/>
          </w:rPr>
          <w:t>American Airlines Group Inc. Policy for Recovery of Erroneously Awarded Compensation (incorporated by reference to Exhibit</w:t>
        </w:r>
      </w:hyperlink>
    </w:p>
    <w:p>
      <w:pPr>
        <w:ind w:left="920"/>
        <w:spacing w:after="0"/>
        <w:rPr>
          <w:rFonts w:ascii="Arial" w:cs="Arial" w:eastAsia="Arial" w:hAnsi="Arial"/>
          <w:sz w:val="18"/>
          <w:szCs w:val="18"/>
          <w:u w:val="single" w:color="auto"/>
          <w:color w:val="0000FF"/>
        </w:rPr>
      </w:pPr>
      <w:hyperlink r:id="rId600">
        <w:r>
          <w:rPr>
            <w:rFonts w:ascii="Arial" w:cs="Arial" w:eastAsia="Arial" w:hAnsi="Arial"/>
            <w:sz w:val="18"/>
            <w:szCs w:val="18"/>
            <w:u w:val="single" w:color="auto"/>
            <w:color w:val="0000FF"/>
          </w:rPr>
          <w:t>97.1 to AAG’s Annual Report on form 10-K filed on December 31, 2023 (Commission File No.1-8400)).</w:t>
        </w:r>
      </w:hyperlink>
    </w:p>
    <w:p>
      <w:pPr>
        <w:spacing w:after="0" w:line="18" w:lineRule="exact"/>
        <w:rPr>
          <w:sz w:val="20"/>
          <w:szCs w:val="20"/>
          <w:color w:val="auto"/>
        </w:rPr>
      </w:pPr>
    </w:p>
    <w:p>
      <w:pPr>
        <w:ind w:left="920" w:right="1780" w:hanging="889"/>
        <w:spacing w:after="0" w:line="239"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Interactive data files pursuant to Rule 405 of Regulation S-T, formatted in Inline XBRL (eXtensible Business Reporting Language).</w:t>
      </w:r>
    </w:p>
    <w:p>
      <w:pPr>
        <w:spacing w:after="0" w:line="6"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100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601">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99" w:lineRule="exact"/>
        <w:rPr>
          <w:sz w:val="20"/>
          <w:szCs w:val="20"/>
          <w:color w:val="auto"/>
        </w:rPr>
      </w:pPr>
    </w:p>
    <w:p>
      <w:pPr>
        <w:jc w:val="both"/>
        <w:ind w:left="640" w:right="20" w:hanging="241"/>
        <w:spacing w:after="0" w:line="225" w:lineRule="auto"/>
        <w:tabs>
          <w:tab w:leader="none" w:pos="64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Pursuant to Item 601(a)(5)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1" w:lineRule="exact"/>
        <w:rPr>
          <w:sz w:val="20"/>
          <w:szCs w:val="20"/>
          <w:color w:val="auto"/>
        </w:rPr>
      </w:pPr>
    </w:p>
    <w:p>
      <w:pPr>
        <w:ind w:left="640" w:hanging="241"/>
        <w:spacing w:after="0"/>
        <w:tabs>
          <w:tab w:leader="none" w:pos="64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Confidential treatment has been granted with respect to certain portions of this agreement.</w:t>
      </w:r>
    </w:p>
    <w:p>
      <w:pPr>
        <w:spacing w:after="0" w:line="21" w:lineRule="exact"/>
        <w:rPr>
          <w:rFonts w:ascii="Times New Roman" w:cs="Times New Roman" w:eastAsia="Times New Roman" w:hAnsi="Times New Roman"/>
          <w:sz w:val="18"/>
          <w:szCs w:val="18"/>
          <w:color w:val="auto"/>
        </w:rPr>
      </w:pPr>
    </w:p>
    <w:p>
      <w:pPr>
        <w:ind w:left="640" w:hanging="331"/>
        <w:spacing w:after="0"/>
        <w:tabs>
          <w:tab w:leader="none" w:pos="64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Portions of this exhibit have been omitted in accordance with Item 601(b)(10) of Regulation S-K.</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American Airlines Group Inc.</w:t>
      </w:r>
    </w:p>
    <w:p>
      <w:pPr>
        <w:spacing w:after="0" w:line="40" w:lineRule="exact"/>
        <w:rPr>
          <w:sz w:val="20"/>
          <w:szCs w:val="20"/>
          <w:color w:val="auto"/>
        </w:rPr>
      </w:pPr>
    </w:p>
    <w:p>
      <w:pPr>
        <w:ind w:left="5640" w:right="3100" w:hanging="6539"/>
        <w:spacing w:after="0" w:line="268" w:lineRule="auto"/>
        <w:tabs>
          <w:tab w:leader="none" w:pos="5620" w:val="left"/>
        </w:tabs>
        <w:rPr>
          <w:sz w:val="20"/>
          <w:szCs w:val="20"/>
          <w:color w:val="auto"/>
        </w:rPr>
      </w:pPr>
      <w:r>
        <w:rPr>
          <w:rFonts w:ascii="Arial" w:cs="Arial" w:eastAsia="Arial" w:hAnsi="Arial"/>
          <w:sz w:val="18"/>
          <w:szCs w:val="18"/>
          <w:color w:val="auto"/>
        </w:rPr>
        <w:t>Date: February 19, 2025</w:t>
      </w:r>
      <w:r>
        <w:rPr>
          <w:sz w:val="20"/>
          <w:szCs w:val="20"/>
          <w:color w:val="auto"/>
        </w:rPr>
        <w:tab/>
      </w:r>
      <w:r>
        <w:rPr>
          <w:rFonts w:ascii="Arial" w:cs="Arial" w:eastAsia="Arial" w:hAnsi="Arial"/>
          <w:sz w:val="18"/>
          <w:szCs w:val="18"/>
          <w:color w:val="auto"/>
        </w:rPr>
        <w:t>By: /s/ Robert D. Isom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-154940</wp:posOffset>
            </wp:positionV>
            <wp:extent cx="2611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604">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56"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American Airlines, Inc.</w:t>
      </w:r>
    </w:p>
    <w:p>
      <w:pPr>
        <w:spacing w:after="0" w:line="40" w:lineRule="exact"/>
        <w:rPr>
          <w:sz w:val="20"/>
          <w:szCs w:val="20"/>
          <w:color w:val="auto"/>
        </w:rPr>
      </w:pPr>
    </w:p>
    <w:p>
      <w:pPr>
        <w:ind w:left="5640" w:right="3100" w:hanging="6539"/>
        <w:spacing w:after="0" w:line="268" w:lineRule="auto"/>
        <w:tabs>
          <w:tab w:leader="none" w:pos="5620" w:val="left"/>
        </w:tabs>
        <w:rPr>
          <w:sz w:val="20"/>
          <w:szCs w:val="20"/>
          <w:color w:val="auto"/>
        </w:rPr>
      </w:pPr>
      <w:r>
        <w:rPr>
          <w:rFonts w:ascii="Arial" w:cs="Arial" w:eastAsia="Arial" w:hAnsi="Arial"/>
          <w:sz w:val="18"/>
          <w:szCs w:val="18"/>
          <w:color w:val="auto"/>
        </w:rPr>
        <w:t>Date: February 19, 2025</w:t>
      </w:r>
      <w:r>
        <w:rPr>
          <w:sz w:val="20"/>
          <w:szCs w:val="20"/>
          <w:color w:val="auto"/>
        </w:rPr>
        <w:tab/>
      </w:r>
      <w:r>
        <w:rPr>
          <w:rFonts w:ascii="Arial" w:cs="Arial" w:eastAsia="Arial" w:hAnsi="Arial"/>
          <w:sz w:val="18"/>
          <w:szCs w:val="18"/>
          <w:color w:val="auto"/>
        </w:rPr>
        <w:t>By: /s/ Robert D. Isom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-154940</wp:posOffset>
            </wp:positionV>
            <wp:extent cx="26117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605">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Robert D. Isom and Devon E. May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2024,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12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80"/>
              <w:spacing w:after="0"/>
              <w:rPr>
                <w:sz w:val="20"/>
                <w:szCs w:val="20"/>
                <w:color w:val="auto"/>
              </w:rPr>
            </w:pPr>
            <w:r>
              <w:rPr>
                <w:rFonts w:ascii="Arial" w:cs="Arial" w:eastAsia="Arial" w:hAnsi="Arial"/>
                <w:sz w:val="18"/>
                <w:szCs w:val="18"/>
                <w:color w:val="auto"/>
              </w:rPr>
              <w:t>Robert D. Isom</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Robert D. Isom</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Devon E. May</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Devon E. May</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Angela K. Owens</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Angela K. Owens</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Corporate Controller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Adriane M. Brown</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Adriane M. Brown, Director</w:t>
            </w:r>
          </w:p>
        </w:tc>
      </w:tr>
      <w:tr>
        <w:trPr>
          <w:trHeight w:val="489"/>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John T. Cahill</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John T. Cahill, Director</w:t>
            </w:r>
          </w:p>
        </w:tc>
      </w:tr>
      <w:tr>
        <w:trPr>
          <w:trHeight w:val="489"/>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Michael J. Embler</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Michael J. Embler, Director</w:t>
            </w:r>
          </w:p>
        </w:tc>
      </w:tr>
      <w:tr>
        <w:trPr>
          <w:trHeight w:val="489"/>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Matthew J. Hart</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Matthew J. Hart, Director</w:t>
            </w:r>
          </w:p>
        </w:tc>
      </w:tr>
      <w:tr>
        <w:trPr>
          <w:trHeight w:val="489"/>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Susan D. Kronick</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Susan D. Kronick, Director</w:t>
            </w:r>
          </w:p>
        </w:tc>
      </w:tr>
      <w:tr>
        <w:trPr>
          <w:trHeight w:val="494"/>
        </w:trPr>
        <w:tc>
          <w:tcPr>
            <w:tcW w:w="300" w:type="dxa"/>
            <w:vAlign w:val="bottom"/>
          </w:tcPr>
          <w:p>
            <w:pPr>
              <w:ind w:left="20"/>
              <w:spacing w:after="0"/>
              <w:rPr>
                <w:sz w:val="20"/>
                <w:szCs w:val="20"/>
                <w:color w:val="auto"/>
              </w:rPr>
            </w:pPr>
            <w:r>
              <w:rPr>
                <w:rFonts w:ascii="Arial" w:cs="Arial" w:eastAsia="Arial" w:hAnsi="Arial"/>
                <w:sz w:val="18"/>
                <w:szCs w:val="18"/>
                <w:color w:val="auto"/>
              </w:rPr>
              <w:t>/s/</w:t>
            </w:r>
          </w:p>
        </w:tc>
        <w:tc>
          <w:tcPr>
            <w:tcW w:w="5000" w:type="dxa"/>
            <w:vAlign w:val="bottom"/>
          </w:tcPr>
          <w:p>
            <w:pPr>
              <w:ind w:left="100"/>
              <w:spacing w:after="0"/>
              <w:rPr>
                <w:sz w:val="20"/>
                <w:szCs w:val="20"/>
                <w:color w:val="auto"/>
              </w:rPr>
            </w:pPr>
            <w:r>
              <w:rPr>
                <w:rFonts w:ascii="Arial" w:cs="Arial" w:eastAsia="Arial" w:hAnsi="Arial"/>
                <w:sz w:val="18"/>
                <w:szCs w:val="18"/>
                <w:color w:val="auto"/>
              </w:rPr>
              <w:t>Martin H. Nesbitt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33737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607">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Martin H. Nesbitt, Director</w:t>
      </w:r>
    </w:p>
    <w:p>
      <w:pPr>
        <w:spacing w:after="0" w:line="200" w:lineRule="exact"/>
        <w:rPr>
          <w:sz w:val="20"/>
          <w:szCs w:val="20"/>
          <w:color w:val="auto"/>
        </w:rPr>
      </w:pPr>
    </w:p>
    <w:p>
      <w:pPr>
        <w:sectPr>
          <w:pgSz w:w="11900" w:h="16838" w:orient="portrait"/>
          <w:cols w:equalWidth="0" w:num="2">
            <w:col w:w="4620" w:space="720"/>
            <w:col w:w="590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1" w:name="page202"/>
    <w:bookmarkEnd w:id="201"/>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Table of Contents</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951"/>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Denise M. O’Leary</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Denise M. O’Leary, Director</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Vicente Reynal</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Vicente Reynal, Director</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Gregory D. Smith</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Gregory D. Smith, Chairman</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Douglas M. Steenland</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Douglas M. Steenland, Director</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80"/>
              <w:spacing w:after="0"/>
              <w:rPr>
                <w:sz w:val="20"/>
                <w:szCs w:val="20"/>
                <w:color w:val="auto"/>
              </w:rPr>
            </w:pPr>
            <w:r>
              <w:rPr>
                <w:rFonts w:ascii="Arial" w:cs="Arial" w:eastAsia="Arial" w:hAnsi="Arial"/>
                <w:sz w:val="18"/>
                <w:szCs w:val="18"/>
                <w:color w:val="auto"/>
              </w:rPr>
              <w:t>Howard Ungerleider</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Howard Ungerleider,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80"/>
              <w:spacing w:after="0"/>
              <w:rPr>
                <w:sz w:val="20"/>
                <w:szCs w:val="20"/>
                <w:color w:val="auto"/>
              </w:rPr>
            </w:pPr>
            <w:r>
              <w:rPr>
                <w:rFonts w:ascii="Arial" w:cs="Arial" w:eastAsia="Arial" w:hAnsi="Arial"/>
                <w:sz w:val="18"/>
                <w:szCs w:val="18"/>
                <w:color w:val="auto"/>
              </w:rPr>
              <w:t>Robert D. Isom</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Robert D. Isom</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Devon E. May</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Devon E. May</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 and Director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Angela K. Owens</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Angela K. Owens</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Corporate Controller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19, 2025</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Stephen L. Johnson</w:t>
            </w:r>
          </w:p>
        </w:tc>
      </w:tr>
      <w:tr>
        <w:trPr>
          <w:trHeight w:val="232"/>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Stephen L. Johnson, Director</w:t>
            </w:r>
          </w:p>
        </w:tc>
      </w:tr>
      <w:tr>
        <w:trPr>
          <w:trHeight w:val="723"/>
        </w:trPr>
        <w:tc>
          <w:tcPr>
            <w:tcW w:w="5320" w:type="dxa"/>
            <w:vAlign w:val="bottom"/>
          </w:tcPr>
          <w:p>
            <w:pPr>
              <w:spacing w:after="0"/>
              <w:rPr>
                <w:sz w:val="24"/>
                <w:szCs w:val="24"/>
                <w:color w:val="auto"/>
              </w:rPr>
            </w:pPr>
          </w:p>
        </w:tc>
        <w:tc>
          <w:tcPr>
            <w:tcW w:w="5300" w:type="dxa"/>
            <w:vAlign w:val="bottom"/>
            <w:gridSpan w:val="2"/>
          </w:tcPr>
          <w:p>
            <w:pPr>
              <w:ind w:left="140"/>
              <w:spacing w:after="0"/>
              <w:rPr>
                <w:sz w:val="20"/>
                <w:szCs w:val="20"/>
                <w:color w:val="auto"/>
              </w:rPr>
            </w:pPr>
            <w:r>
              <w:rPr>
                <w:rFonts w:ascii="Arial" w:cs="Arial" w:eastAsia="Arial" w:hAnsi="Arial"/>
                <w:sz w:val="18"/>
                <w:szCs w:val="18"/>
                <w:color w:val="auto"/>
              </w:rPr>
              <w:t>202</w:t>
            </w:r>
          </w:p>
        </w:tc>
      </w:tr>
    </w:tbl>
    <w:p>
      <w:pPr>
        <w:sectPr>
          <w:pgSz w:w="11900" w:h="16838" w:orient="portrait"/>
          <w:cols w:equalWidth="0" w:num="1">
            <w:col w:w="11220"/>
          </w:cols>
          <w:pgMar w:left="320" w:top="351" w:right="359" w:bottom="1440" w:gutter="0" w:footer="0" w:header="0"/>
        </w:sectPr>
      </w:pPr>
    </w:p>
    <w:bookmarkStart w:id="202" w:name="page203"/>
    <w:bookmarkEnd w:id="202"/>
    <w:p>
      <w:pPr>
        <w:ind w:left="10240"/>
        <w:spacing w:after="0"/>
        <w:rPr>
          <w:sz w:val="20"/>
          <w:szCs w:val="20"/>
          <w:color w:val="auto"/>
        </w:rPr>
      </w:pPr>
      <w:r>
        <w:rPr>
          <w:rFonts w:ascii="Arial" w:cs="Arial" w:eastAsia="Arial" w:hAnsi="Arial"/>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COMPLIANCE POLICY</w:t>
      </w:r>
    </w:p>
    <w:p>
      <w:pPr>
        <w:spacing w:after="0" w:line="200" w:lineRule="exact"/>
        <w:rPr>
          <w:sz w:val="20"/>
          <w:szCs w:val="20"/>
          <w:color w:val="auto"/>
        </w:rPr>
      </w:pPr>
    </w:p>
    <w:p>
      <w:pPr>
        <w:spacing w:after="0" w:line="2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This policy of American Airlines Group Inc., together with its subsidiaries (the “Company”) was adopted by the Board of Directors of the Company on December 18, 2024.</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seeks to promote a culture that encourages ethical conduct and a commitment to compliance with the law. We require our personnel to comply at all times with federal laws and regulations governing insider trading. This policy sets forth procedures designed to help comply with these laws and regulations.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Consequences of an insider trading violation are significant and may include civil and criminal penalties for both individuals and for the Company. If a director, officer, or employee violates this policy, Company-imposed sanctions, including removal or dismissal for cause, could result.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Persons Covered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must comply with this policy if you are:</w:t>
      </w:r>
    </w:p>
    <w:p>
      <w:pPr>
        <w:spacing w:after="0" w:line="205" w:lineRule="exact"/>
        <w:rPr>
          <w:sz w:val="20"/>
          <w:szCs w:val="20"/>
          <w:color w:val="auto"/>
        </w:rPr>
      </w:pPr>
    </w:p>
    <w:p>
      <w:pPr>
        <w:ind w:left="660" w:hanging="329"/>
        <w:spacing w:after="0"/>
        <w:tabs>
          <w:tab w:leader="none" w:pos="660" w:val="left"/>
        </w:tabs>
        <w:numPr>
          <w:ilvl w:val="0"/>
          <w:numId w:val="88"/>
        </w:numPr>
        <w:rPr>
          <w:rFonts w:ascii="Calibri" w:cs="Calibri" w:eastAsia="Calibri" w:hAnsi="Calibri"/>
          <w:sz w:val="22"/>
          <w:szCs w:val="22"/>
          <w:color w:val="auto"/>
        </w:rPr>
      </w:pPr>
      <w:r>
        <w:rPr>
          <w:rFonts w:ascii="Times New Roman" w:cs="Times New Roman" w:eastAsia="Times New Roman" w:hAnsi="Times New Roman"/>
          <w:sz w:val="22"/>
          <w:szCs w:val="22"/>
          <w:color w:val="auto"/>
        </w:rPr>
        <w:t>a director, officer or employee (full time and part-time);</w:t>
      </w:r>
    </w:p>
    <w:p>
      <w:pPr>
        <w:spacing w:after="0" w:line="176" w:lineRule="exact"/>
        <w:rPr>
          <w:rFonts w:ascii="Calibri" w:cs="Calibri" w:eastAsia="Calibri" w:hAnsi="Calibri"/>
          <w:sz w:val="22"/>
          <w:szCs w:val="22"/>
          <w:color w:val="auto"/>
        </w:rPr>
      </w:pPr>
    </w:p>
    <w:p>
      <w:pPr>
        <w:ind w:left="660" w:hanging="329"/>
        <w:spacing w:after="0"/>
        <w:tabs>
          <w:tab w:leader="none" w:pos="660" w:val="left"/>
        </w:tabs>
        <w:numPr>
          <w:ilvl w:val="0"/>
          <w:numId w:val="88"/>
        </w:numPr>
        <w:rPr>
          <w:rFonts w:ascii="Calibri" w:cs="Calibri" w:eastAsia="Calibri" w:hAnsi="Calibri"/>
          <w:sz w:val="22"/>
          <w:szCs w:val="22"/>
          <w:color w:val="auto"/>
        </w:rPr>
      </w:pPr>
      <w:r>
        <w:rPr>
          <w:rFonts w:ascii="Times New Roman" w:cs="Times New Roman" w:eastAsia="Times New Roman" w:hAnsi="Times New Roman"/>
          <w:sz w:val="22"/>
          <w:szCs w:val="22"/>
          <w:color w:val="auto"/>
        </w:rPr>
        <w:t>an entity controlled by a director, officer or employee; or</w:t>
      </w:r>
    </w:p>
    <w:p>
      <w:pPr>
        <w:spacing w:after="0" w:line="176" w:lineRule="exact"/>
        <w:rPr>
          <w:rFonts w:ascii="Calibri" w:cs="Calibri" w:eastAsia="Calibri" w:hAnsi="Calibri"/>
          <w:sz w:val="22"/>
          <w:szCs w:val="22"/>
          <w:color w:val="auto"/>
        </w:rPr>
      </w:pPr>
    </w:p>
    <w:p>
      <w:pPr>
        <w:ind w:left="660" w:hanging="329"/>
        <w:spacing w:after="0"/>
        <w:tabs>
          <w:tab w:leader="none" w:pos="660" w:val="left"/>
        </w:tabs>
        <w:numPr>
          <w:ilvl w:val="0"/>
          <w:numId w:val="88"/>
        </w:numPr>
        <w:rPr>
          <w:rFonts w:ascii="Calibri" w:cs="Calibri" w:eastAsia="Calibri" w:hAnsi="Calibri"/>
          <w:sz w:val="22"/>
          <w:szCs w:val="22"/>
          <w:color w:val="auto"/>
        </w:rPr>
      </w:pPr>
      <w:r>
        <w:rPr>
          <w:rFonts w:ascii="Times New Roman" w:cs="Times New Roman" w:eastAsia="Times New Roman" w:hAnsi="Times New Roman"/>
          <w:sz w:val="22"/>
          <w:szCs w:val="22"/>
          <w:color w:val="auto"/>
        </w:rPr>
        <w:t>a temporary worker, contractor, consultant, or other person designated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 comply with this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permitted by this policy, you must not:</w:t>
      </w:r>
    </w:p>
    <w:p>
      <w:pPr>
        <w:spacing w:after="0" w:line="192" w:lineRule="exact"/>
        <w:rPr>
          <w:sz w:val="20"/>
          <w:szCs w:val="20"/>
          <w:color w:val="auto"/>
        </w:rPr>
      </w:pPr>
    </w:p>
    <w:p>
      <w:pPr>
        <w:ind w:left="660" w:hanging="329"/>
        <w:spacing w:after="0" w:line="235" w:lineRule="auto"/>
        <w:tabs>
          <w:tab w:leader="none" w:pos="659" w:val="left"/>
        </w:tabs>
        <w:numPr>
          <w:ilvl w:val="0"/>
          <w:numId w:val="89"/>
        </w:numPr>
        <w:rPr>
          <w:rFonts w:ascii="Calibri" w:cs="Calibri" w:eastAsia="Calibri" w:hAnsi="Calibri"/>
          <w:sz w:val="22"/>
          <w:szCs w:val="22"/>
          <w:color w:val="auto"/>
        </w:rPr>
      </w:pPr>
      <w:r>
        <w:rPr>
          <w:rFonts w:ascii="Times New Roman" w:cs="Times New Roman" w:eastAsia="Times New Roman" w:hAnsi="Times New Roman"/>
          <w:sz w:val="22"/>
          <w:szCs w:val="22"/>
          <w:color w:val="auto"/>
        </w:rPr>
        <w:t>purchase, sell, gift or otherwise transfer any security of the Company while you possess material nonpublic information about the Company;</w:t>
      </w:r>
    </w:p>
    <w:p>
      <w:pPr>
        <w:spacing w:after="0" w:line="150" w:lineRule="exact"/>
        <w:rPr>
          <w:rFonts w:ascii="Calibri" w:cs="Calibri" w:eastAsia="Calibri" w:hAnsi="Calibri"/>
          <w:sz w:val="22"/>
          <w:szCs w:val="22"/>
          <w:color w:val="auto"/>
        </w:rPr>
      </w:pPr>
    </w:p>
    <w:p>
      <w:pPr>
        <w:jc w:val="both"/>
        <w:ind w:left="660" w:hanging="329"/>
        <w:spacing w:after="0" w:line="217" w:lineRule="auto"/>
        <w:tabs>
          <w:tab w:leader="none" w:pos="659" w:val="left"/>
        </w:tabs>
        <w:numPr>
          <w:ilvl w:val="0"/>
          <w:numId w:val="89"/>
        </w:numPr>
        <w:rPr>
          <w:rFonts w:ascii="Calibri" w:cs="Calibri" w:eastAsia="Calibri" w:hAnsi="Calibri"/>
          <w:sz w:val="22"/>
          <w:szCs w:val="22"/>
          <w:color w:val="auto"/>
        </w:rPr>
      </w:pPr>
      <w:r>
        <w:rPr>
          <w:rFonts w:ascii="Times New Roman" w:cs="Times New Roman" w:eastAsia="Times New Roman" w:hAnsi="Times New Roman"/>
          <w:sz w:val="22"/>
          <w:szCs w:val="22"/>
          <w:color w:val="auto"/>
        </w:rPr>
        <w:t>purchase, sell, gift or otherwise transfer any security of any other company, including a customer, collaborator, supplier, partner, counterparty or an economically-linked company, such as a competitor or peer company, while you possess material nonpublic information that you obtained in connection with your employment by or service to the Company (to the extent there is a reasonable likelihood that such information would be considered important to an investor in making an investment decision in such other company);</w:t>
      </w:r>
    </w:p>
    <w:p>
      <w:pPr>
        <w:spacing w:after="0" w:line="150" w:lineRule="exact"/>
        <w:rPr>
          <w:rFonts w:ascii="Calibri" w:cs="Calibri" w:eastAsia="Calibri" w:hAnsi="Calibri"/>
          <w:sz w:val="22"/>
          <w:szCs w:val="22"/>
          <w:color w:val="auto"/>
        </w:rPr>
      </w:pPr>
    </w:p>
    <w:p>
      <w:pPr>
        <w:ind w:left="660" w:right="20" w:hanging="329"/>
        <w:spacing w:after="0" w:line="235" w:lineRule="auto"/>
        <w:tabs>
          <w:tab w:leader="none" w:pos="659" w:val="left"/>
        </w:tabs>
        <w:numPr>
          <w:ilvl w:val="0"/>
          <w:numId w:val="89"/>
        </w:numPr>
        <w:rPr>
          <w:rFonts w:ascii="Calibri" w:cs="Calibri" w:eastAsia="Calibri" w:hAnsi="Calibri"/>
          <w:sz w:val="22"/>
          <w:szCs w:val="22"/>
          <w:color w:val="auto"/>
        </w:rPr>
      </w:pPr>
      <w:r>
        <w:rPr>
          <w:rFonts w:ascii="Times New Roman" w:cs="Times New Roman" w:eastAsia="Times New Roman" w:hAnsi="Times New Roman"/>
          <w:sz w:val="22"/>
          <w:szCs w:val="22"/>
          <w:color w:val="auto"/>
        </w:rPr>
        <w:t>directly or indirectly communicate material nonpublic information to anyone outside the Company unless you follow Company policy regarding confidential information; or</w:t>
      </w:r>
    </w:p>
    <w:p>
      <w:pPr>
        <w:sectPr>
          <w:pgSz w:w="11900" w:h="16838" w:orient="portrait"/>
          <w:cols w:equalWidth="0" w:num="1">
            <w:col w:w="11240"/>
          </w:cols>
          <w:pgMar w:left="320" w:top="122" w:right="339" w:bottom="1440" w:gutter="0" w:footer="0" w:header="0"/>
        </w:sectPr>
      </w:pPr>
    </w:p>
    <w:bookmarkStart w:id="203" w:name="page204"/>
    <w:bookmarkEnd w:id="203"/>
    <w:p>
      <w:pPr>
        <w:ind w:left="660" w:right="20" w:hanging="329"/>
        <w:spacing w:after="0" w:line="235" w:lineRule="auto"/>
        <w:tabs>
          <w:tab w:leader="none" w:pos="659" w:val="left"/>
        </w:tabs>
        <w:numPr>
          <w:ilvl w:val="0"/>
          <w:numId w:val="90"/>
        </w:numPr>
        <w:rPr>
          <w:rFonts w:ascii="Calibri" w:cs="Calibri" w:eastAsia="Calibri" w:hAnsi="Calibri"/>
          <w:sz w:val="22"/>
          <w:szCs w:val="22"/>
          <w:color w:val="auto"/>
        </w:rPr>
      </w:pPr>
      <w:r>
        <w:rPr>
          <w:rFonts w:ascii="Times New Roman" w:cs="Times New Roman" w:eastAsia="Times New Roman" w:hAnsi="Times New Roman"/>
          <w:sz w:val="22"/>
          <w:szCs w:val="22"/>
          <w:color w:val="auto"/>
        </w:rPr>
        <w:t>directly or indirectly communicate material nonpublic information to anyone within the Company except on a need-to-know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215" w:lineRule="exact"/>
        <w:rPr>
          <w:sz w:val="20"/>
          <w:szCs w:val="20"/>
          <w:color w:val="auto"/>
        </w:rPr>
      </w:pPr>
    </w:p>
    <w:p>
      <w:pPr>
        <w:ind w:left="660" w:hanging="329"/>
        <w:spacing w:after="0" w:line="298" w:lineRule="auto"/>
        <w:tabs>
          <w:tab w:leader="none" w:pos="659" w:val="left"/>
        </w:tabs>
        <w:numPr>
          <w:ilvl w:val="0"/>
          <w:numId w:val="91"/>
        </w:numPr>
        <w:rPr>
          <w:rFonts w:ascii="Calibri" w:cs="Calibri" w:eastAsia="Calibri" w:hAnsi="Calibri"/>
          <w:sz w:val="22"/>
          <w:szCs w:val="22"/>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includes stocks, bonds, notes, debentures, options, warrants, equity and other convertible securities, as well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instruments;</w:t>
      </w:r>
    </w:p>
    <w:p>
      <w:pPr>
        <w:spacing w:after="0" w:line="94" w:lineRule="exact"/>
        <w:rPr>
          <w:rFonts w:ascii="Calibri" w:cs="Calibri" w:eastAsia="Calibri" w:hAnsi="Calibri"/>
          <w:sz w:val="22"/>
          <w:szCs w:val="22"/>
          <w:color w:val="auto"/>
        </w:rPr>
      </w:pPr>
    </w:p>
    <w:p>
      <w:pPr>
        <w:ind w:left="660" w:hanging="329"/>
        <w:spacing w:after="0" w:line="237" w:lineRule="auto"/>
        <w:tabs>
          <w:tab w:leader="none" w:pos="659" w:val="left"/>
        </w:tabs>
        <w:numPr>
          <w:ilvl w:val="0"/>
          <w:numId w:val="91"/>
        </w:numPr>
        <w:rPr>
          <w:rFonts w:ascii="Calibri" w:cs="Calibri" w:eastAsia="Calibri" w:hAnsi="Calibri"/>
          <w:sz w:val="22"/>
          <w:szCs w:val="22"/>
          <w:color w:val="auto"/>
        </w:rPr>
      </w:pPr>
      <w:r>
        <w:rPr>
          <w:rFonts w:ascii="Times New Roman" w:cs="Times New Roman" w:eastAsia="Times New Roman" w:hAnsi="Times New Roman"/>
          <w:sz w:val="22"/>
          <w:szCs w:val="22"/>
          <w:i w:val="1"/>
          <w:iCs w:val="1"/>
          <w:color w:val="auto"/>
        </w:rPr>
        <w:t xml:space="preserve">purchase </w:t>
      </w:r>
      <w:r>
        <w:rPr>
          <w:rFonts w:ascii="Times New Roman" w:cs="Times New Roman" w:eastAsia="Times New Roman" w:hAnsi="Times New Roman"/>
          <w:sz w:val="22"/>
          <w:szCs w:val="22"/>
          <w:color w:val="auto"/>
        </w:rPr>
        <w:t>includes not only the actual purchase of a security, but also any contract to purchase or otherwise acquire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w:t>
      </w:r>
    </w:p>
    <w:p>
      <w:pPr>
        <w:spacing w:after="0" w:line="145" w:lineRule="exact"/>
        <w:rPr>
          <w:rFonts w:ascii="Calibri" w:cs="Calibri" w:eastAsia="Calibri" w:hAnsi="Calibri"/>
          <w:sz w:val="22"/>
          <w:szCs w:val="22"/>
          <w:color w:val="auto"/>
        </w:rPr>
      </w:pPr>
    </w:p>
    <w:p>
      <w:pPr>
        <w:ind w:left="660" w:hanging="329"/>
        <w:spacing w:after="0"/>
        <w:tabs>
          <w:tab w:leader="none" w:pos="660" w:val="left"/>
        </w:tabs>
        <w:numPr>
          <w:ilvl w:val="0"/>
          <w:numId w:val="91"/>
        </w:numPr>
        <w:rPr>
          <w:rFonts w:ascii="Calibri" w:cs="Calibri" w:eastAsia="Calibri" w:hAnsi="Calibri"/>
          <w:sz w:val="22"/>
          <w:szCs w:val="22"/>
          <w:color w:val="auto"/>
        </w:rPr>
      </w:pPr>
      <w:r>
        <w:rPr>
          <w:rFonts w:ascii="Times New Roman" w:cs="Times New Roman" w:eastAsia="Times New Roman" w:hAnsi="Times New Roman"/>
          <w:sz w:val="22"/>
          <w:szCs w:val="22"/>
          <w:i w:val="1"/>
          <w:iCs w:val="1"/>
          <w:color w:val="auto"/>
        </w:rPr>
        <w:t xml:space="preserve">sale </w:t>
      </w:r>
      <w:r>
        <w:rPr>
          <w:rFonts w:ascii="Times New Roman" w:cs="Times New Roman" w:eastAsia="Times New Roman" w:hAnsi="Times New Roman"/>
          <w:sz w:val="22"/>
          <w:szCs w:val="22"/>
          <w:color w:val="auto"/>
        </w:rPr>
        <w:t>includes not only the actual sale of a security, but also any contract to sell or otherwise dispose of a security;</w:t>
      </w:r>
    </w:p>
    <w:p>
      <w:pPr>
        <w:spacing w:after="0" w:line="176" w:lineRule="exact"/>
        <w:rPr>
          <w:rFonts w:ascii="Calibri" w:cs="Calibri" w:eastAsia="Calibri" w:hAnsi="Calibri"/>
          <w:sz w:val="22"/>
          <w:szCs w:val="22"/>
          <w:color w:val="auto"/>
        </w:rPr>
      </w:pPr>
    </w:p>
    <w:p>
      <w:pPr>
        <w:jc w:val="both"/>
        <w:ind w:left="660" w:hanging="329"/>
        <w:spacing w:after="0" w:line="226" w:lineRule="auto"/>
        <w:tabs>
          <w:tab w:leader="none" w:pos="659" w:val="left"/>
        </w:tabs>
        <w:numPr>
          <w:ilvl w:val="0"/>
          <w:numId w:val="91"/>
        </w:numPr>
        <w:rPr>
          <w:rFonts w:ascii="Calibri" w:cs="Calibri" w:eastAsia="Calibri" w:hAnsi="Calibri"/>
          <w:sz w:val="22"/>
          <w:szCs w:val="22"/>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22"/>
          <w:szCs w:val="22"/>
          <w:color w:val="auto"/>
        </w:rPr>
        <w:t>means likely to have a significant effect on the market price of the security (also understood to mean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substantial likelihood that a reasonable investor would consider the information important in making an investment decision); and</w:t>
      </w:r>
    </w:p>
    <w:p>
      <w:pPr>
        <w:spacing w:after="0" w:line="147" w:lineRule="exact"/>
        <w:rPr>
          <w:rFonts w:ascii="Calibri" w:cs="Calibri" w:eastAsia="Calibri" w:hAnsi="Calibri"/>
          <w:sz w:val="22"/>
          <w:szCs w:val="22"/>
          <w:color w:val="auto"/>
        </w:rPr>
      </w:pPr>
    </w:p>
    <w:p>
      <w:pPr>
        <w:ind w:left="660" w:hanging="329"/>
        <w:spacing w:after="0" w:line="237" w:lineRule="auto"/>
        <w:tabs>
          <w:tab w:leader="none" w:pos="659" w:val="left"/>
        </w:tabs>
        <w:numPr>
          <w:ilvl w:val="0"/>
          <w:numId w:val="91"/>
        </w:numPr>
        <w:rPr>
          <w:rFonts w:ascii="Calibri" w:cs="Calibri" w:eastAsia="Calibri" w:hAnsi="Calibri"/>
          <w:sz w:val="22"/>
          <w:szCs w:val="22"/>
          <w:color w:val="auto"/>
        </w:rPr>
      </w:pPr>
      <w:r>
        <w:rPr>
          <w:rFonts w:ascii="Times New Roman" w:cs="Times New Roman" w:eastAsia="Times New Roman" w:hAnsi="Times New Roman"/>
          <w:sz w:val="22"/>
          <w:szCs w:val="22"/>
          <w:i w:val="1"/>
          <w:iCs w:val="1"/>
          <w:color w:val="auto"/>
        </w:rPr>
        <w:t xml:space="preserve">nonpublic </w:t>
      </w:r>
      <w:r>
        <w:rPr>
          <w:rFonts w:ascii="Times New Roman" w:cs="Times New Roman" w:eastAsia="Times New Roman" w:hAnsi="Times New Roman"/>
          <w:sz w:val="22"/>
          <w:szCs w:val="22"/>
          <w:color w:val="auto"/>
        </w:rPr>
        <w:t>means not broadly disseminated to the general public so that investors or analysts have been able to factor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into the market price of the security.</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To understand how these terms apply to specific circumstances, or for any other questions about this policy, you should ask the Chief Legal Officer or his or her designee (the “Compliance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Blackout Periods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Compliance Officer and Legal Affairs personnel, with the assistance of the Human Resources department will designate, maintain and provide to the Company Stock Administrator a list of persons who (with their controlled entities and household members) must not purchase, sell, gift or otherwise transfer any security of the Company during any blackout period, except as otherwise permitted by this policy.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quarterly blackout period:</w:t>
      </w:r>
    </w:p>
    <w:p>
      <w:pPr>
        <w:spacing w:after="0" w:line="219" w:lineRule="exact"/>
        <w:rPr>
          <w:sz w:val="20"/>
          <w:szCs w:val="20"/>
          <w:color w:val="auto"/>
        </w:rPr>
      </w:pPr>
    </w:p>
    <w:p>
      <w:pPr>
        <w:ind w:left="660" w:hanging="329"/>
        <w:spacing w:after="0"/>
        <w:tabs>
          <w:tab w:leader="none" w:pos="660" w:val="left"/>
        </w:tabs>
        <w:numPr>
          <w:ilvl w:val="0"/>
          <w:numId w:val="92"/>
        </w:numPr>
        <w:rPr>
          <w:rFonts w:ascii="Calibri" w:cs="Calibri" w:eastAsia="Calibri" w:hAnsi="Calibri"/>
          <w:sz w:val="22"/>
          <w:szCs w:val="22"/>
          <w:color w:val="auto"/>
        </w:rPr>
      </w:pPr>
      <w:r>
        <w:rPr>
          <w:rFonts w:ascii="Times New Roman" w:cs="Times New Roman" w:eastAsia="Times New Roman" w:hAnsi="Times New Roman"/>
          <w:sz w:val="22"/>
          <w:szCs w:val="22"/>
          <w:color w:val="auto"/>
        </w:rPr>
        <w:t>begins at 11:59 p.m. Eastern Time on the last trading day of the second month of each fiscal quarter; and</w:t>
      </w:r>
    </w:p>
    <w:p>
      <w:pPr>
        <w:spacing w:after="0" w:line="203" w:lineRule="exact"/>
        <w:rPr>
          <w:rFonts w:ascii="Calibri" w:cs="Calibri" w:eastAsia="Calibri" w:hAnsi="Calibri"/>
          <w:sz w:val="22"/>
          <w:szCs w:val="22"/>
          <w:color w:val="auto"/>
        </w:rPr>
      </w:pPr>
    </w:p>
    <w:p>
      <w:pPr>
        <w:ind w:left="660" w:hanging="329"/>
        <w:spacing w:after="0" w:line="235" w:lineRule="auto"/>
        <w:tabs>
          <w:tab w:leader="none" w:pos="659" w:val="left"/>
        </w:tabs>
        <w:numPr>
          <w:ilvl w:val="0"/>
          <w:numId w:val="92"/>
        </w:numPr>
        <w:rPr>
          <w:rFonts w:ascii="Calibri" w:cs="Calibri" w:eastAsia="Calibri" w:hAnsi="Calibri"/>
          <w:sz w:val="22"/>
          <w:szCs w:val="22"/>
          <w:color w:val="auto"/>
        </w:rPr>
      </w:pPr>
      <w:r>
        <w:rPr>
          <w:rFonts w:ascii="Times New Roman" w:cs="Times New Roman" w:eastAsia="Times New Roman" w:hAnsi="Times New Roman"/>
          <w:sz w:val="22"/>
          <w:szCs w:val="22"/>
          <w:color w:val="auto"/>
        </w:rPr>
        <w:t>ends after completion of the second trading day following the public release of quarterly or annual financial results for that quarter.</w:t>
      </w:r>
    </w:p>
    <w:p>
      <w:pPr>
        <w:spacing w:after="0" w:line="1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2"/>
          <w:szCs w:val="22"/>
          <w:color w:val="auto"/>
        </w:rPr>
        <w:t>Individuals subject to the quarterly blackout periods will be advised by the Company’s Stock Administrator of the exact beginning and end dates of each blackout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Blackout Periods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From time to time, the Compliance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sectPr>
          <w:pgSz w:w="11900" w:h="16838" w:orient="portrait"/>
          <w:cols w:equalWidth="0" w:num="1">
            <w:col w:w="11240"/>
          </w:cols>
          <w:pgMar w:left="320" w:top="1393" w:right="339" w:bottom="1440" w:gutter="0" w:footer="0" w:header="0"/>
        </w:sectPr>
      </w:pPr>
    </w:p>
    <w:bookmarkStart w:id="204" w:name="page205"/>
    <w:bookmarkEnd w:id="204"/>
    <w:p>
      <w:pPr>
        <w:jc w:val="both"/>
        <w:spacing w:after="0" w:line="263" w:lineRule="auto"/>
        <w:rPr>
          <w:sz w:val="20"/>
          <w:szCs w:val="20"/>
          <w:color w:val="auto"/>
        </w:rPr>
      </w:pPr>
      <w:r>
        <w:rPr>
          <w:rFonts w:ascii="Times New Roman" w:cs="Times New Roman" w:eastAsia="Times New Roman" w:hAnsi="Times New Roman"/>
          <w:sz w:val="22"/>
          <w:szCs w:val="22"/>
          <w:color w:val="auto"/>
        </w:rPr>
        <w:t>You should note that the trading windows outside blackout periods are merely times when trading will be permitted absent other factors. The Compliance Officer may extend blackout periods in their discretion, and even if a blackout period is not in place, individuals may not trade in Company securities if in possession of material non-public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of Transactions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Compliance Officer will designate a list of persons who (with their controlled entities and household members) must pre-clear each transaction in any security of the Company.</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To submit a pre-clearance request, you must follow the procedures established by the Compliance Officer. Pre-clearance does not relieve anyone of his or her responsibility under applicable law, including the rules of the U.S. Securities and Exchange Commission.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Pre-clearance approval:</w:t>
      </w:r>
    </w:p>
    <w:p>
      <w:pPr>
        <w:spacing w:after="0" w:line="219" w:lineRule="exact"/>
        <w:rPr>
          <w:sz w:val="20"/>
          <w:szCs w:val="20"/>
          <w:color w:val="auto"/>
        </w:rPr>
      </w:pPr>
    </w:p>
    <w:p>
      <w:pPr>
        <w:ind w:left="660" w:hanging="329"/>
        <w:spacing w:after="0" w:line="281" w:lineRule="auto"/>
        <w:tabs>
          <w:tab w:leader="none" w:pos="659" w:val="left"/>
        </w:tabs>
        <w:numPr>
          <w:ilvl w:val="0"/>
          <w:numId w:val="93"/>
        </w:numPr>
        <w:rPr>
          <w:rFonts w:ascii="Calibri" w:cs="Calibri" w:eastAsia="Calibri" w:hAnsi="Calibri"/>
          <w:sz w:val="22"/>
          <w:szCs w:val="22"/>
          <w:color w:val="auto"/>
        </w:rPr>
      </w:pPr>
      <w:r>
        <w:rPr>
          <w:rFonts w:ascii="Times New Roman" w:cs="Times New Roman" w:eastAsia="Times New Roman" w:hAnsi="Times New Roman"/>
          <w:sz w:val="22"/>
          <w:szCs w:val="22"/>
          <w:color w:val="auto"/>
        </w:rPr>
        <w:t>may be granted or withheld in the sole discretion of the Compliance Officer (or the Chief Financial Officer for transactions by the Compliance Officer);</w:t>
      </w:r>
    </w:p>
    <w:p>
      <w:pPr>
        <w:spacing w:after="0" w:line="117" w:lineRule="exact"/>
        <w:rPr>
          <w:rFonts w:ascii="Calibri" w:cs="Calibri" w:eastAsia="Calibri" w:hAnsi="Calibri"/>
          <w:sz w:val="22"/>
          <w:szCs w:val="22"/>
          <w:color w:val="auto"/>
        </w:rPr>
      </w:pPr>
    </w:p>
    <w:p>
      <w:pPr>
        <w:ind w:left="660" w:hanging="329"/>
        <w:spacing w:after="0" w:line="235" w:lineRule="auto"/>
        <w:tabs>
          <w:tab w:leader="none" w:pos="659" w:val="left"/>
        </w:tabs>
        <w:numPr>
          <w:ilvl w:val="0"/>
          <w:numId w:val="93"/>
        </w:numPr>
        <w:rPr>
          <w:rFonts w:ascii="Calibri" w:cs="Calibri" w:eastAsia="Calibri" w:hAnsi="Calibri"/>
          <w:sz w:val="22"/>
          <w:szCs w:val="22"/>
          <w:color w:val="auto"/>
        </w:rPr>
      </w:pPr>
      <w:r>
        <w:rPr>
          <w:rFonts w:ascii="Times New Roman" w:cs="Times New Roman" w:eastAsia="Times New Roman" w:hAnsi="Times New Roman"/>
          <w:sz w:val="22"/>
          <w:szCs w:val="22"/>
          <w:color w:val="auto"/>
        </w:rPr>
        <w:t>remains subject to your independent obligation to confirm that you do not possess material nonpublic information at the time of your transaction;</w:t>
      </w:r>
    </w:p>
    <w:p>
      <w:pPr>
        <w:spacing w:after="0" w:line="150" w:lineRule="exact"/>
        <w:rPr>
          <w:rFonts w:ascii="Calibri" w:cs="Calibri" w:eastAsia="Calibri" w:hAnsi="Calibri"/>
          <w:sz w:val="22"/>
          <w:szCs w:val="22"/>
          <w:color w:val="auto"/>
        </w:rPr>
      </w:pPr>
    </w:p>
    <w:p>
      <w:pPr>
        <w:ind w:left="660" w:hanging="329"/>
        <w:spacing w:after="0"/>
        <w:tabs>
          <w:tab w:leader="none" w:pos="660" w:val="left"/>
        </w:tabs>
        <w:numPr>
          <w:ilvl w:val="0"/>
          <w:numId w:val="93"/>
        </w:numPr>
        <w:rPr>
          <w:rFonts w:ascii="Calibri" w:cs="Calibri" w:eastAsia="Calibri" w:hAnsi="Calibri"/>
          <w:sz w:val="22"/>
          <w:szCs w:val="22"/>
          <w:color w:val="auto"/>
        </w:rPr>
      </w:pPr>
      <w:r>
        <w:rPr>
          <w:rFonts w:ascii="Times New Roman" w:cs="Times New Roman" w:eastAsia="Times New Roman" w:hAnsi="Times New Roman"/>
          <w:sz w:val="22"/>
          <w:szCs w:val="22"/>
          <w:color w:val="auto"/>
        </w:rPr>
        <w:t>will not constitute legal advice that a proposed transaction complies with applicable law;</w:t>
      </w:r>
    </w:p>
    <w:p>
      <w:pPr>
        <w:spacing w:after="0" w:line="176" w:lineRule="exact"/>
        <w:rPr>
          <w:rFonts w:ascii="Calibri" w:cs="Calibri" w:eastAsia="Calibri" w:hAnsi="Calibri"/>
          <w:sz w:val="22"/>
          <w:szCs w:val="22"/>
          <w:color w:val="auto"/>
        </w:rPr>
      </w:pPr>
    </w:p>
    <w:p>
      <w:pPr>
        <w:ind w:left="660" w:hanging="329"/>
        <w:spacing w:after="0"/>
        <w:tabs>
          <w:tab w:leader="none" w:pos="660" w:val="left"/>
        </w:tabs>
        <w:numPr>
          <w:ilvl w:val="0"/>
          <w:numId w:val="93"/>
        </w:numPr>
        <w:rPr>
          <w:rFonts w:ascii="Calibri" w:cs="Calibri" w:eastAsia="Calibri" w:hAnsi="Calibri"/>
          <w:sz w:val="22"/>
          <w:szCs w:val="22"/>
          <w:color w:val="auto"/>
        </w:rPr>
      </w:pPr>
      <w:r>
        <w:rPr>
          <w:rFonts w:ascii="Times New Roman" w:cs="Times New Roman" w:eastAsia="Times New Roman" w:hAnsi="Times New Roman"/>
          <w:sz w:val="22"/>
          <w:szCs w:val="22"/>
          <w:color w:val="auto"/>
        </w:rPr>
        <w:t>will not result in liability to the Company or any other person if delayed or withheld; and</w:t>
      </w:r>
    </w:p>
    <w:p>
      <w:pPr>
        <w:spacing w:after="0" w:line="176" w:lineRule="exact"/>
        <w:rPr>
          <w:rFonts w:ascii="Calibri" w:cs="Calibri" w:eastAsia="Calibri" w:hAnsi="Calibri"/>
          <w:sz w:val="22"/>
          <w:szCs w:val="22"/>
          <w:color w:val="auto"/>
        </w:rPr>
      </w:pPr>
    </w:p>
    <w:p>
      <w:pPr>
        <w:ind w:left="660" w:hanging="329"/>
        <w:spacing w:after="0" w:line="235" w:lineRule="auto"/>
        <w:tabs>
          <w:tab w:leader="none" w:pos="659" w:val="left"/>
        </w:tabs>
        <w:numPr>
          <w:ilvl w:val="0"/>
          <w:numId w:val="93"/>
        </w:numPr>
        <w:rPr>
          <w:rFonts w:ascii="Calibri" w:cs="Calibri" w:eastAsia="Calibri" w:hAnsi="Calibri"/>
          <w:sz w:val="22"/>
          <w:szCs w:val="22"/>
          <w:color w:val="auto"/>
        </w:rPr>
      </w:pPr>
      <w:r>
        <w:rPr>
          <w:rFonts w:ascii="Times New Roman" w:cs="Times New Roman" w:eastAsia="Times New Roman" w:hAnsi="Times New Roman"/>
          <w:sz w:val="22"/>
          <w:szCs w:val="22"/>
          <w:color w:val="auto"/>
        </w:rPr>
        <w:t>is not required for “sell-to-cover” transactions pursuant to a policy adopted by the Company or transactions under a previously approved Rule 10b5-1 plan.</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All personnel subject to Section 16 reporting are required to submit their pre-clearance requests in accordance with the advance notice and documentation requirements of the Company’s Section 16 compliance program. While the Company offers assistance to its directors and officers who are subject to Section 16 reporting, compliance with Section 16 is the individual’s personal responsibility.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Exempt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except for provisions set forth in the Prohibited Transactions section below, does not apply to:</w:t>
      </w:r>
    </w:p>
    <w:p>
      <w:pPr>
        <w:spacing w:after="0" w:line="232" w:lineRule="exact"/>
        <w:rPr>
          <w:sz w:val="20"/>
          <w:szCs w:val="20"/>
          <w:color w:val="auto"/>
        </w:rPr>
      </w:pPr>
    </w:p>
    <w:p>
      <w:pPr>
        <w:ind w:left="660" w:hanging="329"/>
        <w:spacing w:after="0"/>
        <w:tabs>
          <w:tab w:leader="none" w:pos="660" w:val="left"/>
        </w:tabs>
        <w:numPr>
          <w:ilvl w:val="0"/>
          <w:numId w:val="94"/>
        </w:numPr>
        <w:rPr>
          <w:rFonts w:ascii="Calibri" w:cs="Calibri" w:eastAsia="Calibri" w:hAnsi="Calibri"/>
          <w:sz w:val="22"/>
          <w:szCs w:val="22"/>
          <w:color w:val="auto"/>
        </w:rPr>
      </w:pPr>
      <w:r>
        <w:rPr>
          <w:rFonts w:ascii="Times New Roman" w:cs="Times New Roman" w:eastAsia="Times New Roman" w:hAnsi="Times New Roman"/>
          <w:sz w:val="22"/>
          <w:szCs w:val="22"/>
          <w:color w:val="auto"/>
        </w:rPr>
        <w:t>transactions directly with the Company;</w:t>
      </w:r>
    </w:p>
    <w:p>
      <w:pPr>
        <w:spacing w:after="0" w:line="203" w:lineRule="exact"/>
        <w:rPr>
          <w:rFonts w:ascii="Calibri" w:cs="Calibri" w:eastAsia="Calibri" w:hAnsi="Calibri"/>
          <w:sz w:val="22"/>
          <w:szCs w:val="22"/>
          <w:color w:val="auto"/>
        </w:rPr>
      </w:pPr>
    </w:p>
    <w:p>
      <w:pPr>
        <w:ind w:left="660" w:hanging="329"/>
        <w:spacing w:after="0" w:line="235" w:lineRule="auto"/>
        <w:tabs>
          <w:tab w:leader="none" w:pos="659" w:val="left"/>
        </w:tabs>
        <w:numPr>
          <w:ilvl w:val="0"/>
          <w:numId w:val="94"/>
        </w:numPr>
        <w:rPr>
          <w:rFonts w:ascii="Calibri" w:cs="Calibri" w:eastAsia="Calibri" w:hAnsi="Calibri"/>
          <w:sz w:val="22"/>
          <w:szCs w:val="22"/>
          <w:color w:val="auto"/>
        </w:rPr>
      </w:pPr>
      <w:r>
        <w:rPr>
          <w:rFonts w:ascii="Times New Roman" w:cs="Times New Roman" w:eastAsia="Times New Roman" w:hAnsi="Times New Roman"/>
          <w:sz w:val="22"/>
          <w:szCs w:val="22"/>
          <w:color w:val="auto"/>
        </w:rPr>
        <w:t>gift transactions for family or estate planning purposes, where securities are gifted to a person or entity subject to this policy, except that gift transactions involving Company securities are subject to pre-clearance;</w:t>
      </w:r>
    </w:p>
    <w:p>
      <w:pPr>
        <w:spacing w:after="0" w:line="150" w:lineRule="exact"/>
        <w:rPr>
          <w:rFonts w:ascii="Calibri" w:cs="Calibri" w:eastAsia="Calibri" w:hAnsi="Calibri"/>
          <w:sz w:val="22"/>
          <w:szCs w:val="22"/>
          <w:color w:val="auto"/>
        </w:rPr>
      </w:pPr>
    </w:p>
    <w:p>
      <w:pPr>
        <w:jc w:val="both"/>
        <w:ind w:left="660" w:hanging="329"/>
        <w:spacing w:after="0" w:line="225" w:lineRule="auto"/>
        <w:tabs>
          <w:tab w:leader="none" w:pos="659" w:val="left"/>
        </w:tabs>
        <w:numPr>
          <w:ilvl w:val="0"/>
          <w:numId w:val="94"/>
        </w:numPr>
        <w:rPr>
          <w:rFonts w:ascii="Calibri" w:cs="Calibri" w:eastAsia="Calibri" w:hAnsi="Calibri"/>
          <w:sz w:val="22"/>
          <w:szCs w:val="22"/>
          <w:color w:val="auto"/>
        </w:rPr>
      </w:pPr>
      <w:r>
        <w:rPr>
          <w:rFonts w:ascii="Times New Roman" w:cs="Times New Roman" w:eastAsia="Times New Roman" w:hAnsi="Times New Roman"/>
          <w:sz w:val="22"/>
          <w:szCs w:val="22"/>
          <w:color w:val="auto"/>
        </w:rPr>
        <w:t>transactions relating to equity incentive awards without any open-market sale of securities (e.g., cash exercises of stock options or the “net settlement” of restricted stock units, but not broker-assisted cashless exercises of stock options or open-market sales to</w:t>
      </w:r>
    </w:p>
    <w:p>
      <w:pPr>
        <w:sectPr>
          <w:pgSz w:w="11900" w:h="16838" w:orient="portrait"/>
          <w:cols w:equalWidth="0" w:num="1">
            <w:col w:w="11240"/>
          </w:cols>
          <w:pgMar w:left="320" w:top="1420" w:right="339" w:bottom="1440" w:gutter="0" w:footer="0" w:header="0"/>
        </w:sectPr>
      </w:pPr>
    </w:p>
    <w:bookmarkStart w:id="205" w:name="page206"/>
    <w:bookmarkEnd w:id="205"/>
    <w:p>
      <w:pPr>
        <w:ind w:left="660"/>
        <w:spacing w:after="0" w:line="236" w:lineRule="auto"/>
        <w:rPr>
          <w:sz w:val="20"/>
          <w:szCs w:val="20"/>
          <w:color w:val="auto"/>
        </w:rPr>
      </w:pPr>
      <w:r>
        <w:rPr>
          <w:rFonts w:ascii="Times New Roman" w:cs="Times New Roman" w:eastAsia="Times New Roman" w:hAnsi="Times New Roman"/>
          <w:sz w:val="22"/>
          <w:szCs w:val="22"/>
          <w:color w:val="auto"/>
        </w:rPr>
        <w:t>cover taxes upon the vesting of restricted stock units), other than the exercise of stock- or cash-settled stock appreciation rights;</w:t>
      </w:r>
    </w:p>
    <w:p>
      <w:pPr>
        <w:spacing w:after="0" w:line="150" w:lineRule="exact"/>
        <w:rPr>
          <w:sz w:val="20"/>
          <w:szCs w:val="20"/>
          <w:color w:val="auto"/>
        </w:rPr>
      </w:pPr>
    </w:p>
    <w:p>
      <w:pPr>
        <w:ind w:left="660" w:hanging="329"/>
        <w:spacing w:after="0" w:line="235" w:lineRule="auto"/>
        <w:tabs>
          <w:tab w:leader="none" w:pos="659" w:val="left"/>
        </w:tabs>
        <w:numPr>
          <w:ilvl w:val="0"/>
          <w:numId w:val="95"/>
        </w:numPr>
        <w:rPr>
          <w:rFonts w:ascii="Calibri" w:cs="Calibri" w:eastAsia="Calibri" w:hAnsi="Calibri"/>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stock options); or</w:t>
      </w:r>
    </w:p>
    <w:p>
      <w:pPr>
        <w:spacing w:after="0" w:line="150" w:lineRule="exact"/>
        <w:rPr>
          <w:rFonts w:ascii="Calibri" w:cs="Calibri" w:eastAsia="Calibri" w:hAnsi="Calibri"/>
          <w:sz w:val="22"/>
          <w:szCs w:val="22"/>
          <w:color w:val="auto"/>
        </w:rPr>
      </w:pPr>
    </w:p>
    <w:p>
      <w:pPr>
        <w:ind w:left="660" w:hanging="329"/>
        <w:spacing w:after="0"/>
        <w:tabs>
          <w:tab w:leader="none" w:pos="660" w:val="left"/>
        </w:tabs>
        <w:numPr>
          <w:ilvl w:val="0"/>
          <w:numId w:val="95"/>
        </w:numPr>
        <w:rPr>
          <w:rFonts w:ascii="Calibri" w:cs="Calibri" w:eastAsia="Calibri" w:hAnsi="Calibri"/>
          <w:sz w:val="22"/>
          <w:szCs w:val="22"/>
          <w:color w:val="auto"/>
        </w:rPr>
      </w:pPr>
      <w:r>
        <w:rPr>
          <w:rFonts w:ascii="Times New Roman" w:cs="Times New Roman" w:eastAsia="Times New Roman" w:hAnsi="Times New Roman"/>
          <w:sz w:val="22"/>
          <w:szCs w:val="22"/>
          <w:color w:val="auto"/>
        </w:rPr>
        <w:t>transactions under a pre-cleared Rule 10b5-1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Trading Plans</w:t>
      </w:r>
    </w:p>
    <w:p>
      <w:pPr>
        <w:spacing w:after="0" w:line="22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2"/>
          <w:szCs w:val="22"/>
          <w:color w:val="auto"/>
        </w:rPr>
        <w:t>The restrictions in this policy, except for provisions set forth in the Prohibited Transactions section below, do not apply to transactions under a trading plan that satisfies either:</w:t>
      </w:r>
    </w:p>
    <w:p>
      <w:pPr>
        <w:spacing w:after="0" w:line="145" w:lineRule="exact"/>
        <w:rPr>
          <w:sz w:val="20"/>
          <w:szCs w:val="20"/>
          <w:color w:val="auto"/>
        </w:rPr>
      </w:pPr>
    </w:p>
    <w:p>
      <w:pPr>
        <w:ind w:left="660" w:hanging="329"/>
        <w:spacing w:after="0"/>
        <w:tabs>
          <w:tab w:leader="none" w:pos="660" w:val="left"/>
        </w:tabs>
        <w:numPr>
          <w:ilvl w:val="0"/>
          <w:numId w:val="96"/>
        </w:numPr>
        <w:rPr>
          <w:rFonts w:ascii="Calibri" w:cs="Calibri" w:eastAsia="Calibri" w:hAnsi="Calibri"/>
          <w:sz w:val="22"/>
          <w:szCs w:val="22"/>
          <w:color w:val="auto"/>
        </w:rPr>
      </w:pPr>
      <w:r>
        <w:rPr>
          <w:rFonts w:ascii="Times New Roman" w:cs="Times New Roman" w:eastAsia="Times New Roman" w:hAnsi="Times New Roman"/>
          <w:sz w:val="22"/>
          <w:szCs w:val="22"/>
          <w:color w:val="auto"/>
        </w:rPr>
        <w:t>the conditions of Rule 10b5-1; or</w:t>
      </w:r>
    </w:p>
    <w:p>
      <w:pPr>
        <w:spacing w:after="0" w:line="203" w:lineRule="exact"/>
        <w:rPr>
          <w:rFonts w:ascii="Calibri" w:cs="Calibri" w:eastAsia="Calibri" w:hAnsi="Calibri"/>
          <w:sz w:val="22"/>
          <w:szCs w:val="22"/>
          <w:color w:val="auto"/>
        </w:rPr>
      </w:pPr>
    </w:p>
    <w:p>
      <w:pPr>
        <w:ind w:left="660" w:hanging="329"/>
        <w:spacing w:after="0"/>
        <w:tabs>
          <w:tab w:leader="none" w:pos="660" w:val="left"/>
        </w:tabs>
        <w:numPr>
          <w:ilvl w:val="0"/>
          <w:numId w:val="96"/>
        </w:numPr>
        <w:rPr>
          <w:rFonts w:ascii="Calibri" w:cs="Calibri" w:eastAsia="Calibri" w:hAnsi="Calibri"/>
          <w:sz w:val="22"/>
          <w:szCs w:val="22"/>
          <w:color w:val="auto"/>
        </w:rPr>
      </w:pPr>
      <w:r>
        <w:rPr>
          <w:rFonts w:ascii="Times New Roman" w:cs="Times New Roman" w:eastAsia="Times New Roman" w:hAnsi="Times New Roman"/>
          <w:sz w:val="22"/>
          <w:szCs w:val="22"/>
          <w:color w:val="auto"/>
        </w:rPr>
        <w:t>the elements of a non-Rule 10b5-1 trading arrangement as defined in Item 408(c) of Regulation S-K; and</w:t>
      </w:r>
    </w:p>
    <w:p>
      <w:pPr>
        <w:spacing w:after="0" w:line="176" w:lineRule="exact"/>
        <w:rPr>
          <w:rFonts w:ascii="Calibri" w:cs="Calibri" w:eastAsia="Calibri" w:hAnsi="Calibri"/>
          <w:sz w:val="22"/>
          <w:szCs w:val="22"/>
          <w:color w:val="auto"/>
        </w:rPr>
      </w:pPr>
    </w:p>
    <w:p>
      <w:pPr>
        <w:ind w:left="660" w:hanging="329"/>
        <w:spacing w:after="0"/>
        <w:tabs>
          <w:tab w:leader="none" w:pos="660" w:val="left"/>
        </w:tabs>
        <w:numPr>
          <w:ilvl w:val="0"/>
          <w:numId w:val="96"/>
        </w:numPr>
        <w:rPr>
          <w:rFonts w:ascii="Calibri" w:cs="Calibri" w:eastAsia="Calibri" w:hAnsi="Calibri"/>
          <w:sz w:val="22"/>
          <w:szCs w:val="22"/>
          <w:color w:val="auto"/>
        </w:rPr>
      </w:pPr>
      <w:r>
        <w:rPr>
          <w:rFonts w:ascii="Times New Roman" w:cs="Times New Roman" w:eastAsia="Times New Roman" w:hAnsi="Times New Roman"/>
          <w:sz w:val="22"/>
          <w:szCs w:val="22"/>
          <w:color w:val="auto"/>
        </w:rPr>
        <w:t>the Compliance Officer has pre-approved.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 trading plan may be modified or terminated outside of a blackout period when you do not possess material nonpublic information. Any modifications to and terminations of a trading plan must be pre-approved by the Compliance Officer and must otherwise comply with Rule 10b5-1.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Prohibited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not engage in:</w:t>
      </w:r>
    </w:p>
    <w:p>
      <w:pPr>
        <w:spacing w:after="0" w:line="219" w:lineRule="exact"/>
        <w:rPr>
          <w:sz w:val="20"/>
          <w:szCs w:val="20"/>
          <w:color w:val="auto"/>
        </w:rPr>
      </w:pPr>
    </w:p>
    <w:p>
      <w:pPr>
        <w:ind w:left="660" w:hanging="329"/>
        <w:spacing w:after="0"/>
        <w:tabs>
          <w:tab w:leader="none" w:pos="660" w:val="left"/>
        </w:tabs>
        <w:numPr>
          <w:ilvl w:val="0"/>
          <w:numId w:val="97"/>
        </w:numPr>
        <w:rPr>
          <w:rFonts w:ascii="Calibri" w:cs="Calibri" w:eastAsia="Calibri" w:hAnsi="Calibri"/>
          <w:sz w:val="22"/>
          <w:szCs w:val="22"/>
          <w:color w:val="auto"/>
        </w:rPr>
      </w:pPr>
      <w:r>
        <w:rPr>
          <w:rFonts w:ascii="Times New Roman" w:cs="Times New Roman" w:eastAsia="Times New Roman" w:hAnsi="Times New Roman"/>
          <w:sz w:val="22"/>
          <w:szCs w:val="22"/>
          <w:color w:val="auto"/>
        </w:rPr>
        <w:t>short sales (i.e., sales of shares that you do not own at the time of sale);</w:t>
      </w:r>
    </w:p>
    <w:p>
      <w:pPr>
        <w:spacing w:after="0" w:line="203" w:lineRule="exact"/>
        <w:rPr>
          <w:rFonts w:ascii="Calibri" w:cs="Calibri" w:eastAsia="Calibri" w:hAnsi="Calibri"/>
          <w:sz w:val="22"/>
          <w:szCs w:val="22"/>
          <w:color w:val="auto"/>
        </w:rPr>
      </w:pPr>
    </w:p>
    <w:p>
      <w:pPr>
        <w:ind w:left="660" w:right="20" w:hanging="329"/>
        <w:spacing w:after="0" w:line="235" w:lineRule="auto"/>
        <w:tabs>
          <w:tab w:leader="none" w:pos="659" w:val="left"/>
        </w:tabs>
        <w:numPr>
          <w:ilvl w:val="0"/>
          <w:numId w:val="97"/>
        </w:numPr>
        <w:rPr>
          <w:rFonts w:ascii="Calibri" w:cs="Calibri" w:eastAsia="Calibri" w:hAnsi="Calibri"/>
          <w:sz w:val="22"/>
          <w:szCs w:val="22"/>
          <w:color w:val="auto"/>
        </w:rPr>
      </w:pPr>
      <w:r>
        <w:rPr>
          <w:rFonts w:ascii="Times New Roman" w:cs="Times New Roman" w:eastAsia="Times New Roman" w:hAnsi="Times New Roman"/>
          <w:sz w:val="22"/>
          <w:szCs w:val="22"/>
          <w:color w:val="auto"/>
        </w:rPr>
        <w:t>options trading, including puts, calls, or other derivative securities on an exchange, an over-the-counter market, or any other organized market;</w:t>
      </w:r>
    </w:p>
    <w:p>
      <w:pPr>
        <w:spacing w:after="0" w:line="150" w:lineRule="exact"/>
        <w:rPr>
          <w:rFonts w:ascii="Calibri" w:cs="Calibri" w:eastAsia="Calibri" w:hAnsi="Calibri"/>
          <w:sz w:val="22"/>
          <w:szCs w:val="22"/>
          <w:color w:val="auto"/>
        </w:rPr>
      </w:pPr>
    </w:p>
    <w:p>
      <w:pPr>
        <w:ind w:left="660" w:hanging="329"/>
        <w:spacing w:after="0" w:line="235" w:lineRule="auto"/>
        <w:tabs>
          <w:tab w:leader="none" w:pos="659" w:val="left"/>
        </w:tabs>
        <w:numPr>
          <w:ilvl w:val="0"/>
          <w:numId w:val="97"/>
        </w:numPr>
        <w:rPr>
          <w:rFonts w:ascii="Calibri" w:cs="Calibri" w:eastAsia="Calibri" w:hAnsi="Calibri"/>
          <w:sz w:val="22"/>
          <w:szCs w:val="22"/>
          <w:color w:val="auto"/>
        </w:rPr>
      </w:pPr>
      <w:r>
        <w:rPr>
          <w:rFonts w:ascii="Times New Roman" w:cs="Times New Roman" w:eastAsia="Times New Roman" w:hAnsi="Times New Roman"/>
          <w:sz w:val="22"/>
          <w:szCs w:val="22"/>
          <w:color w:val="auto"/>
        </w:rPr>
        <w:t>hedging transactions, such as prepaid variable forward contracts, equity swaps, collars, exchange funds, or other transactions that hedge or offset any decrease in market value of the Company’s equity securities; and</w:t>
      </w:r>
    </w:p>
    <w:p>
      <w:pPr>
        <w:spacing w:after="0" w:line="150" w:lineRule="exact"/>
        <w:rPr>
          <w:rFonts w:ascii="Calibri" w:cs="Calibri" w:eastAsia="Calibri" w:hAnsi="Calibri"/>
          <w:sz w:val="22"/>
          <w:szCs w:val="22"/>
          <w:color w:val="auto"/>
        </w:rPr>
      </w:pPr>
    </w:p>
    <w:p>
      <w:pPr>
        <w:ind w:left="660" w:right="20" w:hanging="329"/>
        <w:spacing w:after="0" w:line="235" w:lineRule="auto"/>
        <w:tabs>
          <w:tab w:leader="none" w:pos="659" w:val="left"/>
        </w:tabs>
        <w:numPr>
          <w:ilvl w:val="0"/>
          <w:numId w:val="97"/>
        </w:numPr>
        <w:rPr>
          <w:rFonts w:ascii="Calibri" w:cs="Calibri" w:eastAsia="Calibri" w:hAnsi="Calibri"/>
          <w:sz w:val="22"/>
          <w:szCs w:val="22"/>
          <w:color w:val="auto"/>
        </w:rPr>
      </w:pPr>
      <w:r>
        <w:rPr>
          <w:rFonts w:ascii="Times New Roman" w:cs="Times New Roman" w:eastAsia="Times New Roman" w:hAnsi="Times New Roman"/>
          <w:sz w:val="22"/>
          <w:szCs w:val="22"/>
          <w:color w:val="auto"/>
        </w:rPr>
        <w:t>pledging Company securities as collateral for a loan, purchasing Company securities on margin (i.e., borrowing money to purchase the securities), or placing Company securities in a margin account.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you possess material nonpublic information when your employment by or service to the Company terminates, the restrictions set forth in “Policy Statement” above continue to apply until that information has become public or is no longer material. If a termination occurs during a blackout period, the policy continues to apply to transactions in Company securities until the blackout period ends.</w:t>
      </w:r>
    </w:p>
    <w:p>
      <w:pPr>
        <w:sectPr>
          <w:pgSz w:w="11900" w:h="16838" w:orient="portrait"/>
          <w:cols w:equalWidth="0" w:num="1">
            <w:col w:w="11240"/>
          </w:cols>
          <w:pgMar w:left="320" w:top="1393"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Compliance Officer has authority to interpret, amend and implement this policy, and may at any time in his or her discretion, prohibit or restrict any or all persons subject to this policy from trading in any Company securities. This authority includes interpreting or waiving the terms of this policy, to the extent consistent with its general purpose and applicable securities laws. The Chief Financial Officer will administer this policy as it applies to any trading activity by the Compliance Officer. Neither the Compliance Officer nor the Chief Financial Officer is obligated to approve any requested trades, and each may reject any such requests in his or her discretion.</w:t>
      </w:r>
    </w:p>
    <w:p>
      <w:pPr>
        <w:spacing w:after="0" w:line="192" w:lineRule="exact"/>
        <w:rPr>
          <w:sz w:val="20"/>
          <w:szCs w:val="20"/>
          <w:color w:val="auto"/>
        </w:rPr>
      </w:pPr>
    </w:p>
    <w:p>
      <w:pPr>
        <w:ind w:right="520"/>
        <w:spacing w:after="0" w:line="447" w:lineRule="auto"/>
        <w:rPr>
          <w:sz w:val="20"/>
          <w:szCs w:val="20"/>
          <w:color w:val="auto"/>
        </w:rPr>
      </w:pPr>
      <w:r>
        <w:rPr>
          <w:rFonts w:ascii="Times New Roman" w:cs="Times New Roman" w:eastAsia="Times New Roman" w:hAnsi="Times New Roman"/>
          <w:sz w:val="22"/>
          <w:szCs w:val="22"/>
          <w:color w:val="auto"/>
        </w:rPr>
        <w:t xml:space="preserve">Any person who has any questions about specific transactions may obtain additional guidance from the Compliance Officer. </w:t>
      </w:r>
      <w:r>
        <w:rPr>
          <w:rFonts w:ascii="Times New Roman" w:cs="Times New Roman" w:eastAsia="Times New Roman" w:hAnsi="Times New Roman"/>
          <w:sz w:val="22"/>
          <w:szCs w:val="22"/>
          <w:b w:val="1"/>
          <w:bCs w:val="1"/>
          <w:u w:val="single" w:color="auto"/>
          <w:color w:val="auto"/>
        </w:rPr>
        <w:t>Certification of Compliance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You will be required to acknowledge, at least annually, your understanding of, and agreement to, comply with the terms and provisions of this policy and confirm you have complied with this policy at all times since your last confirmation, except as otherwise disclosed in writing on the confirmation form.</w:t>
      </w:r>
    </w:p>
    <w:p>
      <w:pPr>
        <w:sectPr>
          <w:pgSz w:w="11900" w:h="16838" w:orient="portrait"/>
          <w:cols w:equalWidth="0" w:num="1">
            <w:col w:w="11240"/>
          </w:cols>
          <w:pgMar w:left="320" w:top="1416"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American Airlines Group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December 31, 2024</w:t>
      </w:r>
    </w:p>
    <w:p>
      <w:pPr>
        <w:spacing w:after="0" w:line="247" w:lineRule="exact"/>
        <w:rPr>
          <w:sz w:val="20"/>
          <w:szCs w:val="20"/>
          <w:color w:val="auto"/>
        </w:rPr>
      </w:pPr>
    </w:p>
    <w:p>
      <w:pPr>
        <w:ind w:right="20" w:firstLine="202"/>
        <w:spacing w:after="0" w:line="286"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Name of Subsidiary</w:t>
            </w:r>
          </w:p>
        </w:tc>
        <w:tc>
          <w:tcPr>
            <w:tcW w:w="2560" w:type="dxa"/>
            <w:vAlign w:val="bottom"/>
          </w:tcPr>
          <w:p>
            <w:pPr>
              <w:ind w:left="80"/>
              <w:spacing w:after="0"/>
              <w:rPr>
                <w:sz w:val="20"/>
                <w:szCs w:val="20"/>
                <w:color w:val="auto"/>
              </w:rPr>
            </w:pPr>
            <w:r>
              <w:rPr>
                <w:rFonts w:ascii="Arial" w:cs="Arial" w:eastAsia="Arial" w:hAnsi="Arial"/>
                <w:sz w:val="18"/>
                <w:szCs w:val="18"/>
                <w:b w:val="1"/>
                <w:bCs w:val="1"/>
                <w:color w:val="auto"/>
              </w:rPr>
              <w:t>State or Sovereign Power of</w:t>
            </w:r>
          </w:p>
        </w:tc>
        <w:tc>
          <w:tcPr>
            <w:tcW w:w="0" w:type="dxa"/>
            <w:vAlign w:val="bottom"/>
          </w:tcPr>
          <w:p>
            <w:pPr>
              <w:spacing w:after="0"/>
              <w:rPr>
                <w:sz w:val="1"/>
                <w:szCs w:val="1"/>
                <w:color w:val="auto"/>
              </w:rPr>
            </w:pPr>
          </w:p>
        </w:tc>
      </w:tr>
      <w:tr>
        <w:trPr>
          <w:trHeight w:val="243"/>
        </w:trPr>
        <w:tc>
          <w:tcPr>
            <w:tcW w:w="8640" w:type="dxa"/>
            <w:vAlign w:val="bottom"/>
            <w:gridSpan w:val="2"/>
            <w:vMerge w:val="continue"/>
          </w:tcPr>
          <w:p>
            <w:pPr>
              <w:spacing w:after="0"/>
              <w:rPr>
                <w:sz w:val="21"/>
                <w:szCs w:val="21"/>
                <w:color w:val="auto"/>
              </w:rPr>
            </w:pPr>
          </w:p>
        </w:tc>
        <w:tc>
          <w:tcPr>
            <w:tcW w:w="2560" w:type="dxa"/>
            <w:vAlign w:val="bottom"/>
          </w:tcPr>
          <w:p>
            <w:pPr>
              <w:ind w:left="70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17"/>
        </w:trPr>
        <w:tc>
          <w:tcPr>
            <w:tcW w:w="8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Subsidiaries included in the Registrant’s consolidated financial statements</w:t>
            </w:r>
          </w:p>
        </w:tc>
        <w:tc>
          <w:tcPr>
            <w:tcW w:w="16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AAG Private Placement-1 Parent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AAG Private Placement-1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American Airlines,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Holdings 1,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Holdings 2,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Loyalty IP,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320"/>
              <w:spacing w:after="0"/>
              <w:rPr>
                <w:sz w:val="20"/>
                <w:szCs w:val="20"/>
                <w:color w:val="auto"/>
              </w:rPr>
            </w:pPr>
            <w:r>
              <w:rPr>
                <w:rFonts w:ascii="Arial" w:cs="Arial" w:eastAsia="Arial" w:hAnsi="Arial"/>
                <w:sz w:val="18"/>
                <w:szCs w:val="18"/>
                <w:color w:val="auto"/>
              </w:rPr>
              <w:t>Madrid IP Lux GP Sá.r.l</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640" w:type="dxa"/>
            <w:vAlign w:val="bottom"/>
            <w:gridSpan w:val="2"/>
          </w:tcPr>
          <w:p>
            <w:pPr>
              <w:ind w:left="320"/>
              <w:spacing w:after="0"/>
              <w:rPr>
                <w:sz w:val="20"/>
                <w:szCs w:val="20"/>
                <w:color w:val="auto"/>
              </w:rPr>
            </w:pPr>
            <w:r>
              <w:rPr>
                <w:rFonts w:ascii="Arial" w:cs="Arial" w:eastAsia="Arial" w:hAnsi="Arial"/>
                <w:sz w:val="18"/>
                <w:szCs w:val="18"/>
                <w:color w:val="auto"/>
              </w:rPr>
              <w:t>Madrid IP Lux HoldCo SCS</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640" w:type="dxa"/>
            <w:vAlign w:val="bottom"/>
            <w:gridSpan w:val="2"/>
          </w:tcPr>
          <w:p>
            <w:pPr>
              <w:ind w:left="320"/>
              <w:spacing w:after="0"/>
              <w:rPr>
                <w:sz w:val="20"/>
                <w:szCs w:val="20"/>
                <w:color w:val="auto"/>
              </w:rPr>
            </w:pPr>
            <w:r>
              <w:rPr>
                <w:rFonts w:ascii="Arial" w:cs="Arial" w:eastAsia="Arial" w:hAnsi="Arial"/>
                <w:sz w:val="18"/>
                <w:szCs w:val="18"/>
                <w:color w:val="auto"/>
              </w:rPr>
              <w:t>Madrid IP Lux HoldCo 2 SCS</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Cargo Funding,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de Mexico, S.A.</w:t>
            </w:r>
          </w:p>
        </w:tc>
        <w:tc>
          <w:tcPr>
            <w:tcW w:w="2560" w:type="dxa"/>
            <w:vAlign w:val="bottom"/>
          </w:tcPr>
          <w:p>
            <w:pPr>
              <w:ind w:left="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AAI Technology Services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Services India LLP</w:t>
            </w:r>
          </w:p>
        </w:tc>
        <w:tc>
          <w:tcPr>
            <w:tcW w:w="2560" w:type="dxa"/>
            <w:vAlign w:val="bottom"/>
          </w:tcPr>
          <w:p>
            <w:pPr>
              <w:ind w:left="6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Marketing Services LLC</w:t>
            </w:r>
          </w:p>
        </w:tc>
        <w:tc>
          <w:tcPr>
            <w:tcW w:w="2560" w:type="dxa"/>
            <w:vAlign w:val="bottom"/>
          </w:tcPr>
          <w:p>
            <w:pPr>
              <w:ind w:left="6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Aviation Supply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Travel LLC</w:t>
            </w:r>
          </w:p>
        </w:tc>
        <w:tc>
          <w:tcPr>
            <w:tcW w:w="2560" w:type="dxa"/>
            <w:vAlign w:val="bottom"/>
          </w:tcPr>
          <w:p>
            <w:pPr>
              <w:ind w:left="6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2013-2B,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Americas Ground Services,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Dominicana de Servicios Aeroportuarios (DSA) S.A. S.R.L.</w:t>
            </w:r>
          </w:p>
        </w:tc>
        <w:tc>
          <w:tcPr>
            <w:tcW w:w="2560" w:type="dxa"/>
            <w:vAlign w:val="bottom"/>
          </w:tcPr>
          <w:p>
            <w:pPr>
              <w:ind w:left="60"/>
              <w:spacing w:after="0"/>
              <w:rPr>
                <w:sz w:val="20"/>
                <w:szCs w:val="20"/>
                <w:color w:val="auto"/>
              </w:rPr>
            </w:pPr>
            <w:r>
              <w:rPr>
                <w:rFonts w:ascii="Arial" w:cs="Arial" w:eastAsia="Arial" w:hAnsi="Arial"/>
                <w:sz w:val="18"/>
                <w:szCs w:val="18"/>
                <w:color w:val="auto"/>
              </w:rPr>
              <w:t>Dominican Republic</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International Ground Services, S.A. de C.V.</w:t>
            </w:r>
          </w:p>
        </w:tc>
        <w:tc>
          <w:tcPr>
            <w:tcW w:w="2560" w:type="dxa"/>
            <w:vAlign w:val="bottom"/>
          </w:tcPr>
          <w:p>
            <w:pPr>
              <w:ind w:left="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Avion Assurance Ltd.</w:t>
            </w:r>
          </w:p>
        </w:tc>
        <w:tc>
          <w:tcPr>
            <w:tcW w:w="2560" w:type="dxa"/>
            <w:vAlign w:val="bottom"/>
          </w:tcPr>
          <w:p>
            <w:pPr>
              <w:ind w:left="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Envoy Aviation Group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Eagle Aviation Services,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Envoy Air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Executive Airlines,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FLAAG 2017-1 OPP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2017-1 OP-A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2017-1 OP-B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FLAAG 2019-1 OPP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OP-A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OP-C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J-CRJ900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Piedmont Airlines,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PMA Investment Subsidiary,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PSA Airlines,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9"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23.1</w:t>
      </w:r>
    </w:p>
    <w:p>
      <w:pPr>
        <w:spacing w:after="0" w:line="31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consent to the incorporation by reference in the registration statements (No. 333-271802 and No. 333-192660) on Form S-8 and (No.333-269990) on Form S-3 of our reports dated February 19, 2025, with respect to the consolidated financial statements of American Airlines Group Inc. and the effectiveness of internal control over financial reporting.</w:t>
      </w:r>
    </w:p>
    <w:p>
      <w:pPr>
        <w:spacing w:after="0" w:line="182"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ectPr>
          <w:pgSz w:w="11900" w:h="16838" w:orient="portrait"/>
          <w:cols w:equalWidth="0" w:num="1">
            <w:col w:w="11120"/>
          </w:cols>
          <w:pgMar w:left="440" w:top="889"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23.1</w:t>
      </w:r>
    </w:p>
    <w:p>
      <w:pPr>
        <w:spacing w:after="0" w:line="31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consent to the incorporation by reference in the registration statement (No. 333-269990-01) on Form S-3 of our reports dated February 19, 2025, with respect to the consolidated financial statements of American Airlines, Inc. and the effectiveness of internal control over financial reporting.</w:t>
      </w:r>
    </w:p>
    <w:p>
      <w:pPr>
        <w:spacing w:after="0" w:line="344"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ectPr>
          <w:pgSz w:w="11900" w:h="16838" w:orient="portrait"/>
          <w:cols w:equalWidth="0" w:num="1">
            <w:col w:w="11120"/>
          </w:cols>
          <w:pgMar w:left="440" w:top="889"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1" w:lineRule="exact"/>
        <w:rPr>
          <w:sz w:val="20"/>
          <w:szCs w:val="20"/>
          <w:color w:val="auto"/>
        </w:rPr>
      </w:pPr>
    </w:p>
    <w:p>
      <w:pPr>
        <w:ind w:left="640" w:hanging="309"/>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6"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4"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hanging="321"/>
        <w:spacing w:after="0" w:line="286"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2025</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17780</wp:posOffset>
            </wp:positionV>
            <wp:extent cx="23806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609">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1" w:lineRule="exact"/>
        <w:rPr>
          <w:sz w:val="20"/>
          <w:szCs w:val="20"/>
          <w:color w:val="auto"/>
        </w:rPr>
      </w:pPr>
    </w:p>
    <w:p>
      <w:pPr>
        <w:ind w:left="640" w:hanging="309"/>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6"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4"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hanging="321"/>
        <w:spacing w:after="0" w:line="286"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2025</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17780</wp:posOffset>
            </wp:positionV>
            <wp:extent cx="24574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610">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89"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6"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89" w:right="339" w:bottom="1440" w:gutter="0" w:footer="0" w:header="0"/>
          <w:type w:val="continuous"/>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1" w:lineRule="exact"/>
        <w:rPr>
          <w:sz w:val="20"/>
          <w:szCs w:val="20"/>
          <w:color w:val="auto"/>
        </w:rPr>
      </w:pPr>
    </w:p>
    <w:p>
      <w:pPr>
        <w:ind w:left="640" w:hanging="309"/>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6"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hanging="321"/>
        <w:spacing w:after="0" w:line="286"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2025</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17780</wp:posOffset>
            </wp:positionV>
            <wp:extent cx="2371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6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1" w:lineRule="exact"/>
        <w:rPr>
          <w:sz w:val="20"/>
          <w:szCs w:val="20"/>
          <w:color w:val="auto"/>
        </w:rPr>
      </w:pPr>
    </w:p>
    <w:p>
      <w:pPr>
        <w:ind w:left="640" w:hanging="309"/>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6"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hanging="321"/>
        <w:spacing w:after="0" w:line="286"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29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17780</wp:posOffset>
            </wp:positionV>
            <wp:extent cx="24574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612">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89"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6"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89" w:right="339" w:bottom="144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2024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2" w:lineRule="exact"/>
        <w:rPr>
          <w:sz w:val="20"/>
          <w:szCs w:val="20"/>
          <w:color w:val="auto"/>
        </w:rPr>
      </w:pPr>
    </w:p>
    <w:p>
      <w:pPr>
        <w:ind w:left="640" w:hanging="309"/>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9"/>
        <w:spacing w:after="0" w:line="286" w:lineRule="auto"/>
        <w:tabs>
          <w:tab w:leader="none" w:pos="6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613">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614">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3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89"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2024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2" w:lineRule="exact"/>
        <w:rPr>
          <w:sz w:val="20"/>
          <w:szCs w:val="20"/>
          <w:color w:val="auto"/>
        </w:rPr>
      </w:pPr>
    </w:p>
    <w:p>
      <w:pPr>
        <w:ind w:left="640" w:hanging="309"/>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9"/>
        <w:spacing w:after="0" w:line="286" w:lineRule="auto"/>
        <w:tabs>
          <w:tab w:leader="none" w:pos="6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615">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616">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19, 2025</w:t>
      </w:r>
    </w:p>
    <w:p>
      <w:pPr>
        <w:spacing w:after="0" w:line="3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
      <w:numFmt w:val="bullet"/>
      <w:start w:val="1"/>
    </w:lvl>
    <w:lvl w:ilvl="1">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endash "/>
      <w:numFmt w:val="bullet"/>
      <w:start w:val="1"/>
    </w:lvl>
  </w:abstractNum>
  <w:abstractNum w:abstractNumId="12">
    <w:nsid w:val="235BA861"/>
    <w:multiLevelType w:val="hybridMultilevel"/>
    <w:lvl w:ilvl="0">
      <w:lvlJc w:val="left"/>
      <w:lvlText w:val="\endash "/>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lowerLetter"/>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6"/>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lowerLetter"/>
      <w:start w:val="6"/>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decimal"/>
      <w:start w:val="1"/>
    </w:lvl>
    <w:lvl w:ilvl="1">
      <w:lvlJc w:val="left"/>
      <w:lvlText w:val="(%2)"/>
      <w:numFmt w:val="lowerLetter"/>
      <w:start w:val="1"/>
    </w:lvl>
  </w:abstractNum>
  <w:abstractNum w:abstractNumId="37">
    <w:nsid w:val="98A3148"/>
    <w:multiLevelType w:val="hybridMultilevel"/>
    <w:lvl w:ilvl="0">
      <w:lvlJc w:val="left"/>
      <w:lvlText w:val="(%1)"/>
      <w:numFmt w:val="lowerLetter"/>
      <w:start w:val="13"/>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1)"/>
      <w:numFmt w:val="decimal"/>
      <w:start w:val="1"/>
    </w:lvl>
  </w:abstractNum>
  <w:abstractNum w:abstractNumId="44">
    <w:nsid w:val="5DC79EA8"/>
    <w:multiLevelType w:val="hybridMultilevel"/>
    <w:lvl w:ilvl="0">
      <w:lvlJc w:val="left"/>
      <w:lvlText w:val="%1"/>
      <w:numFmt w:val="decimal"/>
      <w:start w:val="880"/>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lowerLetter"/>
      <w:start w:val="2"/>
    </w:lvl>
  </w:abstractNum>
  <w:abstractNum w:abstractNumId="47">
    <w:nsid w:val="51D9C564"/>
    <w:multiLevelType w:val="hybridMultilevel"/>
    <w:lvl w:ilvl="0">
      <w:lvlJc w:val="left"/>
      <w:lvlText w:val="(%1)"/>
      <w:numFmt w:val="lowerLetter"/>
      <w:start w:val="8"/>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1)"/>
      <w:numFmt w:val="decimal"/>
      <w:start w:val="1"/>
    </w:lvl>
  </w:abstractNum>
  <w:abstractNum w:abstractNumId="53">
    <w:nsid w:val="8F2B15E"/>
    <w:multiLevelType w:val="hybridMultilevel"/>
    <w:lvl w:ilvl="0">
      <w:lvlJc w:val="left"/>
      <w:lvlText w:val="(%1)"/>
      <w:numFmt w:val="decimal"/>
      <w:start w:val="3"/>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1."/>
      <w:numFmt w:val="decimal"/>
      <w:start w:val="11"/>
    </w:lvl>
    <w:lvl w:ilvl="1">
      <w:lvlJc w:val="left"/>
      <w:lvlText w:val="(%2)"/>
      <w:numFmt w:val="lowerLetter"/>
      <w:start w:val="1"/>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1"/>
    </w:lvl>
  </w:abstractNum>
  <w:abstractNum w:abstractNumId="58">
    <w:nsid w:val="60B6DF70"/>
    <w:multiLevelType w:val="hybridMultilevel"/>
    <w:lvl w:ilvl="0">
      <w:lvlJc w:val="left"/>
      <w:lvlText w:val="(%1)"/>
      <w:numFmt w:val="lowerLetter"/>
      <w:start w:val="4"/>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1)"/>
      <w:numFmt w:val="decimal"/>
      <w:start w:val="1"/>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lowerLetter"/>
      <w:start w:val="13"/>
    </w:lvl>
  </w:abstractNum>
  <w:abstractNum w:abstractNumId="63">
    <w:nsid w:val="71EA1109"/>
    <w:multiLevelType w:val="hybridMultilevel"/>
    <w:lvl w:ilvl="0">
      <w:lvlJc w:val="left"/>
      <w:lvlText w:val="(%1)"/>
      <w:numFmt w:val="decimal"/>
      <w:start w:val="1"/>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decimal"/>
      <w:start w:val="4"/>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2"/>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1)"/>
      <w:numFmt w:val="decimal"/>
      <w:start w:val="1"/>
    </w:lvl>
  </w:abstractNum>
  <w:abstractNum w:abstractNumId="74">
    <w:nsid w:val="3222E7CD"/>
    <w:multiLevelType w:val="hybridMultilevel"/>
    <w:lvl w:ilvl="0">
      <w:lvlJc w:val="left"/>
      <w:lvlText w:val="(%1)"/>
      <w:numFmt w:val="decimal"/>
      <w:start w:val="3"/>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10"/>
    </w:lvl>
    <w:lvl w:ilvl="1">
      <w:lvlJc w:val="left"/>
      <w:lvlText w:val="(%2)"/>
      <w:numFmt w:val="lowerLetter"/>
      <w:start w:val="1"/>
    </w:lvl>
  </w:abstractNum>
  <w:abstractNum w:abstractNumId="77">
    <w:nsid w:val="2DF6D648"/>
    <w:multiLevelType w:val="hybridMultilevel"/>
    <w:lvl w:ilvl="0">
      <w:lvlJc w:val="left"/>
      <w:lvlText w:val="(%1)"/>
      <w:numFmt w:val="decimal"/>
      <w:start w:val="1"/>
    </w:lvl>
  </w:abstractNum>
  <w:abstractNum w:abstractNumId="78">
    <w:nsid w:val="46B7D447"/>
    <w:multiLevelType w:val="hybridMultilevel"/>
    <w:lvl w:ilvl="0">
      <w:lvlJc w:val="left"/>
      <w:lvlText w:val="(%1)"/>
      <w:numFmt w:val="decimal"/>
      <w:start w:val="1"/>
    </w:lvl>
  </w:abstractNum>
  <w:abstractNum w:abstractNumId="79">
    <w:nsid w:val="4A2AC315"/>
    <w:multiLevelType w:val="hybridMultilevel"/>
    <w:lvl w:ilvl="0">
      <w:lvlJc w:val="left"/>
      <w:lvlText w:val="(%1)"/>
      <w:numFmt w:val="lowerLetter"/>
      <w:start w:val="4"/>
    </w:lvl>
  </w:abstractNum>
  <w:abstractNum w:abstractNumId="80">
    <w:nsid w:val="39EE015C"/>
    <w:multiLevelType w:val="hybridMultilevel"/>
    <w:lvl w:ilvl="0">
      <w:lvlJc w:val="left"/>
      <w:lvlText w:val="(%1)"/>
      <w:numFmt w:val="lowerRoman"/>
      <w:start w:val="3"/>
    </w:lvl>
  </w:abstractNum>
  <w:abstractNum w:abstractNumId="81">
    <w:nsid w:val="57FC4FBB"/>
    <w:multiLevelType w:val="hybridMultilevel"/>
    <w:lvl w:ilvl="0">
      <w:lvlJc w:val="left"/>
      <w:lvlText w:val="(%1)"/>
      <w:numFmt w:val="decimal"/>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lvl w:ilvl="1">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decimal"/>
      <w:start w:val="1"/>
    </w:lvl>
    <w:lvl w:ilvl="1">
      <w:lvlJc w:val="left"/>
      <w:lvlText w:val="(%2)"/>
      <w:numFmt w:val="lowerLetter"/>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91" Type="http://schemas.openxmlformats.org/officeDocument/2006/relationships/image" Target="media/image269.png"/><Relationship Id="rId304" Type="http://schemas.openxmlformats.org/officeDocument/2006/relationships/image" Target="media/image270.png"/><Relationship Id="rId314" Type="http://schemas.openxmlformats.org/officeDocument/2006/relationships/image" Target="media/image271.png"/><Relationship Id="rId328" Type="http://schemas.openxmlformats.org/officeDocument/2006/relationships/image" Target="media/image272.png"/><Relationship Id="rId341" Type="http://schemas.openxmlformats.org/officeDocument/2006/relationships/image" Target="media/image273.png"/><Relationship Id="rId351" Type="http://schemas.openxmlformats.org/officeDocument/2006/relationships/image" Target="media/image274.png"/><Relationship Id="rId359" Type="http://schemas.openxmlformats.org/officeDocument/2006/relationships/image" Target="media/image275.png"/><Relationship Id="rId370" Type="http://schemas.openxmlformats.org/officeDocument/2006/relationships/image" Target="media/image276.png"/><Relationship Id="rId382" Type="http://schemas.openxmlformats.org/officeDocument/2006/relationships/image" Target="media/image277.png"/><Relationship Id="rId391" Type="http://schemas.openxmlformats.org/officeDocument/2006/relationships/image" Target="media/image278.png"/><Relationship Id="rId404" Type="http://schemas.openxmlformats.org/officeDocument/2006/relationships/image" Target="media/image279.png"/><Relationship Id="rId415" Type="http://schemas.openxmlformats.org/officeDocument/2006/relationships/image" Target="media/image280.png"/><Relationship Id="rId422" Type="http://schemas.openxmlformats.org/officeDocument/2006/relationships/image" Target="media/image281.png"/><Relationship Id="rId434" Type="http://schemas.openxmlformats.org/officeDocument/2006/relationships/image" Target="media/image282.png"/><Relationship Id="rId446" Type="http://schemas.openxmlformats.org/officeDocument/2006/relationships/image" Target="media/image283.png"/><Relationship Id="rId459" Type="http://schemas.openxmlformats.org/officeDocument/2006/relationships/image" Target="media/image284.png"/><Relationship Id="rId470" Type="http://schemas.openxmlformats.org/officeDocument/2006/relationships/image" Target="media/image285.png"/><Relationship Id="rId482" Type="http://schemas.openxmlformats.org/officeDocument/2006/relationships/image" Target="media/image286.png"/><Relationship Id="rId496" Type="http://schemas.openxmlformats.org/officeDocument/2006/relationships/image" Target="media/image287.png"/><Relationship Id="rId512" Type="http://schemas.openxmlformats.org/officeDocument/2006/relationships/image" Target="media/image288.png"/><Relationship Id="rId527" Type="http://schemas.openxmlformats.org/officeDocument/2006/relationships/image" Target="media/image289.png"/><Relationship Id="rId542" Type="http://schemas.openxmlformats.org/officeDocument/2006/relationships/image" Target="media/image290.png"/><Relationship Id="rId557" Type="http://schemas.openxmlformats.org/officeDocument/2006/relationships/image" Target="media/image291.png"/><Relationship Id="rId574" Type="http://schemas.openxmlformats.org/officeDocument/2006/relationships/image" Target="media/image292.png"/><Relationship Id="rId581" Type="http://schemas.openxmlformats.org/officeDocument/2006/relationships/image" Target="media/image293.png"/><Relationship Id="rId594" Type="http://schemas.openxmlformats.org/officeDocument/2006/relationships/image" Target="media/image294.png"/><Relationship Id="rId601" Type="http://schemas.openxmlformats.org/officeDocument/2006/relationships/image" Target="media/image295.png"/><Relationship Id="rId602" Type="http://schemas.openxmlformats.org/officeDocument/2006/relationships/image" Target="media/image296.png"/><Relationship Id="rId603" Type="http://schemas.openxmlformats.org/officeDocument/2006/relationships/image" Target="media/image297.png"/><Relationship Id="rId604" Type="http://schemas.openxmlformats.org/officeDocument/2006/relationships/image" Target="media/image298.png"/><Relationship Id="rId605" Type="http://schemas.openxmlformats.org/officeDocument/2006/relationships/image" Target="media/image299.png"/><Relationship Id="rId606" Type="http://schemas.openxmlformats.org/officeDocument/2006/relationships/image" Target="media/image300.png"/><Relationship Id="rId607" Type="http://schemas.openxmlformats.org/officeDocument/2006/relationships/image" Target="media/image301.png"/><Relationship Id="rId608" Type="http://schemas.openxmlformats.org/officeDocument/2006/relationships/image" Target="media/image302.png"/><Relationship Id="rId609" Type="http://schemas.openxmlformats.org/officeDocument/2006/relationships/image" Target="media/image303.png"/><Relationship Id="rId610" Type="http://schemas.openxmlformats.org/officeDocument/2006/relationships/image" Target="media/image304.png"/><Relationship Id="rId611" Type="http://schemas.openxmlformats.org/officeDocument/2006/relationships/image" Target="media/image305.png"/><Relationship Id="rId612" Type="http://schemas.openxmlformats.org/officeDocument/2006/relationships/image" Target="media/image306.png"/><Relationship Id="rId613" Type="http://schemas.openxmlformats.org/officeDocument/2006/relationships/image" Target="media/image307.png"/><Relationship Id="rId614" Type="http://schemas.openxmlformats.org/officeDocument/2006/relationships/image" Target="media/image308.png"/><Relationship Id="rId615" Type="http://schemas.openxmlformats.org/officeDocument/2006/relationships/image" Target="media/image309.png"/><Relationship Id="rId616" Type="http://schemas.openxmlformats.org/officeDocument/2006/relationships/image" Target="media/image310.png"/><Relationship Id="rId276" Type="http://schemas.openxmlformats.org/officeDocument/2006/relationships/hyperlink" Target="https://www.sec.gov/Archives/edgar/data/4515/000119312513408263/d605556dex21.htm" TargetMode="External"/><Relationship Id="rId277" Type="http://schemas.openxmlformats.org/officeDocument/2006/relationships/hyperlink" Target="https://www.sec.gov/Archives/edgar/data/4515/000119312515418305/d110614dex21.htm" TargetMode="External"/><Relationship Id="rId278" Type="http://schemas.openxmlformats.org/officeDocument/2006/relationships/hyperlink" Target="https://www.sec.gov/Archives/edgar/data/4515/000119312513466973/d640718dex31.htm" TargetMode="External"/><Relationship Id="rId279" Type="http://schemas.openxmlformats.org/officeDocument/2006/relationships/hyperlink" Target="https://www.sec.gov/Archives/edgar/data/6201/000119312518191662/d594984dex31.htm" TargetMode="External"/><Relationship Id="rId280" Type="http://schemas.openxmlformats.org/officeDocument/2006/relationships/hyperlink" Target="https://www.sec.gov/Archives/edgar/data/6201/000000620124000048/a31aag-arbylaws.htm" TargetMode="External"/><Relationship Id="rId281" Type="http://schemas.openxmlformats.org/officeDocument/2006/relationships/hyperlink" Target="https://www.sec.gov/Archives/edgar/data/4515/000000620114000004/d682697dex33.htm" TargetMode="External"/><Relationship Id="rId282" Type="http://schemas.openxmlformats.org/officeDocument/2006/relationships/hyperlink" Target="https://www.sec.gov/Archives/edgar/data/4515/000000620114000004/d682697dex34.htm" TargetMode="External"/><Relationship Id="rId283" Type="http://schemas.openxmlformats.org/officeDocument/2006/relationships/hyperlink" Target="https://www.sec.gov/Archives/edgar/data/6201/000119312521364315/d244625dex31.htm" TargetMode="External"/><Relationship Id="rId284" Type="http://schemas.openxmlformats.org/officeDocument/2006/relationships/hyperlink" Target="https://www.sec.gov/Archives/edgar/data/6201/000000620122000026/exhibit41q42110-k.htm" TargetMode="External"/><Relationship Id="rId285" Type="http://schemas.openxmlformats.org/officeDocument/2006/relationships/hyperlink" Target="https://www.sec.gov/Archives/edgar/data/4515/000119312514343482/d790263dex41.htm" TargetMode="External"/><Relationship Id="rId286" Type="http://schemas.openxmlformats.org/officeDocument/2006/relationships/hyperlink" Target="https://www.sec.gov/Archives/edgar/data/4515/000119312514343482/d790263dex42.htm" TargetMode="External"/><Relationship Id="rId287" Type="http://schemas.openxmlformats.org/officeDocument/2006/relationships/hyperlink" Target="https://www.sec.gov/Archives/edgar/data/4515/000119312514343482/d790263dex43.htm" TargetMode="External"/><Relationship Id="rId288" Type="http://schemas.openxmlformats.org/officeDocument/2006/relationships/hyperlink" Target="https://www.sec.gov/Archives/edgar/data/4515/000119312514343482/d790263dex44.htm" TargetMode="External"/><Relationship Id="rId289" Type="http://schemas.openxmlformats.org/officeDocument/2006/relationships/hyperlink" Target="https://www.sec.gov/Archives/edgar/data/4515/000119312515261937/d945812dex106.htm" TargetMode="External"/><Relationship Id="rId290" Type="http://schemas.openxmlformats.org/officeDocument/2006/relationships/hyperlink" Target="https://www.sec.gov/Archives/edgar/data/4515/000119312514343482/d790263dex49.htm" TargetMode="External"/><Relationship Id="rId292" Type="http://schemas.openxmlformats.org/officeDocument/2006/relationships/hyperlink" Target="https://www.sec.gov/Archives/edgar/data/4515/000119312514343482/d790263dex410.htm" TargetMode="External"/><Relationship Id="rId293" Type="http://schemas.openxmlformats.org/officeDocument/2006/relationships/hyperlink" Target="https://www.sec.gov/Archives/edgar/data/4515/000119312514343482/d790263dex411.htm" TargetMode="External"/><Relationship Id="rId294" Type="http://schemas.openxmlformats.org/officeDocument/2006/relationships/hyperlink" Target="https://www.sec.gov/Archives/edgar/data/4515/000119312514343482/d790263dex414.htm" TargetMode="External"/><Relationship Id="rId295" Type="http://schemas.openxmlformats.org/officeDocument/2006/relationships/hyperlink" Target="https://www.sec.gov/Archives/edgar/data/4515/000119312514343482/d790263dex415.htm" TargetMode="External"/><Relationship Id="rId296" Type="http://schemas.openxmlformats.org/officeDocument/2006/relationships/hyperlink" Target="https://www.sec.gov/Archives/edgar/data/4515/000119312515418305/d110614dex43.htm" TargetMode="External"/><Relationship Id="rId297" Type="http://schemas.openxmlformats.org/officeDocument/2006/relationships/hyperlink" Target="https://www.sec.gov/Archives/edgar/data/4515/000119312515093938/d890456dex42.htm" TargetMode="External"/><Relationship Id="rId298" Type="http://schemas.openxmlformats.org/officeDocument/2006/relationships/hyperlink" Target="https://www.sec.gov/Archives/edgar/data/4515/000119312515093938/d890456dex43.htm" TargetMode="External"/><Relationship Id="rId299" Type="http://schemas.openxmlformats.org/officeDocument/2006/relationships/hyperlink" Target="https://www.sec.gov/Archives/edgar/data/4515/000119312515093938/d890456dex44.htm" TargetMode="External"/><Relationship Id="rId300" Type="http://schemas.openxmlformats.org/officeDocument/2006/relationships/hyperlink" Target="https://www.sec.gov/Archives/edgar/data/4515/000119312515093938/d890456dex49.htm" TargetMode="External"/><Relationship Id="rId301" Type="http://schemas.openxmlformats.org/officeDocument/2006/relationships/hyperlink" Target="https://www.sec.gov/Archives/edgar/data/4515/000119312515093938/d890456dex410.htm" TargetMode="External"/><Relationship Id="rId302" Type="http://schemas.openxmlformats.org/officeDocument/2006/relationships/hyperlink" Target="https://www.sec.gov/Archives/edgar/data/4515/000119312515093938/d890456dex411.htm" TargetMode="External"/><Relationship Id="rId303" Type="http://schemas.openxmlformats.org/officeDocument/2006/relationships/hyperlink" Target="https://www.sec.gov/Archives/edgar/data/4515/000119312515093938/d890456dex414.htm" TargetMode="External"/><Relationship Id="rId305" Type="http://schemas.openxmlformats.org/officeDocument/2006/relationships/hyperlink" Target="https://www.sec.gov/Archives/edgar/data/4515/000119312515093938/d890456dex415.htm" TargetMode="External"/><Relationship Id="rId306" Type="http://schemas.openxmlformats.org/officeDocument/2006/relationships/hyperlink" Target="https://www.sec.gov/Archives/edgar/data/4515/000119312515327525/d69559dex42.htm" TargetMode="External"/><Relationship Id="rId307" Type="http://schemas.openxmlformats.org/officeDocument/2006/relationships/hyperlink" Target="https://www.sec.gov/Archives/edgar/data/4515/000119312515327525/d69559dex43.htm" TargetMode="External"/><Relationship Id="rId308" Type="http://schemas.openxmlformats.org/officeDocument/2006/relationships/hyperlink" Target="https://www.sec.gov/Archives/edgar/data/4515/000119312515327525/d69559dex44.htm" TargetMode="External"/><Relationship Id="rId309" Type="http://schemas.openxmlformats.org/officeDocument/2006/relationships/hyperlink" Target="https://www.sec.gov/Archives/edgar/data/4515/000119312515327525/d69559dex45.htm" TargetMode="External"/><Relationship Id="rId310" Type="http://schemas.openxmlformats.org/officeDocument/2006/relationships/hyperlink" Target="https://www.sec.gov/Archives/edgar/data/4515/000119312515327525/d69559dex46.htm" TargetMode="External"/><Relationship Id="rId311" Type="http://schemas.openxmlformats.org/officeDocument/2006/relationships/hyperlink" Target="https://www.sec.gov/Archives/edgar/data/4515/000119312515327525/d69559dex412.htm" TargetMode="External"/><Relationship Id="rId312" Type="http://schemas.openxmlformats.org/officeDocument/2006/relationships/hyperlink" Target="https://www.sec.gov/Archives/edgar/data/4515/000119312515327525/d69559dex413.htm" TargetMode="External"/><Relationship Id="rId313" Type="http://schemas.openxmlformats.org/officeDocument/2006/relationships/hyperlink" Target="https://www.sec.gov/Archives/edgar/data/4515/000119312515327525/d69559dex414.htm" TargetMode="External"/><Relationship Id="rId315" Type="http://schemas.openxmlformats.org/officeDocument/2006/relationships/hyperlink" Target="https://www.sec.gov/Archives/edgar/data/701345/000119312513171448/d526546dex412.htm" TargetMode="External"/><Relationship Id="rId316" Type="http://schemas.openxmlformats.org/officeDocument/2006/relationships/hyperlink" Target="https://www.sec.gov/Archives/edgar/data/4515/000119312515418305/d110614dex102.htm" TargetMode="External"/><Relationship Id="rId317" Type="http://schemas.openxmlformats.org/officeDocument/2006/relationships/hyperlink" Target="https://www.sec.gov/Archives/edgar/data/701345/000119312513171448/d526546dex413.htm" TargetMode="External"/><Relationship Id="rId318" Type="http://schemas.openxmlformats.org/officeDocument/2006/relationships/hyperlink" Target="https://www.sec.gov/Archives/edgar/data/701345/000119312513171448/d526546dex414.htm" TargetMode="External"/><Relationship Id="rId319" Type="http://schemas.openxmlformats.org/officeDocument/2006/relationships/hyperlink" Target="https://www.sec.gov/Archives/edgar/data/701345/000119312513250235/d548366dex48.htm" TargetMode="External"/><Relationship Id="rId320" Type="http://schemas.openxmlformats.org/officeDocument/2006/relationships/hyperlink" Target="https://www.sec.gov/Archives/edgar/data/701345/000119312513250235/d548366dex49.htm" TargetMode="External"/><Relationship Id="rId321" Type="http://schemas.openxmlformats.org/officeDocument/2006/relationships/hyperlink" Target="https://www.sec.gov/Archives/edgar/data/4515/000000620114000011/d715288dex105.htm" TargetMode="External"/><Relationship Id="rId322" Type="http://schemas.openxmlformats.org/officeDocument/2006/relationships/hyperlink" Target="https://www.sec.gov/Archives/edgar/data/701345/000119312513250235/d548366dex410.htm" TargetMode="External"/><Relationship Id="rId323" Type="http://schemas.openxmlformats.org/officeDocument/2006/relationships/hyperlink" Target="https://www.sec.gov/Archives/edgar/data/701345/000119312513250235/d548366dex411.htm" TargetMode="External"/><Relationship Id="rId324" Type="http://schemas.openxmlformats.org/officeDocument/2006/relationships/hyperlink" Target="https://www.sec.gov/Archives/edgar/data/701345/000095012310116213/p18414exv4w14.htm" TargetMode="External"/><Relationship Id="rId325" Type="http://schemas.openxmlformats.org/officeDocument/2006/relationships/hyperlink" Target="https://www.sec.gov/Archives/edgar/data/701345/000095012310116213/p18414exv4w15.htm" TargetMode="External"/><Relationship Id="rId326" Type="http://schemas.openxmlformats.org/officeDocument/2006/relationships/hyperlink" Target="https://www.sec.gov/Archives/edgar/data/4515/000000620114000011/d715288dex101.htm" TargetMode="External"/><Relationship Id="rId327" Type="http://schemas.openxmlformats.org/officeDocument/2006/relationships/hyperlink" Target="https://www.sec.gov/Archives/edgar/data/701345/000095012311063424/p18939exv4w18.htm" TargetMode="External"/><Relationship Id="rId329" Type="http://schemas.openxmlformats.org/officeDocument/2006/relationships/hyperlink" Target="https://www.sec.gov/Archives/edgar/data/701345/000095012311063424/p18939exv4w19.htm" TargetMode="External"/><Relationship Id="rId330" Type="http://schemas.openxmlformats.org/officeDocument/2006/relationships/hyperlink" Target="https://www.sec.gov/Archives/edgar/data/701345/000095012311063424/p18939exv4w23.htm" TargetMode="External"/><Relationship Id="rId331" Type="http://schemas.openxmlformats.org/officeDocument/2006/relationships/hyperlink" Target="https://www.sec.gov/Archives/edgar/data/4515/000000620114000011/d715288dex102.htm" TargetMode="External"/><Relationship Id="rId332" Type="http://schemas.openxmlformats.org/officeDocument/2006/relationships/hyperlink" Target="https://www.sec.gov/Archives/edgar/data/701345/000119312512236751/d354045dex418.htm" TargetMode="External"/><Relationship Id="rId333" Type="http://schemas.openxmlformats.org/officeDocument/2006/relationships/hyperlink" Target="https://www.sec.gov/Archives/edgar/data/701345/000119312512236751/d354045dex419.htm" TargetMode="External"/><Relationship Id="rId334" Type="http://schemas.openxmlformats.org/officeDocument/2006/relationships/hyperlink" Target="https://www.sec.gov/Archives/edgar/data/4515/000000620114000011/d715288dex103.htm" TargetMode="External"/><Relationship Id="rId335" Type="http://schemas.openxmlformats.org/officeDocument/2006/relationships/hyperlink" Target="https://www.sec.gov/Archives/edgar/data/701345/000119312512501957/d452985dex412.htm" TargetMode="External"/><Relationship Id="rId336" Type="http://schemas.openxmlformats.org/officeDocument/2006/relationships/hyperlink" Target="https://www.sec.gov/Archives/edgar/data/4515/000000620114000011/d715288dex104.htm" TargetMode="External"/><Relationship Id="rId337" Type="http://schemas.openxmlformats.org/officeDocument/2006/relationships/hyperlink" Target="https://www.sec.gov/Archives/edgar/data/4515/000119312515418305/d110614dex103.htm" TargetMode="External"/><Relationship Id="rId338" Type="http://schemas.openxmlformats.org/officeDocument/2006/relationships/hyperlink" Target="https://www.sec.gov/Archives/edgar/data/4515/000119312516433815/d126794dex42.htm" TargetMode="External"/><Relationship Id="rId339" Type="http://schemas.openxmlformats.org/officeDocument/2006/relationships/hyperlink" Target="https://www.sec.gov/Archives/edgar/data/4515/000119312516433815/d126794dex43.htm" TargetMode="External"/><Relationship Id="rId340" Type="http://schemas.openxmlformats.org/officeDocument/2006/relationships/hyperlink" Target="https://www.sec.gov/Archives/edgar/data/4515/000119312516433815/d126794dex44.htm" TargetMode="External"/><Relationship Id="rId342" Type="http://schemas.openxmlformats.org/officeDocument/2006/relationships/hyperlink" Target="https://www.sec.gov/Archives/edgar/data/4515/000119312516433815/d126794dex45.htm" TargetMode="External"/><Relationship Id="rId343" Type="http://schemas.openxmlformats.org/officeDocument/2006/relationships/hyperlink" Target="https://www.sec.gov/Archives/edgar/data/4515/000119312516433815/d126794dex46.htm" TargetMode="External"/><Relationship Id="rId344" Type="http://schemas.openxmlformats.org/officeDocument/2006/relationships/hyperlink" Target="https://www.sec.gov/Archives/edgar/data/4515/000119312516433815/d126794dex412.htm" TargetMode="External"/><Relationship Id="rId345" Type="http://schemas.openxmlformats.org/officeDocument/2006/relationships/hyperlink" Target="https://www.sec.gov/Archives/edgar/data/4515/000119312516433815/d126794dex413.htm" TargetMode="External"/><Relationship Id="rId346" Type="http://schemas.openxmlformats.org/officeDocument/2006/relationships/hyperlink" Target="https://www.sec.gov/Archives/edgar/data/4515/000119312516433815/d126794dex414.htm" TargetMode="External"/><Relationship Id="rId347" Type="http://schemas.openxmlformats.org/officeDocument/2006/relationships/hyperlink" Target="https://www.sec.gov/Archives/edgar/data/4515/000119312516592083/d177635dex42.htm" TargetMode="External"/><Relationship Id="rId348" Type="http://schemas.openxmlformats.org/officeDocument/2006/relationships/hyperlink" Target="https://www.sec.gov/Archives/edgar/data/4515/000119312516592083/d177635dex43.htm" TargetMode="External"/><Relationship Id="rId349" Type="http://schemas.openxmlformats.org/officeDocument/2006/relationships/hyperlink" Target="https://www.sec.gov/Archives/edgar/data/4515/000119312516592083/d177635dex44.htm" TargetMode="External"/><Relationship Id="rId350" Type="http://schemas.openxmlformats.org/officeDocument/2006/relationships/hyperlink" Target="https://www.sec.gov/Archives/edgar/data/4515/000119312516592083/d177635dex49.htm" TargetMode="External"/><Relationship Id="rId352" Type="http://schemas.openxmlformats.org/officeDocument/2006/relationships/hyperlink" Target="https://www.sec.gov/Archives/edgar/data/4515/000119312516592083/d177635dex414.htm" TargetMode="External"/><Relationship Id="rId353" Type="http://schemas.openxmlformats.org/officeDocument/2006/relationships/hyperlink" Target="https://www.sec.gov/Archives/edgar/data/4515/000119312516592083/d177635dex415.htm" TargetMode="External"/><Relationship Id="rId354" Type="http://schemas.openxmlformats.org/officeDocument/2006/relationships/hyperlink" Target="https://www.sec.gov/Archives/edgar/data/4515/000119312516646353/d210431dex42.htm" TargetMode="External"/><Relationship Id="rId355" Type="http://schemas.openxmlformats.org/officeDocument/2006/relationships/hyperlink" Target="https://www.sec.gov/Archives/edgar/data/4515/000119312516646353/d210431dex43.htm" TargetMode="External"/><Relationship Id="rId356" Type="http://schemas.openxmlformats.org/officeDocument/2006/relationships/hyperlink" Target="https://www.sec.gov/Archives/edgar/data/4515/000119312516646353/d210431dex46.htm" TargetMode="External"/><Relationship Id="rId357" Type="http://schemas.openxmlformats.org/officeDocument/2006/relationships/hyperlink" Target="https://www.sec.gov/Archives/edgar/data/4515/000119312516646353/d210431dex412.htm" TargetMode="External"/><Relationship Id="rId358" Type="http://schemas.openxmlformats.org/officeDocument/2006/relationships/hyperlink" Target="https://www.sec.gov/Archives/edgar/data/4515/000119312516730454/d359659dex42.htm" TargetMode="External"/><Relationship Id="rId360" Type="http://schemas.openxmlformats.org/officeDocument/2006/relationships/hyperlink" Target="https://www.sec.gov/Archives/edgar/data/4515/000119312516730454/d359659dex43.htm" TargetMode="External"/><Relationship Id="rId361" Type="http://schemas.openxmlformats.org/officeDocument/2006/relationships/hyperlink" Target="https://www.sec.gov/Archives/edgar/data/4515/000119312516730454/d359659dex44.htm" TargetMode="External"/><Relationship Id="rId362" Type="http://schemas.openxmlformats.org/officeDocument/2006/relationships/hyperlink" Target="https://www.sec.gov/Archives/edgar/data/4515/000119312517304687/d466899dex43.htm" TargetMode="External"/><Relationship Id="rId363" Type="http://schemas.openxmlformats.org/officeDocument/2006/relationships/hyperlink" Target="https://www.sec.gov/Archives/edgar/data/4515/000119312516730454/d359659dex49.htm" TargetMode="External"/><Relationship Id="rId364" Type="http://schemas.openxmlformats.org/officeDocument/2006/relationships/hyperlink" Target="https://www.sec.gov/Archives/edgar/data/4515/000119312516730454/d359659dex414.htm" TargetMode="External"/><Relationship Id="rId365" Type="http://schemas.openxmlformats.org/officeDocument/2006/relationships/hyperlink" Target="https://www.sec.gov/Archives/edgar/data/4515/000119312516730454/d359659dex415.htm" TargetMode="External"/><Relationship Id="rId366" Type="http://schemas.openxmlformats.org/officeDocument/2006/relationships/hyperlink" Target="https://www.sec.gov/Archives/edgar/data/4515/000119312517011067/d319419dex42.htm" TargetMode="External"/><Relationship Id="rId367" Type="http://schemas.openxmlformats.org/officeDocument/2006/relationships/hyperlink" Target="https://www.sec.gov/Archives/edgar/data/4515/000119312517011067/d319419dex43.htm" TargetMode="External"/><Relationship Id="rId368" Type="http://schemas.openxmlformats.org/officeDocument/2006/relationships/hyperlink" Target="https://www.sec.gov/Archives/edgar/data/4515/000119312517011067/d319419dex44.htm" TargetMode="External"/><Relationship Id="rId369" Type="http://schemas.openxmlformats.org/officeDocument/2006/relationships/hyperlink" Target="https://www.sec.gov/Archives/edgar/data/4515/000119312517011067/d319419dex45.htm" TargetMode="External"/><Relationship Id="rId371" Type="http://schemas.openxmlformats.org/officeDocument/2006/relationships/hyperlink" Target="https://www.sec.gov/Archives/edgar/data/4515/000119312517011067/d319419dex412.htm" TargetMode="External"/><Relationship Id="rId372" Type="http://schemas.openxmlformats.org/officeDocument/2006/relationships/hyperlink" Target="https://www.sec.gov/Archives/edgar/data/4515/000119312517011067/d319419dex418.htm" TargetMode="External"/><Relationship Id="rId373" Type="http://schemas.openxmlformats.org/officeDocument/2006/relationships/hyperlink" Target="https://www.sec.gov/Archives/edgar/data/4515/000119312517011067/d319419dex419.htm" TargetMode="External"/><Relationship Id="rId374" Type="http://schemas.openxmlformats.org/officeDocument/2006/relationships/hyperlink" Target="https://www.sec.gov/Archives/edgar/data/4515/000119312517011067/d319419dex420.htm" TargetMode="External"/><Relationship Id="rId375" Type="http://schemas.openxmlformats.org/officeDocument/2006/relationships/hyperlink" Target="https://www.sec.gov/Archives/edgar/data/4515/000119312517140927/d358913dex420.htm" TargetMode="External"/><Relationship Id="rId376" Type="http://schemas.openxmlformats.org/officeDocument/2006/relationships/hyperlink" Target="https://www.sec.gov/Archives/edgar/data/4515/000119312517140927/d358913dex421.htm" TargetMode="External"/><Relationship Id="rId377" Type="http://schemas.openxmlformats.org/officeDocument/2006/relationships/hyperlink" Target="https://www.sec.gov/Archives/edgar/data/4515/000119312517140927/d358913dex422.htm" TargetMode="External"/><Relationship Id="rId378" Type="http://schemas.openxmlformats.org/officeDocument/2006/relationships/hyperlink" Target="https://www.sec.gov/Archives/edgar/data/4515/000119312517140927/d358913dex423.htm" TargetMode="External"/><Relationship Id="rId379" Type="http://schemas.openxmlformats.org/officeDocument/2006/relationships/hyperlink" Target="https://www.sec.gov/Archives/edgar/data/4515/000119312517052055/d366751dex41.htm" TargetMode="External"/><Relationship Id="rId380" Type="http://schemas.openxmlformats.org/officeDocument/2006/relationships/hyperlink" Target="https://www.sec.gov/Archives/edgar/data/4515/000119312517052055/d366751dex42.htm" TargetMode="External"/><Relationship Id="rId381" Type="http://schemas.openxmlformats.org/officeDocument/2006/relationships/hyperlink" Target="https://www.sec.gov/Archives/edgar/data/4515/000119312517257245/d376721dex42.htm" TargetMode="External"/><Relationship Id="rId383" Type="http://schemas.openxmlformats.org/officeDocument/2006/relationships/hyperlink" Target="https://www.sec.gov/Archives/edgar/data/4515/000119312517257245/d376721dex43.htm" TargetMode="External"/><Relationship Id="rId384" Type="http://schemas.openxmlformats.org/officeDocument/2006/relationships/hyperlink" Target="https://www.sec.gov/Archives/edgar/data/4515/000119312517257245/d376721dex44.htm" TargetMode="External"/><Relationship Id="rId385" Type="http://schemas.openxmlformats.org/officeDocument/2006/relationships/hyperlink" Target="https://www.sec.gov/Archives/edgar/data/4515/000119312517257245/d376721dex49.htm" TargetMode="External"/><Relationship Id="rId386" Type="http://schemas.openxmlformats.org/officeDocument/2006/relationships/hyperlink" Target="https://www.sec.gov/Archives/edgar/data/4515/000119312517257245/d376721dex414.htm" TargetMode="External"/><Relationship Id="rId387" Type="http://schemas.openxmlformats.org/officeDocument/2006/relationships/hyperlink" Target="https://www.sec.gov/Archives/edgar/data/4515/000119312517257245/d376721dex415.htm" TargetMode="External"/><Relationship Id="rId388" Type="http://schemas.openxmlformats.org/officeDocument/2006/relationships/hyperlink" Target="https://www.sec.gov/Archives/edgar/data/4515/000119312517304687/d466899dex42.htm" TargetMode="External"/><Relationship Id="rId389" Type="http://schemas.openxmlformats.org/officeDocument/2006/relationships/hyperlink" Target="https://www.sec.gov/Archives/edgar/data/4515/000119312517304687/d466899dex44.htm" TargetMode="External"/><Relationship Id="rId390" Type="http://schemas.openxmlformats.org/officeDocument/2006/relationships/hyperlink" Target="https://www.sec.gov/Archives/edgar/data/4515/000119312517305920/d463889dex46.htm#toc463889_35" TargetMode="External"/><Relationship Id="rId392" Type="http://schemas.openxmlformats.org/officeDocument/2006/relationships/hyperlink" Target="https://www.sec.gov/Archives/edgar/data/4515/000119312517304687/d466899dex48.htm" TargetMode="External"/><Relationship Id="rId393" Type="http://schemas.openxmlformats.org/officeDocument/2006/relationships/hyperlink" Target="https://www.sec.gov/Archives/edgar/data/4515/000119312517305920/d463889dex42.htm" TargetMode="External"/><Relationship Id="rId394" Type="http://schemas.openxmlformats.org/officeDocument/2006/relationships/hyperlink" Target="https://www.sec.gov/Archives/edgar/data/4515/000119312517305920/d463889dex43.htm" TargetMode="External"/><Relationship Id="rId395" Type="http://schemas.openxmlformats.org/officeDocument/2006/relationships/hyperlink" Target="https://www.sec.gov/Archives/edgar/data/4515/000119312517305920/d463889dex46.htm" TargetMode="External"/><Relationship Id="rId396" Type="http://schemas.openxmlformats.org/officeDocument/2006/relationships/hyperlink" Target="https://www.sec.gov/Archives/edgar/data/4515/000119312517305920/d463889dex46.htm#ex4_6" TargetMode="External"/><Relationship Id="rId397" Type="http://schemas.openxmlformats.org/officeDocument/2006/relationships/hyperlink" Target="https://www.sec.gov/Archives/edgar/data/4515/000119312517305920/d463889dex46.htm#ex4_6b" TargetMode="External"/><Relationship Id="rId398" Type="http://schemas.openxmlformats.org/officeDocument/2006/relationships/hyperlink" Target="https://www.sec.gov/Archives/edgar/data/4515/000119312517305920/d463889dex46.htm#ex4_6a" TargetMode="External"/><Relationship Id="rId399" Type="http://schemas.openxmlformats.org/officeDocument/2006/relationships/hyperlink" Target="https://www.sec.gov/Archives/edgar/data/4515/000119312517305920/d463889dex42.htm#ex4_2toc463889_35" TargetMode="External"/><Relationship Id="rId400" Type="http://schemas.openxmlformats.org/officeDocument/2006/relationships/hyperlink" Target="https://www.sec.gov/Archives/edgar/data/4515/000119312517305920/d463889dex412.htm" TargetMode="External"/><Relationship Id="rId401" Type="http://schemas.openxmlformats.org/officeDocument/2006/relationships/hyperlink" Target="https://www.sec.gov/Archives/edgar/data/4515/000119312518165266/d589456dex42.htm" TargetMode="External"/><Relationship Id="rId402" Type="http://schemas.openxmlformats.org/officeDocument/2006/relationships/hyperlink" Target="https://www.sec.gov/Archives/edgar/data/4515/000119312518165266/d589456dex46.htm" TargetMode="External"/><Relationship Id="rId403" Type="http://schemas.openxmlformats.org/officeDocument/2006/relationships/hyperlink" Target="https://www.sec.gov/Archives/edgar/data/0000004515/000119312521328161/d229111dex42.htm" TargetMode="External"/><Relationship Id="rId405" Type="http://schemas.openxmlformats.org/officeDocument/2006/relationships/hyperlink" Target="https://www.sec.gov/Archives/edgar/data/0000004515/000119312521328161/d229111dex43.htm" TargetMode="External"/><Relationship Id="rId406" Type="http://schemas.openxmlformats.org/officeDocument/2006/relationships/hyperlink" Target="https://www.sec.gov/Archives/edgar/data/0000004515/000119312521328161/d229111dex414.htm" TargetMode="External"/><Relationship Id="rId407" Type="http://schemas.openxmlformats.org/officeDocument/2006/relationships/hyperlink" Target="https://www.sec.gov/Archives/edgar/data/0000004515/000119312521328161/d229111dex415.htm" TargetMode="External"/><Relationship Id="rId408" Type="http://schemas.openxmlformats.org/officeDocument/2006/relationships/hyperlink" Target="https://www.sec.gov/Archives/edgar/data/6201/000119312521364315/d244625dex41.htm" TargetMode="External"/><Relationship Id="rId409" Type="http://schemas.openxmlformats.org/officeDocument/2006/relationships/hyperlink" Target="https://www.sec.gov/Archives/edgar/data/6201/000119312524249922/d902354dex41.htm" TargetMode="External"/><Relationship Id="rId410" Type="http://schemas.openxmlformats.org/officeDocument/2006/relationships/hyperlink" Target="https://www.sec.gov/Archives/edgar/data/4515/000119312519222562/d774498dex42.htm" TargetMode="External"/><Relationship Id="rId411" Type="http://schemas.openxmlformats.org/officeDocument/2006/relationships/hyperlink" Target="https://www.sec.gov/Archives/edgar/data/4515/000119312519222562/d774498dex43.htm" TargetMode="External"/><Relationship Id="rId412" Type="http://schemas.openxmlformats.org/officeDocument/2006/relationships/hyperlink" Target="https://www.sec.gov/Archives/edgar/data/4515/000119312519222562/d774498dex44.htm" TargetMode="External"/><Relationship Id="rId413" Type="http://schemas.openxmlformats.org/officeDocument/2006/relationships/hyperlink" Target="https://www.sec.gov/Archives/edgar/data/4515/000119312519222562/d774498dex45.htm" TargetMode="External"/><Relationship Id="rId414" Type="http://schemas.openxmlformats.org/officeDocument/2006/relationships/hyperlink" Target="https://www.sec.gov/Archives/edgar/data/4515/000119312519222562/d774498dex412.htm" TargetMode="External"/><Relationship Id="rId416" Type="http://schemas.openxmlformats.org/officeDocument/2006/relationships/hyperlink" Target="https://www.sec.gov/Archives/edgar/data/4515/000119312519222562/d774498dex418.htm" TargetMode="External"/><Relationship Id="rId417" Type="http://schemas.openxmlformats.org/officeDocument/2006/relationships/hyperlink" Target="https://www.sec.gov/Archives/edgar/data/4515/000119312519222562/d774498dex419.htm" TargetMode="External"/><Relationship Id="rId418" Type="http://schemas.openxmlformats.org/officeDocument/2006/relationships/hyperlink" Target="https://www.sec.gov/Archives/edgar/data/0000004515/000119312521328161/d229111dex44.htm" TargetMode="External"/><Relationship Id="rId419" Type="http://schemas.openxmlformats.org/officeDocument/2006/relationships/hyperlink" Target="https://www.sec.gov/Archives/edgar/data/0000004515/000119312521328161/d229111dex49.htm" TargetMode="External"/><Relationship Id="rId420" Type="http://schemas.openxmlformats.org/officeDocument/2006/relationships/hyperlink" Target="https://www.sec.gov/Archives/edgar/data/4515/000119312519222562/d774498dex420.htm" TargetMode="External"/><Relationship Id="rId421" Type="http://schemas.openxmlformats.org/officeDocument/2006/relationships/hyperlink" Target="https://www.sec.gov/Archives/edgar/data/4515/000119312519152852/d728811dex41.htm" TargetMode="External"/><Relationship Id="rId423" Type="http://schemas.openxmlformats.org/officeDocument/2006/relationships/hyperlink" Target="https://www.sec.gov/Archives/edgar/data/4515/000119312520050082/d894981dex41.htm" TargetMode="External"/><Relationship Id="rId424" Type="http://schemas.openxmlformats.org/officeDocument/2006/relationships/hyperlink" Target="https://www.sec.gov/Archives/edgar/data/4515/000119312520179004/d948088dex41.htm" TargetMode="External"/><Relationship Id="rId425" Type="http://schemas.openxmlformats.org/officeDocument/2006/relationships/hyperlink" Target="https://www.sec.gov/Archives/edgar/data/4515/000119312520179004/d948088dex42.htm" TargetMode="External"/><Relationship Id="rId426" Type="http://schemas.openxmlformats.org/officeDocument/2006/relationships/hyperlink" Target="https://www.sec.gov/Archives/edgar/data/4515/000119312520185457/d32513dex41.htm" TargetMode="External"/><Relationship Id="rId427" Type="http://schemas.openxmlformats.org/officeDocument/2006/relationships/hyperlink" Target="https://www.sec.gov/Archives/edgar/data/4515/000000620120000101/ex41q32010-q.htm" TargetMode="External"/><Relationship Id="rId428" Type="http://schemas.openxmlformats.org/officeDocument/2006/relationships/hyperlink" Target="https://www.sec.gov/Archives/edgar/data/4515/000000620120000101/ex43q32010-q.htm" TargetMode="External"/><Relationship Id="rId429" Type="http://schemas.openxmlformats.org/officeDocument/2006/relationships/hyperlink" Target="https://www.sec.gov/Archives/edgar/data/4515/000000620120000066/ex43q12010q.htm" TargetMode="External"/><Relationship Id="rId430" Type="http://schemas.openxmlformats.org/officeDocument/2006/relationships/hyperlink" Target="https://www.sec.gov/Archives/edgar/data/4515/000000620120000101/ex45q32010-q.htm" TargetMode="External"/><Relationship Id="rId431" Type="http://schemas.openxmlformats.org/officeDocument/2006/relationships/hyperlink" Target="https://www.sec.gov/Archives/edgar/data/4515/000000620121000014/exhibit4182q42010-k.htm" TargetMode="External"/><Relationship Id="rId432" Type="http://schemas.openxmlformats.org/officeDocument/2006/relationships/hyperlink" Target="https://www.sec.gov/Archives/edgar/data/4515/000000620121000080/ex41q221aapsp3-warrantagre.htm" TargetMode="External"/><Relationship Id="rId433" Type="http://schemas.openxmlformats.org/officeDocument/2006/relationships/hyperlink" Target="https://www.sec.gov/Archives/edgar/data/4515/000000620121000054/ex43q121aadvantagexindentu.htm" TargetMode="External"/><Relationship Id="rId435" Type="http://schemas.openxmlformats.org/officeDocument/2006/relationships/hyperlink" Target="https://www.sec.gov/Archives/edgar/data/6201/000119312523040349/d402365dex41.htm" TargetMode="External"/><Relationship Id="rId436" Type="http://schemas.openxmlformats.org/officeDocument/2006/relationships/hyperlink" Target="https://www.sec.gov/Archives/edgar/data/6201/000119312523288364/d247933dex41.htm" TargetMode="External"/><Relationship Id="rId437" Type="http://schemas.openxmlformats.org/officeDocument/2006/relationships/hyperlink" Target="https://www.sec.gov/Archives/edgar/data/4515/000000620120000066/ex105q12010q.htm" TargetMode="External"/><Relationship Id="rId438" Type="http://schemas.openxmlformats.org/officeDocument/2006/relationships/hyperlink" Target="https://www.sec.gov/Archives/edgar/data/4515/000000620120000066/ex106q12010q.htm" TargetMode="External"/><Relationship Id="rId439" Type="http://schemas.openxmlformats.org/officeDocument/2006/relationships/hyperlink" Target="https://www.sec.gov/Archives/edgar/data/4515/000000620121000014/exhibit103q42010-k.htm" TargetMode="External"/><Relationship Id="rId440" Type="http://schemas.openxmlformats.org/officeDocument/2006/relationships/hyperlink" Target="https://www.sec.gov/Archives/edgar/data/4515/000000620121000014/exhibit104q42010-k.htm" TargetMode="External"/><Relationship Id="rId441" Type="http://schemas.openxmlformats.org/officeDocument/2006/relationships/hyperlink" Target="https://www.sec.gov/Archives/edgar/data/6201/000000620122000071/ex103q222ust-aaxagreementa.htm" TargetMode="External"/><Relationship Id="rId442" Type="http://schemas.openxmlformats.org/officeDocument/2006/relationships/hyperlink" Target="https://www.sec.gov/Archives/edgar/data/4515/000000620120000101/ex101q32010-q.htm" TargetMode="External"/><Relationship Id="rId443" Type="http://schemas.openxmlformats.org/officeDocument/2006/relationships/hyperlink" Target="https://www.sec.gov/Archives/edgar/data/4515/000000620121000014/exhibit106q42010-k.htm" TargetMode="External"/><Relationship Id="rId444" Type="http://schemas.openxmlformats.org/officeDocument/2006/relationships/hyperlink" Target="https://www.sec.gov/Archives/edgar/data/4515/000000620121000014/exhibit107q42010-k.htm" TargetMode="External"/><Relationship Id="rId445" Type="http://schemas.openxmlformats.org/officeDocument/2006/relationships/hyperlink" Target="https://www.sec.gov/Archives/edgar/data/4515/000119312517051216/d286458dex101.htm" TargetMode="External"/><Relationship Id="rId447" Type="http://schemas.openxmlformats.org/officeDocument/2006/relationships/hyperlink" Target="https://www.sec.gov/Archives/edgar/data/4515/000000620118000009/ex10210k2017.htm" TargetMode="External"/><Relationship Id="rId448" Type="http://schemas.openxmlformats.org/officeDocument/2006/relationships/hyperlink" Target="https://www.sec.gov/Archives/edgar/data/4515/000119312515261937/d945812dex104.htm" TargetMode="External"/><Relationship Id="rId449" Type="http://schemas.openxmlformats.org/officeDocument/2006/relationships/hyperlink" Target="https://www.sec.gov/Archives/edgar/data/4515/000119312516474605/d78287dex106.htm" TargetMode="External"/><Relationship Id="rId450" Type="http://schemas.openxmlformats.org/officeDocument/2006/relationships/hyperlink" Target="https://www.sec.gov/Archives/edgar/data/4515/000119312516742263/d247546dex101.htm" TargetMode="External"/><Relationship Id="rId451" Type="http://schemas.openxmlformats.org/officeDocument/2006/relationships/hyperlink" Target="https://www.sec.gov/Archives/edgar/data/4515/000000620121000054/ex108q121boeing787accommod.htm" TargetMode="External"/><Relationship Id="rId452" Type="http://schemas.openxmlformats.org/officeDocument/2006/relationships/hyperlink" Target="https://www.sec.gov/Archives/edgar/data/4515/000000620121000054/ex109q121amendment1accomod.htm" TargetMode="External"/><Relationship Id="rId453" Type="http://schemas.openxmlformats.org/officeDocument/2006/relationships/hyperlink" Target="https://www.sec.gov/Archives/edgar/data/4515/000000620121000080/ex103q221amendment2lettera.htm" TargetMode="External"/><Relationship Id="rId454" Type="http://schemas.openxmlformats.org/officeDocument/2006/relationships/hyperlink" Target="https://www.sec.gov/Archives/edgar/data/4515/000000620121000098/ex101q321amendmentno3.htm" TargetMode="External"/><Relationship Id="rId455" Type="http://schemas.openxmlformats.org/officeDocument/2006/relationships/hyperlink" Target="https://www.sec.gov/Archives/edgar/data/4515/000000620121000054/ex10121boeingschedulerevis.htm" TargetMode="External"/><Relationship Id="rId456" Type="http://schemas.openxmlformats.org/officeDocument/2006/relationships/hyperlink" Target="https://www.sec.gov/Archives/edgar/data/6201/000000620122000026/exhibit1019q42110-k.htm" TargetMode="External"/><Relationship Id="rId457" Type="http://schemas.openxmlformats.org/officeDocument/2006/relationships/hyperlink" Target="https://www.sec.gov/Archives/edgar/data/6201/000000620123000042/a101letteragreementdatedja.htm" TargetMode="External"/><Relationship Id="rId458" Type="http://schemas.openxmlformats.org/officeDocument/2006/relationships/hyperlink" Target="https://www.sec.gov/Archives/edgar/data/4515/000119312517239325/d416225dex102.htm" TargetMode="External"/><Relationship Id="rId460" Type="http://schemas.openxmlformats.org/officeDocument/2006/relationships/hyperlink" Target="https://www.sec.gov/Archives/edgar/data/4515/000000620118000016/ex10110qq118.htm" TargetMode="External"/><Relationship Id="rId461" Type="http://schemas.openxmlformats.org/officeDocument/2006/relationships/hyperlink" Target="https://www.sec.gov/Archives/edgar/data/4515/000000620118000039/ex10110qq318.htm" TargetMode="External"/><Relationship Id="rId462" Type="http://schemas.openxmlformats.org/officeDocument/2006/relationships/hyperlink" Target="https://www.sec.gov/Archives/edgar/data/6201/000000620124000010/ex1024-sixthamendmenttoame.htm" TargetMode="External"/><Relationship Id="rId463" Type="http://schemas.openxmlformats.org/officeDocument/2006/relationships/hyperlink" Target="https://www.sec.gov/Archives/edgar/data/4515/000000620120000023/ex101010k2019.htm" TargetMode="External"/><Relationship Id="rId464" Type="http://schemas.openxmlformats.org/officeDocument/2006/relationships/hyperlink" Target="https://www.sec.gov/Archives/edgar/data/6201/000000620120000066/ex103q12010q.htm" TargetMode="External"/><Relationship Id="rId465" Type="http://schemas.openxmlformats.org/officeDocument/2006/relationships/hyperlink" Target="https://www.sec.gov/Archives/edgar/data/6201/000000620124000060/a104ninthamendmenttotheame.htm" TargetMode="External"/><Relationship Id="rId466" Type="http://schemas.openxmlformats.org/officeDocument/2006/relationships/hyperlink" Target="https://www.sec.gov/Archives/edgar/data/6201/000000620124000048/a102tenthamendmenttotheame.htm" TargetMode="External"/><Relationship Id="rId467" Type="http://schemas.openxmlformats.org/officeDocument/2006/relationships/hyperlink" Target="https://www.sec.gov/Archives/edgar/data/4515/000119312515261937/d945812dex105.htm" TargetMode="External"/><Relationship Id="rId468" Type="http://schemas.openxmlformats.org/officeDocument/2006/relationships/hyperlink" Target="https://www.sec.gov/Archives/edgar/data/4515/000119312516474605/d78287dex108.htm" TargetMode="External"/><Relationship Id="rId469" Type="http://schemas.openxmlformats.org/officeDocument/2006/relationships/hyperlink" Target="https://www.sec.gov/Archives/edgar/data/4515/000119312517140927/d358913dex102.htm" TargetMode="External"/><Relationship Id="rId471" Type="http://schemas.openxmlformats.org/officeDocument/2006/relationships/hyperlink" Target="https://www.sec.gov/Archives/edgar/data/4515/000000620118000009/ex101110k2017.htm" TargetMode="External"/><Relationship Id="rId472" Type="http://schemas.openxmlformats.org/officeDocument/2006/relationships/hyperlink" Target="https://www.sec.gov/Archives/edgar/data/4515/000000620118000027/ex10310qq218.htm" TargetMode="External"/><Relationship Id="rId473" Type="http://schemas.openxmlformats.org/officeDocument/2006/relationships/hyperlink" Target="https://www.sec.gov/Archives/edgar/data/6201/000000620124000010/ex1031-fifthamendmenttoame.htm" TargetMode="External"/><Relationship Id="rId474" Type="http://schemas.openxmlformats.org/officeDocument/2006/relationships/hyperlink" Target="https://www.sec.gov/Archives/edgar/data/4515/000000620120000023/ex101710k2019.htm" TargetMode="External"/><Relationship Id="rId475" Type="http://schemas.openxmlformats.org/officeDocument/2006/relationships/hyperlink" Target="https://www.sec.gov/Archives/edgar/data/6201/000000620124000060/a101seventhamendmenttoamen.htm" TargetMode="External"/><Relationship Id="rId476" Type="http://schemas.openxmlformats.org/officeDocument/2006/relationships/hyperlink" Target="https://www.sec.gov/Archives/edgar/data/6201/000000620124000060/a102eighthamendmenttoamend.htm" TargetMode="External"/><Relationship Id="rId477" Type="http://schemas.openxmlformats.org/officeDocument/2006/relationships/hyperlink" Target="https://www.sec.gov/Archives/edgar/data/6201/000000620124000048/a101ninthamendmenttoamende.htm" TargetMode="External"/><Relationship Id="rId478" Type="http://schemas.openxmlformats.org/officeDocument/2006/relationships/hyperlink" Target="https://www.sec.gov/Archives/edgar/data/6201/000119312524284304/d714079dex101.htm" TargetMode="External"/><Relationship Id="rId479" Type="http://schemas.openxmlformats.org/officeDocument/2006/relationships/hyperlink" Target="https://www.sec.gov/Archives/edgar/data/4515/000119312516654354/d204187dex102.htm" TargetMode="External"/><Relationship Id="rId480" Type="http://schemas.openxmlformats.org/officeDocument/2006/relationships/hyperlink" Target="https://www.sec.gov/Archives/edgar/data/4515/000119312517051216/d286458dex1081.htm" TargetMode="External"/><Relationship Id="rId481" Type="http://schemas.openxmlformats.org/officeDocument/2006/relationships/hyperlink" Target="https://www.sec.gov/Archives/edgar/data/4515/000000620118000009/ex101510k2017.htm" TargetMode="External"/><Relationship Id="rId483" Type="http://schemas.openxmlformats.org/officeDocument/2006/relationships/hyperlink" Target="https://www.sec.gov/Archives/edgar/data/4515/000000620118000009/ex101610k2017.htm" TargetMode="External"/><Relationship Id="rId484" Type="http://schemas.openxmlformats.org/officeDocument/2006/relationships/hyperlink" Target="https://www.sec.gov/Archives/edgar/data/6201/000000620124000010/ex1037-fourthamendmenttoam.htm" TargetMode="External"/><Relationship Id="rId485" Type="http://schemas.openxmlformats.org/officeDocument/2006/relationships/hyperlink" Target="https://www.sec.gov/Archives/edgar/data/4515/000000620120000023/ex102310k2019.htm" TargetMode="External"/><Relationship Id="rId486" Type="http://schemas.openxmlformats.org/officeDocument/2006/relationships/hyperlink" Target="https://www.sec.gov/Archives/edgar/data/6201/000000620124000060/a103sixthamendmenttocredit.htm" TargetMode="External"/><Relationship Id="rId487" Type="http://schemas.openxmlformats.org/officeDocument/2006/relationships/hyperlink" Target="https://www.sec.gov/Archives/edgar/data/6201/000000620122000026/ex1038purchaseagreementno3.htm" TargetMode="External"/><Relationship Id="rId488" Type="http://schemas.openxmlformats.org/officeDocument/2006/relationships/hyperlink" Target="https://www.sec.gov/Archives/edgar/data/6201/000000620122000026/ex1039supplementalagreemen.htm" TargetMode="External"/><Relationship Id="rId489" Type="http://schemas.openxmlformats.org/officeDocument/2006/relationships/hyperlink" Target="https://www.sec.gov/Archives/edgar/data/6201/000000620122000026/ex1040supplementalagreemen.htm" TargetMode="External"/><Relationship Id="rId490" Type="http://schemas.openxmlformats.org/officeDocument/2006/relationships/hyperlink" Target="https://www.sec.gov/Archives/edgar/data/6201/000000620122000026/ex1041supplementalagreemen.htm" TargetMode="External"/><Relationship Id="rId491" Type="http://schemas.openxmlformats.org/officeDocument/2006/relationships/hyperlink" Target="https://www.sec.gov/Archives/edgar/data/6201/000000620122000026/ex1042supplementalagreemen.htm" TargetMode="External"/><Relationship Id="rId492" Type="http://schemas.openxmlformats.org/officeDocument/2006/relationships/hyperlink" Target="https://www.sec.gov/Archives/edgar/data/6201/000000620122000026/ex1043supplementalagreemen.htm" TargetMode="External"/><Relationship Id="rId493" Type="http://schemas.openxmlformats.org/officeDocument/2006/relationships/hyperlink" Target="https://www.sec.gov/Archives/edgar/data/6201/000000620122000026/ex1044supplementalagreemen.htm" TargetMode="External"/><Relationship Id="rId494" Type="http://schemas.openxmlformats.org/officeDocument/2006/relationships/hyperlink" Target="https://www.sec.gov/Archives/edgar/data/6201/000000620122000026/ex1045supplementalagreemen.htm" TargetMode="External"/><Relationship Id="rId495" Type="http://schemas.openxmlformats.org/officeDocument/2006/relationships/hyperlink" Target="https://www.sec.gov/Archives/edgar/data/6201/000000620122000026/ex1046supplementalagreemen.htm" TargetMode="External"/><Relationship Id="rId497" Type="http://schemas.openxmlformats.org/officeDocument/2006/relationships/hyperlink" Target="https://www.sec.gov/Archives/edgar/data/6201/000000620122000026/ex1047supplementalagreemen.htm" TargetMode="External"/><Relationship Id="rId498" Type="http://schemas.openxmlformats.org/officeDocument/2006/relationships/hyperlink" Target="https://www.sec.gov/Archives/edgar/data/4515/000000620118000027/ex10110qq218.htm" TargetMode="External"/><Relationship Id="rId499" Type="http://schemas.openxmlformats.org/officeDocument/2006/relationships/hyperlink" Target="https://www.sec.gov/Archives/edgar/data/4515/000000620119000053/ex101q21910q.htm" TargetMode="External"/><Relationship Id="rId500" Type="http://schemas.openxmlformats.org/officeDocument/2006/relationships/hyperlink" Target="https://www.sec.gov/Archives/edgar/data/4515/000000620119000067/ex101q31910q.htm" TargetMode="External"/><Relationship Id="rId501" Type="http://schemas.openxmlformats.org/officeDocument/2006/relationships/hyperlink" Target="https://www.sec.gov/Archives/edgar/data/4515/000000620120000066/ex101q12010q.htm" TargetMode="External"/><Relationship Id="rId502" Type="http://schemas.openxmlformats.org/officeDocument/2006/relationships/hyperlink" Target="https://www.sec.gov/Archives/edgar/data/6201/000000620120000066/ex102q12010q.htm" TargetMode="External"/><Relationship Id="rId503" Type="http://schemas.openxmlformats.org/officeDocument/2006/relationships/hyperlink" Target="https://www.sec.gov/Archives/edgar/data/4515/000000620121000080/ex104q221supplementalagree.htm" TargetMode="External"/><Relationship Id="rId504" Type="http://schemas.openxmlformats.org/officeDocument/2006/relationships/hyperlink" Target="https://www.sec.gov/Archives/edgar/data/6201/000000620122000046/ex101q122supplementalagree.htm" TargetMode="External"/><Relationship Id="rId505" Type="http://schemas.openxmlformats.org/officeDocument/2006/relationships/hyperlink" Target="https://www.sec.gov/Archives/edgar/data/6201/000000620123000042/a102supplementalagreementn.htm" TargetMode="External"/><Relationship Id="rId506" Type="http://schemas.openxmlformats.org/officeDocument/2006/relationships/hyperlink" Target="https://www.sec.gov/Archives/edgar/data/6201/000000620123000070/a101supplementalagreementn.htm" TargetMode="External"/><Relationship Id="rId507" Type="http://schemas.openxmlformats.org/officeDocument/2006/relationships/hyperlink" Target="https://www.sec.gov/Archives/edgar/data/6201/000000620123000092/a102supplementalagreementn.htm" TargetMode="External"/><Relationship Id="rId508" Type="http://schemas.openxmlformats.org/officeDocument/2006/relationships/hyperlink" Target="https://www.sec.gov/Archives/edgar/data/6201/000000620124000032/a102supplementalagreementn.htm" TargetMode="External"/><Relationship Id="rId509" Type="http://schemas.openxmlformats.org/officeDocument/2006/relationships/hyperlink" Target="https://www.sec.gov/Archives/edgar/data/4515/000000620121000014/a1046a320agreement.htm" TargetMode="External"/><Relationship Id="rId510" Type="http://schemas.openxmlformats.org/officeDocument/2006/relationships/hyperlink" Target="https://www.sec.gov/Archives/edgar/data/4515/000000620121000014/a1047amendmentno1tothea320.htm" TargetMode="External"/><Relationship Id="rId511" Type="http://schemas.openxmlformats.org/officeDocument/2006/relationships/hyperlink" Target="https://www.sec.gov/Archives/edgar/data/4515/000000620121000014/a1048amendmentno2tothea320.htm" TargetMode="External"/><Relationship Id="rId513" Type="http://schemas.openxmlformats.org/officeDocument/2006/relationships/hyperlink" Target="https://www.sec.gov/Archives/edgar/data/4515/000000620121000014/a1049amendmentno3tothea320.htm" TargetMode="External"/><Relationship Id="rId514" Type="http://schemas.openxmlformats.org/officeDocument/2006/relationships/hyperlink" Target="https://www.sec.gov/Archives/edgar/data/4515/000000620121000014/a1050amendmentno4tothea320.htm" TargetMode="External"/><Relationship Id="rId515" Type="http://schemas.openxmlformats.org/officeDocument/2006/relationships/hyperlink" Target="https://www.sec.gov/Archives/edgar/data/4515/000000620121000014/a1051amendmentno5tothea320.htm" TargetMode="External"/><Relationship Id="rId516" Type="http://schemas.openxmlformats.org/officeDocument/2006/relationships/hyperlink" Target="https://www.sec.gov/Archives/edgar/data/4515/000000620121000014/a1052amendmentno6tothea320.htm" TargetMode="External"/><Relationship Id="rId517" Type="http://schemas.openxmlformats.org/officeDocument/2006/relationships/hyperlink" Target="https://www.sec.gov/Archives/edgar/data/4515/000000620121000014/a1053amendmentno7tothea320.htm" TargetMode="External"/><Relationship Id="rId518" Type="http://schemas.openxmlformats.org/officeDocument/2006/relationships/hyperlink" Target="https://www.sec.gov/Archives/edgar/data/4515/000000620121000014/a1054amendmentno8tothea320.htm" TargetMode="External"/><Relationship Id="rId519" Type="http://schemas.openxmlformats.org/officeDocument/2006/relationships/hyperlink" Target="https://www.sec.gov/Archives/edgar/data/4515/000000620121000014/a1055amendmentno9tothea320.htm" TargetMode="External"/><Relationship Id="rId520" Type="http://schemas.openxmlformats.org/officeDocument/2006/relationships/hyperlink" Target="https://www.sec.gov/Archives/edgar/data/4515/000000620121000014/a1056amendmentno10tothea32.htm" TargetMode="External"/><Relationship Id="rId521" Type="http://schemas.openxmlformats.org/officeDocument/2006/relationships/hyperlink" Target="https://www.sec.gov/Archives/edgar/data/4515/000000620119000053/ex102q21910q.htm" TargetMode="External"/><Relationship Id="rId522" Type="http://schemas.openxmlformats.org/officeDocument/2006/relationships/hyperlink" Target="https://www.sec.gov/Archives/edgar/data/4515/000000620120000089/ex103q22010q.htm" TargetMode="External"/><Relationship Id="rId523" Type="http://schemas.openxmlformats.org/officeDocument/2006/relationships/hyperlink" Target="https://www.sec.gov/Archives/edgar/data/4515/000000620120000101/ex102q32010-q.htm" TargetMode="External"/><Relationship Id="rId524" Type="http://schemas.openxmlformats.org/officeDocument/2006/relationships/hyperlink" Target="https://www.sec.gov/Archives/edgar/data/4515/000000620121000014/exhibit1060q42010-k.htm" TargetMode="External"/><Relationship Id="rId525" Type="http://schemas.openxmlformats.org/officeDocument/2006/relationships/hyperlink" Target="https://www.sec.gov/Archives/edgar/data/4515/000000620121000098/ex102q321amendmentno15.htm" TargetMode="External"/><Relationship Id="rId526" Type="http://schemas.openxmlformats.org/officeDocument/2006/relationships/hyperlink" Target="https://www.sec.gov/Archives/edgar/data/6201/000000620124000032/a101amendmentno16toa3amily.htm" TargetMode="External"/><Relationship Id="rId528" Type="http://schemas.openxmlformats.org/officeDocument/2006/relationships/hyperlink" Target="https://www.sec.gov/Archives/edgar/data/6201/000000620122000026/ex1069purchaseagreementno0.htm" TargetMode="External"/><Relationship Id="rId529" Type="http://schemas.openxmlformats.org/officeDocument/2006/relationships/hyperlink" Target="https://www.sec.gov/Archives/edgar/data/6201/000000620122000026/ex1070supplementalagreemen.htm" TargetMode="External"/><Relationship Id="rId530" Type="http://schemas.openxmlformats.org/officeDocument/2006/relationships/hyperlink" Target="https://www.sec.gov/Archives/edgar/data/6201/000000620122000026/ex1071supplementalagreemen.htm" TargetMode="External"/><Relationship Id="rId531" Type="http://schemas.openxmlformats.org/officeDocument/2006/relationships/hyperlink" Target="https://www.sec.gov/Archives/edgar/data/6201/000000620122000026/ex1072supplementalagreemen.htm" TargetMode="External"/><Relationship Id="rId532" Type="http://schemas.openxmlformats.org/officeDocument/2006/relationships/hyperlink" Target="https://www.sec.gov/Archives/edgar/data/6201/000000620122000026/ex1073letteragreementtomax.htm" TargetMode="External"/><Relationship Id="rId533" Type="http://schemas.openxmlformats.org/officeDocument/2006/relationships/hyperlink" Target="https://www.sec.gov/Archives/edgar/data/6201/000000620122000026/ex1074supplementalagreemen.htm" TargetMode="External"/><Relationship Id="rId534" Type="http://schemas.openxmlformats.org/officeDocument/2006/relationships/hyperlink" Target="https://www.sec.gov/Archives/edgar/data/6201/000000620124000010/ex1081-supplementalagreeme.htm" TargetMode="External"/><Relationship Id="rId535" Type="http://schemas.openxmlformats.org/officeDocument/2006/relationships/hyperlink" Target="https://www.sec.gov/Archives/edgar/data/6201/000000620122000026/ex1076supplementalagreemen.htm" TargetMode="External"/><Relationship Id="rId536" Type="http://schemas.openxmlformats.org/officeDocument/2006/relationships/hyperlink" Target="https://www.sec.gov/Archives/edgar/data/6201/000000620122000026/ex1077supplementalagreemen.htm" TargetMode="External"/><Relationship Id="rId537" Type="http://schemas.openxmlformats.org/officeDocument/2006/relationships/hyperlink" Target="https://www.sec.gov/Archives/edgar/data/4515/000000620118000009/ex104510k2017.htm" TargetMode="External"/><Relationship Id="rId538" Type="http://schemas.openxmlformats.org/officeDocument/2006/relationships/hyperlink" Target="https://www.sec.gov/Archives/edgar/data/4515/000000620118000027/ex10210qq218.htm" TargetMode="External"/><Relationship Id="rId539" Type="http://schemas.openxmlformats.org/officeDocument/2006/relationships/hyperlink" Target="https://www.sec.gov/Archives/edgar/data/4515/000000620119000023/ex10110q2019.htm" TargetMode="External"/><Relationship Id="rId540" Type="http://schemas.openxmlformats.org/officeDocument/2006/relationships/hyperlink" Target="https://www.sec.gov/Archives/edgar/data/4515/000000620120000101/ex103q32010-q.htm" TargetMode="External"/><Relationship Id="rId541" Type="http://schemas.openxmlformats.org/officeDocument/2006/relationships/hyperlink" Target="https://www.sec.gov/Archives/edgar/data/4515/000000620121000014/exhibit1074q42010-k.htm" TargetMode="External"/><Relationship Id="rId543" Type="http://schemas.openxmlformats.org/officeDocument/2006/relationships/hyperlink" Target="https://www.sec.gov/Archives/edgar/data/4515/000000620121000014/exhibit1075q42010-k.htm" TargetMode="External"/><Relationship Id="rId544" Type="http://schemas.openxmlformats.org/officeDocument/2006/relationships/hyperlink" Target="https://www.sec.gov/Archives/edgar/data/4515/000000620121000014/exhibit1076q42010-k.htm" TargetMode="External"/><Relationship Id="rId545" Type="http://schemas.openxmlformats.org/officeDocument/2006/relationships/hyperlink" Target="https://www.sec.gov/Archives/edgar/data/4515/000000620121000014/exhibit1077q42010-k.htm" TargetMode="External"/><Relationship Id="rId546" Type="http://schemas.openxmlformats.org/officeDocument/2006/relationships/hyperlink" Target="https://www.sec.gov/Archives/edgar/data/4515/000000620121000014/exhibit1078q42010-k.htm" TargetMode="External"/><Relationship Id="rId547" Type="http://schemas.openxmlformats.org/officeDocument/2006/relationships/hyperlink" Target="https://www.sec.gov/Archives/edgar/data/4515/000000620121000014/exhibit1079q42010-k.htm" TargetMode="External"/><Relationship Id="rId548" Type="http://schemas.openxmlformats.org/officeDocument/2006/relationships/hyperlink" Target="https://www.sec.gov/Archives/edgar/data/4515/000000620121000054/ex105q121compiledredacteds.htm" TargetMode="External"/><Relationship Id="rId549" Type="http://schemas.openxmlformats.org/officeDocument/2006/relationships/hyperlink" Target="https://www.sec.gov/Archives/edgar/data/4515/000000620121000054/ex106q121compiledredacteds.htm" TargetMode="External"/><Relationship Id="rId550" Type="http://schemas.openxmlformats.org/officeDocument/2006/relationships/hyperlink" Target="https://www.sec.gov/Archives/edgar/data/4515/000000620121000054/ex107q121compiledredacteds.htm" TargetMode="External"/><Relationship Id="rId551" Type="http://schemas.openxmlformats.org/officeDocument/2006/relationships/hyperlink" Target="https://www.sec.gov/Archives/edgar/data/4515/000000620121000080/ex105q221supplementalagree.htm" TargetMode="External"/><Relationship Id="rId552" Type="http://schemas.openxmlformats.org/officeDocument/2006/relationships/hyperlink" Target="https://www.sec.gov/Archives/edgar/data/6201/000000620122000026/exhibit1092q42110-k.htm" TargetMode="External"/><Relationship Id="rId553" Type="http://schemas.openxmlformats.org/officeDocument/2006/relationships/hyperlink" Target="https://www.sec.gov/Archives/edgar/data/6201/000000620122000046/ex102q122supplementalagree.htm" TargetMode="External"/><Relationship Id="rId554" Type="http://schemas.openxmlformats.org/officeDocument/2006/relationships/hyperlink" Target="https://www.sec.gov/Archives/edgar/data/6201/000000620122000046/ex103q122supplementalagree.htm" TargetMode="External"/><Relationship Id="rId555" Type="http://schemas.openxmlformats.org/officeDocument/2006/relationships/hyperlink" Target="https://www.sec.gov/Archives/edgar/data/6201/000000620122000071/ex101q222supplementalagree.htm" TargetMode="External"/><Relationship Id="rId556" Type="http://schemas.openxmlformats.org/officeDocument/2006/relationships/hyperlink" Target="https://www.sec.gov/Archives/edgar/data/6201/000000620122000071/ex102q222supplementalagree.htm" TargetMode="External"/><Relationship Id="rId558" Type="http://schemas.openxmlformats.org/officeDocument/2006/relationships/hyperlink" Target="https://www.sec.gov/Archives/edgar/data/6201/000000620122000086/ex101q322supplementalagree.htm" TargetMode="External"/><Relationship Id="rId559" Type="http://schemas.openxmlformats.org/officeDocument/2006/relationships/hyperlink" Target="https://www.sec.gov/Archives/edgar/data/6201/000000620122000086/ex102q322supplementalagree.htm" TargetMode="External"/><Relationship Id="rId560" Type="http://schemas.openxmlformats.org/officeDocument/2006/relationships/hyperlink" Target="https://www.sec.gov/Archives/edgar/data/6201/000000620123000018/exhibit10101supplementalag.htm" TargetMode="External"/><Relationship Id="rId561" Type="http://schemas.openxmlformats.org/officeDocument/2006/relationships/hyperlink" Target="https://www.sec.gov/Archives/edgar/data/6201/000000620123000018/exhibit10102supplementalag.htm" TargetMode="External"/><Relationship Id="rId562" Type="http://schemas.openxmlformats.org/officeDocument/2006/relationships/hyperlink" Target="https://www.sec.gov/Archives/edgar/data/6201/000000620123000070/a102supplementalagreementn.htm" TargetMode="External"/><Relationship Id="rId563" Type="http://schemas.openxmlformats.org/officeDocument/2006/relationships/hyperlink" Target="https://www.sec.gov/Archives/edgar/data/6201/000000620123000070/a103supplementalagreementn.htm" TargetMode="External"/><Relationship Id="rId564" Type="http://schemas.openxmlformats.org/officeDocument/2006/relationships/hyperlink" Target="https://www.sec.gov/Archives/edgar/data/6201/000000620123000092/a101supplementalagreementn.htm" TargetMode="External"/><Relationship Id="rId565" Type="http://schemas.openxmlformats.org/officeDocument/2006/relationships/hyperlink" Target="https://www.sec.gov/Archives/edgar/data/6201/000000620124000032/a103supplementagreementno3.htm" TargetMode="External"/><Relationship Id="rId566" Type="http://schemas.openxmlformats.org/officeDocument/2006/relationships/hyperlink" Target="https://www.sec.gov/Archives/edgar/data/6201/000000620124000060/a105supplementalagreementn.htm" TargetMode="External"/><Relationship Id="rId567" Type="http://schemas.openxmlformats.org/officeDocument/2006/relationships/hyperlink" Target="https://www.sec.gov/Archives/edgar/data/6201/000000620122000026/ex1095consentagreement.htm" TargetMode="External"/><Relationship Id="rId568" Type="http://schemas.openxmlformats.org/officeDocument/2006/relationships/hyperlink" Target="https://www.sec.gov/Archives/edgar/data/6201/000000620109000009/ex10127.htm" TargetMode="External"/><Relationship Id="rId569" Type="http://schemas.openxmlformats.org/officeDocument/2006/relationships/hyperlink" Target="https://www.sec.gov/Archives/edgar/data/6201/000000620109000009/ex10128.htm" TargetMode="External"/><Relationship Id="rId570" Type="http://schemas.openxmlformats.org/officeDocument/2006/relationships/hyperlink" Target="https://www.sec.gov/Archives/edgar/data/6201/000000620109000009/ex10129.htm" TargetMode="External"/><Relationship Id="rId571" Type="http://schemas.openxmlformats.org/officeDocument/2006/relationships/hyperlink" Target="https://www.sec.gov/Archives/edgar/data/6201/000119312513462268/d639480dex41.htm" TargetMode="External"/><Relationship Id="rId572" Type="http://schemas.openxmlformats.org/officeDocument/2006/relationships/hyperlink" Target="https://www.sec.gov/Archives/edgar/data/4515/000000620118000009/ex106410k2017.htm" TargetMode="External"/><Relationship Id="rId573" Type="http://schemas.openxmlformats.org/officeDocument/2006/relationships/hyperlink" Target="https://www.sec.gov/Archives/edgar/data/4515/000000620114000004/d682697dex10125.htm" TargetMode="External"/><Relationship Id="rId575" Type="http://schemas.openxmlformats.org/officeDocument/2006/relationships/hyperlink" Target="https://www.sec.gov/Archives/edgar/data/4515/000000620114000004/d682697dex10127.htm" TargetMode="External"/><Relationship Id="rId576" Type="http://schemas.openxmlformats.org/officeDocument/2006/relationships/hyperlink" Target="https://www.sec.gov/Archives/edgar/data/4515/000000620114000004/d682697dex10129.htm" TargetMode="External"/><Relationship Id="rId577" Type="http://schemas.openxmlformats.org/officeDocument/2006/relationships/hyperlink" Target="https://www.sec.gov/Archives/edgar/data/4515/000119312513466973/d640718dex109.htm" TargetMode="External"/><Relationship Id="rId578" Type="http://schemas.openxmlformats.org/officeDocument/2006/relationships/hyperlink" Target="https://www.sec.gov/Archives/edgar/data/4515/000000620114000014/d759439dex108.htm" TargetMode="External"/><Relationship Id="rId579" Type="http://schemas.openxmlformats.org/officeDocument/2006/relationships/hyperlink" Target="https://www.sec.gov/Archives/edgar/data/6201/000119312523140693/d373657dex991.htm" TargetMode="External"/><Relationship Id="rId580" Type="http://schemas.openxmlformats.org/officeDocument/2006/relationships/hyperlink" Target="https://www.sec.gov/Archives/edgar/data/6201/000000620124000010/ex10122incentiveawardplanr.htm" TargetMode="External"/><Relationship Id="rId582" Type="http://schemas.openxmlformats.org/officeDocument/2006/relationships/hyperlink" Target="https://www.sec.gov/Archives/edgar/data/701345/000095015308000353/p75006exv10w106.htm" TargetMode="External"/><Relationship Id="rId583" Type="http://schemas.openxmlformats.org/officeDocument/2006/relationships/hyperlink" Target="https://www.sec.gov/Archives/edgar/data/701345/000095015307002500/p74691exv10w1.htm" TargetMode="External"/><Relationship Id="rId584" Type="http://schemas.openxmlformats.org/officeDocument/2006/relationships/hyperlink" Target="https://www.sec.gov/Archives/edgar/data/4515/000119312517150428/d369665dex101.htm" TargetMode="External"/><Relationship Id="rId585" Type="http://schemas.openxmlformats.org/officeDocument/2006/relationships/hyperlink" Target="https://www.sec.gov/Archives/edgar/data/4515/000119312516566426/d189148dex101.htm" TargetMode="External"/><Relationship Id="rId586" Type="http://schemas.openxmlformats.org/officeDocument/2006/relationships/hyperlink" Target="https://www.sec.gov/Archives/edgar/data/4515/000000620121000080/ex101aapsp3-psp3agreement.htm" TargetMode="External"/><Relationship Id="rId587" Type="http://schemas.openxmlformats.org/officeDocument/2006/relationships/hyperlink" Target="https://www.sec.gov/Archives/edgar/data/4515/000000620121000080/ex102aapsp3-promissorynote.htm" TargetMode="External"/><Relationship Id="rId588" Type="http://schemas.openxmlformats.org/officeDocument/2006/relationships/hyperlink" Target="https://www.sec.gov/Archives/edgar/data/4515/000000620121000054/ex104q121aadvantagexcredit.htm" TargetMode="External"/><Relationship Id="rId589" Type="http://schemas.openxmlformats.org/officeDocument/2006/relationships/hyperlink" Target="https://www.sec.gov/Archives/edgar/data/6201/000000620124000010/ex10130severanceagreementf.htm" TargetMode="External"/><Relationship Id="rId590" Type="http://schemas.openxmlformats.org/officeDocument/2006/relationships/hyperlink" Target="https://www.sec.gov/Archives/edgar/data/6201/000000620124000032/a104severanceagreementfors.htm" TargetMode="External"/><Relationship Id="rId591" Type="http://schemas.openxmlformats.org/officeDocument/2006/relationships/hyperlink" Target="https://www.sec.gov/Archives/edgar/data/6201/000000620123000092/a105severanceagreementford.htm" TargetMode="External"/><Relationship Id="rId592" Type="http://schemas.openxmlformats.org/officeDocument/2006/relationships/hyperlink" Target="https://www.sec.gov/Archives/edgar/data/6201/000000620124000032/a105severanceagreementford.htm" TargetMode="External"/><Relationship Id="rId593" Type="http://schemas.openxmlformats.org/officeDocument/2006/relationships/hyperlink" Target="https://www.sec.gov/Archives/edgar/data/6201/000119312524178619/d729729dex991.htm" TargetMode="External"/><Relationship Id="rId595" Type="http://schemas.openxmlformats.org/officeDocument/2006/relationships/hyperlink" Target="https://www.sec.gov/Archives/edgar/data/6201/000119312523288364/d247933dex43.htm" TargetMode="External"/><Relationship Id="rId596" Type="http://schemas.openxmlformats.org/officeDocument/2006/relationships/hyperlink" Target="https://www.sec.gov/Archives/edgar/data/6201/000000620124000048/a103firstamendmenttocredit.htm" TargetMode="External"/><Relationship Id="rId597" Type="http://schemas.openxmlformats.org/officeDocument/2006/relationships/hyperlink" Target="https://www.sec.gov/Archives/edgar/data/6201/000000620124000048/a104secondamendmenttocredi.htm" TargetMode="External"/><Relationship Id="rId598" Type="http://schemas.openxmlformats.org/officeDocument/2006/relationships/hyperlink" Target="https://www.sec.gov/Archives/edgar/data/6201/000119312524284304/d714079dex102.htm" TargetMode="External"/><Relationship Id="rId599" Type="http://schemas.openxmlformats.org/officeDocument/2006/relationships/hyperlink" Target="https://www.sec.gov/Archives/edgar/data/4515/000119312513466973/d640718dex141.htm" TargetMode="External"/><Relationship Id="rId600" Type="http://schemas.openxmlformats.org/officeDocument/2006/relationships/hyperlink" Target="https://www.sec.gov/Archives/edgar/data/6201/000000620124000010/ex971americanairlines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2025-02-19T16:05:06Z</dcterms:created>
  <dcterms:modified xsi:type="dcterms:W3CDTF">2025-02-19T16:05:06Z</dcterms:modified>
</cp:coreProperties>
</file>