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217170</wp:posOffset>
            </wp:positionV>
            <wp:extent cx="6857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7365"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267970</wp:posOffset>
            </wp:positionV>
            <wp:extent cx="68573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435363"/>
        </w:rPr>
        <w:t>UNITED STATES</w:t>
      </w:r>
    </w:p>
    <w:p>
      <w:pPr>
        <w:spacing w:after="0" w:line="35" w:lineRule="exact"/>
        <w:rPr>
          <w:sz w:val="24"/>
          <w:szCs w:val="24"/>
          <w:color w:val="auto"/>
        </w:rPr>
      </w:pPr>
    </w:p>
    <w:p>
      <w:pPr>
        <w:jc w:val="center"/>
        <w:ind w:right="-1120"/>
        <w:spacing w:after="0"/>
        <w:rPr>
          <w:sz w:val="20"/>
          <w:szCs w:val="20"/>
          <w:color w:val="auto"/>
        </w:rPr>
      </w:pPr>
      <w:r>
        <w:rPr>
          <w:rFonts w:ascii="Arial" w:cs="Arial" w:eastAsia="Arial" w:hAnsi="Arial"/>
          <w:sz w:val="31"/>
          <w:szCs w:val="31"/>
          <w:b w:val="1"/>
          <w:bCs w:val="1"/>
          <w:color w:val="435363"/>
        </w:rPr>
        <w:t>SECURITIES AND EXCHANGE COMMISSION</w:t>
      </w:r>
    </w:p>
    <w:p>
      <w:pPr>
        <w:spacing w:after="0" w:line="12" w:lineRule="exact"/>
        <w:rPr>
          <w:sz w:val="24"/>
          <w:szCs w:val="24"/>
          <w:color w:val="auto"/>
        </w:rPr>
      </w:pPr>
    </w:p>
    <w:p>
      <w:pPr>
        <w:ind w:left="4720"/>
        <w:spacing w:after="0"/>
        <w:rPr>
          <w:sz w:val="20"/>
          <w:szCs w:val="20"/>
          <w:color w:val="auto"/>
        </w:rPr>
      </w:pPr>
      <w:r>
        <w:rPr>
          <w:rFonts w:ascii="Arial" w:cs="Arial" w:eastAsia="Arial" w:hAnsi="Arial"/>
          <w:sz w:val="16"/>
          <w:szCs w:val="16"/>
          <w:b w:val="1"/>
          <w:bCs w:val="1"/>
          <w:color w:val="435363"/>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218440</wp:posOffset>
            </wp:positionV>
            <wp:extent cx="1437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435363"/>
        </w:rPr>
        <w:t>SCHEDULE 14A</w:t>
      </w:r>
    </w:p>
    <w:p>
      <w:pPr>
        <w:spacing w:after="0" w:line="15"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435363"/>
        </w:rPr>
        <w:t>(Rule 14a-101)</w:t>
      </w:r>
    </w:p>
    <w:p>
      <w:pPr>
        <w:jc w:val="center"/>
        <w:ind w:right="-1120"/>
        <w:spacing w:after="0" w:line="236" w:lineRule="auto"/>
        <w:rPr>
          <w:sz w:val="20"/>
          <w:szCs w:val="20"/>
          <w:color w:val="auto"/>
        </w:rPr>
      </w:pPr>
      <w:r>
        <w:rPr>
          <w:rFonts w:ascii="Arial" w:cs="Arial" w:eastAsia="Arial" w:hAnsi="Arial"/>
          <w:sz w:val="21"/>
          <w:szCs w:val="21"/>
          <w:b w:val="1"/>
          <w:bCs w:val="1"/>
          <w:color w:val="435363"/>
        </w:rPr>
        <w:t>INFORMATION REQUIRED IN PROXY STATEMENT</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435363"/>
        </w:rPr>
        <w:t>SCHEDULE 14A INFORMATION</w:t>
      </w:r>
    </w:p>
    <w:p>
      <w:pPr>
        <w:spacing w:after="0" w:line="81"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435363"/>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435363"/>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435363"/>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218440</wp:posOffset>
            </wp:positionV>
            <wp:extent cx="1437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220"/>
        <w:spacing w:after="0" w:line="207" w:lineRule="exact"/>
        <w:rPr>
          <w:sz w:val="20"/>
          <w:szCs w:val="20"/>
          <w:color w:val="auto"/>
        </w:rPr>
      </w:pPr>
      <w:r>
        <w:rPr>
          <w:rFonts w:ascii="Arial" w:cs="Arial" w:eastAsia="Arial" w:hAnsi="Arial"/>
          <w:sz w:val="18"/>
          <w:szCs w:val="18"/>
          <w:color w:val="435363"/>
        </w:rPr>
        <w:t xml:space="preserve">Filed by the Registrant </w:t>
      </w:r>
      <w:r>
        <w:rPr>
          <w:rFonts w:ascii="MS PGothic" w:cs="MS PGothic" w:eastAsia="MS PGothic" w:hAnsi="MS PGothic"/>
          <w:sz w:val="18"/>
          <w:szCs w:val="18"/>
          <w:color w:val="435363"/>
        </w:rPr>
        <w:t>☒</w:t>
      </w:r>
    </w:p>
    <w:p>
      <w:pPr>
        <w:spacing w:after="0" w:line="217" w:lineRule="exact"/>
        <w:rPr>
          <w:sz w:val="24"/>
          <w:szCs w:val="24"/>
          <w:color w:val="auto"/>
        </w:rPr>
      </w:pPr>
    </w:p>
    <w:p>
      <w:pPr>
        <w:ind w:left="220"/>
        <w:spacing w:after="0" w:line="207" w:lineRule="exact"/>
        <w:rPr>
          <w:sz w:val="20"/>
          <w:szCs w:val="20"/>
          <w:color w:val="auto"/>
        </w:rPr>
      </w:pPr>
      <w:r>
        <w:rPr>
          <w:rFonts w:ascii="Arial" w:cs="Arial" w:eastAsia="Arial" w:hAnsi="Arial"/>
          <w:sz w:val="18"/>
          <w:szCs w:val="18"/>
          <w:color w:val="435363"/>
        </w:rPr>
        <w:t xml:space="preserve">Filed by a Party other than the Registrant </w:t>
      </w:r>
      <w:r>
        <w:rPr>
          <w:rFonts w:ascii="MS PGothic" w:cs="MS PGothic" w:eastAsia="MS PGothic" w:hAnsi="MS PGothic"/>
          <w:sz w:val="18"/>
          <w:szCs w:val="18"/>
          <w:color w:val="435363"/>
        </w:rPr>
        <w:t>☐</w:t>
      </w:r>
    </w:p>
    <w:p>
      <w:pPr>
        <w:spacing w:after="0" w:line="200" w:lineRule="exact"/>
        <w:rPr>
          <w:sz w:val="24"/>
          <w:szCs w:val="24"/>
          <w:color w:val="auto"/>
        </w:rPr>
      </w:pPr>
    </w:p>
    <w:p>
      <w:pPr>
        <w:spacing w:after="0" w:line="268" w:lineRule="exact"/>
        <w:rPr>
          <w:sz w:val="24"/>
          <w:szCs w:val="24"/>
          <w:color w:val="auto"/>
        </w:rPr>
      </w:pPr>
    </w:p>
    <w:p>
      <w:pPr>
        <w:ind w:left="220"/>
        <w:spacing w:after="0"/>
        <w:rPr>
          <w:sz w:val="20"/>
          <w:szCs w:val="20"/>
          <w:color w:val="auto"/>
        </w:rPr>
      </w:pPr>
      <w:r>
        <w:rPr>
          <w:rFonts w:ascii="Arial" w:cs="Arial" w:eastAsia="Arial" w:hAnsi="Arial"/>
          <w:sz w:val="18"/>
          <w:szCs w:val="18"/>
          <w:color w:val="435363"/>
        </w:rPr>
        <w:t>Check the appropriate box:</w:t>
      </w:r>
    </w:p>
    <w:p>
      <w:pPr>
        <w:spacing w:after="0" w:line="230" w:lineRule="exact"/>
        <w:rPr>
          <w:sz w:val="24"/>
          <w:szCs w:val="24"/>
          <w:color w:val="auto"/>
        </w:rPr>
      </w:pPr>
    </w:p>
    <w:p>
      <w:pPr>
        <w:ind w:left="640" w:hanging="416"/>
        <w:spacing w:after="0"/>
        <w:tabs>
          <w:tab w:leader="none" w:pos="640" w:val="left"/>
        </w:tabs>
        <w:numPr>
          <w:ilvl w:val="0"/>
          <w:numId w:val="1"/>
        </w:numPr>
        <w:rPr>
          <w:rFonts w:ascii="MS PGothic" w:cs="MS PGothic" w:eastAsia="MS PGothic" w:hAnsi="MS PGothic"/>
          <w:sz w:val="18"/>
          <w:szCs w:val="18"/>
          <w:color w:val="435363"/>
        </w:rPr>
      </w:pPr>
      <w:r>
        <w:rPr>
          <w:rFonts w:ascii="Arial" w:cs="Arial" w:eastAsia="Arial" w:hAnsi="Arial"/>
          <w:sz w:val="18"/>
          <w:szCs w:val="18"/>
          <w:color w:val="435363"/>
        </w:rPr>
        <w:t>Preliminary Proxy Statement</w:t>
      </w:r>
    </w:p>
    <w:p>
      <w:pPr>
        <w:spacing w:after="0" w:line="241" w:lineRule="exact"/>
        <w:rPr>
          <w:sz w:val="24"/>
          <w:szCs w:val="24"/>
          <w:color w:val="auto"/>
        </w:rPr>
      </w:pPr>
    </w:p>
    <w:p>
      <w:pPr>
        <w:ind w:left="640" w:hanging="416"/>
        <w:spacing w:after="0"/>
        <w:tabs>
          <w:tab w:leader="none" w:pos="640" w:val="left"/>
        </w:tabs>
        <w:numPr>
          <w:ilvl w:val="0"/>
          <w:numId w:val="2"/>
        </w:numPr>
        <w:rPr>
          <w:rFonts w:ascii="MS PGothic" w:cs="MS PGothic" w:eastAsia="MS PGothic" w:hAnsi="MS PGothic"/>
          <w:sz w:val="18"/>
          <w:szCs w:val="18"/>
          <w:color w:val="435363"/>
        </w:rPr>
      </w:pPr>
      <w:r>
        <w:rPr>
          <w:rFonts w:ascii="Arial" w:cs="Arial" w:eastAsia="Arial" w:hAnsi="Arial"/>
          <w:sz w:val="18"/>
          <w:szCs w:val="18"/>
          <w:b w:val="1"/>
          <w:bCs w:val="1"/>
          <w:color w:val="435363"/>
        </w:rPr>
        <w:t>Confidential, for Use of the Commission Only (as permitted by Rule 14a-6(e)(2))</w:t>
      </w:r>
    </w:p>
    <w:p>
      <w:pPr>
        <w:spacing w:after="0" w:line="244" w:lineRule="exact"/>
        <w:rPr>
          <w:rFonts w:ascii="MS PGothic" w:cs="MS PGothic" w:eastAsia="MS PGothic" w:hAnsi="MS PGothic"/>
          <w:sz w:val="18"/>
          <w:szCs w:val="18"/>
          <w:color w:val="435363"/>
        </w:rPr>
      </w:pPr>
    </w:p>
    <w:p>
      <w:pPr>
        <w:ind w:left="640" w:hanging="416"/>
        <w:spacing w:after="0"/>
        <w:tabs>
          <w:tab w:leader="none" w:pos="640" w:val="left"/>
        </w:tabs>
        <w:numPr>
          <w:ilvl w:val="0"/>
          <w:numId w:val="2"/>
        </w:numPr>
        <w:rPr>
          <w:rFonts w:ascii="MS PGothic" w:cs="MS PGothic" w:eastAsia="MS PGothic" w:hAnsi="MS PGothic"/>
          <w:sz w:val="18"/>
          <w:szCs w:val="18"/>
          <w:color w:val="435363"/>
        </w:rPr>
      </w:pPr>
      <w:r>
        <w:rPr>
          <w:rFonts w:ascii="Arial" w:cs="Arial" w:eastAsia="Arial" w:hAnsi="Arial"/>
          <w:sz w:val="18"/>
          <w:szCs w:val="18"/>
          <w:color w:val="435363"/>
        </w:rPr>
        <w:t>Definitive Proxy Statement</w:t>
      </w:r>
    </w:p>
    <w:p>
      <w:pPr>
        <w:spacing w:after="0" w:line="242" w:lineRule="exact"/>
        <w:rPr>
          <w:rFonts w:ascii="MS PGothic" w:cs="MS PGothic" w:eastAsia="MS PGothic" w:hAnsi="MS PGothic"/>
          <w:sz w:val="18"/>
          <w:szCs w:val="18"/>
          <w:color w:val="435363"/>
        </w:rPr>
      </w:pPr>
    </w:p>
    <w:p>
      <w:pPr>
        <w:ind w:left="640" w:hanging="416"/>
        <w:spacing w:after="0"/>
        <w:tabs>
          <w:tab w:leader="none" w:pos="640" w:val="left"/>
        </w:tabs>
        <w:numPr>
          <w:ilvl w:val="0"/>
          <w:numId w:val="2"/>
        </w:numPr>
        <w:rPr>
          <w:rFonts w:ascii="MS PGothic" w:cs="MS PGothic" w:eastAsia="MS PGothic" w:hAnsi="MS PGothic"/>
          <w:sz w:val="18"/>
          <w:szCs w:val="18"/>
          <w:color w:val="435363"/>
        </w:rPr>
      </w:pPr>
      <w:r>
        <w:rPr>
          <w:rFonts w:ascii="Arial" w:cs="Arial" w:eastAsia="Arial" w:hAnsi="Arial"/>
          <w:sz w:val="18"/>
          <w:szCs w:val="18"/>
          <w:color w:val="435363"/>
        </w:rPr>
        <w:t>Definitive Additional Materials</w:t>
      </w:r>
    </w:p>
    <w:p>
      <w:pPr>
        <w:spacing w:after="0" w:line="242" w:lineRule="exact"/>
        <w:rPr>
          <w:rFonts w:ascii="MS PGothic" w:cs="MS PGothic" w:eastAsia="MS PGothic" w:hAnsi="MS PGothic"/>
          <w:sz w:val="18"/>
          <w:szCs w:val="18"/>
          <w:color w:val="435363"/>
        </w:rPr>
      </w:pPr>
    </w:p>
    <w:p>
      <w:pPr>
        <w:ind w:left="640" w:hanging="416"/>
        <w:spacing w:after="0"/>
        <w:tabs>
          <w:tab w:leader="none" w:pos="640" w:val="left"/>
        </w:tabs>
        <w:numPr>
          <w:ilvl w:val="0"/>
          <w:numId w:val="2"/>
        </w:numPr>
        <w:rPr>
          <w:rFonts w:ascii="MS PGothic" w:cs="MS PGothic" w:eastAsia="MS PGothic" w:hAnsi="MS PGothic"/>
          <w:sz w:val="18"/>
          <w:szCs w:val="18"/>
          <w:color w:val="435363"/>
        </w:rPr>
      </w:pPr>
      <w:r>
        <w:rPr>
          <w:rFonts w:ascii="Arial" w:cs="Arial" w:eastAsia="Arial" w:hAnsi="Arial"/>
          <w:sz w:val="18"/>
          <w:szCs w:val="18"/>
          <w:color w:val="435363"/>
        </w:rPr>
        <w:t>Soliciting Material under § 240.14a-12</w:t>
      </w:r>
    </w:p>
    <w:p>
      <w:pPr>
        <w:spacing w:after="0" w:line="205"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435363"/>
        </w:rPr>
        <w:t>AMERICAN AIRLINES GROUP INC.</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435363"/>
        </w:rPr>
        <w:t>(Name of Registrant as Specified in its Charter)</w:t>
      </w:r>
    </w:p>
    <w:p>
      <w:pPr>
        <w:spacing w:after="0" w:line="185"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435363"/>
        </w:rPr>
        <w:t>(Name of Person(s) Filing Proxy Statement, if Other Than the Registrant)</w:t>
      </w:r>
    </w:p>
    <w:p>
      <w:pPr>
        <w:spacing w:after="0" w:line="205" w:lineRule="exact"/>
        <w:rPr>
          <w:sz w:val="24"/>
          <w:szCs w:val="24"/>
          <w:color w:val="auto"/>
        </w:rPr>
      </w:pPr>
    </w:p>
    <w:p>
      <w:pPr>
        <w:ind w:left="220"/>
        <w:spacing w:after="0"/>
        <w:rPr>
          <w:sz w:val="20"/>
          <w:szCs w:val="20"/>
          <w:color w:val="auto"/>
        </w:rPr>
      </w:pPr>
      <w:r>
        <w:rPr>
          <w:rFonts w:ascii="Arial" w:cs="Arial" w:eastAsia="Arial" w:hAnsi="Arial"/>
          <w:sz w:val="18"/>
          <w:szCs w:val="18"/>
          <w:color w:val="435363"/>
        </w:rPr>
        <w:t>Payment of Filing Fee (Check the appropriate box):</w:t>
      </w:r>
    </w:p>
    <w:p>
      <w:pPr>
        <w:spacing w:after="0" w:line="203" w:lineRule="exact"/>
        <w:rPr>
          <w:sz w:val="24"/>
          <w:szCs w:val="24"/>
          <w:color w:val="auto"/>
        </w:rPr>
      </w:pPr>
    </w:p>
    <w:p>
      <w:pPr>
        <w:ind w:left="440" w:hanging="216"/>
        <w:spacing w:after="0"/>
        <w:tabs>
          <w:tab w:leader="none" w:pos="440" w:val="left"/>
        </w:tabs>
        <w:numPr>
          <w:ilvl w:val="0"/>
          <w:numId w:val="3"/>
        </w:numPr>
        <w:rPr>
          <w:rFonts w:ascii="MS PGothic" w:cs="MS PGothic" w:eastAsia="MS PGothic" w:hAnsi="MS PGothic"/>
          <w:sz w:val="18"/>
          <w:szCs w:val="18"/>
          <w:color w:val="435363"/>
        </w:rPr>
      </w:pPr>
      <w:r>
        <w:rPr>
          <w:rFonts w:ascii="Arial" w:cs="Arial" w:eastAsia="Arial" w:hAnsi="Arial"/>
          <w:sz w:val="18"/>
          <w:szCs w:val="18"/>
          <w:color w:val="435363"/>
        </w:rPr>
        <w:t>No fee required.</w:t>
      </w:r>
    </w:p>
    <w:p>
      <w:pPr>
        <w:spacing w:after="0" w:line="217" w:lineRule="exact"/>
        <w:rPr>
          <w:sz w:val="24"/>
          <w:szCs w:val="24"/>
          <w:color w:val="auto"/>
        </w:rPr>
      </w:pPr>
    </w:p>
    <w:p>
      <w:pPr>
        <w:ind w:left="440" w:hanging="216"/>
        <w:spacing w:after="0"/>
        <w:tabs>
          <w:tab w:leader="none" w:pos="440" w:val="left"/>
        </w:tabs>
        <w:numPr>
          <w:ilvl w:val="0"/>
          <w:numId w:val="4"/>
        </w:numPr>
        <w:rPr>
          <w:rFonts w:ascii="MS PGothic" w:cs="MS PGothic" w:eastAsia="MS PGothic" w:hAnsi="MS PGothic"/>
          <w:sz w:val="18"/>
          <w:szCs w:val="18"/>
          <w:color w:val="435363"/>
        </w:rPr>
      </w:pPr>
      <w:r>
        <w:rPr>
          <w:rFonts w:ascii="Arial" w:cs="Arial" w:eastAsia="Arial" w:hAnsi="Arial"/>
          <w:sz w:val="18"/>
          <w:szCs w:val="18"/>
          <w:color w:val="435363"/>
        </w:rPr>
        <w:t>Fee paid previously with preliminary materials.</w:t>
      </w:r>
    </w:p>
    <w:p>
      <w:pPr>
        <w:spacing w:after="0" w:line="216" w:lineRule="exact"/>
        <w:rPr>
          <w:rFonts w:ascii="MS PGothic" w:cs="MS PGothic" w:eastAsia="MS PGothic" w:hAnsi="MS PGothic"/>
          <w:sz w:val="18"/>
          <w:szCs w:val="18"/>
          <w:color w:val="435363"/>
        </w:rPr>
      </w:pPr>
    </w:p>
    <w:p>
      <w:pPr>
        <w:ind w:left="440" w:hanging="216"/>
        <w:spacing w:after="0"/>
        <w:tabs>
          <w:tab w:leader="none" w:pos="440" w:val="left"/>
        </w:tabs>
        <w:numPr>
          <w:ilvl w:val="0"/>
          <w:numId w:val="4"/>
        </w:numPr>
        <w:rPr>
          <w:rFonts w:ascii="MS PGothic" w:cs="MS PGothic" w:eastAsia="MS PGothic" w:hAnsi="MS PGothic"/>
          <w:sz w:val="18"/>
          <w:szCs w:val="18"/>
          <w:color w:val="435363"/>
        </w:rPr>
      </w:pPr>
      <w:r>
        <w:rPr>
          <w:rFonts w:ascii="Arial" w:cs="Arial" w:eastAsia="Arial" w:hAnsi="Arial"/>
          <w:sz w:val="18"/>
          <w:szCs w:val="18"/>
          <w:color w:val="435363"/>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181610</wp:posOffset>
            </wp:positionV>
            <wp:extent cx="68573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7365" cy="825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232410</wp:posOffset>
            </wp:positionV>
            <wp:extent cx="6857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215265</wp:posOffset>
            </wp:positionV>
            <wp:extent cx="6857365" cy="8815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7365" cy="8815705"/>
                    </a:xfrm>
                    <a:prstGeom prst="rect">
                      <a:avLst/>
                    </a:prstGeom>
                    <a:noFill/>
                  </pic:spPr>
                </pic:pic>
              </a:graphicData>
            </a:graphic>
          </wp:anchor>
        </w:drawing>
      </w:r>
    </w:p>
    <w:p>
      <w:pPr>
        <w:sectPr>
          <w:pgSz w:w="11900" w:h="16838" w:orient="portrait"/>
          <w:cols w:equalWidth="0" w:num="1">
            <w:col w:w="10139"/>
          </w:cols>
          <w:pgMar w:left="320" w:top="47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April    , 2024</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3575B3"/>
        </w:rPr>
        <w:t>To Our Stockholders:</w:t>
      </w:r>
    </w:p>
    <w:p>
      <w:pPr>
        <w:spacing w:after="0" w:line="292" w:lineRule="exact"/>
        <w:rPr>
          <w:sz w:val="20"/>
          <w:szCs w:val="20"/>
          <w:color w:val="auto"/>
        </w:rPr>
      </w:pPr>
    </w:p>
    <w:p>
      <w:pPr>
        <w:ind w:left="220"/>
        <w:spacing w:after="0" w:line="244" w:lineRule="auto"/>
        <w:rPr>
          <w:sz w:val="20"/>
          <w:szCs w:val="20"/>
          <w:color w:val="auto"/>
        </w:rPr>
      </w:pPr>
      <w:r>
        <w:rPr>
          <w:rFonts w:ascii="Arial" w:cs="Arial" w:eastAsia="Arial" w:hAnsi="Arial"/>
          <w:sz w:val="16"/>
          <w:szCs w:val="16"/>
          <w:color w:val="435363"/>
        </w:rPr>
        <w:t xml:space="preserve">On behalf of the Board of Directors of American Airlines Group Inc., we invite you to attend the 2024 Annual Meeting of Stockholders to be held on Wednesday, June 5, 2024, at 9:00 a.m., Central Time. As with our recent meetings, this year’s Annual Meeting will be a virtual meeting of stockholders, conducted via live audio webcast. The virtual format provides the opportunity for participation by a broader group of our stockholders and enables stockholders to participate fully, and equally, from any location around the world. You can attend the Annual Meeting via the Internet by registering at </w:t>
      </w:r>
      <w:r>
        <w:rPr>
          <w:rFonts w:ascii="Arial" w:cs="Arial" w:eastAsia="Arial" w:hAnsi="Arial"/>
          <w:sz w:val="16"/>
          <w:szCs w:val="16"/>
          <w:i w:val="1"/>
          <w:iCs w:val="1"/>
          <w:color w:val="435363"/>
        </w:rPr>
        <w:t>www.proxydocs.com/AAL</w:t>
      </w:r>
      <w:r>
        <w:rPr>
          <w:rFonts w:ascii="Arial" w:cs="Arial" w:eastAsia="Arial" w:hAnsi="Arial"/>
          <w:sz w:val="16"/>
          <w:szCs w:val="16"/>
          <w:color w:val="435363"/>
        </w:rPr>
        <w:t xml:space="preserve"> using the control number which appears on your Notice of Internet Availability of Proxy Materials, your proxy card (printed in the gray box), and the instructions that accompanied your proxy materials. You will have the ability to submit questions in advance of, and real-time during, the Annual Meeting via the meeting website.</w:t>
      </w:r>
    </w:p>
    <w:p>
      <w:pPr>
        <w:spacing w:after="0" w:line="187" w:lineRule="exact"/>
        <w:rPr>
          <w:sz w:val="20"/>
          <w:szCs w:val="20"/>
          <w:color w:val="auto"/>
        </w:rPr>
      </w:pPr>
    </w:p>
    <w:p>
      <w:pPr>
        <w:jc w:val="both"/>
        <w:ind w:left="220" w:right="120"/>
        <w:spacing w:after="0" w:line="252" w:lineRule="auto"/>
        <w:rPr>
          <w:sz w:val="20"/>
          <w:szCs w:val="20"/>
          <w:color w:val="auto"/>
        </w:rPr>
      </w:pPr>
      <w:r>
        <w:rPr>
          <w:rFonts w:ascii="Arial" w:cs="Arial" w:eastAsia="Arial" w:hAnsi="Arial"/>
          <w:sz w:val="16"/>
          <w:szCs w:val="16"/>
          <w:color w:val="435363"/>
        </w:rPr>
        <w:t>The attached Notice of 2024 Annual Meeting of Stockholders and Proxy Statement describes the formal business to be transacted and detailed procedures for attending, submitting questions, and voting at the virtual meeting. We have produced an interactive 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435363"/>
        </w:rPr>
        <w:t xml:space="preserve">statement that will provide our stockholders with better capability to navigate through the document, making key information easier to find and evaluate. The interactive proxy statement is accessible at </w:t>
      </w:r>
      <w:r>
        <w:rPr>
          <w:rFonts w:ascii="Arial" w:cs="Arial" w:eastAsia="Arial" w:hAnsi="Arial"/>
          <w:sz w:val="16"/>
          <w:szCs w:val="16"/>
          <w:i w:val="1"/>
          <w:iCs w:val="1"/>
          <w:color w:val="435363"/>
        </w:rPr>
        <w:t xml:space="preserve">www.proxydocs.com/AAL </w:t>
      </w:r>
      <w:r>
        <w:rPr>
          <w:rFonts w:ascii="Arial" w:cs="Arial" w:eastAsia="Arial" w:hAnsi="Arial"/>
          <w:sz w:val="16"/>
          <w:szCs w:val="16"/>
          <w:color w:val="435363"/>
        </w:rPr>
        <w:t>prior to and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-3653155</wp:posOffset>
            </wp:positionH>
            <wp:positionV relativeFrom="paragraph">
              <wp:posOffset>-1674495</wp:posOffset>
            </wp:positionV>
            <wp:extent cx="7177405" cy="54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54610"/>
                    </a:xfrm>
                    <a:prstGeom prst="rect">
                      <a:avLst/>
                    </a:prstGeom>
                    <a:noFill/>
                  </pic:spPr>
                </pic:pic>
              </a:graphicData>
            </a:graphic>
          </wp:anchor>
        </w:drawing>
      </w:r>
    </w:p>
    <w:p>
      <w:pPr>
        <w:spacing w:after="0" w:line="160" w:lineRule="exact"/>
        <w:rPr>
          <w:sz w:val="20"/>
          <w:szCs w:val="20"/>
          <w:color w:val="auto"/>
        </w:rPr>
      </w:pPr>
    </w:p>
    <w:p>
      <w:pPr>
        <w:spacing w:after="0" w:line="252" w:lineRule="auto"/>
        <w:rPr>
          <w:sz w:val="20"/>
          <w:szCs w:val="20"/>
          <w:color w:val="auto"/>
        </w:rPr>
      </w:pPr>
      <w:r>
        <w:rPr>
          <w:rFonts w:ascii="Arial" w:cs="Arial" w:eastAsia="Arial" w:hAnsi="Arial"/>
          <w:sz w:val="16"/>
          <w:szCs w:val="16"/>
          <w:color w:val="435363"/>
        </w:rPr>
        <w:t>It is important that your shares be represented at the Annual Meeting and, regardless of whether you plan to attend, we request that you vote in advance on the matters to be presented at the Annual Meeting as described in these proxy materials.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435363"/>
        </w:rPr>
        <w:t>Thank you for your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161290</wp:posOffset>
            </wp:positionV>
            <wp:extent cx="1210310" cy="12103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10310"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Arial" w:cs="Arial" w:eastAsia="Arial" w:hAnsi="Arial"/>
          <w:sz w:val="16"/>
          <w:szCs w:val="16"/>
          <w:color w:val="435363"/>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135890</wp:posOffset>
            </wp:positionV>
            <wp:extent cx="924560" cy="269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4560" cy="26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0"/>
        <w:spacing w:after="0"/>
        <w:rPr>
          <w:sz w:val="20"/>
          <w:szCs w:val="20"/>
          <w:color w:val="auto"/>
        </w:rPr>
      </w:pPr>
      <w:r>
        <w:rPr>
          <w:rFonts w:ascii="Arial" w:cs="Arial" w:eastAsia="Arial" w:hAnsi="Arial"/>
          <w:sz w:val="16"/>
          <w:szCs w:val="16"/>
          <w:color w:val="435363"/>
        </w:rPr>
        <w:t>Greg Smith</w:t>
      </w:r>
    </w:p>
    <w:p>
      <w:pPr>
        <w:spacing w:after="0" w:line="107" w:lineRule="exact"/>
        <w:rPr>
          <w:sz w:val="20"/>
          <w:szCs w:val="20"/>
          <w:color w:val="auto"/>
        </w:rPr>
      </w:pPr>
    </w:p>
    <w:p>
      <w:pPr>
        <w:ind w:left="2000"/>
        <w:spacing w:after="0"/>
        <w:rPr>
          <w:sz w:val="20"/>
          <w:szCs w:val="20"/>
          <w:color w:val="auto"/>
        </w:rPr>
      </w:pPr>
      <w:r>
        <w:rPr>
          <w:rFonts w:ascii="Arial" w:cs="Arial" w:eastAsia="Arial" w:hAnsi="Arial"/>
          <w:sz w:val="16"/>
          <w:szCs w:val="16"/>
          <w:color w:val="435363"/>
        </w:rPr>
        <w:t>Chairman of the Board</w:t>
      </w:r>
    </w:p>
    <w:p>
      <w:pPr>
        <w:spacing w:after="0" w:line="200" w:lineRule="exact"/>
        <w:rPr>
          <w:sz w:val="20"/>
          <w:szCs w:val="20"/>
          <w:color w:val="auto"/>
        </w:rPr>
      </w:pPr>
    </w:p>
    <w:p>
      <w:pPr>
        <w:sectPr>
          <w:pgSz w:w="11900" w:h="16838" w:orient="portrait"/>
          <w:cols w:equalWidth="0" w:num="2">
            <w:col w:w="5380" w:space="360"/>
            <w:col w:w="5180"/>
          </w:cols>
          <w:pgMar w:left="320" w:top="477"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20"/>
        <w:spacing w:after="0"/>
        <w:rPr>
          <w:sz w:val="20"/>
          <w:szCs w:val="20"/>
          <w:color w:val="auto"/>
        </w:rPr>
      </w:pPr>
      <w:r>
        <w:rPr>
          <w:rFonts w:ascii="Arial" w:cs="Arial" w:eastAsia="Arial" w:hAnsi="Arial"/>
          <w:sz w:val="12"/>
          <w:szCs w:val="12"/>
          <w:color w:val="435363"/>
        </w:rPr>
        <w:t>The accompanying Proxy Statement is dated April    , 2024, and is first being released to stockholders of American Airlines Group Inc. on or about April    , 2024.</w:t>
      </w:r>
    </w:p>
    <w:p>
      <w:pPr>
        <w:sectPr>
          <w:pgSz w:w="11900" w:h="16838" w:orient="portrait"/>
          <w:cols w:equalWidth="0" w:num="1">
            <w:col w:w="10920"/>
          </w:cols>
          <w:pgMar w:left="320" w:top="477" w:right="6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31"/>
          <w:szCs w:val="31"/>
          <w:color w:val="66AFDA"/>
        </w:rPr>
        <w:t>NOTICE OF 2024 ANNUAL MEETING OF STOCKHOLDERS</w:t>
      </w:r>
    </w:p>
    <w:p>
      <w:pPr>
        <w:sectPr>
          <w:pgSz w:w="11900" w:h="16838" w:orient="portrait"/>
          <w:cols w:equalWidth="0" w:num="1">
            <w:col w:w="11020"/>
          </w:cols>
          <w:pgMar w:left="320" w:top="477" w:right="55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DATE AND TIME: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Wednesday, June 5, 2024</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9:00 a.m. Central Time</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435363"/>
        </w:rPr>
        <w:t>VIRTUAL MEETING ACCESS: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435363"/>
        </w:rPr>
        <w:t>MEETING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161290</wp:posOffset>
            </wp:positionV>
            <wp:extent cx="4328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28160" cy="8255"/>
                    </a:xfrm>
                    <a:prstGeom prst="rect">
                      <a:avLst/>
                    </a:prstGeom>
                    <a:noFill/>
                  </pic:spPr>
                </pic:pic>
              </a:graphicData>
            </a:graphic>
          </wp:anchor>
        </w:drawing>
      </w:r>
    </w:p>
    <w:p>
      <w:pPr>
        <w:spacing w:after="0" w:line="286" w:lineRule="exact"/>
        <w:rPr>
          <w:sz w:val="20"/>
          <w:szCs w:val="20"/>
          <w:color w:val="auto"/>
        </w:rPr>
      </w:pPr>
    </w:p>
    <w:p>
      <w:pPr>
        <w:jc w:val="both"/>
        <w:ind w:left="546" w:right="1820" w:hanging="546"/>
        <w:spacing w:after="0" w:line="268" w:lineRule="auto"/>
        <w:tabs>
          <w:tab w:leader="none" w:pos="546" w:val="left"/>
        </w:tabs>
        <w:numPr>
          <w:ilvl w:val="0"/>
          <w:numId w:val="5"/>
        </w:numPr>
        <w:rPr>
          <w:rFonts w:ascii="Arial" w:cs="Arial" w:eastAsia="Arial" w:hAnsi="Arial"/>
          <w:sz w:val="15"/>
          <w:szCs w:val="15"/>
          <w:color w:val="435363"/>
        </w:rPr>
      </w:pPr>
      <w:r>
        <w:rPr>
          <w:rFonts w:ascii="Arial" w:cs="Arial" w:eastAsia="Arial" w:hAnsi="Arial"/>
          <w:sz w:val="15"/>
          <w:szCs w:val="15"/>
          <w:color w:val="435363"/>
        </w:rPr>
        <w:t>A proposal to elect 11 directors to serve until the 2025 Annual Meeting of Stockholders and until their respective successors</w:t>
      </w:r>
    </w:p>
    <w:p>
      <w:pPr>
        <w:spacing w:after="0" w:line="2" w:lineRule="exact"/>
        <w:rPr>
          <w:sz w:val="20"/>
          <w:szCs w:val="20"/>
          <w:color w:val="auto"/>
        </w:rPr>
      </w:pPr>
    </w:p>
    <w:p>
      <w:pPr>
        <w:sectPr>
          <w:pgSz w:w="11900" w:h="16838" w:orient="portrait"/>
          <w:cols w:equalWidth="0" w:num="2">
            <w:col w:w="3594" w:space="720"/>
            <w:col w:w="6706"/>
          </w:cols>
          <w:pgMar w:left="320" w:top="477" w:right="559" w:bottom="1440" w:gutter="0" w:footer="0" w:header="0"/>
          <w:type w:val="continuous"/>
        </w:sectPr>
      </w:pPr>
    </w:p>
    <w:p>
      <w:pPr>
        <w:spacing w:after="0" w:line="23" w:lineRule="exact"/>
        <w:rPr>
          <w:sz w:val="20"/>
          <w:szCs w:val="20"/>
          <w:color w:val="auto"/>
        </w:rPr>
      </w:pPr>
    </w:p>
    <w:p>
      <w:pPr>
        <w:ind w:left="220"/>
        <w:spacing w:after="0"/>
        <w:rPr>
          <w:sz w:val="20"/>
          <w:szCs w:val="20"/>
          <w:color w:val="auto"/>
        </w:rPr>
      </w:pPr>
      <w:r>
        <w:rPr>
          <w:rFonts w:ascii="Arial" w:cs="Arial" w:eastAsia="Arial" w:hAnsi="Arial"/>
          <w:sz w:val="15"/>
          <w:szCs w:val="15"/>
          <w:color w:val="435363"/>
        </w:rPr>
        <w:t xml:space="preserve">Register at </w:t>
      </w:r>
      <w:r>
        <w:rPr>
          <w:rFonts w:ascii="Arial" w:cs="Arial" w:eastAsia="Arial" w:hAnsi="Arial"/>
          <w:sz w:val="15"/>
          <w:szCs w:val="15"/>
          <w:i w:val="1"/>
          <w:iCs w:val="1"/>
          <w:color w:val="435363"/>
        </w:rPr>
        <w:t>www.proxydocs.com/AAL</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3"/>
          <w:szCs w:val="3"/>
          <w:color w:val="435363"/>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435363"/>
        </w:rPr>
        <w:t>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82550</wp:posOffset>
            </wp:positionV>
            <wp:extent cx="4328160" cy="462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28160" cy="462280"/>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3">
            <w:col w:w="3800" w:space="720"/>
            <w:col w:w="40" w:space="300"/>
            <w:col w:w="6160"/>
          </w:cols>
          <w:pgMar w:left="320" w:top="477" w:right="559" w:bottom="1440" w:gutter="0" w:footer="0" w:header="0"/>
          <w:type w:val="continuous"/>
        </w:sectPr>
      </w:pPr>
    </w:p>
    <w:p>
      <w:pPr>
        <w:spacing w:after="0" w:line="106"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435363"/>
        </w:rPr>
        <w:t>RECORD DATE:</w:t>
      </w:r>
    </w:p>
    <w:p>
      <w:pPr>
        <w:spacing w:after="0" w:line="29"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April 9, 2024</w:t>
      </w:r>
    </w:p>
    <w:p>
      <w:pPr>
        <w:spacing w:after="0" w:line="20" w:lineRule="exact"/>
        <w:rPr>
          <w:sz w:val="20"/>
          <w:szCs w:val="20"/>
          <w:color w:val="auto"/>
        </w:rPr>
      </w:pPr>
      <w:r>
        <w:rPr>
          <w:sz w:val="20"/>
          <w:szCs w:val="20"/>
          <w:color w:val="auto"/>
        </w:rPr>
        <w:br w:type="column"/>
      </w:r>
    </w:p>
    <w:p>
      <w:pPr>
        <w:ind w:left="546" w:right="1700" w:hanging="546"/>
        <w:spacing w:after="0" w:line="258" w:lineRule="auto"/>
        <w:tabs>
          <w:tab w:leader="none" w:pos="546" w:val="left"/>
        </w:tabs>
        <w:numPr>
          <w:ilvl w:val="0"/>
          <w:numId w:val="6"/>
        </w:numPr>
        <w:rPr>
          <w:rFonts w:ascii="Arial" w:cs="Arial" w:eastAsia="Arial" w:hAnsi="Arial"/>
          <w:sz w:val="16"/>
          <w:szCs w:val="16"/>
          <w:color w:val="435363"/>
        </w:rPr>
      </w:pPr>
      <w:r>
        <w:rPr>
          <w:rFonts w:ascii="Arial" w:cs="Arial" w:eastAsia="Arial" w:hAnsi="Arial"/>
          <w:sz w:val="16"/>
          <w:szCs w:val="16"/>
          <w:color w:val="435363"/>
        </w:rPr>
        <w:t>A proposal to ratify the appointment of KPMG LLP as our independent registered public accounting firm for the fiscal year ending December 31, 2024</w:t>
      </w:r>
    </w:p>
    <w:p>
      <w:pPr>
        <w:spacing w:after="0" w:line="135" w:lineRule="exact"/>
        <w:rPr>
          <w:sz w:val="20"/>
          <w:szCs w:val="20"/>
          <w:color w:val="auto"/>
        </w:rPr>
      </w:pPr>
    </w:p>
    <w:p>
      <w:pPr>
        <w:ind w:left="546" w:right="1480" w:hanging="546"/>
        <w:spacing w:after="0" w:line="309" w:lineRule="auto"/>
        <w:tabs>
          <w:tab w:leader="none" w:pos="546" w:val="left"/>
        </w:tabs>
        <w:numPr>
          <w:ilvl w:val="0"/>
          <w:numId w:val="7"/>
        </w:numPr>
        <w:rPr>
          <w:rFonts w:ascii="Arial" w:cs="Arial" w:eastAsia="Arial" w:hAnsi="Arial"/>
          <w:sz w:val="15"/>
          <w:szCs w:val="15"/>
          <w:color w:val="435363"/>
        </w:rPr>
      </w:pPr>
      <w:r>
        <w:rPr>
          <w:rFonts w:ascii="Arial" w:cs="Arial" w:eastAsia="Arial" w:hAnsi="Arial"/>
          <w:sz w:val="15"/>
          <w:szCs w:val="15"/>
          <w:color w:val="435363"/>
        </w:rPr>
        <w:t>A proposal to approve, on a non-binding, advisory basis, executive compensation as disclosed in the attached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38100</wp:posOffset>
            </wp:positionV>
            <wp:extent cx="4328160" cy="462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28160" cy="462280"/>
                    </a:xfrm>
                    <a:prstGeom prst="rect">
                      <a:avLst/>
                    </a:prstGeom>
                    <a:noFill/>
                  </pic:spPr>
                </pic:pic>
              </a:graphicData>
            </a:graphic>
          </wp:anchor>
        </w:drawing>
      </w:r>
    </w:p>
    <w:p>
      <w:pPr>
        <w:spacing w:after="0" w:line="78" w:lineRule="exact"/>
        <w:rPr>
          <w:sz w:val="20"/>
          <w:szCs w:val="20"/>
          <w:color w:val="auto"/>
        </w:rPr>
      </w:pPr>
    </w:p>
    <w:p>
      <w:pPr>
        <w:jc w:val="both"/>
        <w:ind w:left="546" w:right="1480" w:hanging="546"/>
        <w:spacing w:after="0" w:line="258" w:lineRule="auto"/>
        <w:tabs>
          <w:tab w:leader="none" w:pos="546" w:val="left"/>
        </w:tabs>
        <w:numPr>
          <w:ilvl w:val="0"/>
          <w:numId w:val="8"/>
        </w:numPr>
        <w:rPr>
          <w:rFonts w:ascii="Arial" w:cs="Arial" w:eastAsia="Arial" w:hAnsi="Arial"/>
          <w:sz w:val="16"/>
          <w:szCs w:val="16"/>
          <w:color w:val="435363"/>
        </w:rPr>
      </w:pPr>
      <w:r>
        <w:rPr>
          <w:rFonts w:ascii="Arial" w:cs="Arial" w:eastAsia="Arial" w:hAnsi="Arial"/>
          <w:sz w:val="16"/>
          <w:szCs w:val="16"/>
          <w:color w:val="435363"/>
        </w:rPr>
        <w:t>A proposal to amend our Certificate of Incorporation to allow future amendments to the Bylaws by our stockholders by simple majority vote</w:t>
      </w:r>
    </w:p>
    <w:p>
      <w:pPr>
        <w:spacing w:after="0" w:line="135" w:lineRule="exact"/>
        <w:rPr>
          <w:sz w:val="20"/>
          <w:szCs w:val="20"/>
          <w:color w:val="auto"/>
        </w:rPr>
      </w:pPr>
    </w:p>
    <w:p>
      <w:pPr>
        <w:ind w:left="546" w:right="1580" w:hanging="546"/>
        <w:spacing w:after="0" w:line="258" w:lineRule="auto"/>
        <w:tabs>
          <w:tab w:leader="none" w:pos="546" w:val="left"/>
        </w:tabs>
        <w:numPr>
          <w:ilvl w:val="0"/>
          <w:numId w:val="9"/>
        </w:numPr>
        <w:rPr>
          <w:rFonts w:ascii="Arial" w:cs="Arial" w:eastAsia="Arial" w:hAnsi="Arial"/>
          <w:sz w:val="16"/>
          <w:szCs w:val="16"/>
          <w:color w:val="435363"/>
        </w:rPr>
      </w:pPr>
      <w:r>
        <w:rPr>
          <w:rFonts w:ascii="Arial" w:cs="Arial" w:eastAsia="Arial" w:hAnsi="Arial"/>
          <w:sz w:val="16"/>
          <w:szCs w:val="16"/>
          <w:color w:val="435363"/>
        </w:rPr>
        <w:t>A proposal to amend our Certificate of Incorporation to allow all other provisions of the Certificate of Incorporation to be amended in the future by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60960</wp:posOffset>
            </wp:positionV>
            <wp:extent cx="4328160" cy="226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28160" cy="226695"/>
                    </a:xfrm>
                    <a:prstGeom prst="rect">
                      <a:avLst/>
                    </a:prstGeom>
                    <a:noFill/>
                  </pic:spPr>
                </pic:pic>
              </a:graphicData>
            </a:graphic>
          </wp:anchor>
        </w:drawing>
      </w:r>
    </w:p>
    <w:p>
      <w:pPr>
        <w:spacing w:after="0" w:line="115" w:lineRule="exact"/>
        <w:rPr>
          <w:sz w:val="20"/>
          <w:szCs w:val="20"/>
          <w:color w:val="auto"/>
        </w:rPr>
      </w:pPr>
    </w:p>
    <w:p>
      <w:pPr>
        <w:ind w:left="546" w:hanging="546"/>
        <w:spacing w:after="0"/>
        <w:tabs>
          <w:tab w:leader="none" w:pos="546" w:val="left"/>
        </w:tabs>
        <w:numPr>
          <w:ilvl w:val="0"/>
          <w:numId w:val="10"/>
        </w:numPr>
        <w:rPr>
          <w:rFonts w:ascii="Arial" w:cs="Arial" w:eastAsia="Arial" w:hAnsi="Arial"/>
          <w:sz w:val="16"/>
          <w:szCs w:val="16"/>
          <w:color w:val="435363"/>
        </w:rPr>
      </w:pPr>
      <w:r>
        <w:rPr>
          <w:rFonts w:ascii="Arial" w:cs="Arial" w:eastAsia="Arial" w:hAnsi="Arial"/>
          <w:sz w:val="16"/>
          <w:szCs w:val="16"/>
          <w:color w:val="435363"/>
        </w:rPr>
        <w:t>Advisory vote on a stockholder proposal</w:t>
      </w:r>
    </w:p>
    <w:p>
      <w:pPr>
        <w:spacing w:after="0" w:line="173" w:lineRule="exact"/>
        <w:rPr>
          <w:sz w:val="20"/>
          <w:szCs w:val="20"/>
          <w:color w:val="auto"/>
        </w:rPr>
      </w:pPr>
    </w:p>
    <w:p>
      <w:pPr>
        <w:ind w:left="546" w:right="1940" w:hanging="546"/>
        <w:spacing w:after="0" w:line="258" w:lineRule="auto"/>
        <w:tabs>
          <w:tab w:leader="none" w:pos="546" w:val="left"/>
        </w:tabs>
        <w:numPr>
          <w:ilvl w:val="0"/>
          <w:numId w:val="11"/>
        </w:numPr>
        <w:rPr>
          <w:rFonts w:ascii="Arial" w:cs="Arial" w:eastAsia="Arial" w:hAnsi="Arial"/>
          <w:sz w:val="16"/>
          <w:szCs w:val="16"/>
          <w:color w:val="435363"/>
        </w:rPr>
      </w:pPr>
      <w:r>
        <w:rPr>
          <w:rFonts w:ascii="Arial" w:cs="Arial" w:eastAsia="Arial" w:hAnsi="Arial"/>
          <w:sz w:val="16"/>
          <w:szCs w:val="16"/>
          <w:color w:val="435363"/>
        </w:rPr>
        <w:t>Such other business as properly may come before the 2024 Annual Meeting of Stockholders or any adjournments or postponements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60960</wp:posOffset>
            </wp:positionV>
            <wp:extent cx="4328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28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94" w:space="720"/>
            <w:col w:w="6706"/>
          </w:cols>
          <w:pgMar w:left="320" w:top="477" w:right="559" w:bottom="1440" w:gutter="0" w:footer="0" w:header="0"/>
          <w:type w:val="continuous"/>
        </w:sectPr>
      </w:pPr>
    </w:p>
    <w:p>
      <w:pPr>
        <w:spacing w:after="0" w:line="318" w:lineRule="exact"/>
        <w:rPr>
          <w:sz w:val="20"/>
          <w:szCs w:val="20"/>
          <w:color w:val="auto"/>
        </w:rPr>
      </w:pPr>
    </w:p>
    <w:p>
      <w:pPr>
        <w:ind w:left="220" w:right="320"/>
        <w:spacing w:after="0" w:line="285" w:lineRule="auto"/>
        <w:rPr>
          <w:sz w:val="20"/>
          <w:szCs w:val="20"/>
          <w:color w:val="auto"/>
        </w:rPr>
      </w:pPr>
      <w:r>
        <w:rPr>
          <w:rFonts w:ascii="Arial" w:cs="Arial" w:eastAsia="Arial" w:hAnsi="Arial"/>
          <w:sz w:val="16"/>
          <w:szCs w:val="16"/>
          <w:b w:val="1"/>
          <w:bCs w:val="1"/>
          <w:color w:val="435363"/>
        </w:rPr>
        <w:t>For instructions on voting in advance of and during the virtual meeting, please see page i of the Proxy Statement, which is incorporated by reference into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92710</wp:posOffset>
            </wp:positionV>
            <wp:extent cx="6857365" cy="294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7365" cy="294005"/>
                    </a:xfrm>
                    <a:prstGeom prst="rect">
                      <a:avLst/>
                    </a:prstGeom>
                    <a:noFill/>
                  </pic:spPr>
                </pic:pic>
              </a:graphicData>
            </a:graphic>
          </wp:anchor>
        </w:drawing>
      </w:r>
    </w:p>
    <w:p>
      <w:pPr>
        <w:spacing w:after="0" w:line="152"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435363"/>
        </w:rPr>
        <w:t>Important notice of internet availability of proxy materials for the Annual Meeting:</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6"/>
          <w:szCs w:val="16"/>
          <w:color w:val="435363"/>
        </w:rPr>
        <w:t xml:space="preserve">Our Proxy Statement and 2023 Annual Report on Form 10-K are available at </w:t>
      </w:r>
      <w:r>
        <w:rPr>
          <w:rFonts w:ascii="Arial" w:cs="Arial" w:eastAsia="Arial" w:hAnsi="Arial"/>
          <w:sz w:val="16"/>
          <w:szCs w:val="16"/>
          <w:i w:val="1"/>
          <w:iCs w:val="1"/>
          <w:color w:val="435363"/>
        </w:rPr>
        <w:t>www.proxydocs.com/AAL</w:t>
      </w:r>
      <w:r>
        <w:rPr>
          <w:rFonts w:ascii="Arial" w:cs="Arial" w:eastAsia="Arial" w:hAnsi="Arial"/>
          <w:sz w:val="16"/>
          <w:szCs w:val="16"/>
          <w:color w:val="435363"/>
        </w:rPr>
        <w:t xml:space="preserve"> prior to and during the Annual Meeting.</w:t>
      </w:r>
    </w:p>
    <w:p>
      <w:pPr>
        <w:spacing w:after="0" w:line="250" w:lineRule="exact"/>
        <w:rPr>
          <w:sz w:val="20"/>
          <w:szCs w:val="20"/>
          <w:color w:val="auto"/>
        </w:rPr>
      </w:pPr>
    </w:p>
    <w:p>
      <w:pPr>
        <w:ind w:left="220" w:right="100"/>
        <w:spacing w:after="0" w:line="248" w:lineRule="auto"/>
        <w:rPr>
          <w:sz w:val="20"/>
          <w:szCs w:val="20"/>
          <w:color w:val="auto"/>
        </w:rPr>
      </w:pPr>
      <w:r>
        <w:rPr>
          <w:rFonts w:ascii="Arial" w:cs="Arial" w:eastAsia="Arial" w:hAnsi="Arial"/>
          <w:sz w:val="16"/>
          <w:szCs w:val="16"/>
          <w:b w:val="1"/>
          <w:bCs w:val="1"/>
          <w:color w:val="435363"/>
        </w:rPr>
        <w:t xml:space="preserve">You can help us reduce costs and the impact on the environment by electing to receive and access future copies of our proxy statements, annual reports and other stockholder materials electronically by e-mail. </w:t>
      </w:r>
      <w:r>
        <w:rPr>
          <w:rFonts w:ascii="Arial" w:cs="Arial" w:eastAsia="Arial" w:hAnsi="Arial"/>
          <w:sz w:val="16"/>
          <w:szCs w:val="16"/>
          <w:color w:val="435363"/>
        </w:rPr>
        <w:t>If your shares are registered directly in your name with our stock registrar</w:t>
      </w:r>
      <w:r>
        <w:rPr>
          <w:rFonts w:ascii="Arial" w:cs="Arial" w:eastAsia="Arial" w:hAnsi="Arial"/>
          <w:sz w:val="16"/>
          <w:szCs w:val="16"/>
          <w:b w:val="1"/>
          <w:bCs w:val="1"/>
          <w:color w:val="435363"/>
        </w:rPr>
        <w:t xml:space="preserve"> </w:t>
      </w:r>
      <w:r>
        <w:rPr>
          <w:rFonts w:ascii="Arial" w:cs="Arial" w:eastAsia="Arial" w:hAnsi="Arial"/>
          <w:sz w:val="16"/>
          <w:szCs w:val="16"/>
          <w:color w:val="435363"/>
        </w:rPr>
        <w:t>and transfer agent, Equiniti Trust Company, LLC, you can make this election by going to its website (</w:t>
      </w:r>
      <w:r>
        <w:rPr>
          <w:rFonts w:ascii="Arial" w:cs="Arial" w:eastAsia="Arial" w:hAnsi="Arial"/>
          <w:sz w:val="16"/>
          <w:szCs w:val="16"/>
          <w:i w:val="1"/>
          <w:iCs w:val="1"/>
          <w:color w:val="435363"/>
        </w:rPr>
        <w:t>equiniti.com/us</w:t>
      </w:r>
      <w:r>
        <w:rPr>
          <w:rFonts w:ascii="Arial" w:cs="Arial" w:eastAsia="Arial" w:hAnsi="Arial"/>
          <w:sz w:val="16"/>
          <w:szCs w:val="16"/>
          <w:color w:val="435363"/>
        </w:rPr>
        <w:t>) or by following the instructions provided when voting over the Internet. If you hold your shares in a brokerage account or otherwise through a third party in “street name,” please refer to the information provided by your broker, bank or other nominee for instructions on how to elect to receive and view future annual meeting materials electronically.</w:t>
      </w:r>
    </w:p>
    <w:p>
      <w:pPr>
        <w:spacing w:after="0" w:line="209" w:lineRule="exact"/>
        <w:rPr>
          <w:sz w:val="20"/>
          <w:szCs w:val="20"/>
          <w:color w:val="auto"/>
        </w:rPr>
      </w:pPr>
    </w:p>
    <w:p>
      <w:pPr>
        <w:ind w:left="7720"/>
        <w:spacing w:after="0"/>
        <w:rPr>
          <w:sz w:val="20"/>
          <w:szCs w:val="20"/>
          <w:color w:val="auto"/>
        </w:rPr>
      </w:pPr>
      <w:r>
        <w:rPr>
          <w:rFonts w:ascii="Arial" w:cs="Arial" w:eastAsia="Arial" w:hAnsi="Arial"/>
          <w:sz w:val="15"/>
          <w:szCs w:val="15"/>
          <w:color w:val="435363"/>
        </w:rPr>
        <w:t>By Order of the Board of Directors of American</w:t>
      </w:r>
    </w:p>
    <w:p>
      <w:pPr>
        <w:spacing w:after="0" w:line="29" w:lineRule="exact"/>
        <w:rPr>
          <w:sz w:val="20"/>
          <w:szCs w:val="20"/>
          <w:color w:val="auto"/>
        </w:rPr>
      </w:pPr>
    </w:p>
    <w:p>
      <w:pPr>
        <w:ind w:left="7720"/>
        <w:spacing w:after="0"/>
        <w:rPr>
          <w:sz w:val="20"/>
          <w:szCs w:val="20"/>
          <w:color w:val="auto"/>
        </w:rPr>
      </w:pPr>
      <w:r>
        <w:rPr>
          <w:rFonts w:ascii="Arial" w:cs="Arial" w:eastAsia="Arial" w:hAnsi="Arial"/>
          <w:sz w:val="16"/>
          <w:szCs w:val="16"/>
          <w:color w:val="435363"/>
        </w:rPr>
        <w:t>Airlines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4911725</wp:posOffset>
            </wp:positionH>
            <wp:positionV relativeFrom="paragraph">
              <wp:posOffset>75565</wp:posOffset>
            </wp:positionV>
            <wp:extent cx="546100" cy="184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6100" cy="184785"/>
                    </a:xfrm>
                    <a:prstGeom prst="rect">
                      <a:avLst/>
                    </a:prstGeom>
                    <a:noFill/>
                  </pic:spPr>
                </pic:pic>
              </a:graphicData>
            </a:graphic>
          </wp:anchor>
        </w:drawing>
      </w:r>
    </w:p>
    <w:p>
      <w:pPr>
        <w:spacing w:after="0" w:line="389" w:lineRule="exact"/>
        <w:rPr>
          <w:sz w:val="20"/>
          <w:szCs w:val="20"/>
          <w:color w:val="auto"/>
        </w:rPr>
      </w:pPr>
    </w:p>
    <w:p>
      <w:pPr>
        <w:ind w:left="7720"/>
        <w:spacing w:after="0"/>
        <w:rPr>
          <w:sz w:val="20"/>
          <w:szCs w:val="20"/>
          <w:color w:val="auto"/>
        </w:rPr>
      </w:pPr>
      <w:r>
        <w:rPr>
          <w:rFonts w:ascii="Arial" w:cs="Arial" w:eastAsia="Arial" w:hAnsi="Arial"/>
          <w:sz w:val="16"/>
          <w:szCs w:val="16"/>
          <w:color w:val="435363"/>
        </w:rPr>
        <w:t>Priya R. Aiyar</w:t>
      </w:r>
    </w:p>
    <w:p>
      <w:pPr>
        <w:spacing w:after="0" w:line="17" w:lineRule="exact"/>
        <w:rPr>
          <w:sz w:val="20"/>
          <w:szCs w:val="20"/>
          <w:color w:val="auto"/>
        </w:rPr>
      </w:pPr>
    </w:p>
    <w:p>
      <w:pPr>
        <w:ind w:left="7720"/>
        <w:spacing w:after="0"/>
        <w:rPr>
          <w:sz w:val="20"/>
          <w:szCs w:val="20"/>
          <w:color w:val="auto"/>
        </w:rPr>
      </w:pPr>
      <w:r>
        <w:rPr>
          <w:rFonts w:ascii="Arial" w:cs="Arial" w:eastAsia="Arial" w:hAnsi="Arial"/>
          <w:sz w:val="16"/>
          <w:szCs w:val="16"/>
          <w:color w:val="435363"/>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3575B3"/>
        </w:rPr>
        <w:t>PLEASE READ THE ACCOMPANYING PROXY STATEMENT CAREFULLY.</w:t>
      </w:r>
    </w:p>
    <w:p>
      <w:pPr>
        <w:spacing w:after="0" w:line="107"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3575B3"/>
        </w:rPr>
        <w:t>REGARDLESS OF WHETHER YOU PLAN TO ATTEND THE MEETING, YOUR VOTE IS IMPORTANT AND WE</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3575B3"/>
        </w:rPr>
        <w:t>ENCOURAGE YOU TO VOTE PROMPTLY.</w:t>
      </w:r>
    </w:p>
    <w:p>
      <w:pPr>
        <w:sectPr>
          <w:pgSz w:w="11900" w:h="16838" w:orient="portrait"/>
          <w:cols w:equalWidth="0" w:num="1">
            <w:col w:w="11020"/>
          </w:cols>
          <w:pgMar w:left="320" w:top="477" w:right="5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200660</wp:posOffset>
            </wp:positionV>
            <wp:extent cx="6193790" cy="285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32"/>
          <w:szCs w:val="32"/>
          <w:color w:val="66AFDA"/>
        </w:rPr>
        <w:t>PROXY STATEMENT SUMMARY</w:t>
      </w:r>
    </w:p>
    <w:p>
      <w:pPr>
        <w:spacing w:after="0" w:line="229" w:lineRule="exact"/>
        <w:rPr>
          <w:sz w:val="20"/>
          <w:szCs w:val="20"/>
          <w:color w:val="auto"/>
        </w:rPr>
      </w:pPr>
    </w:p>
    <w:p>
      <w:pPr>
        <w:ind w:left="220" w:right="120"/>
        <w:spacing w:after="0" w:line="258" w:lineRule="auto"/>
        <w:rPr>
          <w:sz w:val="20"/>
          <w:szCs w:val="20"/>
          <w:color w:val="auto"/>
        </w:rPr>
      </w:pPr>
      <w:r>
        <w:rPr>
          <w:rFonts w:ascii="Arial" w:cs="Arial" w:eastAsia="Arial" w:hAnsi="Arial"/>
          <w:sz w:val="16"/>
          <w:szCs w:val="16"/>
          <w:color w:val="435363"/>
        </w:rPr>
        <w:t>This summary contains highlights about our company and the upcoming 2024 Annual Meeting of Stockholders (the “Annual Meeting”). This summary does not contain all of the information that you should consider in advance of the meeting and we encourage you to read the entire Proxy Statement and the Annual Report on Form 10-K for the year ended December 31, 2023 that accompanies this Proxy Statement before voting.</w:t>
      </w:r>
    </w:p>
    <w:p>
      <w:pPr>
        <w:spacing w:after="0" w:line="372"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2024 Annual Meeting of Stockholders</w:t>
      </w:r>
    </w:p>
    <w:p>
      <w:pPr>
        <w:spacing w:after="0" w:line="382" w:lineRule="exact"/>
        <w:rPr>
          <w:sz w:val="20"/>
          <w:szCs w:val="20"/>
          <w:color w:val="auto"/>
        </w:rPr>
      </w:pPr>
    </w:p>
    <w:tbl>
      <w:tblPr>
        <w:tblLayout w:type="fixed"/>
        <w:tblInd w:w="240" w:type="dxa"/>
        <w:tblCellMar>
          <w:top w:w="0" w:type="dxa"/>
          <w:left w:w="0" w:type="dxa"/>
          <w:bottom w:w="0" w:type="dxa"/>
          <w:right w:w="0" w:type="dxa"/>
        </w:tblCellMar>
      </w:tblPr>
      <w:tr>
        <w:trPr>
          <w:trHeight w:val="687"/>
        </w:trPr>
        <w:tc>
          <w:tcPr>
            <w:tcW w:w="5320" w:type="dxa"/>
            <w:vAlign w:val="bottom"/>
            <w:tcBorders>
              <w:right w:val="single" w:sz="8" w:color="BF0000"/>
            </w:tcBorders>
          </w:tcPr>
          <w:p>
            <w:pPr>
              <w:jc w:val="center"/>
              <w:ind w:right="281"/>
              <w:spacing w:after="0"/>
              <w:rPr>
                <w:sz w:val="20"/>
                <w:szCs w:val="20"/>
                <w:color w:val="auto"/>
              </w:rPr>
            </w:pPr>
            <w:r>
              <w:rPr>
                <w:rFonts w:ascii="Arial" w:cs="Arial" w:eastAsia="Arial" w:hAnsi="Arial"/>
                <w:sz w:val="16"/>
                <w:szCs w:val="16"/>
                <w:b w:val="1"/>
                <w:bCs w:val="1"/>
                <w:color w:val="435363"/>
                <w:w w:val="97"/>
              </w:rPr>
              <w:t>Date and Time:</w:t>
            </w:r>
          </w:p>
        </w:tc>
        <w:tc>
          <w:tcPr>
            <w:tcW w:w="5480" w:type="dxa"/>
            <w:vAlign w:val="bottom"/>
          </w:tcPr>
          <w:p>
            <w:pPr>
              <w:jc w:val="center"/>
              <w:ind w:left="301"/>
              <w:spacing w:after="0"/>
              <w:rPr>
                <w:sz w:val="20"/>
                <w:szCs w:val="20"/>
                <w:color w:val="auto"/>
              </w:rPr>
            </w:pPr>
            <w:r>
              <w:rPr>
                <w:rFonts w:ascii="Arial" w:cs="Arial" w:eastAsia="Arial" w:hAnsi="Arial"/>
                <w:sz w:val="16"/>
                <w:szCs w:val="16"/>
                <w:b w:val="1"/>
                <w:bCs w:val="1"/>
                <w:color w:val="3575B3"/>
                <w:w w:val="98"/>
              </w:rPr>
              <w:t>Virtual Meeting Access:</w:t>
            </w:r>
          </w:p>
        </w:tc>
      </w:tr>
      <w:tr>
        <w:trPr>
          <w:trHeight w:val="185"/>
        </w:trPr>
        <w:tc>
          <w:tcPr>
            <w:tcW w:w="5320" w:type="dxa"/>
            <w:vAlign w:val="bottom"/>
            <w:tcBorders>
              <w:right w:val="single" w:sz="8" w:color="BF0000"/>
            </w:tcBorders>
          </w:tcPr>
          <w:p>
            <w:pPr>
              <w:jc w:val="center"/>
              <w:ind w:right="281"/>
              <w:spacing w:after="0"/>
              <w:rPr>
                <w:sz w:val="20"/>
                <w:szCs w:val="20"/>
                <w:color w:val="auto"/>
              </w:rPr>
            </w:pPr>
            <w:r>
              <w:rPr>
                <w:rFonts w:ascii="Arial" w:cs="Arial" w:eastAsia="Arial" w:hAnsi="Arial"/>
                <w:sz w:val="16"/>
                <w:szCs w:val="16"/>
                <w:color w:val="435363"/>
                <w:w w:val="98"/>
              </w:rPr>
              <w:t>Wednesday,</w:t>
            </w:r>
          </w:p>
        </w:tc>
        <w:tc>
          <w:tcPr>
            <w:tcW w:w="5480" w:type="dxa"/>
            <w:vAlign w:val="bottom"/>
          </w:tcPr>
          <w:p>
            <w:pPr>
              <w:jc w:val="center"/>
              <w:ind w:left="301"/>
              <w:spacing w:after="0"/>
              <w:rPr>
                <w:sz w:val="20"/>
                <w:szCs w:val="20"/>
                <w:color w:val="auto"/>
              </w:rPr>
            </w:pPr>
            <w:r>
              <w:rPr>
                <w:rFonts w:ascii="Arial" w:cs="Arial" w:eastAsia="Arial" w:hAnsi="Arial"/>
                <w:sz w:val="16"/>
                <w:szCs w:val="16"/>
                <w:color w:val="435363"/>
                <w:w w:val="99"/>
              </w:rPr>
              <w:t xml:space="preserve">Register at </w:t>
            </w:r>
            <w:r>
              <w:rPr>
                <w:rFonts w:ascii="Arial" w:cs="Arial" w:eastAsia="Arial" w:hAnsi="Arial"/>
                <w:sz w:val="16"/>
                <w:szCs w:val="16"/>
                <w:i w:val="1"/>
                <w:iCs w:val="1"/>
                <w:color w:val="435363"/>
                <w:w w:val="99"/>
              </w:rPr>
              <w:t>www.proxydocs.com/AAL</w:t>
            </w:r>
          </w:p>
        </w:tc>
      </w:tr>
      <w:tr>
        <w:trPr>
          <w:trHeight w:val="185"/>
        </w:trPr>
        <w:tc>
          <w:tcPr>
            <w:tcW w:w="5320" w:type="dxa"/>
            <w:vAlign w:val="bottom"/>
            <w:tcBorders>
              <w:right w:val="single" w:sz="8" w:color="BF0000"/>
            </w:tcBorders>
          </w:tcPr>
          <w:p>
            <w:pPr>
              <w:jc w:val="center"/>
              <w:ind w:right="281"/>
              <w:spacing w:after="0"/>
              <w:rPr>
                <w:sz w:val="20"/>
                <w:szCs w:val="20"/>
                <w:color w:val="auto"/>
              </w:rPr>
            </w:pPr>
            <w:r>
              <w:rPr>
                <w:rFonts w:ascii="Arial" w:cs="Arial" w:eastAsia="Arial" w:hAnsi="Arial"/>
                <w:sz w:val="16"/>
                <w:szCs w:val="16"/>
                <w:color w:val="435363"/>
                <w:w w:val="97"/>
              </w:rPr>
              <w:t>June 5, 2024 at</w:t>
            </w:r>
          </w:p>
        </w:tc>
        <w:tc>
          <w:tcPr>
            <w:tcW w:w="5480" w:type="dxa"/>
            <w:vAlign w:val="bottom"/>
          </w:tcPr>
          <w:p>
            <w:pPr>
              <w:spacing w:after="0"/>
              <w:rPr>
                <w:sz w:val="16"/>
                <w:szCs w:val="16"/>
                <w:color w:val="auto"/>
              </w:rPr>
            </w:pPr>
          </w:p>
        </w:tc>
      </w:tr>
      <w:tr>
        <w:trPr>
          <w:trHeight w:val="210"/>
        </w:trPr>
        <w:tc>
          <w:tcPr>
            <w:tcW w:w="5320" w:type="dxa"/>
            <w:vAlign w:val="bottom"/>
            <w:tcBorders>
              <w:right w:val="single" w:sz="8" w:color="BF0000"/>
            </w:tcBorders>
          </w:tcPr>
          <w:p>
            <w:pPr>
              <w:jc w:val="center"/>
              <w:ind w:right="281"/>
              <w:spacing w:after="0"/>
              <w:rPr>
                <w:sz w:val="20"/>
                <w:szCs w:val="20"/>
                <w:color w:val="auto"/>
              </w:rPr>
            </w:pPr>
            <w:r>
              <w:rPr>
                <w:rFonts w:ascii="Arial" w:cs="Arial" w:eastAsia="Arial" w:hAnsi="Arial"/>
                <w:sz w:val="16"/>
                <w:szCs w:val="16"/>
                <w:color w:val="435363"/>
                <w:w w:val="98"/>
              </w:rPr>
              <w:t>9:00 a.m., Central Time</w:t>
            </w:r>
          </w:p>
        </w:tc>
        <w:tc>
          <w:tcPr>
            <w:tcW w:w="5480" w:type="dxa"/>
            <w:vAlign w:val="bottom"/>
          </w:tcPr>
          <w:p>
            <w:pPr>
              <w:spacing w:after="0"/>
              <w:rPr>
                <w:sz w:val="18"/>
                <w:szCs w:val="18"/>
                <w:color w:val="auto"/>
              </w:rPr>
            </w:pPr>
          </w:p>
        </w:tc>
      </w:tr>
      <w:tr>
        <w:trPr>
          <w:trHeight w:val="241"/>
        </w:trPr>
        <w:tc>
          <w:tcPr>
            <w:tcW w:w="5320" w:type="dxa"/>
            <w:vAlign w:val="bottom"/>
            <w:tcBorders>
              <w:bottom w:val="single" w:sz="8" w:color="BF0000"/>
              <w:right w:val="single" w:sz="8" w:color="BF0000"/>
            </w:tcBorders>
          </w:tcPr>
          <w:p>
            <w:pPr>
              <w:spacing w:after="0"/>
              <w:rPr>
                <w:sz w:val="20"/>
                <w:szCs w:val="20"/>
                <w:color w:val="auto"/>
              </w:rPr>
            </w:pPr>
          </w:p>
        </w:tc>
        <w:tc>
          <w:tcPr>
            <w:tcW w:w="5480" w:type="dxa"/>
            <w:vAlign w:val="bottom"/>
            <w:tcBorders>
              <w:bottom w:val="single" w:sz="8" w:color="BF0000"/>
            </w:tcBorders>
          </w:tcPr>
          <w:p>
            <w:pPr>
              <w:spacing w:after="0"/>
              <w:rPr>
                <w:sz w:val="20"/>
                <w:szCs w:val="20"/>
                <w:color w:val="auto"/>
              </w:rPr>
            </w:pPr>
          </w:p>
        </w:tc>
      </w:tr>
      <w:tr>
        <w:trPr>
          <w:trHeight w:val="892"/>
        </w:trPr>
        <w:tc>
          <w:tcPr>
            <w:tcW w:w="5320" w:type="dxa"/>
            <w:vAlign w:val="bottom"/>
            <w:tcBorders>
              <w:right w:val="single" w:sz="8" w:color="BF0000"/>
            </w:tcBorders>
          </w:tcPr>
          <w:p>
            <w:pPr>
              <w:jc w:val="center"/>
              <w:ind w:right="281"/>
              <w:spacing w:after="0"/>
              <w:rPr>
                <w:sz w:val="20"/>
                <w:szCs w:val="20"/>
                <w:color w:val="auto"/>
              </w:rPr>
            </w:pPr>
            <w:r>
              <w:rPr>
                <w:rFonts w:ascii="Arial" w:cs="Arial" w:eastAsia="Arial" w:hAnsi="Arial"/>
                <w:sz w:val="16"/>
                <w:szCs w:val="16"/>
                <w:b w:val="1"/>
                <w:bCs w:val="1"/>
                <w:color w:val="435363"/>
              </w:rPr>
              <w:t>Record Date:</w:t>
            </w:r>
          </w:p>
        </w:tc>
        <w:tc>
          <w:tcPr>
            <w:tcW w:w="5480" w:type="dxa"/>
            <w:vAlign w:val="bottom"/>
          </w:tcPr>
          <w:p>
            <w:pPr>
              <w:jc w:val="center"/>
              <w:ind w:left="301"/>
              <w:spacing w:after="0"/>
              <w:rPr>
                <w:sz w:val="20"/>
                <w:szCs w:val="20"/>
                <w:color w:val="auto"/>
              </w:rPr>
            </w:pPr>
            <w:r>
              <w:rPr>
                <w:rFonts w:ascii="Arial" w:cs="Arial" w:eastAsia="Arial" w:hAnsi="Arial"/>
                <w:sz w:val="16"/>
                <w:szCs w:val="16"/>
                <w:b w:val="1"/>
                <w:bCs w:val="1"/>
                <w:color w:val="435363"/>
                <w:w w:val="97"/>
              </w:rPr>
              <w:t>Proxy Mail Date:</w:t>
            </w:r>
          </w:p>
        </w:tc>
      </w:tr>
      <w:tr>
        <w:trPr>
          <w:trHeight w:val="185"/>
        </w:trPr>
        <w:tc>
          <w:tcPr>
            <w:tcW w:w="5320" w:type="dxa"/>
            <w:vAlign w:val="bottom"/>
            <w:tcBorders>
              <w:right w:val="single" w:sz="8" w:color="BF0000"/>
            </w:tcBorders>
          </w:tcPr>
          <w:p>
            <w:pPr>
              <w:jc w:val="center"/>
              <w:ind w:right="281"/>
              <w:spacing w:after="0"/>
              <w:rPr>
                <w:sz w:val="20"/>
                <w:szCs w:val="20"/>
                <w:color w:val="auto"/>
              </w:rPr>
            </w:pPr>
            <w:r>
              <w:rPr>
                <w:rFonts w:ascii="Arial" w:cs="Arial" w:eastAsia="Arial" w:hAnsi="Arial"/>
                <w:sz w:val="16"/>
                <w:szCs w:val="16"/>
                <w:color w:val="435363"/>
                <w:w w:val="97"/>
              </w:rPr>
              <w:t>April 9, 2024</w:t>
            </w:r>
          </w:p>
        </w:tc>
        <w:tc>
          <w:tcPr>
            <w:tcW w:w="5480" w:type="dxa"/>
            <w:vAlign w:val="bottom"/>
          </w:tcPr>
          <w:p>
            <w:pPr>
              <w:jc w:val="center"/>
              <w:ind w:left="301"/>
              <w:spacing w:after="0"/>
              <w:rPr>
                <w:sz w:val="20"/>
                <w:szCs w:val="20"/>
                <w:color w:val="auto"/>
              </w:rPr>
            </w:pPr>
            <w:r>
              <w:rPr>
                <w:rFonts w:ascii="Arial" w:cs="Arial" w:eastAsia="Arial" w:hAnsi="Arial"/>
                <w:sz w:val="16"/>
                <w:szCs w:val="16"/>
                <w:color w:val="435363"/>
                <w:w w:val="96"/>
              </w:rPr>
              <w:t>On or about</w:t>
            </w:r>
          </w:p>
        </w:tc>
      </w:tr>
      <w:tr>
        <w:trPr>
          <w:trHeight w:val="210"/>
        </w:trPr>
        <w:tc>
          <w:tcPr>
            <w:tcW w:w="5320" w:type="dxa"/>
            <w:vAlign w:val="bottom"/>
            <w:tcBorders>
              <w:right w:val="single" w:sz="8" w:color="BF0000"/>
            </w:tcBorders>
          </w:tcPr>
          <w:p>
            <w:pPr>
              <w:spacing w:after="0"/>
              <w:rPr>
                <w:sz w:val="18"/>
                <w:szCs w:val="18"/>
                <w:color w:val="auto"/>
              </w:rPr>
            </w:pPr>
          </w:p>
        </w:tc>
        <w:tc>
          <w:tcPr>
            <w:tcW w:w="5480" w:type="dxa"/>
            <w:vAlign w:val="bottom"/>
          </w:tcPr>
          <w:p>
            <w:pPr>
              <w:jc w:val="center"/>
              <w:ind w:left="301"/>
              <w:spacing w:after="0"/>
              <w:rPr>
                <w:sz w:val="20"/>
                <w:szCs w:val="20"/>
                <w:color w:val="auto"/>
              </w:rPr>
            </w:pPr>
            <w:r>
              <w:rPr>
                <w:rFonts w:ascii="Arial" w:cs="Arial" w:eastAsia="Arial" w:hAnsi="Arial"/>
                <w:sz w:val="16"/>
                <w:szCs w:val="16"/>
                <w:color w:val="435363"/>
                <w:w w:val="92"/>
              </w:rPr>
              <w:t>April    , 2024</w:t>
            </w:r>
          </w:p>
        </w:tc>
      </w:tr>
      <w:tr>
        <w:trPr>
          <w:trHeight w:val="881"/>
        </w:trPr>
        <w:tc>
          <w:tcPr>
            <w:tcW w:w="5320" w:type="dxa"/>
            <w:vAlign w:val="bottom"/>
            <w:tcBorders>
              <w:right w:val="single" w:sz="8" w:color="BF0000"/>
            </w:tcBorders>
          </w:tcPr>
          <w:p>
            <w:pPr>
              <w:jc w:val="center"/>
              <w:ind w:right="281"/>
              <w:spacing w:after="0"/>
              <w:rPr>
                <w:sz w:val="20"/>
                <w:szCs w:val="20"/>
                <w:color w:val="auto"/>
              </w:rPr>
            </w:pPr>
            <w:r>
              <w:rPr>
                <w:rFonts w:ascii="Arial" w:cs="Arial" w:eastAsia="Arial" w:hAnsi="Arial"/>
                <w:sz w:val="16"/>
                <w:szCs w:val="16"/>
                <w:b w:val="1"/>
                <w:bCs w:val="1"/>
                <w:color w:val="435363"/>
                <w:w w:val="99"/>
              </w:rPr>
              <w:t>Vote in Advance of the Meeting</w:t>
            </w:r>
          </w:p>
        </w:tc>
        <w:tc>
          <w:tcPr>
            <w:tcW w:w="5480" w:type="dxa"/>
            <w:vAlign w:val="bottom"/>
          </w:tcPr>
          <w:p>
            <w:pPr>
              <w:jc w:val="center"/>
              <w:ind w:left="301"/>
              <w:spacing w:after="0"/>
              <w:rPr>
                <w:sz w:val="20"/>
                <w:szCs w:val="20"/>
                <w:color w:val="auto"/>
              </w:rPr>
            </w:pPr>
            <w:r>
              <w:rPr>
                <w:rFonts w:ascii="Arial" w:cs="Arial" w:eastAsia="Arial" w:hAnsi="Arial"/>
                <w:sz w:val="16"/>
                <w:szCs w:val="16"/>
                <w:b w:val="1"/>
                <w:bCs w:val="1"/>
                <w:color w:val="435363"/>
                <w:w w:val="98"/>
              </w:rPr>
              <w:t>Vote During the Meeting</w:t>
            </w:r>
          </w:p>
        </w:tc>
      </w:tr>
      <w:tr>
        <w:trPr>
          <w:trHeight w:val="35"/>
        </w:trPr>
        <w:tc>
          <w:tcPr>
            <w:tcW w:w="5320" w:type="dxa"/>
            <w:vAlign w:val="bottom"/>
            <w:tcBorders>
              <w:bottom w:val="single" w:sz="8" w:color="BF0000"/>
              <w:right w:val="single" w:sz="8" w:color="BF0000"/>
            </w:tcBorders>
          </w:tcPr>
          <w:p>
            <w:pPr>
              <w:spacing w:after="0"/>
              <w:rPr>
                <w:sz w:val="3"/>
                <w:szCs w:val="3"/>
                <w:color w:val="auto"/>
              </w:rPr>
            </w:pPr>
          </w:p>
        </w:tc>
        <w:tc>
          <w:tcPr>
            <w:tcW w:w="5480" w:type="dxa"/>
            <w:vAlign w:val="bottom"/>
            <w:tcBorders>
              <w:bottom w:val="single" w:sz="8" w:color="BF0000"/>
            </w:tcBorders>
          </w:tcPr>
          <w:p>
            <w:pPr>
              <w:spacing w:after="0"/>
              <w:rPr>
                <w:sz w:val="3"/>
                <w:szCs w:val="3"/>
                <w:color w:val="auto"/>
              </w:rPr>
            </w:pPr>
          </w:p>
        </w:tc>
      </w:tr>
      <w:tr>
        <w:trPr>
          <w:trHeight w:val="283"/>
        </w:trPr>
        <w:tc>
          <w:tcPr>
            <w:tcW w:w="5320" w:type="dxa"/>
            <w:vAlign w:val="bottom"/>
            <w:tcBorders>
              <w:right w:val="single" w:sz="8" w:color="BF0000"/>
            </w:tcBorders>
          </w:tcPr>
          <w:p>
            <w:pPr>
              <w:ind w:left="940"/>
              <w:spacing w:after="0"/>
              <w:rPr>
                <w:sz w:val="20"/>
                <w:szCs w:val="20"/>
                <w:color w:val="auto"/>
              </w:rPr>
            </w:pPr>
            <w:r>
              <w:rPr>
                <w:rFonts w:ascii="Arial" w:cs="Arial" w:eastAsia="Arial" w:hAnsi="Arial"/>
                <w:sz w:val="16"/>
                <w:szCs w:val="16"/>
                <w:b w:val="1"/>
                <w:bCs w:val="1"/>
                <w:color w:val="3575B3"/>
              </w:rPr>
              <w:t>Over the Internet at</w:t>
            </w:r>
          </w:p>
        </w:tc>
        <w:tc>
          <w:tcPr>
            <w:tcW w:w="5480" w:type="dxa"/>
            <w:vAlign w:val="bottom"/>
          </w:tcPr>
          <w:p>
            <w:pPr>
              <w:ind w:left="1360"/>
              <w:spacing w:after="0"/>
              <w:rPr>
                <w:sz w:val="20"/>
                <w:szCs w:val="20"/>
                <w:color w:val="auto"/>
              </w:rPr>
            </w:pPr>
            <w:r>
              <w:rPr>
                <w:rFonts w:ascii="Arial" w:cs="Arial" w:eastAsia="Arial" w:hAnsi="Arial"/>
                <w:sz w:val="16"/>
                <w:szCs w:val="16"/>
                <w:b w:val="1"/>
                <w:bCs w:val="1"/>
                <w:color w:val="3575B3"/>
              </w:rPr>
              <w:t xml:space="preserve">Over the Internet during the Annual Meeting. </w:t>
            </w:r>
            <w:r>
              <w:rPr>
                <w:rFonts w:ascii="Arial" w:cs="Arial" w:eastAsia="Arial" w:hAnsi="Arial"/>
                <w:sz w:val="16"/>
                <w:szCs w:val="16"/>
                <w:color w:val="3575B3"/>
              </w:rPr>
              <w:t>Please</w:t>
            </w:r>
          </w:p>
        </w:tc>
      </w:tr>
      <w:tr>
        <w:trPr>
          <w:trHeight w:val="185"/>
        </w:trPr>
        <w:tc>
          <w:tcPr>
            <w:tcW w:w="5320" w:type="dxa"/>
            <w:vAlign w:val="bottom"/>
            <w:tcBorders>
              <w:right w:val="single" w:sz="8" w:color="BF0000"/>
            </w:tcBorders>
          </w:tcPr>
          <w:p>
            <w:pPr>
              <w:ind w:left="940"/>
              <w:spacing w:after="0"/>
              <w:rPr>
                <w:sz w:val="20"/>
                <w:szCs w:val="20"/>
                <w:color w:val="auto"/>
              </w:rPr>
            </w:pPr>
            <w:r>
              <w:rPr>
                <w:rFonts w:ascii="Arial" w:cs="Arial" w:eastAsia="Arial" w:hAnsi="Arial"/>
                <w:sz w:val="16"/>
                <w:szCs w:val="16"/>
                <w:b w:val="1"/>
                <w:bCs w:val="1"/>
                <w:i w:val="1"/>
                <w:iCs w:val="1"/>
                <w:color w:val="3575B3"/>
              </w:rPr>
              <w:t>www.proxydocs.com/AAL</w:t>
            </w:r>
            <w:r>
              <w:rPr>
                <w:rFonts w:ascii="Arial" w:cs="Arial" w:eastAsia="Arial" w:hAnsi="Arial"/>
                <w:sz w:val="16"/>
                <w:szCs w:val="16"/>
                <w:b w:val="1"/>
                <w:bCs w:val="1"/>
                <w:color w:val="3575B3"/>
              </w:rPr>
              <w:t>; or</w:t>
            </w:r>
          </w:p>
        </w:tc>
        <w:tc>
          <w:tcPr>
            <w:tcW w:w="5480" w:type="dxa"/>
            <w:vAlign w:val="bottom"/>
          </w:tcPr>
          <w:p>
            <w:pPr>
              <w:ind w:left="1360"/>
              <w:spacing w:after="0"/>
              <w:rPr>
                <w:sz w:val="20"/>
                <w:szCs w:val="20"/>
                <w:color w:val="auto"/>
              </w:rPr>
            </w:pPr>
            <w:r>
              <w:rPr>
                <w:rFonts w:ascii="Arial" w:cs="Arial" w:eastAsia="Arial" w:hAnsi="Arial"/>
                <w:sz w:val="16"/>
                <w:szCs w:val="16"/>
                <w:color w:val="3575B3"/>
              </w:rPr>
              <w:t xml:space="preserve">register at </w:t>
            </w:r>
            <w:r>
              <w:rPr>
                <w:rFonts w:ascii="Arial" w:cs="Arial" w:eastAsia="Arial" w:hAnsi="Arial"/>
                <w:sz w:val="16"/>
                <w:szCs w:val="16"/>
                <w:b w:val="1"/>
                <w:bCs w:val="1"/>
                <w:i w:val="1"/>
                <w:iCs w:val="1"/>
                <w:color w:val="3575B3"/>
              </w:rPr>
              <w:t>www.proxydocs.com/AAL</w:t>
            </w:r>
            <w:r>
              <w:rPr>
                <w:rFonts w:ascii="Arial" w:cs="Arial" w:eastAsia="Arial" w:hAnsi="Arial"/>
                <w:sz w:val="16"/>
                <w:szCs w:val="16"/>
                <w:color w:val="3575B3"/>
              </w:rPr>
              <w:t xml:space="preserve"> to gain access to</w:t>
            </w:r>
          </w:p>
        </w:tc>
      </w:tr>
      <w:tr>
        <w:trPr>
          <w:trHeight w:val="199"/>
        </w:trPr>
        <w:tc>
          <w:tcPr>
            <w:tcW w:w="5320" w:type="dxa"/>
            <w:vAlign w:val="bottom"/>
            <w:tcBorders>
              <w:right w:val="single" w:sz="8" w:color="BF0000"/>
            </w:tcBorders>
          </w:tcPr>
          <w:p>
            <w:pPr>
              <w:spacing w:after="0"/>
              <w:rPr>
                <w:sz w:val="17"/>
                <w:szCs w:val="17"/>
                <w:color w:val="auto"/>
              </w:rPr>
            </w:pPr>
          </w:p>
        </w:tc>
        <w:tc>
          <w:tcPr>
            <w:tcW w:w="5480" w:type="dxa"/>
            <w:vAlign w:val="bottom"/>
          </w:tcPr>
          <w:p>
            <w:pPr>
              <w:ind w:left="1360"/>
              <w:spacing w:after="0"/>
              <w:rPr>
                <w:sz w:val="20"/>
                <w:szCs w:val="20"/>
                <w:color w:val="auto"/>
              </w:rPr>
            </w:pPr>
            <w:r>
              <w:rPr>
                <w:rFonts w:ascii="Arial" w:cs="Arial" w:eastAsia="Arial" w:hAnsi="Arial"/>
                <w:sz w:val="16"/>
                <w:szCs w:val="16"/>
                <w:color w:val="3575B3"/>
              </w:rPr>
              <w:t>the meeting.</w:t>
            </w:r>
          </w:p>
        </w:tc>
      </w:tr>
      <w:tr>
        <w:trPr>
          <w:trHeight w:val="199"/>
        </w:trPr>
        <w:tc>
          <w:tcPr>
            <w:tcW w:w="5320" w:type="dxa"/>
            <w:vAlign w:val="bottom"/>
            <w:tcBorders>
              <w:right w:val="single" w:sz="8" w:color="BF0000"/>
            </w:tcBorders>
          </w:tcPr>
          <w:p>
            <w:pPr>
              <w:ind w:left="5080"/>
              <w:spacing w:after="0"/>
              <w:rPr>
                <w:sz w:val="20"/>
                <w:szCs w:val="20"/>
                <w:color w:val="auto"/>
              </w:rPr>
            </w:pPr>
            <w:r>
              <w:rPr>
                <w:rFonts w:ascii="Arial" w:cs="Arial" w:eastAsia="Arial" w:hAnsi="Arial"/>
                <w:sz w:val="16"/>
                <w:szCs w:val="16"/>
                <w:color w:val="435363"/>
              </w:rPr>
              <w:t> </w:t>
            </w:r>
          </w:p>
        </w:tc>
        <w:tc>
          <w:tcPr>
            <w:tcW w:w="5480" w:type="dxa"/>
            <w:vAlign w:val="bottom"/>
          </w:tcPr>
          <w:p>
            <w:pPr>
              <w:ind w:left="80"/>
              <w:spacing w:after="0"/>
              <w:rPr>
                <w:sz w:val="20"/>
                <w:szCs w:val="20"/>
                <w:color w:val="auto"/>
              </w:rPr>
            </w:pPr>
            <w:r>
              <w:rPr>
                <w:rFonts w:ascii="Arial" w:cs="Arial" w:eastAsia="Arial" w:hAnsi="Arial"/>
                <w:sz w:val="16"/>
                <w:szCs w:val="16"/>
                <w:color w:val="435363"/>
              </w:rPr>
              <w:t> </w:t>
            </w:r>
          </w:p>
        </w:tc>
      </w:tr>
      <w:tr>
        <w:trPr>
          <w:trHeight w:val="225"/>
        </w:trPr>
        <w:tc>
          <w:tcPr>
            <w:tcW w:w="5320" w:type="dxa"/>
            <w:vAlign w:val="bottom"/>
            <w:tcBorders>
              <w:right w:val="single" w:sz="8" w:color="BF0000"/>
            </w:tcBorders>
          </w:tcPr>
          <w:p>
            <w:pPr>
              <w:ind w:left="940"/>
              <w:spacing w:after="0"/>
              <w:rPr>
                <w:sz w:val="20"/>
                <w:szCs w:val="20"/>
                <w:color w:val="auto"/>
              </w:rPr>
            </w:pPr>
            <w:r>
              <w:rPr>
                <w:rFonts w:ascii="Arial" w:cs="Arial" w:eastAsia="Arial" w:hAnsi="Arial"/>
                <w:sz w:val="16"/>
                <w:szCs w:val="16"/>
                <w:b w:val="1"/>
                <w:bCs w:val="1"/>
                <w:color w:val="3575B3"/>
              </w:rPr>
              <w:t>By telephone at 1-866-570-3320; or</w:t>
            </w:r>
          </w:p>
        </w:tc>
        <w:tc>
          <w:tcPr>
            <w:tcW w:w="5480" w:type="dxa"/>
            <w:vAlign w:val="bottom"/>
          </w:tcPr>
          <w:p>
            <w:pPr>
              <w:ind w:left="1360"/>
              <w:spacing w:after="0"/>
              <w:rPr>
                <w:sz w:val="20"/>
                <w:szCs w:val="20"/>
                <w:color w:val="auto"/>
              </w:rPr>
            </w:pPr>
            <w:r>
              <w:rPr>
                <w:rFonts w:ascii="Arial" w:cs="Arial" w:eastAsia="Arial" w:hAnsi="Arial"/>
                <w:sz w:val="16"/>
                <w:szCs w:val="16"/>
                <w:b w:val="1"/>
                <w:bCs w:val="1"/>
                <w:color w:val="435363"/>
              </w:rPr>
              <w:t xml:space="preserve">See page 1 — “Virtual Stockholder Meeting” </w:t>
            </w:r>
            <w:r>
              <w:rPr>
                <w:rFonts w:ascii="Arial" w:cs="Arial" w:eastAsia="Arial" w:hAnsi="Arial"/>
                <w:sz w:val="16"/>
                <w:szCs w:val="16"/>
                <w:color w:val="435363"/>
              </w:rPr>
              <w:t>for details</w:t>
            </w:r>
          </w:p>
        </w:tc>
      </w:tr>
      <w:tr>
        <w:trPr>
          <w:trHeight w:val="185"/>
        </w:trPr>
        <w:tc>
          <w:tcPr>
            <w:tcW w:w="5320" w:type="dxa"/>
            <w:vAlign w:val="bottom"/>
            <w:tcBorders>
              <w:right w:val="single" w:sz="8" w:color="BF0000"/>
            </w:tcBorders>
          </w:tcPr>
          <w:p>
            <w:pPr>
              <w:spacing w:after="0"/>
              <w:rPr>
                <w:sz w:val="16"/>
                <w:szCs w:val="16"/>
                <w:color w:val="auto"/>
              </w:rPr>
            </w:pPr>
          </w:p>
        </w:tc>
        <w:tc>
          <w:tcPr>
            <w:tcW w:w="5480" w:type="dxa"/>
            <w:vAlign w:val="bottom"/>
          </w:tcPr>
          <w:p>
            <w:pPr>
              <w:ind w:left="1360"/>
              <w:spacing w:after="0"/>
              <w:rPr>
                <w:sz w:val="20"/>
                <w:szCs w:val="20"/>
                <w:color w:val="auto"/>
              </w:rPr>
            </w:pPr>
            <w:r>
              <w:rPr>
                <w:rFonts w:ascii="Arial" w:cs="Arial" w:eastAsia="Arial" w:hAnsi="Arial"/>
                <w:sz w:val="16"/>
                <w:szCs w:val="16"/>
                <w:color w:val="435363"/>
              </w:rPr>
              <w:t>on how to access the live audio webcast and vote during</w:t>
            </w:r>
          </w:p>
        </w:tc>
      </w:tr>
      <w:tr>
        <w:trPr>
          <w:trHeight w:val="210"/>
        </w:trPr>
        <w:tc>
          <w:tcPr>
            <w:tcW w:w="5320" w:type="dxa"/>
            <w:vAlign w:val="bottom"/>
            <w:tcBorders>
              <w:right w:val="single" w:sz="8" w:color="BF0000"/>
            </w:tcBorders>
          </w:tcPr>
          <w:p>
            <w:pPr>
              <w:spacing w:after="0"/>
              <w:rPr>
                <w:sz w:val="18"/>
                <w:szCs w:val="18"/>
                <w:color w:val="auto"/>
              </w:rPr>
            </w:pPr>
          </w:p>
        </w:tc>
        <w:tc>
          <w:tcPr>
            <w:tcW w:w="5480" w:type="dxa"/>
            <w:vAlign w:val="bottom"/>
          </w:tcPr>
          <w:p>
            <w:pPr>
              <w:ind w:left="1360"/>
              <w:spacing w:after="0"/>
              <w:rPr>
                <w:sz w:val="20"/>
                <w:szCs w:val="20"/>
                <w:color w:val="auto"/>
              </w:rPr>
            </w:pPr>
            <w:r>
              <w:rPr>
                <w:rFonts w:ascii="Arial" w:cs="Arial" w:eastAsia="Arial" w:hAnsi="Arial"/>
                <w:sz w:val="16"/>
                <w:szCs w:val="16"/>
                <w:color w:val="435363"/>
              </w:rPr>
              <w:t>the Annual Meeting.</w:t>
            </w:r>
          </w:p>
        </w:tc>
      </w:tr>
      <w:tr>
        <w:trPr>
          <w:trHeight w:val="439"/>
        </w:trPr>
        <w:tc>
          <w:tcPr>
            <w:tcW w:w="5320" w:type="dxa"/>
            <w:vAlign w:val="bottom"/>
            <w:tcBorders>
              <w:right w:val="single" w:sz="8" w:color="BF0000"/>
            </w:tcBorders>
          </w:tcPr>
          <w:p>
            <w:pPr>
              <w:ind w:left="880"/>
              <w:spacing w:after="0"/>
              <w:rPr>
                <w:sz w:val="20"/>
                <w:szCs w:val="20"/>
                <w:color w:val="auto"/>
              </w:rPr>
            </w:pPr>
            <w:r>
              <w:rPr>
                <w:rFonts w:ascii="Arial" w:cs="Arial" w:eastAsia="Arial" w:hAnsi="Arial"/>
                <w:sz w:val="16"/>
                <w:szCs w:val="16"/>
                <w:b w:val="1"/>
                <w:bCs w:val="1"/>
                <w:color w:val="435363"/>
              </w:rPr>
              <w:t>By mail — sign, date and return the proxy card or</w:t>
            </w:r>
          </w:p>
        </w:tc>
        <w:tc>
          <w:tcPr>
            <w:tcW w:w="5480" w:type="dxa"/>
            <w:vAlign w:val="bottom"/>
          </w:tcPr>
          <w:p>
            <w:pPr>
              <w:spacing w:after="0"/>
              <w:rPr>
                <w:sz w:val="24"/>
                <w:szCs w:val="24"/>
                <w:color w:val="auto"/>
              </w:rPr>
            </w:pPr>
          </w:p>
        </w:tc>
      </w:tr>
      <w:tr>
        <w:trPr>
          <w:trHeight w:val="218"/>
        </w:trPr>
        <w:tc>
          <w:tcPr>
            <w:tcW w:w="5320" w:type="dxa"/>
            <w:vAlign w:val="bottom"/>
            <w:tcBorders>
              <w:right w:val="single" w:sz="8" w:color="BF0000"/>
            </w:tcBorders>
          </w:tcPr>
          <w:p>
            <w:pPr>
              <w:ind w:left="880"/>
              <w:spacing w:after="0"/>
              <w:rPr>
                <w:sz w:val="20"/>
                <w:szCs w:val="20"/>
                <w:color w:val="auto"/>
              </w:rPr>
            </w:pPr>
            <w:r>
              <w:rPr>
                <w:rFonts w:ascii="Arial" w:cs="Arial" w:eastAsia="Arial" w:hAnsi="Arial"/>
                <w:sz w:val="16"/>
                <w:szCs w:val="16"/>
                <w:b w:val="1"/>
                <w:bCs w:val="1"/>
                <w:color w:val="435363"/>
              </w:rPr>
              <w:t>voting instruction form mailed to you.</w:t>
            </w:r>
          </w:p>
        </w:tc>
        <w:tc>
          <w:tcPr>
            <w:tcW w:w="5480" w:type="dxa"/>
            <w:vAlign w:val="bottom"/>
          </w:tcPr>
          <w:p>
            <w:pPr>
              <w:spacing w:after="0"/>
              <w:rPr>
                <w:sz w:val="18"/>
                <w:szCs w:val="18"/>
                <w:color w:val="auto"/>
              </w:rPr>
            </w:pPr>
          </w:p>
        </w:tc>
      </w:tr>
      <w:tr>
        <w:trPr>
          <w:trHeight w:val="180"/>
        </w:trPr>
        <w:tc>
          <w:tcPr>
            <w:tcW w:w="5320" w:type="dxa"/>
            <w:vAlign w:val="bottom"/>
            <w:tcBorders>
              <w:right w:val="single" w:sz="8" w:color="BF0000"/>
            </w:tcBorders>
          </w:tcPr>
          <w:p>
            <w:pPr>
              <w:spacing w:after="0"/>
              <w:rPr>
                <w:sz w:val="15"/>
                <w:szCs w:val="15"/>
                <w:color w:val="auto"/>
              </w:rPr>
            </w:pPr>
          </w:p>
        </w:tc>
        <w:tc>
          <w:tcPr>
            <w:tcW w:w="54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-3781425</wp:posOffset>
            </wp:positionV>
            <wp:extent cx="226695" cy="2266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6695" cy="22669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-3781425</wp:posOffset>
            </wp:positionV>
            <wp:extent cx="226695" cy="2266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6695" cy="22669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-2654935</wp:posOffset>
            </wp:positionV>
            <wp:extent cx="201930" cy="201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1930" cy="201930"/>
                    </a:xfrm>
                    <a:prstGeom prst="rect">
                      <a:avLst/>
                    </a:prstGeom>
                    <a:noFill/>
                  </pic:spPr>
                </pic:pic>
              </a:graphicData>
            </a:graphic>
          </wp:anchor>
        </w:drawing>
        <w:drawing>
          <wp:anchor simplePos="0" relativeHeight="251657728" behindDoc="1" locked="0" layoutInCell="0" allowOverlap="1">
            <wp:simplePos x="0" y="0"/>
            <wp:positionH relativeFrom="column">
              <wp:posOffset>5256530</wp:posOffset>
            </wp:positionH>
            <wp:positionV relativeFrom="paragraph">
              <wp:posOffset>-2654935</wp:posOffset>
            </wp:positionV>
            <wp:extent cx="269240" cy="201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9240" cy="201930"/>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-940435</wp:posOffset>
            </wp:positionV>
            <wp:extent cx="126365" cy="260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6365" cy="260350"/>
                    </a:xfrm>
                    <a:prstGeom prst="rect">
                      <a:avLst/>
                    </a:prstGeom>
                    <a:noFill/>
                  </pic:spPr>
                </pic:pic>
              </a:graphicData>
            </a:graphic>
          </wp:anchor>
        </w:drawing>
        <w:drawing>
          <wp:anchor simplePos="0" relativeHeight="251657728" behindDoc="1" locked="0" layoutInCell="0" allowOverlap="1">
            <wp:simplePos x="0" y="0"/>
            <wp:positionH relativeFrom="column">
              <wp:posOffset>255905</wp:posOffset>
            </wp:positionH>
            <wp:positionV relativeFrom="paragraph">
              <wp:posOffset>-344170</wp:posOffset>
            </wp:positionV>
            <wp:extent cx="269240" cy="2019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240" cy="201930"/>
                    </a:xfrm>
                    <a:prstGeom prst="rect">
                      <a:avLst/>
                    </a:prstGeom>
                    <a:noFill/>
                  </pic:spPr>
                </pic:pic>
              </a:graphicData>
            </a:graphic>
          </wp:anchor>
        </w:drawing>
        <w:drawing>
          <wp:anchor simplePos="0" relativeHeight="251657728" behindDoc="1" locked="0" layoutInCell="0" allowOverlap="1">
            <wp:simplePos x="0" y="0"/>
            <wp:positionH relativeFrom="column">
              <wp:posOffset>1424305</wp:posOffset>
            </wp:positionH>
            <wp:positionV relativeFrom="paragraph">
              <wp:posOffset>117475</wp:posOffset>
            </wp:positionV>
            <wp:extent cx="5177155" cy="168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91" w:lineRule="exact"/>
        <w:rPr>
          <w:sz w:val="20"/>
          <w:szCs w:val="20"/>
          <w:color w:val="auto"/>
        </w:rPr>
      </w:pPr>
    </w:p>
    <w:p>
      <w:pPr>
        <w:ind w:left="10980"/>
        <w:spacing w:after="0"/>
        <w:rPr>
          <w:sz w:val="20"/>
          <w:szCs w:val="20"/>
          <w:color w:val="auto"/>
        </w:rPr>
      </w:pPr>
      <w:r>
        <w:rPr>
          <w:rFonts w:ascii="Arial" w:cs="Arial" w:eastAsia="Arial" w:hAnsi="Arial"/>
          <w:sz w:val="16"/>
          <w:szCs w:val="16"/>
          <w:b w:val="1"/>
          <w:bCs w:val="1"/>
          <w:color w:val="435363"/>
        </w:rPr>
        <w:t>i</w:t>
      </w: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435363"/>
        </w:rPr>
        <w:t>Submitting Questions at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9525</wp:posOffset>
            </wp:positionV>
            <wp:extent cx="6866255" cy="1470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66255" cy="1470660"/>
                    </a:xfrm>
                    <a:prstGeom prst="rect">
                      <a:avLst/>
                    </a:prstGeom>
                    <a:noFill/>
                  </pic:spPr>
                </pic:pic>
              </a:graphicData>
            </a:graphic>
          </wp:anchor>
        </w:drawing>
      </w:r>
    </w:p>
    <w:p>
      <w:pPr>
        <w:spacing w:after="0" w:line="11" w:lineRule="exact"/>
        <w:rPr>
          <w:sz w:val="20"/>
          <w:szCs w:val="20"/>
          <w:color w:val="auto"/>
        </w:rPr>
      </w:pPr>
    </w:p>
    <w:p>
      <w:pPr>
        <w:ind w:left="560"/>
        <w:spacing w:after="0" w:line="248" w:lineRule="auto"/>
        <w:rPr>
          <w:sz w:val="20"/>
          <w:szCs w:val="20"/>
          <w:color w:val="auto"/>
        </w:rPr>
      </w:pPr>
      <w:r>
        <w:rPr>
          <w:rFonts w:ascii="Arial" w:cs="Arial" w:eastAsia="Arial" w:hAnsi="Arial"/>
          <w:sz w:val="16"/>
          <w:szCs w:val="16"/>
          <w:color w:val="435363"/>
        </w:rPr>
        <w:t xml:space="preserve">Stockholders may submit questions in writing during the Annual Meeting by registering to attend the virtual meeting at </w:t>
      </w:r>
      <w:r>
        <w:rPr>
          <w:rFonts w:ascii="Arial" w:cs="Arial" w:eastAsia="Arial" w:hAnsi="Arial"/>
          <w:sz w:val="16"/>
          <w:szCs w:val="16"/>
          <w:i w:val="1"/>
          <w:iCs w:val="1"/>
          <w:color w:val="435363"/>
        </w:rPr>
        <w:t>www.proxydocs.com/AAL</w:t>
      </w:r>
      <w:r>
        <w:rPr>
          <w:rFonts w:ascii="Arial" w:cs="Arial" w:eastAsia="Arial" w:hAnsi="Arial"/>
          <w:sz w:val="16"/>
          <w:szCs w:val="16"/>
          <w:color w:val="435363"/>
        </w:rPr>
        <w:t>. Stockholders will need their unique control number which appears on their Notice of Internet Availability of Proxy Materials, the proxy card (printed in the gray box), and the instructions that accompanied the proxy materials.</w:t>
      </w:r>
    </w:p>
    <w:p>
      <w:pPr>
        <w:spacing w:after="0" w:line="89" w:lineRule="exact"/>
        <w:rPr>
          <w:sz w:val="20"/>
          <w:szCs w:val="20"/>
          <w:color w:val="auto"/>
        </w:rPr>
      </w:pPr>
    </w:p>
    <w:p>
      <w:pPr>
        <w:ind w:left="560" w:right="20"/>
        <w:spacing w:after="0" w:line="246" w:lineRule="auto"/>
        <w:rPr>
          <w:sz w:val="20"/>
          <w:szCs w:val="20"/>
          <w:color w:val="auto"/>
        </w:rPr>
      </w:pPr>
      <w:r>
        <w:rPr>
          <w:rFonts w:ascii="Arial" w:cs="Arial" w:eastAsia="Arial" w:hAnsi="Arial"/>
          <w:sz w:val="16"/>
          <w:szCs w:val="16"/>
          <w:color w:val="435363"/>
        </w:rPr>
        <w:t xml:space="preserve">As part of the Annual Meeting, and as time permits, we will hold a live Q&amp;A session, during which we intend to answer questions submitted during the meeting in accordance with the Annual Meeting’s Rules of Conduct which are pertinent to American Airlines Group Inc. (the “Company”) and the meeting matters. Answers to any such questions that are not addressed during the meeting will be published following the meeting on the Company’s website at </w:t>
      </w:r>
      <w:r>
        <w:rPr>
          <w:rFonts w:ascii="Arial" w:cs="Arial" w:eastAsia="Arial" w:hAnsi="Arial"/>
          <w:sz w:val="16"/>
          <w:szCs w:val="16"/>
          <w:i w:val="1"/>
          <w:iCs w:val="1"/>
          <w:color w:val="435363"/>
        </w:rPr>
        <w:t>www.aa.com</w:t>
      </w:r>
      <w:r>
        <w:rPr>
          <w:rFonts w:ascii="Arial" w:cs="Arial" w:eastAsia="Arial" w:hAnsi="Arial"/>
          <w:sz w:val="16"/>
          <w:szCs w:val="16"/>
          <w:color w:val="435363"/>
        </w:rPr>
        <w:t xml:space="preserve"> under the links “Investor Relations”—“Annual Shareholders Meeting”—“2024 Annual Meeting of Stockholders Q&amp;A.” Questions and answers will be grouped by topic and substantially similar questions will be grouped and answered once. In order to promote fairness, efficient use of the Company’s resources and to ensure all stockholders are responded to, we will respond to up to three questions from a single stockholder. The Annual Meeting’s Rules of Conduct will be posted on </w:t>
      </w:r>
      <w:r>
        <w:rPr>
          <w:rFonts w:ascii="Arial" w:cs="Arial" w:eastAsia="Arial" w:hAnsi="Arial"/>
          <w:sz w:val="16"/>
          <w:szCs w:val="16"/>
          <w:i w:val="1"/>
          <w:iCs w:val="1"/>
          <w:color w:val="435363"/>
        </w:rPr>
        <w:t>www.proxydocs.com/AAL</w:t>
      </w:r>
      <w:r>
        <w:rPr>
          <w:rFonts w:ascii="Arial" w:cs="Arial" w:eastAsia="Arial" w:hAnsi="Arial"/>
          <w:sz w:val="16"/>
          <w:szCs w:val="16"/>
          <w:color w:val="435363"/>
        </w:rPr>
        <w:t xml:space="preserve"> approximately two weeks prior to the Annual Meeting</w:t>
      </w:r>
      <w:r>
        <w:rPr>
          <w:rFonts w:ascii="Arial" w:cs="Arial" w:eastAsia="Arial" w:hAnsi="Arial"/>
          <w:sz w:val="16"/>
          <w:szCs w:val="16"/>
          <w:i w:val="1"/>
          <w:iCs w:val="1"/>
          <w:color w:val="435363"/>
        </w:rPr>
        <w:t>.</w:t>
      </w:r>
    </w:p>
    <w:p>
      <w:pPr>
        <w:spacing w:after="0" w:line="317"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Stockholder Engagement and Governance Highlights</w:t>
      </w:r>
    </w:p>
    <w:p>
      <w:pPr>
        <w:spacing w:after="0" w:line="223" w:lineRule="exact"/>
        <w:rPr>
          <w:sz w:val="20"/>
          <w:szCs w:val="20"/>
          <w:color w:val="auto"/>
        </w:rPr>
      </w:pPr>
    </w:p>
    <w:p>
      <w:pPr>
        <w:ind w:left="220" w:right="20"/>
        <w:spacing w:after="0" w:line="247" w:lineRule="auto"/>
        <w:rPr>
          <w:sz w:val="20"/>
          <w:szCs w:val="20"/>
          <w:color w:val="auto"/>
        </w:rPr>
      </w:pPr>
      <w:r>
        <w:rPr>
          <w:rFonts w:ascii="Arial" w:cs="Arial" w:eastAsia="Arial" w:hAnsi="Arial"/>
          <w:sz w:val="16"/>
          <w:szCs w:val="16"/>
          <w:color w:val="435363"/>
        </w:rPr>
        <w:t>We welcome and value communication with our stockholders. We engage in proactive dialogue with our largest stockholders year-round to gain an understanding of their perspectives on a wide range of matters, which we regularly share with the Board of Directors of the Company (the “Board”). In 2023, we contacted stockholders representing approximately 40% of outstanding shares, and held discussions with investors representing nearly 20% of our outstanding shares. We also held engagements with the leading proxy advisor firms. We utilized these engagement sessions to focus on our recent board refreshment plan and other governance-related matters, our climate strategy, and executive compensation, particularly in the context of our recent CEO and senior management succession planning process and our emergence from the COVID-19 pandemic. We also discussed the Company’s long-term strategy and recent operating and financial performance.</w:t>
      </w:r>
    </w:p>
    <w:p>
      <w:pPr>
        <w:spacing w:after="0" w:line="183" w:lineRule="exact"/>
        <w:rPr>
          <w:sz w:val="20"/>
          <w:szCs w:val="20"/>
          <w:color w:val="auto"/>
        </w:rPr>
      </w:pPr>
    </w:p>
    <w:p>
      <w:pPr>
        <w:ind w:left="220" w:right="60"/>
        <w:spacing w:after="0" w:line="258" w:lineRule="auto"/>
        <w:rPr>
          <w:sz w:val="20"/>
          <w:szCs w:val="20"/>
          <w:color w:val="auto"/>
        </w:rPr>
      </w:pPr>
      <w:r>
        <w:rPr>
          <w:rFonts w:ascii="Arial" w:cs="Arial" w:eastAsia="Arial" w:hAnsi="Arial"/>
          <w:sz w:val="16"/>
          <w:szCs w:val="16"/>
          <w:color w:val="435363"/>
        </w:rPr>
        <w:t>Stockholders may communicate directly with our Board as set forth under “Communications with the Board and Non-Management Directors” on page 41 and can find information about our 2023 stockholder engagement feedback under “Stockholder Engagement” on pages 41 and 61. The following corporate governance and Board practices ensure accountability and enhance effectiveness in the boardroom:</w:t>
      </w:r>
    </w:p>
    <w:p>
      <w:pPr>
        <w:spacing w:after="0" w:line="201"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435363"/>
        </w:rPr>
        <w:t>Our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60325</wp:posOffset>
            </wp:positionV>
            <wp:extent cx="6857365" cy="1083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7365" cy="1083945"/>
                    </a:xfrm>
                    <a:prstGeom prst="rect">
                      <a:avLst/>
                    </a:prstGeom>
                    <a:noFill/>
                  </pic:spPr>
                </pic:pic>
              </a:graphicData>
            </a:graphic>
          </wp:anchor>
        </w:drawing>
      </w:r>
    </w:p>
    <w:p>
      <w:pPr>
        <w:spacing w:after="0" w:line="91"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5180" w:type="dxa"/>
            <w:vAlign w:val="bottom"/>
            <w:gridSpan w:val="2"/>
          </w:tcPr>
          <w:p>
            <w:pPr>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color w:val="435363"/>
              </w:rPr>
              <w:t xml:space="preserve">     Independent Chairman and separate Chairman and CEO roles</w:t>
            </w:r>
          </w:p>
        </w:tc>
        <w:tc>
          <w:tcPr>
            <w:tcW w:w="5160" w:type="dxa"/>
            <w:vAlign w:val="bottom"/>
          </w:tcPr>
          <w:p>
            <w:pPr>
              <w:ind w:left="440"/>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color w:val="435363"/>
              </w:rPr>
              <w:t xml:space="preserve">     Majority voting in director elections</w:t>
            </w:r>
          </w:p>
        </w:tc>
      </w:tr>
      <w:tr>
        <w:trPr>
          <w:trHeight w:val="238"/>
        </w:trPr>
        <w:tc>
          <w:tcPr>
            <w:tcW w:w="240" w:type="dxa"/>
            <w:vAlign w:val="bottom"/>
          </w:tcPr>
          <w:p>
            <w:pPr>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color w:val="435363"/>
              </w:rPr>
              <w:t xml:space="preserve"> </w:t>
            </w:r>
          </w:p>
        </w:tc>
        <w:tc>
          <w:tcPr>
            <w:tcW w:w="4940" w:type="dxa"/>
            <w:vAlign w:val="bottom"/>
          </w:tcPr>
          <w:p>
            <w:pPr>
              <w:ind w:left="40"/>
              <w:spacing w:after="0"/>
              <w:rPr>
                <w:sz w:val="20"/>
                <w:szCs w:val="20"/>
                <w:color w:val="auto"/>
              </w:rPr>
            </w:pPr>
            <w:r>
              <w:rPr>
                <w:rFonts w:ascii="Arial" w:cs="Arial" w:eastAsia="Arial" w:hAnsi="Arial"/>
                <w:sz w:val="16"/>
                <w:szCs w:val="16"/>
                <w:color w:val="435363"/>
              </w:rPr>
              <w:t>  Annually elected directors</w:t>
            </w:r>
          </w:p>
        </w:tc>
        <w:tc>
          <w:tcPr>
            <w:tcW w:w="5160" w:type="dxa"/>
            <w:vAlign w:val="bottom"/>
          </w:tcPr>
          <w:p>
            <w:pPr>
              <w:ind w:left="440"/>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color w:val="435363"/>
              </w:rPr>
              <w:t xml:space="preserve">     Stockholder right to call special meetings of stockholders</w:t>
            </w:r>
          </w:p>
        </w:tc>
      </w:tr>
      <w:tr>
        <w:trPr>
          <w:trHeight w:val="238"/>
        </w:trPr>
        <w:tc>
          <w:tcPr>
            <w:tcW w:w="240" w:type="dxa"/>
            <w:vAlign w:val="bottom"/>
          </w:tcPr>
          <w:p>
            <w:pPr>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color w:val="435363"/>
              </w:rPr>
              <w:t xml:space="preserve"> </w:t>
            </w:r>
          </w:p>
        </w:tc>
        <w:tc>
          <w:tcPr>
            <w:tcW w:w="4940" w:type="dxa"/>
            <w:vAlign w:val="bottom"/>
          </w:tcPr>
          <w:p>
            <w:pPr>
              <w:ind w:left="40"/>
              <w:spacing w:after="0"/>
              <w:rPr>
                <w:sz w:val="20"/>
                <w:szCs w:val="20"/>
                <w:color w:val="auto"/>
              </w:rPr>
            </w:pPr>
            <w:r>
              <w:rPr>
                <w:rFonts w:ascii="Arial" w:cs="Arial" w:eastAsia="Arial" w:hAnsi="Arial"/>
                <w:sz w:val="16"/>
                <w:szCs w:val="16"/>
                <w:color w:val="435363"/>
              </w:rPr>
              <w:t>  Independent Board committees</w:t>
            </w:r>
          </w:p>
        </w:tc>
        <w:tc>
          <w:tcPr>
            <w:tcW w:w="5160" w:type="dxa"/>
            <w:vAlign w:val="bottom"/>
          </w:tcPr>
          <w:p>
            <w:pPr>
              <w:ind w:left="440"/>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color w:val="435363"/>
              </w:rPr>
              <w:t xml:space="preserve">     Stockholder right to proxy access</w:t>
            </w:r>
          </w:p>
        </w:tc>
      </w:tr>
      <w:tr>
        <w:trPr>
          <w:trHeight w:val="238"/>
        </w:trPr>
        <w:tc>
          <w:tcPr>
            <w:tcW w:w="5180" w:type="dxa"/>
            <w:vAlign w:val="bottom"/>
            <w:gridSpan w:val="2"/>
          </w:tcPr>
          <w:p>
            <w:pPr>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color w:val="435363"/>
              </w:rPr>
              <w:t xml:space="preserve">     Regular Board and management succession planning</w:t>
            </w:r>
          </w:p>
        </w:tc>
        <w:tc>
          <w:tcPr>
            <w:tcW w:w="5160" w:type="dxa"/>
            <w:vAlign w:val="bottom"/>
          </w:tcPr>
          <w:p>
            <w:pPr>
              <w:ind w:left="440"/>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color w:val="435363"/>
              </w:rPr>
              <w:t xml:space="preserve">     Stockholder engagement policy and outreach program</w:t>
            </w:r>
          </w:p>
        </w:tc>
      </w:tr>
      <w:tr>
        <w:trPr>
          <w:trHeight w:val="238"/>
        </w:trPr>
        <w:tc>
          <w:tcPr>
            <w:tcW w:w="5180" w:type="dxa"/>
            <w:vAlign w:val="bottom"/>
            <w:gridSpan w:val="2"/>
          </w:tcPr>
          <w:p>
            <w:pPr>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color w:val="435363"/>
              </w:rPr>
              <w:t xml:space="preserve">     Independent directors meet without management present</w:t>
            </w:r>
          </w:p>
        </w:tc>
        <w:tc>
          <w:tcPr>
            <w:tcW w:w="5160" w:type="dxa"/>
            <w:vAlign w:val="bottom"/>
          </w:tcPr>
          <w:p>
            <w:pPr>
              <w:ind w:left="440"/>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color w:val="435363"/>
              </w:rPr>
              <w:t xml:space="preserve">     Commitment to sustainability and social responsibility</w:t>
            </w:r>
          </w:p>
        </w:tc>
      </w:tr>
      <w:tr>
        <w:trPr>
          <w:trHeight w:val="267"/>
        </w:trPr>
        <w:tc>
          <w:tcPr>
            <w:tcW w:w="5180" w:type="dxa"/>
            <w:vAlign w:val="bottom"/>
            <w:gridSpan w:val="2"/>
          </w:tcPr>
          <w:p>
            <w:pPr>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color w:val="435363"/>
              </w:rPr>
              <w:t xml:space="preserve">     Robust oversight of strategy and risk</w:t>
            </w:r>
          </w:p>
        </w:tc>
        <w:tc>
          <w:tcPr>
            <w:tcW w:w="5160" w:type="dxa"/>
            <w:vAlign w:val="bottom"/>
          </w:tcPr>
          <w:p>
            <w:pPr>
              <w:ind w:left="440"/>
              <w:spacing w:after="0" w:line="184" w:lineRule="exact"/>
              <w:rPr>
                <w:sz w:val="20"/>
                <w:szCs w:val="20"/>
                <w:color w:val="auto"/>
              </w:rPr>
            </w:pPr>
            <w:r>
              <w:rPr>
                <w:rFonts w:ascii="MS PGothic" w:cs="MS PGothic" w:eastAsia="MS PGothic" w:hAnsi="MS PGothic"/>
                <w:sz w:val="16"/>
                <w:szCs w:val="16"/>
                <w:color w:val="435363"/>
                <w:w w:val="98"/>
              </w:rPr>
              <w:t>✓</w:t>
            </w:r>
            <w:r>
              <w:rPr>
                <w:rFonts w:ascii="Arial" w:cs="Arial" w:eastAsia="Arial" w:hAnsi="Arial"/>
                <w:sz w:val="16"/>
                <w:szCs w:val="16"/>
                <w:color w:val="435363"/>
                <w:w w:val="98"/>
              </w:rPr>
              <w:t xml:space="preserve">     Stock ownership guidelines for directors and executive officers</w:t>
            </w:r>
          </w:p>
        </w:tc>
      </w:tr>
    </w:tbl>
    <w:p>
      <w:pPr>
        <w:ind w:left="280"/>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color w:val="435363"/>
        </w:rPr>
        <w:t xml:space="preserve">     Regular Board and committee 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30480</wp:posOffset>
            </wp:positionV>
            <wp:extent cx="68573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373" w:lineRule="exact"/>
        <w:rPr>
          <w:sz w:val="20"/>
          <w:szCs w:val="20"/>
          <w:color w:val="auto"/>
        </w:rPr>
      </w:pPr>
    </w:p>
    <w:p>
      <w:pPr>
        <w:ind w:left="4920" w:right="1920" w:hanging="4701"/>
        <w:spacing w:after="0"/>
        <w:rPr>
          <w:sz w:val="20"/>
          <w:szCs w:val="20"/>
          <w:color w:val="auto"/>
        </w:rPr>
      </w:pPr>
      <w:r>
        <w:rPr>
          <w:rFonts w:ascii="Arial" w:cs="Arial" w:eastAsia="Arial" w:hAnsi="Arial"/>
          <w:sz w:val="16"/>
          <w:szCs w:val="16"/>
          <w:b w:val="1"/>
          <w:bCs w:val="1"/>
          <w:color w:val="435363"/>
        </w:rPr>
        <w:t xml:space="preserve">ii </w:t>
      </w:r>
      <w:r>
        <w:rPr>
          <w:sz w:val="1"/>
          <w:szCs w:val="1"/>
          <w:color w:val="auto"/>
        </w:rPr>
        <w:drawing>
          <wp:inline distT="0" distB="0" distL="0" distR="0">
            <wp:extent cx="5177155" cy="1682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77155" cy="168275"/>
                    </a:xfrm>
                    <a:prstGeom prst="rect">
                      <a:avLst/>
                    </a:prstGeom>
                    <a:noFill/>
                    <a:ln>
                      <a:noFill/>
                    </a:ln>
                  </pic:spPr>
                </pic:pic>
              </a:graphicData>
            </a:graphic>
          </wp:inline>
        </w:drawing>
      </w:r>
      <w:r>
        <w:rPr>
          <w:rFonts w:ascii="Arial" w:cs="Arial" w:eastAsia="Arial" w:hAnsi="Arial"/>
          <w:sz w:val="14"/>
          <w:szCs w:val="14"/>
          <w:color w:val="435363"/>
        </w:rPr>
        <w:t xml:space="preserve"> 2024 Proxy Statement</w:t>
      </w:r>
    </w:p>
    <w:p>
      <w:pPr>
        <w:sectPr>
          <w:pgSz w:w="11900" w:h="16838" w:orient="portrait"/>
          <w:cols w:equalWidth="0" w:num="1">
            <w:col w:w="10960"/>
          </w:cols>
          <w:pgMar w:left="320" w:top="477" w:right="6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435363"/>
        </w:rPr>
        <w:t>Board Refreshment and 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9525</wp:posOffset>
            </wp:positionV>
            <wp:extent cx="6866255" cy="2244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66255" cy="2244090"/>
                    </a:xfrm>
                    <a:prstGeom prst="rect">
                      <a:avLst/>
                    </a:prstGeom>
                    <a:noFill/>
                  </pic:spPr>
                </pic:pic>
              </a:graphicData>
            </a:graphic>
          </wp:anchor>
        </w:drawing>
      </w:r>
    </w:p>
    <w:p>
      <w:pPr>
        <w:spacing w:after="0" w:line="11" w:lineRule="exact"/>
        <w:rPr>
          <w:sz w:val="20"/>
          <w:szCs w:val="20"/>
          <w:color w:val="auto"/>
        </w:rPr>
      </w:pPr>
    </w:p>
    <w:p>
      <w:pPr>
        <w:ind w:left="560" w:right="180"/>
        <w:spacing w:after="0" w:line="267" w:lineRule="auto"/>
        <w:rPr>
          <w:sz w:val="20"/>
          <w:szCs w:val="20"/>
          <w:color w:val="auto"/>
        </w:rPr>
      </w:pPr>
      <w:r>
        <w:rPr>
          <w:rFonts w:ascii="Arial" w:cs="Arial" w:eastAsia="Arial" w:hAnsi="Arial"/>
          <w:sz w:val="15"/>
          <w:szCs w:val="15"/>
          <w:color w:val="435363"/>
        </w:rPr>
        <w:t>The Board believes that thoughtful refreshment of the members of the Board is important to ensure that the Board continues to meet the changing needs of the Company and that new perspectives are regularly considered. The Board and the Corporate Governance and Public Responsibility (“CGPR”) Committee regularly evaluate the composition of the Board and its committees in an effort to develop a long-term succession plan for the Board and its leadership. Over the past four years, the active work of our Board and CGPR Committee has resulted in the following actions:</w:t>
      </w:r>
    </w:p>
    <w:p>
      <w:pPr>
        <w:spacing w:after="0" w:line="196" w:lineRule="exact"/>
        <w:rPr>
          <w:sz w:val="20"/>
          <w:szCs w:val="20"/>
          <w:color w:val="auto"/>
        </w:rPr>
      </w:pPr>
    </w:p>
    <w:p>
      <w:pPr>
        <w:jc w:val="both"/>
        <w:ind w:left="780" w:right="120" w:hanging="242"/>
        <w:spacing w:after="0" w:line="258"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w:t>
      </w:r>
      <w:r>
        <w:rPr>
          <w:rFonts w:ascii="Arial" w:cs="Arial" w:eastAsia="Arial" w:hAnsi="Arial"/>
          <w:sz w:val="16"/>
          <w:szCs w:val="16"/>
          <w:b w:val="1"/>
          <w:bCs w:val="1"/>
          <w:color w:val="435363"/>
        </w:rPr>
        <w:t>The election of our Independent Chairman</w:t>
      </w:r>
      <w:r>
        <w:rPr>
          <w:rFonts w:ascii="Arial" w:cs="Arial" w:eastAsia="Arial" w:hAnsi="Arial"/>
          <w:sz w:val="16"/>
          <w:szCs w:val="16"/>
          <w:color w:val="435363"/>
        </w:rPr>
        <w:t>: The appointment of Greg Smith as the Company’s Independent Chairman effective April 30, 2023.</w:t>
      </w:r>
      <w:r>
        <w:rPr>
          <w:rFonts w:ascii="Arial" w:cs="Arial" w:eastAsia="Arial" w:hAnsi="Arial"/>
          <w:sz w:val="16"/>
          <w:szCs w:val="16"/>
          <w:color w:val="3575B3"/>
        </w:rPr>
        <w:t xml:space="preserve"> </w:t>
      </w:r>
      <w:r>
        <w:rPr>
          <w:rFonts w:ascii="Arial" w:cs="Arial" w:eastAsia="Arial" w:hAnsi="Arial"/>
          <w:sz w:val="16"/>
          <w:szCs w:val="16"/>
          <w:color w:val="435363"/>
        </w:rPr>
        <w:t>By separating the roles of Chairman and CEO, our CEO is able to focus on executing on our strategy and operations, and our Chairman, who is an independent director, can devote his time and attention to matters of Board oversight and governance.</w:t>
      </w:r>
    </w:p>
    <w:p>
      <w:pPr>
        <w:spacing w:after="0" w:line="82" w:lineRule="exact"/>
        <w:rPr>
          <w:sz w:val="20"/>
          <w:szCs w:val="20"/>
          <w:color w:val="auto"/>
        </w:rPr>
      </w:pPr>
    </w:p>
    <w:p>
      <w:pPr>
        <w:jc w:val="both"/>
        <w:ind w:left="780" w:right="80" w:hanging="242"/>
        <w:spacing w:after="0" w:line="258"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w:t>
      </w:r>
      <w:r>
        <w:rPr>
          <w:rFonts w:ascii="Arial" w:cs="Arial" w:eastAsia="Arial" w:hAnsi="Arial"/>
          <w:sz w:val="16"/>
          <w:szCs w:val="16"/>
          <w:b w:val="1"/>
          <w:bCs w:val="1"/>
          <w:color w:val="435363"/>
        </w:rPr>
        <w:t>Successful CEO succession and the retirement of our former Chairman in 2023</w:t>
      </w:r>
      <w:r>
        <w:rPr>
          <w:rFonts w:ascii="Arial" w:cs="Arial" w:eastAsia="Arial" w:hAnsi="Arial"/>
          <w:sz w:val="16"/>
          <w:szCs w:val="16"/>
          <w:color w:val="435363"/>
        </w:rPr>
        <w:t>: Consistent with our long-term succession planning process</w:t>
      </w:r>
      <w:r>
        <w:rPr>
          <w:rFonts w:ascii="Arial" w:cs="Arial" w:eastAsia="Arial" w:hAnsi="Arial"/>
          <w:sz w:val="16"/>
          <w:szCs w:val="16"/>
          <w:color w:val="3575B3"/>
        </w:rPr>
        <w:t xml:space="preserve"> </w:t>
      </w:r>
      <w:r>
        <w:rPr>
          <w:rFonts w:ascii="Arial" w:cs="Arial" w:eastAsia="Arial" w:hAnsi="Arial"/>
          <w:sz w:val="16"/>
          <w:szCs w:val="16"/>
          <w:color w:val="435363"/>
        </w:rPr>
        <w:t>for our CEO, Doug Parker, who had continued to serve as Chairman of the Board following Robert Isom’s appointment as CEO of the Company, retired from the Board on April 30, 2023.</w:t>
      </w:r>
    </w:p>
    <w:p>
      <w:pPr>
        <w:spacing w:after="0" w:line="82" w:lineRule="exact"/>
        <w:rPr>
          <w:sz w:val="20"/>
          <w:szCs w:val="20"/>
          <w:color w:val="auto"/>
        </w:rPr>
      </w:pPr>
    </w:p>
    <w:p>
      <w:pPr>
        <w:ind w:left="780" w:right="180" w:hanging="242"/>
        <w:spacing w:after="0" w:line="275"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w:t>
      </w:r>
      <w:r>
        <w:rPr>
          <w:rFonts w:ascii="Arial" w:cs="Arial" w:eastAsia="Arial" w:hAnsi="Arial"/>
          <w:sz w:val="16"/>
          <w:szCs w:val="16"/>
          <w:b w:val="1"/>
          <w:bCs w:val="1"/>
          <w:color w:val="435363"/>
        </w:rPr>
        <w:t>The election of four new directors from 2020 to 2022</w:t>
      </w:r>
      <w:r>
        <w:rPr>
          <w:rFonts w:ascii="Arial" w:cs="Arial" w:eastAsia="Arial" w:hAnsi="Arial"/>
          <w:sz w:val="16"/>
          <w:szCs w:val="16"/>
          <w:color w:val="435363"/>
        </w:rPr>
        <w:t>: Doug Steenland (2020), Adriane Brown (2021), Greg Smith (2022) and Vicente Reynal</w:t>
      </w:r>
      <w:r>
        <w:rPr>
          <w:rFonts w:ascii="Arial" w:cs="Arial" w:eastAsia="Arial" w:hAnsi="Arial"/>
          <w:sz w:val="16"/>
          <w:szCs w:val="16"/>
          <w:color w:val="3575B3"/>
        </w:rPr>
        <w:t xml:space="preserve"> </w:t>
      </w:r>
      <w:r>
        <w:rPr>
          <w:rFonts w:ascii="Arial" w:cs="Arial" w:eastAsia="Arial" w:hAnsi="Arial"/>
          <w:sz w:val="16"/>
          <w:szCs w:val="16"/>
          <w:color w:val="435363"/>
        </w:rPr>
        <w:t>(2022).</w:t>
      </w:r>
    </w:p>
    <w:p>
      <w:pPr>
        <w:spacing w:after="0" w:line="68" w:lineRule="exact"/>
        <w:rPr>
          <w:sz w:val="20"/>
          <w:szCs w:val="20"/>
          <w:color w:val="auto"/>
        </w:rPr>
      </w:pPr>
    </w:p>
    <w:p>
      <w:pPr>
        <w:ind w:left="560" w:right="160"/>
        <w:spacing w:after="0" w:line="258" w:lineRule="auto"/>
        <w:rPr>
          <w:sz w:val="20"/>
          <w:szCs w:val="20"/>
          <w:color w:val="auto"/>
        </w:rPr>
      </w:pPr>
      <w:r>
        <w:rPr>
          <w:rFonts w:ascii="Arial" w:cs="Arial" w:eastAsia="Arial" w:hAnsi="Arial"/>
          <w:sz w:val="16"/>
          <w:szCs w:val="16"/>
          <w:color w:val="435363"/>
        </w:rPr>
        <w:t>In addition, Jeffrey Benjamin will not stand for election at the Annual Meeting. Following this change, the average tenure of our director nominees is 6.1 years, with four of our ten independent director nominees having joined our Board in or following 2020, representing 40% of our independent director nominees. In addition, over 45% of our Board nominees are diverse based on gender or ethnicity.</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Voting Matters and Board Recommendations</w:t>
      </w:r>
    </w:p>
    <w:p>
      <w:pPr>
        <w:spacing w:after="0" w:line="247"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4780" w:type="dxa"/>
            <w:vAlign w:val="bottom"/>
          </w:tcPr>
          <w:p>
            <w:pPr>
              <w:spacing w:after="0"/>
              <w:rPr>
                <w:sz w:val="13"/>
                <w:szCs w:val="13"/>
                <w:color w:val="auto"/>
              </w:rPr>
            </w:pPr>
          </w:p>
        </w:tc>
        <w:tc>
          <w:tcPr>
            <w:tcW w:w="5540" w:type="dxa"/>
            <w:vAlign w:val="bottom"/>
          </w:tcPr>
          <w:p>
            <w:pPr>
              <w:jc w:val="center"/>
              <w:ind w:left="4114"/>
              <w:spacing w:after="0"/>
              <w:rPr>
                <w:sz w:val="20"/>
                <w:szCs w:val="20"/>
                <w:color w:val="auto"/>
              </w:rPr>
            </w:pPr>
            <w:r>
              <w:rPr>
                <w:rFonts w:ascii="Arial" w:cs="Arial" w:eastAsia="Arial" w:hAnsi="Arial"/>
                <w:sz w:val="13"/>
                <w:szCs w:val="13"/>
                <w:b w:val="1"/>
                <w:bCs w:val="1"/>
                <w:color w:val="435363"/>
              </w:rPr>
              <w:t>Board</w:t>
            </w:r>
          </w:p>
        </w:tc>
        <w:tc>
          <w:tcPr>
            <w:tcW w:w="500" w:type="dxa"/>
            <w:vAlign w:val="bottom"/>
          </w:tcPr>
          <w:p>
            <w:pPr>
              <w:spacing w:after="0"/>
              <w:rPr>
                <w:sz w:val="13"/>
                <w:szCs w:val="13"/>
                <w:color w:val="auto"/>
              </w:rPr>
            </w:pPr>
          </w:p>
        </w:tc>
      </w:tr>
      <w:tr>
        <w:trPr>
          <w:trHeight w:val="171"/>
        </w:trPr>
        <w:tc>
          <w:tcPr>
            <w:tcW w:w="4780" w:type="dxa"/>
            <w:vAlign w:val="bottom"/>
            <w:tcBorders>
              <w:bottom w:val="single" w:sz="8" w:color="BF0000"/>
            </w:tcBorders>
          </w:tcPr>
          <w:p>
            <w:pPr>
              <w:spacing w:after="0"/>
              <w:rPr>
                <w:sz w:val="20"/>
                <w:szCs w:val="20"/>
                <w:color w:val="auto"/>
              </w:rPr>
            </w:pPr>
            <w:r>
              <w:rPr>
                <w:rFonts w:ascii="Arial" w:cs="Arial" w:eastAsia="Arial" w:hAnsi="Arial"/>
                <w:sz w:val="13"/>
                <w:szCs w:val="13"/>
                <w:b w:val="1"/>
                <w:bCs w:val="1"/>
                <w:color w:val="435363"/>
              </w:rPr>
              <w:t>  Matter</w:t>
            </w:r>
          </w:p>
        </w:tc>
        <w:tc>
          <w:tcPr>
            <w:tcW w:w="5540" w:type="dxa"/>
            <w:vAlign w:val="bottom"/>
            <w:tcBorders>
              <w:bottom w:val="single" w:sz="8" w:color="BF0000"/>
            </w:tcBorders>
          </w:tcPr>
          <w:p>
            <w:pPr>
              <w:jc w:val="center"/>
              <w:ind w:left="4114"/>
              <w:spacing w:after="0"/>
              <w:rPr>
                <w:sz w:val="20"/>
                <w:szCs w:val="20"/>
                <w:color w:val="auto"/>
              </w:rPr>
            </w:pPr>
            <w:r>
              <w:rPr>
                <w:rFonts w:ascii="Arial" w:cs="Arial" w:eastAsia="Arial" w:hAnsi="Arial"/>
                <w:sz w:val="13"/>
                <w:szCs w:val="13"/>
                <w:b w:val="1"/>
                <w:bCs w:val="1"/>
                <w:color w:val="435363"/>
              </w:rPr>
              <w:t>Recommendation</w:t>
            </w:r>
          </w:p>
        </w:tc>
        <w:tc>
          <w:tcPr>
            <w:tcW w:w="500" w:type="dxa"/>
            <w:vAlign w:val="bottom"/>
            <w:tcBorders>
              <w:bottom w:val="single" w:sz="8" w:color="BF0000"/>
            </w:tcBorders>
          </w:tcPr>
          <w:p>
            <w:pPr>
              <w:ind w:left="140"/>
              <w:spacing w:after="0"/>
              <w:rPr>
                <w:sz w:val="20"/>
                <w:szCs w:val="20"/>
                <w:color w:val="auto"/>
              </w:rPr>
            </w:pPr>
            <w:r>
              <w:rPr>
                <w:rFonts w:ascii="Arial" w:cs="Arial" w:eastAsia="Arial" w:hAnsi="Arial"/>
                <w:sz w:val="13"/>
                <w:szCs w:val="13"/>
                <w:b w:val="1"/>
                <w:bCs w:val="1"/>
                <w:color w:val="435363"/>
              </w:rPr>
              <w:t>Page</w:t>
            </w:r>
          </w:p>
        </w:tc>
      </w:tr>
    </w:tbl>
    <w:p>
      <w:pPr>
        <w:spacing w:after="0" w:line="26" w:lineRule="exact"/>
        <w:rPr>
          <w:sz w:val="20"/>
          <w:szCs w:val="20"/>
          <w:color w:val="auto"/>
        </w:rPr>
      </w:pPr>
    </w:p>
    <w:p>
      <w:pPr>
        <w:sectPr>
          <w:pgSz w:w="11900" w:h="16838" w:orient="portrait"/>
          <w:cols w:equalWidth="0" w:num="1">
            <w:col w:w="11040"/>
          </w:cols>
          <w:pgMar w:left="320" w:top="477" w:right="539" w:bottom="1440" w:gutter="0" w:footer="0" w:header="0"/>
        </w:sectPr>
      </w:pPr>
    </w:p>
    <w:p>
      <w:pPr>
        <w:spacing w:after="0" w:line="105" w:lineRule="exact"/>
        <w:rPr>
          <w:sz w:val="20"/>
          <w:szCs w:val="20"/>
          <w:color w:val="auto"/>
        </w:rPr>
      </w:pPr>
    </w:p>
    <w:p>
      <w:pPr>
        <w:ind w:left="480" w:hanging="184"/>
        <w:spacing w:after="0"/>
        <w:tabs>
          <w:tab w:leader="none" w:pos="480" w:val="left"/>
        </w:tabs>
        <w:numPr>
          <w:ilvl w:val="0"/>
          <w:numId w:val="12"/>
        </w:numPr>
        <w:rPr>
          <w:rFonts w:ascii="Arial" w:cs="Arial" w:eastAsia="Arial" w:hAnsi="Arial"/>
          <w:sz w:val="16"/>
          <w:szCs w:val="16"/>
          <w:color w:val="435363"/>
        </w:rPr>
      </w:pPr>
      <w:r>
        <w:rPr>
          <w:rFonts w:ascii="Arial" w:cs="Arial" w:eastAsia="Arial" w:hAnsi="Arial"/>
          <w:sz w:val="16"/>
          <w:szCs w:val="16"/>
          <w:color w:val="435363"/>
        </w:rPr>
        <w:t>Election of directors</w:t>
      </w:r>
    </w:p>
    <w:p>
      <w:pPr>
        <w:spacing w:after="0" w:line="265" w:lineRule="exact"/>
        <w:rPr>
          <w:rFonts w:ascii="Arial" w:cs="Arial" w:eastAsia="Arial" w:hAnsi="Arial"/>
          <w:sz w:val="16"/>
          <w:szCs w:val="16"/>
          <w:color w:val="435363"/>
        </w:rPr>
      </w:pPr>
    </w:p>
    <w:p>
      <w:pPr>
        <w:ind w:left="480" w:hanging="184"/>
        <w:spacing w:after="0"/>
        <w:tabs>
          <w:tab w:leader="none" w:pos="480" w:val="left"/>
        </w:tabs>
        <w:numPr>
          <w:ilvl w:val="0"/>
          <w:numId w:val="12"/>
        </w:numPr>
        <w:rPr>
          <w:rFonts w:ascii="Arial" w:cs="Arial" w:eastAsia="Arial" w:hAnsi="Arial"/>
          <w:sz w:val="16"/>
          <w:szCs w:val="16"/>
          <w:color w:val="435363"/>
        </w:rPr>
      </w:pPr>
      <w:r>
        <w:rPr>
          <w:rFonts w:ascii="Arial" w:cs="Arial" w:eastAsia="Arial" w:hAnsi="Arial"/>
          <w:sz w:val="16"/>
          <w:szCs w:val="16"/>
          <w:color w:val="435363"/>
        </w:rPr>
        <w:t>Ratification of public accounting firm</w:t>
      </w:r>
    </w:p>
    <w:p>
      <w:pPr>
        <w:spacing w:after="0" w:line="146" w:lineRule="exact"/>
        <w:rPr>
          <w:rFonts w:ascii="Arial" w:cs="Arial" w:eastAsia="Arial" w:hAnsi="Arial"/>
          <w:sz w:val="16"/>
          <w:szCs w:val="16"/>
          <w:color w:val="435363"/>
        </w:rPr>
      </w:pPr>
    </w:p>
    <w:p>
      <w:pPr>
        <w:ind w:left="480" w:hanging="184"/>
        <w:spacing w:after="0"/>
        <w:tabs>
          <w:tab w:leader="none" w:pos="480" w:val="left"/>
        </w:tabs>
        <w:numPr>
          <w:ilvl w:val="0"/>
          <w:numId w:val="12"/>
        </w:numPr>
        <w:rPr>
          <w:rFonts w:ascii="Arial" w:cs="Arial" w:eastAsia="Arial" w:hAnsi="Arial"/>
          <w:sz w:val="16"/>
          <w:szCs w:val="16"/>
          <w:color w:val="435363"/>
        </w:rPr>
      </w:pPr>
      <w:r>
        <w:rPr>
          <w:rFonts w:ascii="Arial" w:cs="Arial" w:eastAsia="Arial" w:hAnsi="Arial"/>
          <w:sz w:val="16"/>
          <w:szCs w:val="16"/>
          <w:color w:val="435363"/>
        </w:rPr>
        <w:t>A proposal to approve, on a non-binding, advisory basis, executive compensation</w:t>
      </w:r>
    </w:p>
    <w:p>
      <w:pPr>
        <w:spacing w:after="0" w:line="213" w:lineRule="exact"/>
        <w:rPr>
          <w:rFonts w:ascii="Arial" w:cs="Arial" w:eastAsia="Arial" w:hAnsi="Arial"/>
          <w:sz w:val="16"/>
          <w:szCs w:val="16"/>
          <w:color w:val="435363"/>
        </w:rPr>
      </w:pPr>
    </w:p>
    <w:p>
      <w:pPr>
        <w:ind w:left="480" w:right="80" w:hanging="184"/>
        <w:spacing w:after="0" w:line="275" w:lineRule="auto"/>
        <w:tabs>
          <w:tab w:leader="none" w:pos="480" w:val="left"/>
        </w:tabs>
        <w:numPr>
          <w:ilvl w:val="0"/>
          <w:numId w:val="12"/>
        </w:numPr>
        <w:rPr>
          <w:rFonts w:ascii="Arial" w:cs="Arial" w:eastAsia="Arial" w:hAnsi="Arial"/>
          <w:sz w:val="16"/>
          <w:szCs w:val="16"/>
          <w:color w:val="435363"/>
        </w:rPr>
      </w:pPr>
      <w:r>
        <w:rPr>
          <w:rFonts w:ascii="Arial" w:cs="Arial" w:eastAsia="Arial" w:hAnsi="Arial"/>
          <w:sz w:val="16"/>
          <w:szCs w:val="16"/>
          <w:color w:val="435363"/>
        </w:rPr>
        <w:t>A proposal to amend our Certificate of Incorporation to allow future amendments to the Bylaws by our stockholders by simple majority vote</w:t>
      </w:r>
    </w:p>
    <w:p>
      <w:pPr>
        <w:spacing w:after="0" w:line="94" w:lineRule="exact"/>
        <w:rPr>
          <w:rFonts w:ascii="Arial" w:cs="Arial" w:eastAsia="Arial" w:hAnsi="Arial"/>
          <w:sz w:val="16"/>
          <w:szCs w:val="16"/>
          <w:color w:val="435363"/>
        </w:rPr>
      </w:pPr>
    </w:p>
    <w:p>
      <w:pPr>
        <w:ind w:left="480" w:hanging="184"/>
        <w:spacing w:after="0" w:line="275" w:lineRule="auto"/>
        <w:tabs>
          <w:tab w:leader="none" w:pos="480" w:val="left"/>
        </w:tabs>
        <w:numPr>
          <w:ilvl w:val="0"/>
          <w:numId w:val="12"/>
        </w:numPr>
        <w:rPr>
          <w:rFonts w:ascii="Arial" w:cs="Arial" w:eastAsia="Arial" w:hAnsi="Arial"/>
          <w:sz w:val="16"/>
          <w:szCs w:val="16"/>
          <w:color w:val="435363"/>
        </w:rPr>
      </w:pPr>
      <w:r>
        <w:rPr>
          <w:rFonts w:ascii="Arial" w:cs="Arial" w:eastAsia="Arial" w:hAnsi="Arial"/>
          <w:sz w:val="16"/>
          <w:szCs w:val="16"/>
          <w:color w:val="435363"/>
        </w:rPr>
        <w:t>A proposal to amend our Certificate of Incorporation to allow all other provisions of the Certificate of Incorporation to be amended in the future by simple majority vote</w:t>
      </w:r>
    </w:p>
    <w:p>
      <w:pPr>
        <w:spacing w:after="0" w:line="160" w:lineRule="exact"/>
        <w:rPr>
          <w:rFonts w:ascii="Arial" w:cs="Arial" w:eastAsia="Arial" w:hAnsi="Arial"/>
          <w:sz w:val="16"/>
          <w:szCs w:val="16"/>
          <w:color w:val="435363"/>
        </w:rPr>
      </w:pPr>
    </w:p>
    <w:p>
      <w:pPr>
        <w:ind w:left="480" w:hanging="184"/>
        <w:spacing w:after="0"/>
        <w:tabs>
          <w:tab w:leader="none" w:pos="480" w:val="left"/>
        </w:tabs>
        <w:numPr>
          <w:ilvl w:val="0"/>
          <w:numId w:val="12"/>
        </w:numPr>
        <w:rPr>
          <w:rFonts w:ascii="Arial" w:cs="Arial" w:eastAsia="Arial" w:hAnsi="Arial"/>
          <w:sz w:val="16"/>
          <w:szCs w:val="16"/>
          <w:color w:val="435363"/>
        </w:rPr>
      </w:pPr>
      <w:r>
        <w:rPr>
          <w:rFonts w:ascii="Arial" w:cs="Arial" w:eastAsia="Arial" w:hAnsi="Arial"/>
          <w:sz w:val="16"/>
          <w:szCs w:val="16"/>
          <w:color w:val="435363"/>
        </w:rPr>
        <w:t>Advisory vote on a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-1308735</wp:posOffset>
            </wp:positionV>
            <wp:extent cx="6857365" cy="2101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7365" cy="21018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-846455</wp:posOffset>
            </wp:positionV>
            <wp:extent cx="6857365" cy="327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7365" cy="327660"/>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-149225</wp:posOffset>
            </wp:positionV>
            <wp:extent cx="6857365" cy="2184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7365" cy="218440"/>
                    </a:xfrm>
                    <a:prstGeom prst="rect">
                      <a:avLst/>
                    </a:prstGeom>
                    <a:noFill/>
                  </pic:spPr>
                </pic:pic>
              </a:graphicData>
            </a:graphic>
          </wp:anchor>
        </w:drawing>
        <w:drawing>
          <wp:anchor simplePos="0" relativeHeight="251657728" behindDoc="1" locked="0" layoutInCell="0" allowOverlap="1">
            <wp:simplePos x="0" y="0"/>
            <wp:positionH relativeFrom="column">
              <wp:posOffset>1424305</wp:posOffset>
            </wp:positionH>
            <wp:positionV relativeFrom="paragraph">
              <wp:posOffset>186055</wp:posOffset>
            </wp:positionV>
            <wp:extent cx="5177155" cy="168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380" w:type="dxa"/>
            <w:vAlign w:val="bottom"/>
          </w:tcPr>
          <w:p>
            <w:pPr>
              <w:jc w:val="center"/>
              <w:ind w:right="61"/>
              <w:spacing w:after="0"/>
              <w:rPr>
                <w:sz w:val="20"/>
                <w:szCs w:val="20"/>
                <w:color w:val="auto"/>
              </w:rPr>
            </w:pPr>
            <w:r>
              <w:rPr>
                <w:rFonts w:ascii="Arial" w:cs="Arial" w:eastAsia="Arial" w:hAnsi="Arial"/>
                <w:sz w:val="16"/>
                <w:szCs w:val="16"/>
                <w:b w:val="1"/>
                <w:bCs w:val="1"/>
                <w:color w:val="3575B3"/>
                <w:w w:val="98"/>
              </w:rPr>
              <w:t xml:space="preserve">FOR </w:t>
            </w:r>
            <w:r>
              <w:rPr>
                <w:rFonts w:ascii="Arial" w:cs="Arial" w:eastAsia="Arial" w:hAnsi="Arial"/>
                <w:sz w:val="16"/>
                <w:szCs w:val="16"/>
                <w:color w:val="3575B3"/>
                <w:w w:val="98"/>
              </w:rPr>
              <w:t>each</w:t>
            </w:r>
          </w:p>
        </w:tc>
        <w:tc>
          <w:tcPr>
            <w:tcW w:w="300" w:type="dxa"/>
            <w:vAlign w:val="bottom"/>
            <w:vMerge w:val="restart"/>
          </w:tcPr>
          <w:p>
            <w:pPr>
              <w:jc w:val="center"/>
              <w:ind w:left="41"/>
              <w:spacing w:after="0"/>
              <w:rPr>
                <w:sz w:val="20"/>
                <w:szCs w:val="20"/>
                <w:color w:val="auto"/>
              </w:rPr>
            </w:pPr>
            <w:r>
              <w:rPr>
                <w:rFonts w:ascii="Arial" w:cs="Arial" w:eastAsia="Arial" w:hAnsi="Arial"/>
                <w:sz w:val="16"/>
                <w:szCs w:val="16"/>
                <w:b w:val="1"/>
                <w:bCs w:val="1"/>
                <w:color w:val="435363"/>
              </w:rPr>
              <w:t>6</w:t>
            </w:r>
          </w:p>
        </w:tc>
        <w:tc>
          <w:tcPr>
            <w:tcW w:w="0" w:type="dxa"/>
            <w:vAlign w:val="bottom"/>
          </w:tcPr>
          <w:p>
            <w:pPr>
              <w:spacing w:after="0"/>
              <w:rPr>
                <w:sz w:val="1"/>
                <w:szCs w:val="1"/>
                <w:color w:val="auto"/>
              </w:rPr>
            </w:pPr>
          </w:p>
        </w:tc>
      </w:tr>
      <w:tr>
        <w:trPr>
          <w:trHeight w:val="125"/>
        </w:trPr>
        <w:tc>
          <w:tcPr>
            <w:tcW w:w="1380" w:type="dxa"/>
            <w:vAlign w:val="bottom"/>
            <w:vMerge w:val="restart"/>
          </w:tcPr>
          <w:p>
            <w:pPr>
              <w:jc w:val="center"/>
              <w:ind w:right="61"/>
              <w:spacing w:after="0"/>
              <w:rPr>
                <w:sz w:val="20"/>
                <w:szCs w:val="20"/>
                <w:color w:val="auto"/>
              </w:rPr>
            </w:pPr>
            <w:r>
              <w:rPr>
                <w:rFonts w:ascii="Arial" w:cs="Arial" w:eastAsia="Arial" w:hAnsi="Arial"/>
                <w:sz w:val="16"/>
                <w:szCs w:val="16"/>
                <w:color w:val="3575B3"/>
                <w:w w:val="99"/>
              </w:rPr>
              <w:t>Director Nominee</w:t>
            </w:r>
          </w:p>
        </w:tc>
        <w:tc>
          <w:tcPr>
            <w:tcW w:w="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3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9"/>
        </w:trPr>
        <w:tc>
          <w:tcPr>
            <w:tcW w:w="1380" w:type="dxa"/>
            <w:vAlign w:val="bottom"/>
          </w:tcPr>
          <w:p>
            <w:pPr>
              <w:jc w:val="center"/>
              <w:ind w:right="61"/>
              <w:spacing w:after="0"/>
              <w:rPr>
                <w:sz w:val="20"/>
                <w:szCs w:val="20"/>
                <w:color w:val="auto"/>
              </w:rPr>
            </w:pPr>
            <w:r>
              <w:rPr>
                <w:rFonts w:ascii="Arial" w:cs="Arial" w:eastAsia="Arial" w:hAnsi="Arial"/>
                <w:sz w:val="16"/>
                <w:szCs w:val="16"/>
                <w:b w:val="1"/>
                <w:bCs w:val="1"/>
                <w:color w:val="3575B3"/>
                <w:w w:val="94"/>
              </w:rPr>
              <w:t>FOR</w:t>
            </w:r>
          </w:p>
        </w:tc>
        <w:tc>
          <w:tcPr>
            <w:tcW w:w="300" w:type="dxa"/>
            <w:vAlign w:val="bottom"/>
          </w:tcPr>
          <w:p>
            <w:pPr>
              <w:jc w:val="center"/>
              <w:ind w:left="41"/>
              <w:spacing w:after="0"/>
              <w:rPr>
                <w:sz w:val="20"/>
                <w:szCs w:val="20"/>
                <w:color w:val="auto"/>
              </w:rPr>
            </w:pPr>
            <w:r>
              <w:rPr>
                <w:rFonts w:ascii="Arial" w:cs="Arial" w:eastAsia="Arial" w:hAnsi="Arial"/>
                <w:sz w:val="16"/>
                <w:szCs w:val="16"/>
                <w:b w:val="1"/>
                <w:bCs w:val="1"/>
                <w:color w:val="435363"/>
              </w:rPr>
              <w:t>19</w:t>
            </w:r>
          </w:p>
        </w:tc>
        <w:tc>
          <w:tcPr>
            <w:tcW w:w="0" w:type="dxa"/>
            <w:vAlign w:val="bottom"/>
          </w:tcPr>
          <w:p>
            <w:pPr>
              <w:spacing w:after="0"/>
              <w:rPr>
                <w:sz w:val="1"/>
                <w:szCs w:val="1"/>
                <w:color w:val="auto"/>
              </w:rPr>
            </w:pPr>
          </w:p>
        </w:tc>
      </w:tr>
      <w:tr>
        <w:trPr>
          <w:trHeight w:val="331"/>
        </w:trPr>
        <w:tc>
          <w:tcPr>
            <w:tcW w:w="1380" w:type="dxa"/>
            <w:vAlign w:val="bottom"/>
          </w:tcPr>
          <w:p>
            <w:pPr>
              <w:jc w:val="center"/>
              <w:ind w:right="61"/>
              <w:spacing w:after="0"/>
              <w:rPr>
                <w:sz w:val="20"/>
                <w:szCs w:val="20"/>
                <w:color w:val="auto"/>
              </w:rPr>
            </w:pPr>
            <w:r>
              <w:rPr>
                <w:rFonts w:ascii="Arial" w:cs="Arial" w:eastAsia="Arial" w:hAnsi="Arial"/>
                <w:sz w:val="16"/>
                <w:szCs w:val="16"/>
                <w:b w:val="1"/>
                <w:bCs w:val="1"/>
                <w:color w:val="3575B3"/>
                <w:w w:val="94"/>
              </w:rPr>
              <w:t>FOR</w:t>
            </w:r>
          </w:p>
        </w:tc>
        <w:tc>
          <w:tcPr>
            <w:tcW w:w="300" w:type="dxa"/>
            <w:vAlign w:val="bottom"/>
          </w:tcPr>
          <w:p>
            <w:pPr>
              <w:jc w:val="center"/>
              <w:ind w:left="41"/>
              <w:spacing w:after="0"/>
              <w:rPr>
                <w:sz w:val="20"/>
                <w:szCs w:val="20"/>
                <w:color w:val="auto"/>
              </w:rPr>
            </w:pPr>
            <w:r>
              <w:rPr>
                <w:rFonts w:ascii="Arial" w:cs="Arial" w:eastAsia="Arial" w:hAnsi="Arial"/>
                <w:sz w:val="16"/>
                <w:szCs w:val="16"/>
                <w:b w:val="1"/>
                <w:bCs w:val="1"/>
                <w:color w:val="435363"/>
              </w:rPr>
              <w:t>21</w:t>
            </w:r>
          </w:p>
        </w:tc>
        <w:tc>
          <w:tcPr>
            <w:tcW w:w="0" w:type="dxa"/>
            <w:vAlign w:val="bottom"/>
          </w:tcPr>
          <w:p>
            <w:pPr>
              <w:spacing w:after="0"/>
              <w:rPr>
                <w:sz w:val="1"/>
                <w:szCs w:val="1"/>
                <w:color w:val="auto"/>
              </w:rPr>
            </w:pPr>
          </w:p>
        </w:tc>
      </w:tr>
      <w:tr>
        <w:trPr>
          <w:trHeight w:val="490"/>
        </w:trPr>
        <w:tc>
          <w:tcPr>
            <w:tcW w:w="1380" w:type="dxa"/>
            <w:vAlign w:val="bottom"/>
          </w:tcPr>
          <w:p>
            <w:pPr>
              <w:jc w:val="center"/>
              <w:ind w:right="61"/>
              <w:spacing w:after="0"/>
              <w:rPr>
                <w:sz w:val="20"/>
                <w:szCs w:val="20"/>
                <w:color w:val="auto"/>
              </w:rPr>
            </w:pPr>
            <w:r>
              <w:rPr>
                <w:rFonts w:ascii="Arial" w:cs="Arial" w:eastAsia="Arial" w:hAnsi="Arial"/>
                <w:sz w:val="16"/>
                <w:szCs w:val="16"/>
                <w:b w:val="1"/>
                <w:bCs w:val="1"/>
                <w:color w:val="3575B3"/>
                <w:w w:val="94"/>
              </w:rPr>
              <w:t>FOR</w:t>
            </w:r>
          </w:p>
        </w:tc>
        <w:tc>
          <w:tcPr>
            <w:tcW w:w="300" w:type="dxa"/>
            <w:vAlign w:val="bottom"/>
          </w:tcPr>
          <w:p>
            <w:pPr>
              <w:jc w:val="center"/>
              <w:ind w:left="41"/>
              <w:spacing w:after="0"/>
              <w:rPr>
                <w:sz w:val="20"/>
                <w:szCs w:val="20"/>
                <w:color w:val="auto"/>
              </w:rPr>
            </w:pPr>
            <w:r>
              <w:rPr>
                <w:rFonts w:ascii="Arial" w:cs="Arial" w:eastAsia="Arial" w:hAnsi="Arial"/>
                <w:sz w:val="16"/>
                <w:szCs w:val="16"/>
                <w:b w:val="1"/>
                <w:bCs w:val="1"/>
                <w:color w:val="435363"/>
              </w:rPr>
              <w:t>23</w:t>
            </w:r>
          </w:p>
        </w:tc>
        <w:tc>
          <w:tcPr>
            <w:tcW w:w="0" w:type="dxa"/>
            <w:vAlign w:val="bottom"/>
          </w:tcPr>
          <w:p>
            <w:pPr>
              <w:spacing w:after="0"/>
              <w:rPr>
                <w:sz w:val="1"/>
                <w:szCs w:val="1"/>
                <w:color w:val="auto"/>
              </w:rPr>
            </w:pPr>
          </w:p>
        </w:tc>
      </w:tr>
      <w:tr>
        <w:trPr>
          <w:trHeight w:val="516"/>
        </w:trPr>
        <w:tc>
          <w:tcPr>
            <w:tcW w:w="1380" w:type="dxa"/>
            <w:vAlign w:val="bottom"/>
          </w:tcPr>
          <w:p>
            <w:pPr>
              <w:jc w:val="center"/>
              <w:ind w:right="61"/>
              <w:spacing w:after="0"/>
              <w:rPr>
                <w:sz w:val="20"/>
                <w:szCs w:val="20"/>
                <w:color w:val="auto"/>
              </w:rPr>
            </w:pPr>
            <w:r>
              <w:rPr>
                <w:rFonts w:ascii="Arial" w:cs="Arial" w:eastAsia="Arial" w:hAnsi="Arial"/>
                <w:sz w:val="16"/>
                <w:szCs w:val="16"/>
                <w:b w:val="1"/>
                <w:bCs w:val="1"/>
                <w:color w:val="3575B3"/>
                <w:w w:val="94"/>
              </w:rPr>
              <w:t>FOR</w:t>
            </w:r>
          </w:p>
        </w:tc>
        <w:tc>
          <w:tcPr>
            <w:tcW w:w="300" w:type="dxa"/>
            <w:vAlign w:val="bottom"/>
          </w:tcPr>
          <w:p>
            <w:pPr>
              <w:jc w:val="center"/>
              <w:ind w:left="41"/>
              <w:spacing w:after="0"/>
              <w:rPr>
                <w:sz w:val="20"/>
                <w:szCs w:val="20"/>
                <w:color w:val="auto"/>
              </w:rPr>
            </w:pPr>
            <w:r>
              <w:rPr>
                <w:rFonts w:ascii="Arial" w:cs="Arial" w:eastAsia="Arial" w:hAnsi="Arial"/>
                <w:sz w:val="16"/>
                <w:szCs w:val="16"/>
                <w:b w:val="1"/>
                <w:bCs w:val="1"/>
                <w:color w:val="435363"/>
              </w:rPr>
              <w:t>24</w:t>
            </w:r>
          </w:p>
        </w:tc>
        <w:tc>
          <w:tcPr>
            <w:tcW w:w="0" w:type="dxa"/>
            <w:vAlign w:val="bottom"/>
          </w:tcPr>
          <w:p>
            <w:pPr>
              <w:spacing w:after="0"/>
              <w:rPr>
                <w:sz w:val="1"/>
                <w:szCs w:val="1"/>
                <w:color w:val="auto"/>
              </w:rPr>
            </w:pPr>
          </w:p>
        </w:tc>
      </w:tr>
      <w:tr>
        <w:trPr>
          <w:trHeight w:val="490"/>
        </w:trPr>
        <w:tc>
          <w:tcPr>
            <w:tcW w:w="1380" w:type="dxa"/>
            <w:vAlign w:val="bottom"/>
          </w:tcPr>
          <w:p>
            <w:pPr>
              <w:jc w:val="center"/>
              <w:ind w:right="61"/>
              <w:spacing w:after="0"/>
              <w:rPr>
                <w:sz w:val="20"/>
                <w:szCs w:val="20"/>
                <w:color w:val="auto"/>
              </w:rPr>
            </w:pPr>
            <w:r>
              <w:rPr>
                <w:rFonts w:ascii="Arial" w:cs="Arial" w:eastAsia="Arial" w:hAnsi="Arial"/>
                <w:sz w:val="16"/>
                <w:szCs w:val="16"/>
                <w:b w:val="1"/>
                <w:bCs w:val="1"/>
                <w:color w:val="3575B3"/>
                <w:w w:val="99"/>
              </w:rPr>
              <w:t>AGAINST</w:t>
            </w:r>
          </w:p>
        </w:tc>
        <w:tc>
          <w:tcPr>
            <w:tcW w:w="300" w:type="dxa"/>
            <w:vAlign w:val="bottom"/>
          </w:tcPr>
          <w:p>
            <w:pPr>
              <w:jc w:val="center"/>
              <w:ind w:left="41"/>
              <w:spacing w:after="0"/>
              <w:rPr>
                <w:sz w:val="20"/>
                <w:szCs w:val="20"/>
                <w:color w:val="auto"/>
              </w:rPr>
            </w:pPr>
            <w:r>
              <w:rPr>
                <w:rFonts w:ascii="Arial" w:cs="Arial" w:eastAsia="Arial" w:hAnsi="Arial"/>
                <w:sz w:val="16"/>
                <w:szCs w:val="16"/>
                <w:b w:val="1"/>
                <w:bCs w:val="1"/>
                <w:color w:val="435363"/>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820" w:space="420"/>
            <w:col w:w="1800"/>
          </w:cols>
          <w:pgMar w:left="320" w:top="477" w:right="539" w:bottom="1440" w:gutter="0" w:footer="0" w:header="0"/>
          <w:type w:val="continuous"/>
        </w:sectPr>
      </w:pPr>
    </w:p>
    <w:p>
      <w:pPr>
        <w:spacing w:after="0" w:line="85"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435363"/>
        </w:rPr>
        <w:t>iii</w:t>
      </w: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2024 Director Nominees (Proposal 1)</w:t>
      </w:r>
    </w:p>
    <w:p>
      <w:pPr>
        <w:spacing w:after="0" w:line="90" w:lineRule="exact"/>
        <w:rPr>
          <w:sz w:val="20"/>
          <w:szCs w:val="20"/>
          <w:color w:val="auto"/>
        </w:rPr>
      </w:pPr>
    </w:p>
    <w:p>
      <w:pPr>
        <w:ind w:left="220" w:right="120"/>
        <w:spacing w:after="0" w:line="275" w:lineRule="auto"/>
        <w:rPr>
          <w:sz w:val="20"/>
          <w:szCs w:val="20"/>
          <w:color w:val="auto"/>
        </w:rPr>
      </w:pPr>
      <w:r>
        <w:rPr>
          <w:rFonts w:ascii="Arial" w:cs="Arial" w:eastAsia="Arial" w:hAnsi="Arial"/>
          <w:sz w:val="16"/>
          <w:szCs w:val="16"/>
          <w:color w:val="435363"/>
        </w:rPr>
        <w:t>Our director nominees have demonstrated their commitment to diligently execute their fiduciary duties on behalf of our stockholders, and we recommend that our stockholders elect each of the nominees shown in the chart below at the Annual Meeting.</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435363"/>
              </w:rPr>
              <w:t>Director</w:t>
            </w:r>
          </w:p>
        </w:tc>
        <w:tc>
          <w:tcPr>
            <w:tcW w:w="2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40" w:type="dxa"/>
            <w:vAlign w:val="bottom"/>
            <w:tcBorders>
              <w:bottom w:val="single" w:sz="8" w:color="BF0000"/>
            </w:tcBorders>
          </w:tcPr>
          <w:p>
            <w:pPr>
              <w:ind w:left="60"/>
              <w:spacing w:after="0"/>
              <w:rPr>
                <w:sz w:val="20"/>
                <w:szCs w:val="20"/>
                <w:color w:val="auto"/>
              </w:rPr>
            </w:pPr>
            <w:r>
              <w:rPr>
                <w:rFonts w:ascii="Arial" w:cs="Arial" w:eastAsia="Arial" w:hAnsi="Arial"/>
                <w:sz w:val="14"/>
                <w:szCs w:val="14"/>
                <w:b w:val="1"/>
                <w:bCs w:val="1"/>
                <w:color w:val="435363"/>
              </w:rPr>
              <w:t>Name</w:t>
            </w:r>
          </w:p>
        </w:tc>
        <w:tc>
          <w:tcPr>
            <w:tcW w:w="420" w:type="dxa"/>
            <w:vAlign w:val="bottom"/>
            <w:tcBorders>
              <w:bottom w:val="single" w:sz="8" w:color="BF0000"/>
            </w:tcBorders>
          </w:tcPr>
          <w:p>
            <w:pPr>
              <w:jc w:val="center"/>
              <w:spacing w:after="0"/>
              <w:rPr>
                <w:sz w:val="20"/>
                <w:szCs w:val="20"/>
                <w:color w:val="auto"/>
              </w:rPr>
            </w:pPr>
            <w:r>
              <w:rPr>
                <w:rFonts w:ascii="Arial" w:cs="Arial" w:eastAsia="Arial" w:hAnsi="Arial"/>
                <w:sz w:val="14"/>
                <w:szCs w:val="14"/>
                <w:b w:val="1"/>
                <w:bCs w:val="1"/>
                <w:color w:val="435363"/>
              </w:rPr>
              <w:t>Age</w:t>
            </w:r>
          </w:p>
        </w:tc>
        <w:tc>
          <w:tcPr>
            <w:tcW w:w="660" w:type="dxa"/>
            <w:vAlign w:val="bottom"/>
            <w:tcBorders>
              <w:bottom w:val="single" w:sz="8" w:color="BF0000"/>
            </w:tcBorders>
          </w:tcPr>
          <w:p>
            <w:pPr>
              <w:jc w:val="center"/>
              <w:spacing w:after="0"/>
              <w:rPr>
                <w:sz w:val="20"/>
                <w:szCs w:val="20"/>
                <w:color w:val="auto"/>
              </w:rPr>
            </w:pPr>
            <w:r>
              <w:rPr>
                <w:rFonts w:ascii="Arial" w:cs="Arial" w:eastAsia="Arial" w:hAnsi="Arial"/>
                <w:sz w:val="14"/>
                <w:szCs w:val="14"/>
                <w:b w:val="1"/>
                <w:bCs w:val="1"/>
                <w:color w:val="435363"/>
              </w:rPr>
              <w:t>Since</w:t>
            </w:r>
          </w:p>
        </w:tc>
        <w:tc>
          <w:tcPr>
            <w:tcW w:w="2120" w:type="dxa"/>
            <w:vAlign w:val="bottom"/>
            <w:tcBorders>
              <w:bottom w:val="single" w:sz="8" w:color="BF0000"/>
            </w:tcBorders>
          </w:tcPr>
          <w:p>
            <w:pPr>
              <w:ind w:left="60"/>
              <w:spacing w:after="0"/>
              <w:rPr>
                <w:sz w:val="20"/>
                <w:szCs w:val="20"/>
                <w:color w:val="auto"/>
              </w:rPr>
            </w:pPr>
            <w:r>
              <w:rPr>
                <w:rFonts w:ascii="Arial" w:cs="Arial" w:eastAsia="Arial" w:hAnsi="Arial"/>
                <w:sz w:val="14"/>
                <w:szCs w:val="14"/>
                <w:b w:val="1"/>
                <w:bCs w:val="1"/>
                <w:color w:val="435363"/>
              </w:rPr>
              <w:t>Principal Occupation</w:t>
            </w:r>
          </w:p>
        </w:tc>
        <w:tc>
          <w:tcPr>
            <w:tcW w:w="1540" w:type="dxa"/>
            <w:vAlign w:val="bottom"/>
            <w:tcBorders>
              <w:bottom w:val="single" w:sz="8" w:color="BF0000"/>
            </w:tcBorders>
          </w:tcPr>
          <w:p>
            <w:pPr>
              <w:spacing w:after="0"/>
              <w:rPr>
                <w:sz w:val="15"/>
                <w:szCs w:val="15"/>
                <w:color w:val="auto"/>
              </w:rPr>
            </w:pPr>
          </w:p>
        </w:tc>
        <w:tc>
          <w:tcPr>
            <w:tcW w:w="1120" w:type="dxa"/>
            <w:vAlign w:val="bottom"/>
            <w:tcBorders>
              <w:bottom w:val="single" w:sz="8" w:color="BF0000"/>
            </w:tcBorders>
          </w:tcPr>
          <w:p>
            <w:pPr>
              <w:jc w:val="center"/>
              <w:ind w:right="9"/>
              <w:spacing w:after="0"/>
              <w:rPr>
                <w:sz w:val="20"/>
                <w:szCs w:val="20"/>
                <w:color w:val="auto"/>
              </w:rPr>
            </w:pPr>
            <w:r>
              <w:rPr>
                <w:rFonts w:ascii="Arial" w:cs="Arial" w:eastAsia="Arial" w:hAnsi="Arial"/>
                <w:sz w:val="14"/>
                <w:szCs w:val="14"/>
                <w:b w:val="1"/>
                <w:bCs w:val="1"/>
                <w:color w:val="435363"/>
              </w:rPr>
              <w:t>Independent</w:t>
            </w:r>
          </w:p>
        </w:tc>
        <w:tc>
          <w:tcPr>
            <w:tcW w:w="520" w:type="dxa"/>
            <w:vAlign w:val="bottom"/>
            <w:tcBorders>
              <w:bottom w:val="single" w:sz="8" w:color="BF0000"/>
            </w:tcBorders>
          </w:tcPr>
          <w:p>
            <w:pPr>
              <w:jc w:val="center"/>
              <w:spacing w:after="0"/>
              <w:rPr>
                <w:sz w:val="20"/>
                <w:szCs w:val="20"/>
                <w:color w:val="auto"/>
              </w:rPr>
            </w:pPr>
            <w:r>
              <w:rPr>
                <w:rFonts w:ascii="Arial" w:cs="Arial" w:eastAsia="Arial" w:hAnsi="Arial"/>
                <w:sz w:val="14"/>
                <w:szCs w:val="14"/>
                <w:b w:val="1"/>
                <w:bCs w:val="1"/>
                <w:color w:val="435363"/>
                <w:w w:val="98"/>
              </w:rPr>
              <w:t>AC</w:t>
            </w:r>
          </w:p>
        </w:tc>
        <w:tc>
          <w:tcPr>
            <w:tcW w:w="480" w:type="dxa"/>
            <w:vAlign w:val="bottom"/>
            <w:tcBorders>
              <w:bottom w:val="single" w:sz="8" w:color="BF0000"/>
            </w:tcBorders>
          </w:tcPr>
          <w:p>
            <w:pPr>
              <w:jc w:val="center"/>
              <w:spacing w:after="0"/>
              <w:rPr>
                <w:sz w:val="20"/>
                <w:szCs w:val="20"/>
                <w:color w:val="auto"/>
              </w:rPr>
            </w:pPr>
            <w:r>
              <w:rPr>
                <w:rFonts w:ascii="Arial" w:cs="Arial" w:eastAsia="Arial" w:hAnsi="Arial"/>
                <w:sz w:val="14"/>
                <w:szCs w:val="14"/>
                <w:b w:val="1"/>
                <w:bCs w:val="1"/>
                <w:color w:val="435363"/>
                <w:w w:val="98"/>
              </w:rPr>
              <w:t>CC</w:t>
            </w:r>
          </w:p>
        </w:tc>
        <w:tc>
          <w:tcPr>
            <w:tcW w:w="740" w:type="dxa"/>
            <w:vAlign w:val="bottom"/>
            <w:tcBorders>
              <w:bottom w:val="single" w:sz="8" w:color="BF0000"/>
            </w:tcBorders>
          </w:tcPr>
          <w:p>
            <w:pPr>
              <w:jc w:val="center"/>
              <w:spacing w:after="0"/>
              <w:rPr>
                <w:sz w:val="20"/>
                <w:szCs w:val="20"/>
                <w:color w:val="auto"/>
              </w:rPr>
            </w:pPr>
            <w:r>
              <w:rPr>
                <w:rFonts w:ascii="Arial" w:cs="Arial" w:eastAsia="Arial" w:hAnsi="Arial"/>
                <w:sz w:val="14"/>
                <w:szCs w:val="14"/>
                <w:b w:val="1"/>
                <w:bCs w:val="1"/>
                <w:color w:val="435363"/>
              </w:rPr>
              <w:t>CGPRC</w:t>
            </w:r>
          </w:p>
        </w:tc>
        <w:tc>
          <w:tcPr>
            <w:tcW w:w="460" w:type="dxa"/>
            <w:vAlign w:val="bottom"/>
            <w:tcBorders>
              <w:bottom w:val="single" w:sz="8" w:color="BF0000"/>
            </w:tcBorders>
          </w:tcPr>
          <w:p>
            <w:pPr>
              <w:jc w:val="center"/>
              <w:spacing w:after="0"/>
              <w:rPr>
                <w:sz w:val="20"/>
                <w:szCs w:val="20"/>
                <w:color w:val="auto"/>
              </w:rPr>
            </w:pPr>
            <w:r>
              <w:rPr>
                <w:rFonts w:ascii="Arial" w:cs="Arial" w:eastAsia="Arial" w:hAnsi="Arial"/>
                <w:sz w:val="14"/>
                <w:szCs w:val="14"/>
                <w:b w:val="1"/>
                <w:bCs w:val="1"/>
                <w:color w:val="435363"/>
              </w:rPr>
              <w:t>FC</w:t>
            </w:r>
          </w:p>
        </w:tc>
        <w:tc>
          <w:tcPr>
            <w:tcW w:w="500" w:type="dxa"/>
            <w:vAlign w:val="bottom"/>
            <w:tcBorders>
              <w:bottom w:val="single" w:sz="8" w:color="BF0000"/>
            </w:tcBorders>
          </w:tcPr>
          <w:p>
            <w:pPr>
              <w:jc w:val="center"/>
              <w:spacing w:after="0"/>
              <w:rPr>
                <w:sz w:val="20"/>
                <w:szCs w:val="20"/>
                <w:color w:val="auto"/>
              </w:rPr>
            </w:pPr>
            <w:r>
              <w:rPr>
                <w:rFonts w:ascii="Arial" w:cs="Arial" w:eastAsia="Arial" w:hAnsi="Arial"/>
                <w:sz w:val="14"/>
                <w:szCs w:val="14"/>
                <w:b w:val="1"/>
                <w:bCs w:val="1"/>
                <w:color w:val="435363"/>
              </w:rPr>
              <w:t>SC</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60" w:type="dxa"/>
            <w:vAlign w:val="bottom"/>
            <w:gridSpan w:val="2"/>
          </w:tcPr>
          <w:p>
            <w:pPr>
              <w:ind w:left="60"/>
              <w:spacing w:after="0"/>
              <w:rPr>
                <w:sz w:val="20"/>
                <w:szCs w:val="20"/>
                <w:color w:val="auto"/>
              </w:rPr>
            </w:pPr>
            <w:r>
              <w:rPr>
                <w:rFonts w:ascii="Arial" w:cs="Arial" w:eastAsia="Arial" w:hAnsi="Arial"/>
                <w:sz w:val="14"/>
                <w:szCs w:val="14"/>
                <w:color w:val="435363"/>
              </w:rPr>
              <w:t>Managing Partner at Flying Fish Partners; former</w:t>
            </w: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40" w:type="dxa"/>
            <w:vAlign w:val="bottom"/>
          </w:tcPr>
          <w:p>
            <w:pPr>
              <w:ind w:left="60"/>
              <w:spacing w:after="0"/>
              <w:rPr>
                <w:sz w:val="20"/>
                <w:szCs w:val="20"/>
                <w:color w:val="auto"/>
              </w:rPr>
            </w:pPr>
            <w:r>
              <w:rPr>
                <w:rFonts w:ascii="Arial" w:cs="Arial" w:eastAsia="Arial" w:hAnsi="Arial"/>
                <w:sz w:val="14"/>
                <w:szCs w:val="14"/>
                <w:b w:val="1"/>
                <w:bCs w:val="1"/>
                <w:color w:val="435363"/>
              </w:rPr>
              <w:t>Adriane M. Brown</w:t>
            </w:r>
          </w:p>
        </w:tc>
        <w:tc>
          <w:tcPr>
            <w:tcW w:w="420" w:type="dxa"/>
            <w:vAlign w:val="bottom"/>
          </w:tcPr>
          <w:p>
            <w:pPr>
              <w:jc w:val="center"/>
              <w:spacing w:after="0"/>
              <w:rPr>
                <w:sz w:val="20"/>
                <w:szCs w:val="20"/>
                <w:color w:val="auto"/>
              </w:rPr>
            </w:pPr>
            <w:r>
              <w:rPr>
                <w:rFonts w:ascii="Arial" w:cs="Arial" w:eastAsia="Arial" w:hAnsi="Arial"/>
                <w:sz w:val="14"/>
                <w:szCs w:val="14"/>
                <w:color w:val="435363"/>
              </w:rPr>
              <w:t>65</w:t>
            </w:r>
          </w:p>
        </w:tc>
        <w:tc>
          <w:tcPr>
            <w:tcW w:w="660" w:type="dxa"/>
            <w:vAlign w:val="bottom"/>
          </w:tcPr>
          <w:p>
            <w:pPr>
              <w:jc w:val="center"/>
              <w:spacing w:after="0"/>
              <w:rPr>
                <w:sz w:val="20"/>
                <w:szCs w:val="20"/>
                <w:color w:val="auto"/>
              </w:rPr>
            </w:pPr>
            <w:r>
              <w:rPr>
                <w:rFonts w:ascii="Arial" w:cs="Arial" w:eastAsia="Arial" w:hAnsi="Arial"/>
                <w:sz w:val="14"/>
                <w:szCs w:val="14"/>
                <w:color w:val="435363"/>
              </w:rPr>
              <w:t>2021</w:t>
            </w:r>
          </w:p>
        </w:tc>
        <w:tc>
          <w:tcPr>
            <w:tcW w:w="3660" w:type="dxa"/>
            <w:vAlign w:val="bottom"/>
            <w:gridSpan w:val="2"/>
          </w:tcPr>
          <w:p>
            <w:pPr>
              <w:ind w:left="60"/>
              <w:spacing w:after="0"/>
              <w:rPr>
                <w:sz w:val="20"/>
                <w:szCs w:val="20"/>
                <w:color w:val="auto"/>
              </w:rPr>
            </w:pPr>
            <w:r>
              <w:rPr>
                <w:rFonts w:ascii="Arial" w:cs="Arial" w:eastAsia="Arial" w:hAnsi="Arial"/>
                <w:sz w:val="14"/>
                <w:szCs w:val="14"/>
                <w:color w:val="435363"/>
              </w:rPr>
              <w:t>President and Chief Operating Officer at Intellectual</w:t>
            </w:r>
          </w:p>
        </w:tc>
        <w:tc>
          <w:tcPr>
            <w:tcW w:w="1120" w:type="dxa"/>
            <w:vAlign w:val="bottom"/>
          </w:tcPr>
          <w:p>
            <w:pPr>
              <w:jc w:val="center"/>
              <w:ind w:right="9"/>
              <w:spacing w:after="0" w:line="141" w:lineRule="exact"/>
              <w:rPr>
                <w:sz w:val="20"/>
                <w:szCs w:val="20"/>
                <w:color w:val="auto"/>
              </w:rPr>
            </w:pPr>
            <w:r>
              <w:rPr>
                <w:rFonts w:ascii="MS PGothic" w:cs="MS PGothic" w:eastAsia="MS PGothic" w:hAnsi="MS PGothic"/>
                <w:sz w:val="14"/>
                <w:szCs w:val="14"/>
                <w:color w:val="435363"/>
                <w:w w:val="85"/>
              </w:rPr>
              <w:t>✓</w:t>
            </w:r>
          </w:p>
        </w:tc>
        <w:tc>
          <w:tcPr>
            <w:tcW w:w="520" w:type="dxa"/>
            <w:vAlign w:val="bottom"/>
          </w:tcPr>
          <w:p>
            <w:pPr>
              <w:jc w:val="center"/>
              <w:spacing w:after="0"/>
              <w:rPr>
                <w:sz w:val="20"/>
                <w:szCs w:val="20"/>
                <w:color w:val="auto"/>
              </w:rPr>
            </w:pPr>
            <w:r>
              <w:rPr>
                <w:rFonts w:ascii="Arial" w:cs="Arial" w:eastAsia="Arial" w:hAnsi="Arial"/>
                <w:sz w:val="14"/>
                <w:szCs w:val="14"/>
                <w:color w:val="435363"/>
              </w:rPr>
              <w:t>M</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435363"/>
                <w:w w:val="98"/>
              </w:rPr>
              <w:t>C</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60" w:type="dxa"/>
            <w:vAlign w:val="bottom"/>
            <w:gridSpan w:val="2"/>
          </w:tcPr>
          <w:p>
            <w:pPr>
              <w:ind w:left="60"/>
              <w:spacing w:after="0" w:line="97" w:lineRule="exact"/>
              <w:rPr>
                <w:sz w:val="20"/>
                <w:szCs w:val="20"/>
                <w:color w:val="auto"/>
              </w:rPr>
            </w:pPr>
            <w:r>
              <w:rPr>
                <w:rFonts w:ascii="Arial" w:cs="Arial" w:eastAsia="Arial" w:hAnsi="Arial"/>
                <w:sz w:val="11"/>
                <w:szCs w:val="11"/>
                <w:color w:val="435363"/>
              </w:rPr>
              <w:t>Ventures Management; former President and Chief</w:t>
            </w: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60" w:type="dxa"/>
            <w:vAlign w:val="bottom"/>
            <w:gridSpan w:val="2"/>
          </w:tcPr>
          <w:p>
            <w:pPr>
              <w:ind w:left="60"/>
              <w:spacing w:after="0"/>
              <w:rPr>
                <w:sz w:val="20"/>
                <w:szCs w:val="20"/>
                <w:color w:val="auto"/>
              </w:rPr>
            </w:pPr>
            <w:r>
              <w:rPr>
                <w:rFonts w:ascii="Arial" w:cs="Arial" w:eastAsia="Arial" w:hAnsi="Arial"/>
                <w:sz w:val="14"/>
                <w:szCs w:val="14"/>
                <w:color w:val="435363"/>
              </w:rPr>
              <w:t>Executive Officer of Honeywell Transportation Systems</w:t>
            </w: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240" w:type="dxa"/>
            <w:vAlign w:val="bottom"/>
            <w:vMerge w:val="restart"/>
            <w:shd w:val="clear" w:color="auto" w:fill="EDEDED"/>
          </w:tcPr>
          <w:p>
            <w:pPr>
              <w:ind w:left="60"/>
              <w:spacing w:after="0"/>
              <w:rPr>
                <w:sz w:val="20"/>
                <w:szCs w:val="20"/>
                <w:color w:val="auto"/>
              </w:rPr>
            </w:pPr>
            <w:r>
              <w:rPr>
                <w:rFonts w:ascii="Arial" w:cs="Arial" w:eastAsia="Arial" w:hAnsi="Arial"/>
                <w:sz w:val="14"/>
                <w:szCs w:val="14"/>
                <w:b w:val="1"/>
                <w:bCs w:val="1"/>
                <w:color w:val="435363"/>
              </w:rPr>
              <w:t>John T. Cahill</w:t>
            </w:r>
          </w:p>
        </w:tc>
        <w:tc>
          <w:tcPr>
            <w:tcW w:w="42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435363"/>
              </w:rPr>
              <w:t>66</w:t>
            </w:r>
          </w:p>
        </w:tc>
        <w:tc>
          <w:tcPr>
            <w:tcW w:w="66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435363"/>
              </w:rPr>
              <w:t>2013</w:t>
            </w:r>
          </w:p>
        </w:tc>
        <w:tc>
          <w:tcPr>
            <w:tcW w:w="3660" w:type="dxa"/>
            <w:vAlign w:val="bottom"/>
            <w:gridSpan w:val="2"/>
            <w:shd w:val="clear" w:color="auto" w:fill="EDEDED"/>
          </w:tcPr>
          <w:p>
            <w:pPr>
              <w:ind w:left="60"/>
              <w:spacing w:after="0"/>
              <w:rPr>
                <w:sz w:val="20"/>
                <w:szCs w:val="20"/>
                <w:color w:val="auto"/>
              </w:rPr>
            </w:pPr>
            <w:r>
              <w:rPr>
                <w:rFonts w:ascii="Arial" w:cs="Arial" w:eastAsia="Arial" w:hAnsi="Arial"/>
                <w:sz w:val="14"/>
                <w:szCs w:val="14"/>
                <w:color w:val="435363"/>
              </w:rPr>
              <w:t>Vice Chairman of The Kraft Heinz Company; former</w:t>
            </w:r>
          </w:p>
        </w:tc>
        <w:tc>
          <w:tcPr>
            <w:tcW w:w="1120" w:type="dxa"/>
            <w:vAlign w:val="bottom"/>
            <w:vMerge w:val="restart"/>
            <w:shd w:val="clear" w:color="auto" w:fill="EDEDED"/>
          </w:tcPr>
          <w:p>
            <w:pPr>
              <w:jc w:val="center"/>
              <w:ind w:right="9"/>
              <w:spacing w:after="0" w:line="141" w:lineRule="exact"/>
              <w:rPr>
                <w:sz w:val="20"/>
                <w:szCs w:val="20"/>
                <w:color w:val="auto"/>
              </w:rPr>
            </w:pPr>
            <w:r>
              <w:rPr>
                <w:rFonts w:ascii="MS PGothic" w:cs="MS PGothic" w:eastAsia="MS PGothic" w:hAnsi="MS PGothic"/>
                <w:sz w:val="14"/>
                <w:szCs w:val="14"/>
                <w:color w:val="435363"/>
                <w:w w:val="85"/>
              </w:rPr>
              <w:t>✓</w:t>
            </w:r>
          </w:p>
        </w:tc>
        <w:tc>
          <w:tcPr>
            <w:tcW w:w="52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435363"/>
              </w:rPr>
              <w:t>M</w:t>
            </w:r>
          </w:p>
        </w:tc>
        <w:tc>
          <w:tcPr>
            <w:tcW w:w="480" w:type="dxa"/>
            <w:vAlign w:val="bottom"/>
            <w:shd w:val="clear" w:color="auto" w:fill="EDEDED"/>
          </w:tcPr>
          <w:p>
            <w:pPr>
              <w:spacing w:after="0"/>
              <w:rPr>
                <w:sz w:val="19"/>
                <w:szCs w:val="19"/>
                <w:color w:val="auto"/>
              </w:rPr>
            </w:pPr>
          </w:p>
        </w:tc>
        <w:tc>
          <w:tcPr>
            <w:tcW w:w="740" w:type="dxa"/>
            <w:vAlign w:val="bottom"/>
            <w:shd w:val="clear" w:color="auto" w:fill="EDEDED"/>
          </w:tcPr>
          <w:p>
            <w:pPr>
              <w:spacing w:after="0"/>
              <w:rPr>
                <w:sz w:val="19"/>
                <w:szCs w:val="19"/>
                <w:color w:val="auto"/>
              </w:rPr>
            </w:pPr>
          </w:p>
        </w:tc>
        <w:tc>
          <w:tcPr>
            <w:tcW w:w="46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435363"/>
              </w:rPr>
              <w:t>M</w:t>
            </w:r>
          </w:p>
        </w:tc>
        <w:tc>
          <w:tcPr>
            <w:tcW w:w="500" w:type="dxa"/>
            <w:vAlign w:val="bottom"/>
            <w:shd w:val="clear" w:color="auto" w:fill="EDEDED"/>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vMerge w:val="continue"/>
            <w:shd w:val="clear" w:color="auto" w:fill="EDEDED"/>
          </w:tcPr>
          <w:p>
            <w:pPr>
              <w:spacing w:after="0"/>
              <w:rPr>
                <w:sz w:val="13"/>
                <w:szCs w:val="13"/>
                <w:color w:val="auto"/>
              </w:rPr>
            </w:pPr>
          </w:p>
        </w:tc>
        <w:tc>
          <w:tcPr>
            <w:tcW w:w="420" w:type="dxa"/>
            <w:vAlign w:val="bottom"/>
            <w:vMerge w:val="continue"/>
            <w:shd w:val="clear" w:color="auto" w:fill="EDEDED"/>
          </w:tcPr>
          <w:p>
            <w:pPr>
              <w:spacing w:after="0"/>
              <w:rPr>
                <w:sz w:val="13"/>
                <w:szCs w:val="13"/>
                <w:color w:val="auto"/>
              </w:rPr>
            </w:pPr>
          </w:p>
        </w:tc>
        <w:tc>
          <w:tcPr>
            <w:tcW w:w="660" w:type="dxa"/>
            <w:vAlign w:val="bottom"/>
            <w:vMerge w:val="continue"/>
            <w:shd w:val="clear" w:color="auto" w:fill="EDEDED"/>
          </w:tcPr>
          <w:p>
            <w:pPr>
              <w:spacing w:after="0"/>
              <w:rPr>
                <w:sz w:val="13"/>
                <w:szCs w:val="13"/>
                <w:color w:val="auto"/>
              </w:rPr>
            </w:pPr>
          </w:p>
        </w:tc>
        <w:tc>
          <w:tcPr>
            <w:tcW w:w="3660" w:type="dxa"/>
            <w:vAlign w:val="bottom"/>
            <w:gridSpan w:val="2"/>
            <w:shd w:val="clear" w:color="auto" w:fill="EDEDED"/>
          </w:tcPr>
          <w:p>
            <w:pPr>
              <w:ind w:left="60"/>
              <w:spacing w:after="0" w:line="159" w:lineRule="exact"/>
              <w:rPr>
                <w:sz w:val="20"/>
                <w:szCs w:val="20"/>
                <w:color w:val="auto"/>
              </w:rPr>
            </w:pPr>
            <w:r>
              <w:rPr>
                <w:rFonts w:ascii="Arial" w:cs="Arial" w:eastAsia="Arial" w:hAnsi="Arial"/>
                <w:sz w:val="14"/>
                <w:szCs w:val="14"/>
                <w:color w:val="435363"/>
              </w:rPr>
              <w:t>Chairman and Chief Executive Officer of Kraft Foods</w:t>
            </w:r>
          </w:p>
        </w:tc>
        <w:tc>
          <w:tcPr>
            <w:tcW w:w="1120" w:type="dxa"/>
            <w:vAlign w:val="bottom"/>
            <w:vMerge w:val="continue"/>
            <w:shd w:val="clear" w:color="auto" w:fill="EDEDED"/>
          </w:tcPr>
          <w:p>
            <w:pPr>
              <w:spacing w:after="0"/>
              <w:rPr>
                <w:sz w:val="13"/>
                <w:szCs w:val="13"/>
                <w:color w:val="auto"/>
              </w:rPr>
            </w:pPr>
          </w:p>
        </w:tc>
        <w:tc>
          <w:tcPr>
            <w:tcW w:w="520" w:type="dxa"/>
            <w:vAlign w:val="bottom"/>
            <w:vMerge w:val="continue"/>
            <w:shd w:val="clear" w:color="auto" w:fill="EDEDED"/>
          </w:tcPr>
          <w:p>
            <w:pPr>
              <w:spacing w:after="0"/>
              <w:rPr>
                <w:sz w:val="13"/>
                <w:szCs w:val="13"/>
                <w:color w:val="auto"/>
              </w:rPr>
            </w:pPr>
          </w:p>
        </w:tc>
        <w:tc>
          <w:tcPr>
            <w:tcW w:w="480" w:type="dxa"/>
            <w:vAlign w:val="bottom"/>
            <w:shd w:val="clear" w:color="auto" w:fill="EDEDED"/>
          </w:tcPr>
          <w:p>
            <w:pPr>
              <w:spacing w:after="0"/>
              <w:rPr>
                <w:sz w:val="13"/>
                <w:szCs w:val="13"/>
                <w:color w:val="auto"/>
              </w:rPr>
            </w:pPr>
          </w:p>
        </w:tc>
        <w:tc>
          <w:tcPr>
            <w:tcW w:w="740" w:type="dxa"/>
            <w:vAlign w:val="bottom"/>
            <w:shd w:val="clear" w:color="auto" w:fill="EDEDED"/>
          </w:tcPr>
          <w:p>
            <w:pPr>
              <w:spacing w:after="0"/>
              <w:rPr>
                <w:sz w:val="13"/>
                <w:szCs w:val="13"/>
                <w:color w:val="auto"/>
              </w:rPr>
            </w:pPr>
          </w:p>
        </w:tc>
        <w:tc>
          <w:tcPr>
            <w:tcW w:w="460" w:type="dxa"/>
            <w:vAlign w:val="bottom"/>
            <w:vMerge w:val="continue"/>
            <w:shd w:val="clear" w:color="auto" w:fill="EDEDED"/>
          </w:tcPr>
          <w:p>
            <w:pPr>
              <w:spacing w:after="0"/>
              <w:rPr>
                <w:sz w:val="13"/>
                <w:szCs w:val="13"/>
                <w:color w:val="auto"/>
              </w:rPr>
            </w:pPr>
          </w:p>
        </w:tc>
        <w:tc>
          <w:tcPr>
            <w:tcW w:w="50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40" w:type="dxa"/>
            <w:vAlign w:val="bottom"/>
            <w:shd w:val="clear" w:color="auto" w:fill="EDEDED"/>
          </w:tcPr>
          <w:p>
            <w:pPr>
              <w:spacing w:after="0"/>
              <w:rPr>
                <w:sz w:val="16"/>
                <w:szCs w:val="16"/>
                <w:color w:val="auto"/>
              </w:rPr>
            </w:pPr>
          </w:p>
        </w:tc>
        <w:tc>
          <w:tcPr>
            <w:tcW w:w="420" w:type="dxa"/>
            <w:vAlign w:val="bottom"/>
            <w:shd w:val="clear" w:color="auto" w:fill="EDEDED"/>
          </w:tcPr>
          <w:p>
            <w:pPr>
              <w:spacing w:after="0"/>
              <w:rPr>
                <w:sz w:val="16"/>
                <w:szCs w:val="16"/>
                <w:color w:val="auto"/>
              </w:rPr>
            </w:pPr>
          </w:p>
        </w:tc>
        <w:tc>
          <w:tcPr>
            <w:tcW w:w="660" w:type="dxa"/>
            <w:vAlign w:val="bottom"/>
            <w:shd w:val="clear" w:color="auto" w:fill="EDEDED"/>
          </w:tcPr>
          <w:p>
            <w:pPr>
              <w:spacing w:after="0"/>
              <w:rPr>
                <w:sz w:val="16"/>
                <w:szCs w:val="16"/>
                <w:color w:val="auto"/>
              </w:rPr>
            </w:pPr>
          </w:p>
        </w:tc>
        <w:tc>
          <w:tcPr>
            <w:tcW w:w="3660" w:type="dxa"/>
            <w:vAlign w:val="bottom"/>
            <w:gridSpan w:val="2"/>
            <w:shd w:val="clear" w:color="auto" w:fill="EDEDED"/>
          </w:tcPr>
          <w:p>
            <w:pPr>
              <w:ind w:left="60"/>
              <w:spacing w:after="0"/>
              <w:rPr>
                <w:sz w:val="20"/>
                <w:szCs w:val="20"/>
                <w:color w:val="auto"/>
              </w:rPr>
            </w:pPr>
            <w:r>
              <w:rPr>
                <w:rFonts w:ascii="Arial" w:cs="Arial" w:eastAsia="Arial" w:hAnsi="Arial"/>
                <w:sz w:val="14"/>
                <w:szCs w:val="14"/>
                <w:color w:val="435363"/>
              </w:rPr>
              <w:t>Group and of The Pepsi Bottling Group</w:t>
            </w:r>
          </w:p>
        </w:tc>
        <w:tc>
          <w:tcPr>
            <w:tcW w:w="1120" w:type="dxa"/>
            <w:vAlign w:val="bottom"/>
            <w:shd w:val="clear" w:color="auto" w:fill="EDEDED"/>
          </w:tcPr>
          <w:p>
            <w:pPr>
              <w:spacing w:after="0"/>
              <w:rPr>
                <w:sz w:val="16"/>
                <w:szCs w:val="16"/>
                <w:color w:val="auto"/>
              </w:rPr>
            </w:pPr>
          </w:p>
        </w:tc>
        <w:tc>
          <w:tcPr>
            <w:tcW w:w="520" w:type="dxa"/>
            <w:vAlign w:val="bottom"/>
            <w:shd w:val="clear" w:color="auto" w:fill="EDEDED"/>
          </w:tcPr>
          <w:p>
            <w:pPr>
              <w:spacing w:after="0"/>
              <w:rPr>
                <w:sz w:val="16"/>
                <w:szCs w:val="16"/>
                <w:color w:val="auto"/>
              </w:rPr>
            </w:pPr>
          </w:p>
        </w:tc>
        <w:tc>
          <w:tcPr>
            <w:tcW w:w="480" w:type="dxa"/>
            <w:vAlign w:val="bottom"/>
            <w:shd w:val="clear" w:color="auto" w:fill="EDEDED"/>
          </w:tcPr>
          <w:p>
            <w:pPr>
              <w:spacing w:after="0"/>
              <w:rPr>
                <w:sz w:val="16"/>
                <w:szCs w:val="16"/>
                <w:color w:val="auto"/>
              </w:rPr>
            </w:pPr>
          </w:p>
        </w:tc>
        <w:tc>
          <w:tcPr>
            <w:tcW w:w="740" w:type="dxa"/>
            <w:vAlign w:val="bottom"/>
            <w:shd w:val="clear" w:color="auto" w:fill="EDEDED"/>
          </w:tcPr>
          <w:p>
            <w:pPr>
              <w:spacing w:after="0"/>
              <w:rPr>
                <w:sz w:val="16"/>
                <w:szCs w:val="16"/>
                <w:color w:val="auto"/>
              </w:rPr>
            </w:pPr>
          </w:p>
        </w:tc>
        <w:tc>
          <w:tcPr>
            <w:tcW w:w="460" w:type="dxa"/>
            <w:vAlign w:val="bottom"/>
            <w:shd w:val="clear" w:color="auto" w:fill="EDEDED"/>
          </w:tcPr>
          <w:p>
            <w:pPr>
              <w:spacing w:after="0"/>
              <w:rPr>
                <w:sz w:val="16"/>
                <w:szCs w:val="16"/>
                <w:color w:val="auto"/>
              </w:rPr>
            </w:pPr>
          </w:p>
        </w:tc>
        <w:tc>
          <w:tcPr>
            <w:tcW w:w="50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240" w:type="dxa"/>
            <w:vAlign w:val="bottom"/>
          </w:tcPr>
          <w:p>
            <w:pPr>
              <w:ind w:left="60"/>
              <w:spacing w:after="0"/>
              <w:rPr>
                <w:sz w:val="20"/>
                <w:szCs w:val="20"/>
                <w:color w:val="auto"/>
              </w:rPr>
            </w:pPr>
            <w:r>
              <w:rPr>
                <w:rFonts w:ascii="Arial" w:cs="Arial" w:eastAsia="Arial" w:hAnsi="Arial"/>
                <w:sz w:val="14"/>
                <w:szCs w:val="14"/>
                <w:b w:val="1"/>
                <w:bCs w:val="1"/>
                <w:color w:val="435363"/>
              </w:rPr>
              <w:t>Michael J. Embler</w:t>
            </w:r>
          </w:p>
        </w:tc>
        <w:tc>
          <w:tcPr>
            <w:tcW w:w="420" w:type="dxa"/>
            <w:vAlign w:val="bottom"/>
          </w:tcPr>
          <w:p>
            <w:pPr>
              <w:jc w:val="center"/>
              <w:spacing w:after="0"/>
              <w:rPr>
                <w:sz w:val="20"/>
                <w:szCs w:val="20"/>
                <w:color w:val="auto"/>
              </w:rPr>
            </w:pPr>
            <w:r>
              <w:rPr>
                <w:rFonts w:ascii="Arial" w:cs="Arial" w:eastAsia="Arial" w:hAnsi="Arial"/>
                <w:sz w:val="14"/>
                <w:szCs w:val="14"/>
                <w:color w:val="435363"/>
              </w:rPr>
              <w:t>60</w:t>
            </w:r>
          </w:p>
        </w:tc>
        <w:tc>
          <w:tcPr>
            <w:tcW w:w="660" w:type="dxa"/>
            <w:vAlign w:val="bottom"/>
          </w:tcPr>
          <w:p>
            <w:pPr>
              <w:jc w:val="center"/>
              <w:spacing w:after="0"/>
              <w:rPr>
                <w:sz w:val="20"/>
                <w:szCs w:val="20"/>
                <w:color w:val="auto"/>
              </w:rPr>
            </w:pPr>
            <w:r>
              <w:rPr>
                <w:rFonts w:ascii="Arial" w:cs="Arial" w:eastAsia="Arial" w:hAnsi="Arial"/>
                <w:sz w:val="14"/>
                <w:szCs w:val="14"/>
                <w:color w:val="435363"/>
              </w:rPr>
              <w:t>2013</w:t>
            </w:r>
          </w:p>
        </w:tc>
        <w:tc>
          <w:tcPr>
            <w:tcW w:w="3660" w:type="dxa"/>
            <w:vAlign w:val="bottom"/>
            <w:gridSpan w:val="2"/>
          </w:tcPr>
          <w:p>
            <w:pPr>
              <w:ind w:left="60"/>
              <w:spacing w:after="0"/>
              <w:rPr>
                <w:sz w:val="20"/>
                <w:szCs w:val="20"/>
                <w:color w:val="auto"/>
              </w:rPr>
            </w:pPr>
            <w:r>
              <w:rPr>
                <w:rFonts w:ascii="Arial" w:cs="Arial" w:eastAsia="Arial" w:hAnsi="Arial"/>
                <w:sz w:val="14"/>
                <w:szCs w:val="14"/>
                <w:color w:val="435363"/>
              </w:rPr>
              <w:t>Private investor; former Chief Investment Officer of</w:t>
            </w:r>
          </w:p>
        </w:tc>
        <w:tc>
          <w:tcPr>
            <w:tcW w:w="1120" w:type="dxa"/>
            <w:vAlign w:val="bottom"/>
          </w:tcPr>
          <w:p>
            <w:pPr>
              <w:jc w:val="center"/>
              <w:ind w:right="9"/>
              <w:spacing w:after="0" w:line="141" w:lineRule="exact"/>
              <w:rPr>
                <w:sz w:val="20"/>
                <w:szCs w:val="20"/>
                <w:color w:val="auto"/>
              </w:rPr>
            </w:pPr>
            <w:r>
              <w:rPr>
                <w:rFonts w:ascii="MS PGothic" w:cs="MS PGothic" w:eastAsia="MS PGothic" w:hAnsi="MS PGothic"/>
                <w:sz w:val="14"/>
                <w:szCs w:val="14"/>
                <w:color w:val="435363"/>
                <w:w w:val="85"/>
              </w:rPr>
              <w:t>✓</w:t>
            </w: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435363"/>
              </w:rPr>
              <w:t>M</w:t>
            </w:r>
          </w:p>
        </w:tc>
        <w:tc>
          <w:tcPr>
            <w:tcW w:w="500" w:type="dxa"/>
            <w:vAlign w:val="bottom"/>
          </w:tcPr>
          <w:p>
            <w:pPr>
              <w:jc w:val="center"/>
              <w:spacing w:after="0"/>
              <w:rPr>
                <w:sz w:val="20"/>
                <w:szCs w:val="20"/>
                <w:color w:val="auto"/>
              </w:rPr>
            </w:pPr>
            <w:r>
              <w:rPr>
                <w:rFonts w:ascii="Arial" w:cs="Arial" w:eastAsia="Arial" w:hAnsi="Arial"/>
                <w:sz w:val="14"/>
                <w:szCs w:val="14"/>
                <w:color w:val="435363"/>
              </w:rPr>
              <w:t>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20" w:type="dxa"/>
            <w:vAlign w:val="bottom"/>
          </w:tcPr>
          <w:p>
            <w:pPr>
              <w:ind w:left="60"/>
              <w:spacing w:after="0" w:line="146" w:lineRule="exact"/>
              <w:rPr>
                <w:sz w:val="20"/>
                <w:szCs w:val="20"/>
                <w:color w:val="auto"/>
              </w:rPr>
            </w:pPr>
            <w:r>
              <w:rPr>
                <w:rFonts w:ascii="Arial" w:cs="Arial" w:eastAsia="Arial" w:hAnsi="Arial"/>
                <w:sz w:val="14"/>
                <w:szCs w:val="14"/>
                <w:color w:val="435363"/>
              </w:rPr>
              <w:t>Franklin Mutual Advisers</w:t>
            </w:r>
          </w:p>
        </w:tc>
        <w:tc>
          <w:tcPr>
            <w:tcW w:w="1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240" w:type="dxa"/>
            <w:vAlign w:val="bottom"/>
            <w:shd w:val="clear" w:color="auto" w:fill="EDEDED"/>
          </w:tcPr>
          <w:p>
            <w:pPr>
              <w:ind w:left="60"/>
              <w:spacing w:after="0"/>
              <w:rPr>
                <w:sz w:val="20"/>
                <w:szCs w:val="20"/>
                <w:color w:val="auto"/>
              </w:rPr>
            </w:pPr>
            <w:r>
              <w:rPr>
                <w:rFonts w:ascii="Arial" w:cs="Arial" w:eastAsia="Arial" w:hAnsi="Arial"/>
                <w:sz w:val="14"/>
                <w:szCs w:val="14"/>
                <w:b w:val="1"/>
                <w:bCs w:val="1"/>
                <w:color w:val="435363"/>
              </w:rPr>
              <w:t>Matthew J. Hart</w:t>
            </w:r>
          </w:p>
        </w:tc>
        <w:tc>
          <w:tcPr>
            <w:tcW w:w="420" w:type="dxa"/>
            <w:vAlign w:val="bottom"/>
            <w:shd w:val="clear" w:color="auto" w:fill="EDEDED"/>
          </w:tcPr>
          <w:p>
            <w:pPr>
              <w:jc w:val="center"/>
              <w:spacing w:after="0"/>
              <w:rPr>
                <w:sz w:val="20"/>
                <w:szCs w:val="20"/>
                <w:color w:val="auto"/>
              </w:rPr>
            </w:pPr>
            <w:r>
              <w:rPr>
                <w:rFonts w:ascii="Arial" w:cs="Arial" w:eastAsia="Arial" w:hAnsi="Arial"/>
                <w:sz w:val="14"/>
                <w:szCs w:val="14"/>
                <w:color w:val="435363"/>
              </w:rPr>
              <w:t>72</w:t>
            </w:r>
          </w:p>
        </w:tc>
        <w:tc>
          <w:tcPr>
            <w:tcW w:w="660" w:type="dxa"/>
            <w:vAlign w:val="bottom"/>
            <w:shd w:val="clear" w:color="auto" w:fill="EDEDED"/>
          </w:tcPr>
          <w:p>
            <w:pPr>
              <w:jc w:val="center"/>
              <w:spacing w:after="0"/>
              <w:rPr>
                <w:sz w:val="20"/>
                <w:szCs w:val="20"/>
                <w:color w:val="auto"/>
              </w:rPr>
            </w:pPr>
            <w:r>
              <w:rPr>
                <w:rFonts w:ascii="Arial" w:cs="Arial" w:eastAsia="Arial" w:hAnsi="Arial"/>
                <w:sz w:val="14"/>
                <w:szCs w:val="14"/>
                <w:color w:val="435363"/>
              </w:rPr>
              <w:t>2013</w:t>
            </w:r>
          </w:p>
        </w:tc>
        <w:tc>
          <w:tcPr>
            <w:tcW w:w="3660" w:type="dxa"/>
            <w:vAlign w:val="bottom"/>
            <w:gridSpan w:val="2"/>
            <w:shd w:val="clear" w:color="auto" w:fill="EDEDED"/>
          </w:tcPr>
          <w:p>
            <w:pPr>
              <w:ind w:left="60"/>
              <w:spacing w:after="0"/>
              <w:rPr>
                <w:sz w:val="20"/>
                <w:szCs w:val="20"/>
                <w:color w:val="auto"/>
              </w:rPr>
            </w:pPr>
            <w:r>
              <w:rPr>
                <w:rFonts w:ascii="Arial" w:cs="Arial" w:eastAsia="Arial" w:hAnsi="Arial"/>
                <w:sz w:val="14"/>
                <w:szCs w:val="14"/>
                <w:color w:val="435363"/>
              </w:rPr>
              <w:t>Former President and Chief Operating Officer of Hilton</w:t>
            </w:r>
          </w:p>
        </w:tc>
        <w:tc>
          <w:tcPr>
            <w:tcW w:w="1120" w:type="dxa"/>
            <w:vAlign w:val="bottom"/>
            <w:shd w:val="clear" w:color="auto" w:fill="EDEDED"/>
          </w:tcPr>
          <w:p>
            <w:pPr>
              <w:jc w:val="center"/>
              <w:ind w:right="9"/>
              <w:spacing w:after="0" w:line="141" w:lineRule="exact"/>
              <w:rPr>
                <w:sz w:val="20"/>
                <w:szCs w:val="20"/>
                <w:color w:val="auto"/>
              </w:rPr>
            </w:pPr>
            <w:r>
              <w:rPr>
                <w:rFonts w:ascii="MS PGothic" w:cs="MS PGothic" w:eastAsia="MS PGothic" w:hAnsi="MS PGothic"/>
                <w:sz w:val="14"/>
                <w:szCs w:val="14"/>
                <w:color w:val="435363"/>
                <w:w w:val="85"/>
              </w:rPr>
              <w:t>✓</w:t>
            </w:r>
          </w:p>
        </w:tc>
        <w:tc>
          <w:tcPr>
            <w:tcW w:w="520" w:type="dxa"/>
            <w:vAlign w:val="bottom"/>
            <w:shd w:val="clear" w:color="auto" w:fill="EDEDED"/>
          </w:tcPr>
          <w:p>
            <w:pPr>
              <w:jc w:val="center"/>
              <w:spacing w:after="0"/>
              <w:rPr>
                <w:sz w:val="20"/>
                <w:szCs w:val="20"/>
                <w:color w:val="auto"/>
              </w:rPr>
            </w:pPr>
            <w:r>
              <w:rPr>
                <w:rFonts w:ascii="Arial" w:cs="Arial" w:eastAsia="Arial" w:hAnsi="Arial"/>
                <w:sz w:val="14"/>
                <w:szCs w:val="14"/>
                <w:color w:val="435363"/>
                <w:w w:val="98"/>
              </w:rPr>
              <w:t>C</w:t>
            </w:r>
          </w:p>
        </w:tc>
        <w:tc>
          <w:tcPr>
            <w:tcW w:w="480" w:type="dxa"/>
            <w:vAlign w:val="bottom"/>
            <w:shd w:val="clear" w:color="auto" w:fill="EDEDED"/>
          </w:tcPr>
          <w:p>
            <w:pPr>
              <w:spacing w:after="0"/>
              <w:rPr>
                <w:sz w:val="23"/>
                <w:szCs w:val="23"/>
                <w:color w:val="auto"/>
              </w:rPr>
            </w:pPr>
          </w:p>
        </w:tc>
        <w:tc>
          <w:tcPr>
            <w:tcW w:w="740" w:type="dxa"/>
            <w:vAlign w:val="bottom"/>
            <w:shd w:val="clear" w:color="auto" w:fill="EDEDED"/>
          </w:tcPr>
          <w:p>
            <w:pPr>
              <w:spacing w:after="0"/>
              <w:rPr>
                <w:sz w:val="23"/>
                <w:szCs w:val="23"/>
                <w:color w:val="auto"/>
              </w:rPr>
            </w:pPr>
          </w:p>
        </w:tc>
        <w:tc>
          <w:tcPr>
            <w:tcW w:w="460" w:type="dxa"/>
            <w:vAlign w:val="bottom"/>
            <w:shd w:val="clear" w:color="auto" w:fill="EDEDED"/>
          </w:tcPr>
          <w:p>
            <w:pPr>
              <w:spacing w:after="0"/>
              <w:rPr>
                <w:sz w:val="23"/>
                <w:szCs w:val="23"/>
                <w:color w:val="auto"/>
              </w:rPr>
            </w:pPr>
          </w:p>
        </w:tc>
        <w:tc>
          <w:tcPr>
            <w:tcW w:w="500" w:type="dxa"/>
            <w:vAlign w:val="bottom"/>
            <w:shd w:val="clear" w:color="auto" w:fill="EDEDED"/>
          </w:tcPr>
          <w:p>
            <w:pPr>
              <w:jc w:val="center"/>
              <w:spacing w:after="0"/>
              <w:rPr>
                <w:sz w:val="20"/>
                <w:szCs w:val="20"/>
                <w:color w:val="auto"/>
              </w:rPr>
            </w:pPr>
            <w:r>
              <w:rPr>
                <w:rFonts w:ascii="Arial" w:cs="Arial" w:eastAsia="Arial" w:hAnsi="Arial"/>
                <w:sz w:val="14"/>
                <w:szCs w:val="14"/>
                <w:color w:val="435363"/>
              </w:rPr>
              <w:t>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shd w:val="clear" w:color="auto" w:fill="EDEDED"/>
          </w:tcPr>
          <w:p>
            <w:pPr>
              <w:spacing w:after="0"/>
              <w:rPr>
                <w:sz w:val="12"/>
                <w:szCs w:val="12"/>
                <w:color w:val="auto"/>
              </w:rPr>
            </w:pPr>
          </w:p>
        </w:tc>
        <w:tc>
          <w:tcPr>
            <w:tcW w:w="420" w:type="dxa"/>
            <w:vAlign w:val="bottom"/>
            <w:shd w:val="clear" w:color="auto" w:fill="EDEDED"/>
          </w:tcPr>
          <w:p>
            <w:pPr>
              <w:spacing w:after="0"/>
              <w:rPr>
                <w:sz w:val="12"/>
                <w:szCs w:val="12"/>
                <w:color w:val="auto"/>
              </w:rPr>
            </w:pPr>
          </w:p>
        </w:tc>
        <w:tc>
          <w:tcPr>
            <w:tcW w:w="660" w:type="dxa"/>
            <w:vAlign w:val="bottom"/>
            <w:shd w:val="clear" w:color="auto" w:fill="EDEDED"/>
          </w:tcPr>
          <w:p>
            <w:pPr>
              <w:spacing w:after="0"/>
              <w:rPr>
                <w:sz w:val="12"/>
                <w:szCs w:val="12"/>
                <w:color w:val="auto"/>
              </w:rPr>
            </w:pPr>
          </w:p>
        </w:tc>
        <w:tc>
          <w:tcPr>
            <w:tcW w:w="3660" w:type="dxa"/>
            <w:vAlign w:val="bottom"/>
            <w:gridSpan w:val="2"/>
            <w:shd w:val="clear" w:color="auto" w:fill="EDEDED"/>
          </w:tcPr>
          <w:p>
            <w:pPr>
              <w:ind w:left="60"/>
              <w:spacing w:after="0" w:line="146" w:lineRule="exact"/>
              <w:rPr>
                <w:sz w:val="20"/>
                <w:szCs w:val="20"/>
                <w:color w:val="auto"/>
              </w:rPr>
            </w:pPr>
            <w:r>
              <w:rPr>
                <w:rFonts w:ascii="Arial" w:cs="Arial" w:eastAsia="Arial" w:hAnsi="Arial"/>
                <w:sz w:val="14"/>
                <w:szCs w:val="14"/>
                <w:color w:val="435363"/>
              </w:rPr>
              <w:t>Hotels; former Chief Financial Officer of Hilton Hotels</w:t>
            </w:r>
          </w:p>
        </w:tc>
        <w:tc>
          <w:tcPr>
            <w:tcW w:w="1120" w:type="dxa"/>
            <w:vAlign w:val="bottom"/>
            <w:shd w:val="clear" w:color="auto" w:fill="EDEDED"/>
          </w:tcPr>
          <w:p>
            <w:pPr>
              <w:spacing w:after="0"/>
              <w:rPr>
                <w:sz w:val="12"/>
                <w:szCs w:val="12"/>
                <w:color w:val="auto"/>
              </w:rPr>
            </w:pPr>
          </w:p>
        </w:tc>
        <w:tc>
          <w:tcPr>
            <w:tcW w:w="520" w:type="dxa"/>
            <w:vAlign w:val="bottom"/>
            <w:shd w:val="clear" w:color="auto" w:fill="EDEDED"/>
          </w:tcPr>
          <w:p>
            <w:pPr>
              <w:spacing w:after="0"/>
              <w:rPr>
                <w:sz w:val="12"/>
                <w:szCs w:val="12"/>
                <w:color w:val="auto"/>
              </w:rPr>
            </w:pPr>
          </w:p>
        </w:tc>
        <w:tc>
          <w:tcPr>
            <w:tcW w:w="480" w:type="dxa"/>
            <w:vAlign w:val="bottom"/>
            <w:shd w:val="clear" w:color="auto" w:fill="EDEDED"/>
          </w:tcPr>
          <w:p>
            <w:pPr>
              <w:spacing w:after="0"/>
              <w:rPr>
                <w:sz w:val="12"/>
                <w:szCs w:val="12"/>
                <w:color w:val="auto"/>
              </w:rPr>
            </w:pPr>
          </w:p>
        </w:tc>
        <w:tc>
          <w:tcPr>
            <w:tcW w:w="740" w:type="dxa"/>
            <w:vAlign w:val="bottom"/>
            <w:shd w:val="clear" w:color="auto" w:fill="EDEDED"/>
          </w:tcPr>
          <w:p>
            <w:pPr>
              <w:spacing w:after="0"/>
              <w:rPr>
                <w:sz w:val="12"/>
                <w:szCs w:val="12"/>
                <w:color w:val="auto"/>
              </w:rPr>
            </w:pPr>
          </w:p>
        </w:tc>
        <w:tc>
          <w:tcPr>
            <w:tcW w:w="460" w:type="dxa"/>
            <w:vAlign w:val="bottom"/>
            <w:shd w:val="clear" w:color="auto" w:fill="EDEDED"/>
          </w:tcPr>
          <w:p>
            <w:pPr>
              <w:spacing w:after="0"/>
              <w:rPr>
                <w:sz w:val="12"/>
                <w:szCs w:val="12"/>
                <w:color w:val="auto"/>
              </w:rPr>
            </w:pPr>
          </w:p>
        </w:tc>
        <w:tc>
          <w:tcPr>
            <w:tcW w:w="500" w:type="dxa"/>
            <w:vAlign w:val="bottom"/>
            <w:shd w:val="clear" w:color="auto" w:fill="EDEDED"/>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tcPr>
          <w:p>
            <w:pPr>
              <w:ind w:left="60"/>
              <w:spacing w:after="0"/>
              <w:rPr>
                <w:sz w:val="20"/>
                <w:szCs w:val="20"/>
                <w:color w:val="auto"/>
              </w:rPr>
            </w:pPr>
            <w:r>
              <w:rPr>
                <w:rFonts w:ascii="Arial" w:cs="Arial" w:eastAsia="Arial" w:hAnsi="Arial"/>
                <w:sz w:val="14"/>
                <w:szCs w:val="14"/>
                <w:b w:val="1"/>
                <w:bCs w:val="1"/>
                <w:color w:val="435363"/>
              </w:rPr>
              <w:t>Robert D. Isom</w:t>
            </w:r>
          </w:p>
        </w:tc>
        <w:tc>
          <w:tcPr>
            <w:tcW w:w="420" w:type="dxa"/>
            <w:vAlign w:val="bottom"/>
          </w:tcPr>
          <w:p>
            <w:pPr>
              <w:jc w:val="center"/>
              <w:spacing w:after="0"/>
              <w:rPr>
                <w:sz w:val="20"/>
                <w:szCs w:val="20"/>
                <w:color w:val="auto"/>
              </w:rPr>
            </w:pPr>
            <w:r>
              <w:rPr>
                <w:rFonts w:ascii="Arial" w:cs="Arial" w:eastAsia="Arial" w:hAnsi="Arial"/>
                <w:sz w:val="14"/>
                <w:szCs w:val="14"/>
                <w:color w:val="435363"/>
              </w:rPr>
              <w:t>60</w:t>
            </w:r>
          </w:p>
        </w:tc>
        <w:tc>
          <w:tcPr>
            <w:tcW w:w="660" w:type="dxa"/>
            <w:vAlign w:val="bottom"/>
          </w:tcPr>
          <w:p>
            <w:pPr>
              <w:jc w:val="center"/>
              <w:spacing w:after="0"/>
              <w:rPr>
                <w:sz w:val="20"/>
                <w:szCs w:val="20"/>
                <w:color w:val="auto"/>
              </w:rPr>
            </w:pPr>
            <w:r>
              <w:rPr>
                <w:rFonts w:ascii="Arial" w:cs="Arial" w:eastAsia="Arial" w:hAnsi="Arial"/>
                <w:sz w:val="14"/>
                <w:szCs w:val="14"/>
                <w:color w:val="435363"/>
              </w:rPr>
              <w:t>2022</w:t>
            </w:r>
          </w:p>
        </w:tc>
        <w:tc>
          <w:tcPr>
            <w:tcW w:w="3660" w:type="dxa"/>
            <w:vAlign w:val="bottom"/>
            <w:gridSpan w:val="2"/>
          </w:tcPr>
          <w:p>
            <w:pPr>
              <w:ind w:left="60"/>
              <w:spacing w:after="0"/>
              <w:rPr>
                <w:sz w:val="20"/>
                <w:szCs w:val="20"/>
                <w:color w:val="auto"/>
              </w:rPr>
            </w:pPr>
            <w:r>
              <w:rPr>
                <w:rFonts w:ascii="Arial" w:cs="Arial" w:eastAsia="Arial" w:hAnsi="Arial"/>
                <w:sz w:val="14"/>
                <w:szCs w:val="14"/>
                <w:color w:val="435363"/>
              </w:rPr>
              <w:t>Chief Executive Officer and President of American</w:t>
            </w:r>
          </w:p>
        </w:tc>
        <w:tc>
          <w:tcPr>
            <w:tcW w:w="1120" w:type="dxa"/>
            <w:vAlign w:val="bottom"/>
          </w:tcPr>
          <w:p>
            <w:pPr>
              <w:jc w:val="center"/>
              <w:ind w:right="9"/>
              <w:spacing w:after="0" w:line="141" w:lineRule="exact"/>
              <w:rPr>
                <w:sz w:val="20"/>
                <w:szCs w:val="20"/>
                <w:color w:val="auto"/>
              </w:rPr>
            </w:pPr>
            <w:r>
              <w:rPr>
                <w:rFonts w:ascii="MS PGothic" w:cs="MS PGothic" w:eastAsia="MS PGothic" w:hAnsi="MS PGothic"/>
                <w:sz w:val="14"/>
                <w:szCs w:val="14"/>
                <w:color w:val="435363"/>
                <w:w w:val="85"/>
              </w:rPr>
              <w:t>✖</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ind w:left="60"/>
              <w:spacing w:after="0"/>
              <w:rPr>
                <w:sz w:val="20"/>
                <w:szCs w:val="20"/>
                <w:color w:val="auto"/>
              </w:rPr>
            </w:pPr>
            <w:r>
              <w:rPr>
                <w:rFonts w:ascii="Arial" w:cs="Arial" w:eastAsia="Arial" w:hAnsi="Arial"/>
                <w:sz w:val="14"/>
                <w:szCs w:val="14"/>
                <w:color w:val="435363"/>
              </w:rPr>
              <w:t>CEO</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60" w:type="dxa"/>
            <w:vAlign w:val="bottom"/>
            <w:gridSpan w:val="2"/>
          </w:tcPr>
          <w:p>
            <w:pPr>
              <w:ind w:left="60"/>
              <w:spacing w:after="0"/>
              <w:rPr>
                <w:sz w:val="20"/>
                <w:szCs w:val="20"/>
                <w:color w:val="auto"/>
              </w:rPr>
            </w:pPr>
            <w:r>
              <w:rPr>
                <w:rFonts w:ascii="Arial" w:cs="Arial" w:eastAsia="Arial" w:hAnsi="Arial"/>
                <w:sz w:val="14"/>
                <w:szCs w:val="14"/>
                <w:color w:val="435363"/>
              </w:rPr>
              <w:t>Airlines Group Inc. and American Airlines, Inc.</w:t>
            </w: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240" w:type="dxa"/>
            <w:vAlign w:val="bottom"/>
            <w:shd w:val="clear" w:color="auto" w:fill="EDEDED"/>
          </w:tcPr>
          <w:p>
            <w:pPr>
              <w:ind w:left="60"/>
              <w:spacing w:after="0"/>
              <w:rPr>
                <w:sz w:val="20"/>
                <w:szCs w:val="20"/>
                <w:color w:val="auto"/>
              </w:rPr>
            </w:pPr>
            <w:r>
              <w:rPr>
                <w:rFonts w:ascii="Arial" w:cs="Arial" w:eastAsia="Arial" w:hAnsi="Arial"/>
                <w:sz w:val="14"/>
                <w:szCs w:val="14"/>
                <w:b w:val="1"/>
                <w:bCs w:val="1"/>
                <w:color w:val="435363"/>
              </w:rPr>
              <w:t>Susan D. Kronick</w:t>
            </w:r>
          </w:p>
        </w:tc>
        <w:tc>
          <w:tcPr>
            <w:tcW w:w="420" w:type="dxa"/>
            <w:vAlign w:val="bottom"/>
            <w:shd w:val="clear" w:color="auto" w:fill="EDEDED"/>
          </w:tcPr>
          <w:p>
            <w:pPr>
              <w:jc w:val="center"/>
              <w:spacing w:after="0"/>
              <w:rPr>
                <w:sz w:val="20"/>
                <w:szCs w:val="20"/>
                <w:color w:val="auto"/>
              </w:rPr>
            </w:pPr>
            <w:r>
              <w:rPr>
                <w:rFonts w:ascii="Arial" w:cs="Arial" w:eastAsia="Arial" w:hAnsi="Arial"/>
                <w:sz w:val="14"/>
                <w:szCs w:val="14"/>
                <w:color w:val="435363"/>
              </w:rPr>
              <w:t>72</w:t>
            </w:r>
          </w:p>
        </w:tc>
        <w:tc>
          <w:tcPr>
            <w:tcW w:w="660" w:type="dxa"/>
            <w:vAlign w:val="bottom"/>
            <w:shd w:val="clear" w:color="auto" w:fill="EDEDED"/>
          </w:tcPr>
          <w:p>
            <w:pPr>
              <w:jc w:val="center"/>
              <w:spacing w:after="0"/>
              <w:rPr>
                <w:sz w:val="20"/>
                <w:szCs w:val="20"/>
                <w:color w:val="auto"/>
              </w:rPr>
            </w:pPr>
            <w:r>
              <w:rPr>
                <w:rFonts w:ascii="Arial" w:cs="Arial" w:eastAsia="Arial" w:hAnsi="Arial"/>
                <w:sz w:val="14"/>
                <w:szCs w:val="14"/>
                <w:color w:val="435363"/>
              </w:rPr>
              <w:t>2015</w:t>
            </w:r>
          </w:p>
        </w:tc>
        <w:tc>
          <w:tcPr>
            <w:tcW w:w="3660" w:type="dxa"/>
            <w:vAlign w:val="bottom"/>
            <w:gridSpan w:val="2"/>
            <w:shd w:val="clear" w:color="auto" w:fill="EDEDED"/>
          </w:tcPr>
          <w:p>
            <w:pPr>
              <w:ind w:left="60"/>
              <w:spacing w:after="0"/>
              <w:rPr>
                <w:sz w:val="20"/>
                <w:szCs w:val="20"/>
                <w:color w:val="auto"/>
              </w:rPr>
            </w:pPr>
            <w:r>
              <w:rPr>
                <w:rFonts w:ascii="Arial" w:cs="Arial" w:eastAsia="Arial" w:hAnsi="Arial"/>
                <w:sz w:val="14"/>
                <w:szCs w:val="14"/>
                <w:color w:val="435363"/>
              </w:rPr>
              <w:t>Former Operating Partner at Marvin Traub Associates;</w:t>
            </w:r>
          </w:p>
        </w:tc>
        <w:tc>
          <w:tcPr>
            <w:tcW w:w="1120" w:type="dxa"/>
            <w:vAlign w:val="bottom"/>
            <w:shd w:val="clear" w:color="auto" w:fill="EDEDED"/>
          </w:tcPr>
          <w:p>
            <w:pPr>
              <w:jc w:val="center"/>
              <w:ind w:right="9"/>
              <w:spacing w:after="0" w:line="141" w:lineRule="exact"/>
              <w:rPr>
                <w:sz w:val="20"/>
                <w:szCs w:val="20"/>
                <w:color w:val="auto"/>
              </w:rPr>
            </w:pPr>
            <w:r>
              <w:rPr>
                <w:rFonts w:ascii="MS PGothic" w:cs="MS PGothic" w:eastAsia="MS PGothic" w:hAnsi="MS PGothic"/>
                <w:sz w:val="14"/>
                <w:szCs w:val="14"/>
                <w:color w:val="435363"/>
                <w:w w:val="85"/>
              </w:rPr>
              <w:t>✓</w:t>
            </w:r>
          </w:p>
        </w:tc>
        <w:tc>
          <w:tcPr>
            <w:tcW w:w="520" w:type="dxa"/>
            <w:vAlign w:val="bottom"/>
            <w:shd w:val="clear" w:color="auto" w:fill="EDEDED"/>
          </w:tcPr>
          <w:p>
            <w:pPr>
              <w:spacing w:after="0"/>
              <w:rPr>
                <w:sz w:val="23"/>
                <w:szCs w:val="23"/>
                <w:color w:val="auto"/>
              </w:rPr>
            </w:pPr>
          </w:p>
        </w:tc>
        <w:tc>
          <w:tcPr>
            <w:tcW w:w="480" w:type="dxa"/>
            <w:vAlign w:val="bottom"/>
            <w:shd w:val="clear" w:color="auto" w:fill="EDEDED"/>
          </w:tcPr>
          <w:p>
            <w:pPr>
              <w:spacing w:after="0"/>
              <w:rPr>
                <w:sz w:val="23"/>
                <w:szCs w:val="23"/>
                <w:color w:val="auto"/>
              </w:rPr>
            </w:pPr>
          </w:p>
        </w:tc>
        <w:tc>
          <w:tcPr>
            <w:tcW w:w="740" w:type="dxa"/>
            <w:vAlign w:val="bottom"/>
            <w:shd w:val="clear" w:color="auto" w:fill="EDEDED"/>
          </w:tcPr>
          <w:p>
            <w:pPr>
              <w:jc w:val="center"/>
              <w:spacing w:after="0"/>
              <w:rPr>
                <w:sz w:val="20"/>
                <w:szCs w:val="20"/>
                <w:color w:val="auto"/>
              </w:rPr>
            </w:pPr>
            <w:r>
              <w:rPr>
                <w:rFonts w:ascii="Arial" w:cs="Arial" w:eastAsia="Arial" w:hAnsi="Arial"/>
                <w:sz w:val="14"/>
                <w:szCs w:val="14"/>
                <w:color w:val="435363"/>
              </w:rPr>
              <w:t>M</w:t>
            </w:r>
          </w:p>
        </w:tc>
        <w:tc>
          <w:tcPr>
            <w:tcW w:w="460" w:type="dxa"/>
            <w:vAlign w:val="bottom"/>
            <w:shd w:val="clear" w:color="auto" w:fill="EDEDED"/>
          </w:tcPr>
          <w:p>
            <w:pPr>
              <w:spacing w:after="0"/>
              <w:rPr>
                <w:sz w:val="23"/>
                <w:szCs w:val="23"/>
                <w:color w:val="auto"/>
              </w:rPr>
            </w:pPr>
          </w:p>
        </w:tc>
        <w:tc>
          <w:tcPr>
            <w:tcW w:w="500" w:type="dxa"/>
            <w:vAlign w:val="bottom"/>
            <w:shd w:val="clear" w:color="auto" w:fill="EDEDED"/>
          </w:tcPr>
          <w:p>
            <w:pPr>
              <w:jc w:val="center"/>
              <w:spacing w:after="0"/>
              <w:rPr>
                <w:sz w:val="20"/>
                <w:szCs w:val="20"/>
                <w:color w:val="auto"/>
              </w:rPr>
            </w:pPr>
            <w:r>
              <w:rPr>
                <w:rFonts w:ascii="Arial" w:cs="Arial" w:eastAsia="Arial" w:hAnsi="Arial"/>
                <w:sz w:val="14"/>
                <w:szCs w:val="14"/>
                <w:color w:val="435363"/>
              </w:rPr>
              <w:t>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shd w:val="clear" w:color="auto" w:fill="EDEDED"/>
          </w:tcPr>
          <w:p>
            <w:pPr>
              <w:spacing w:after="0"/>
              <w:rPr>
                <w:sz w:val="12"/>
                <w:szCs w:val="12"/>
                <w:color w:val="auto"/>
              </w:rPr>
            </w:pPr>
          </w:p>
        </w:tc>
        <w:tc>
          <w:tcPr>
            <w:tcW w:w="420" w:type="dxa"/>
            <w:vAlign w:val="bottom"/>
            <w:shd w:val="clear" w:color="auto" w:fill="EDEDED"/>
          </w:tcPr>
          <w:p>
            <w:pPr>
              <w:spacing w:after="0"/>
              <w:rPr>
                <w:sz w:val="12"/>
                <w:szCs w:val="12"/>
                <w:color w:val="auto"/>
              </w:rPr>
            </w:pPr>
          </w:p>
        </w:tc>
        <w:tc>
          <w:tcPr>
            <w:tcW w:w="660" w:type="dxa"/>
            <w:vAlign w:val="bottom"/>
            <w:shd w:val="clear" w:color="auto" w:fill="EDEDED"/>
          </w:tcPr>
          <w:p>
            <w:pPr>
              <w:spacing w:after="0"/>
              <w:rPr>
                <w:sz w:val="12"/>
                <w:szCs w:val="12"/>
                <w:color w:val="auto"/>
              </w:rPr>
            </w:pPr>
          </w:p>
        </w:tc>
        <w:tc>
          <w:tcPr>
            <w:tcW w:w="2120" w:type="dxa"/>
            <w:vAlign w:val="bottom"/>
            <w:shd w:val="clear" w:color="auto" w:fill="EDEDED"/>
          </w:tcPr>
          <w:p>
            <w:pPr>
              <w:ind w:left="60"/>
              <w:spacing w:after="0" w:line="146" w:lineRule="exact"/>
              <w:rPr>
                <w:sz w:val="20"/>
                <w:szCs w:val="20"/>
                <w:color w:val="auto"/>
              </w:rPr>
            </w:pPr>
            <w:r>
              <w:rPr>
                <w:rFonts w:ascii="Arial" w:cs="Arial" w:eastAsia="Arial" w:hAnsi="Arial"/>
                <w:sz w:val="14"/>
                <w:szCs w:val="14"/>
                <w:color w:val="435363"/>
              </w:rPr>
              <w:t>former Vice Chairman of Macy’s</w:t>
            </w:r>
          </w:p>
        </w:tc>
        <w:tc>
          <w:tcPr>
            <w:tcW w:w="1540" w:type="dxa"/>
            <w:vAlign w:val="bottom"/>
            <w:shd w:val="clear" w:color="auto" w:fill="EDEDED"/>
          </w:tcPr>
          <w:p>
            <w:pPr>
              <w:spacing w:after="0"/>
              <w:rPr>
                <w:sz w:val="12"/>
                <w:szCs w:val="12"/>
                <w:color w:val="auto"/>
              </w:rPr>
            </w:pPr>
          </w:p>
        </w:tc>
        <w:tc>
          <w:tcPr>
            <w:tcW w:w="1120" w:type="dxa"/>
            <w:vAlign w:val="bottom"/>
            <w:shd w:val="clear" w:color="auto" w:fill="EDEDED"/>
          </w:tcPr>
          <w:p>
            <w:pPr>
              <w:spacing w:after="0"/>
              <w:rPr>
                <w:sz w:val="12"/>
                <w:szCs w:val="12"/>
                <w:color w:val="auto"/>
              </w:rPr>
            </w:pPr>
          </w:p>
        </w:tc>
        <w:tc>
          <w:tcPr>
            <w:tcW w:w="520" w:type="dxa"/>
            <w:vAlign w:val="bottom"/>
            <w:shd w:val="clear" w:color="auto" w:fill="EDEDED"/>
          </w:tcPr>
          <w:p>
            <w:pPr>
              <w:spacing w:after="0"/>
              <w:rPr>
                <w:sz w:val="12"/>
                <w:szCs w:val="12"/>
                <w:color w:val="auto"/>
              </w:rPr>
            </w:pPr>
          </w:p>
        </w:tc>
        <w:tc>
          <w:tcPr>
            <w:tcW w:w="480" w:type="dxa"/>
            <w:vAlign w:val="bottom"/>
            <w:shd w:val="clear" w:color="auto" w:fill="EDEDED"/>
          </w:tcPr>
          <w:p>
            <w:pPr>
              <w:spacing w:after="0"/>
              <w:rPr>
                <w:sz w:val="12"/>
                <w:szCs w:val="12"/>
                <w:color w:val="auto"/>
              </w:rPr>
            </w:pPr>
          </w:p>
        </w:tc>
        <w:tc>
          <w:tcPr>
            <w:tcW w:w="740" w:type="dxa"/>
            <w:vAlign w:val="bottom"/>
            <w:shd w:val="clear" w:color="auto" w:fill="EDEDED"/>
          </w:tcPr>
          <w:p>
            <w:pPr>
              <w:spacing w:after="0"/>
              <w:rPr>
                <w:sz w:val="12"/>
                <w:szCs w:val="12"/>
                <w:color w:val="auto"/>
              </w:rPr>
            </w:pPr>
          </w:p>
        </w:tc>
        <w:tc>
          <w:tcPr>
            <w:tcW w:w="460" w:type="dxa"/>
            <w:vAlign w:val="bottom"/>
            <w:shd w:val="clear" w:color="auto" w:fill="EDEDED"/>
          </w:tcPr>
          <w:p>
            <w:pPr>
              <w:spacing w:after="0"/>
              <w:rPr>
                <w:sz w:val="12"/>
                <w:szCs w:val="12"/>
                <w:color w:val="auto"/>
              </w:rPr>
            </w:pPr>
          </w:p>
        </w:tc>
        <w:tc>
          <w:tcPr>
            <w:tcW w:w="500" w:type="dxa"/>
            <w:vAlign w:val="bottom"/>
            <w:shd w:val="clear" w:color="auto" w:fill="EDEDED"/>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60" w:type="dxa"/>
            <w:vAlign w:val="bottom"/>
            <w:gridSpan w:val="2"/>
          </w:tcPr>
          <w:p>
            <w:pPr>
              <w:ind w:left="60"/>
              <w:spacing w:after="0"/>
              <w:rPr>
                <w:sz w:val="20"/>
                <w:szCs w:val="20"/>
                <w:color w:val="auto"/>
              </w:rPr>
            </w:pPr>
            <w:r>
              <w:rPr>
                <w:rFonts w:ascii="Arial" w:cs="Arial" w:eastAsia="Arial" w:hAnsi="Arial"/>
                <w:sz w:val="14"/>
                <w:szCs w:val="14"/>
                <w:color w:val="435363"/>
              </w:rPr>
              <w:t>Co-Chief Executive Officer of The Vistria Group; former</w:t>
            </w:r>
          </w:p>
        </w:tc>
        <w:tc>
          <w:tcPr>
            <w:tcW w:w="1120" w:type="dxa"/>
            <w:vAlign w:val="bottom"/>
            <w:vMerge w:val="restart"/>
          </w:tcPr>
          <w:p>
            <w:pPr>
              <w:jc w:val="center"/>
              <w:ind w:right="9"/>
              <w:spacing w:after="0" w:line="141" w:lineRule="exact"/>
              <w:rPr>
                <w:sz w:val="20"/>
                <w:szCs w:val="20"/>
                <w:color w:val="auto"/>
              </w:rPr>
            </w:pPr>
            <w:r>
              <w:rPr>
                <w:rFonts w:ascii="MS PGothic" w:cs="MS PGothic" w:eastAsia="MS PGothic" w:hAnsi="MS PGothic"/>
                <w:sz w:val="14"/>
                <w:szCs w:val="14"/>
                <w:color w:val="435363"/>
                <w:w w:val="85"/>
              </w:rPr>
              <w:t>✓</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60"/>
              <w:spacing w:after="0" w:line="159" w:lineRule="exact"/>
              <w:rPr>
                <w:sz w:val="20"/>
                <w:szCs w:val="20"/>
                <w:color w:val="auto"/>
              </w:rPr>
            </w:pPr>
            <w:r>
              <w:rPr>
                <w:rFonts w:ascii="Arial" w:cs="Arial" w:eastAsia="Arial" w:hAnsi="Arial"/>
                <w:sz w:val="14"/>
                <w:szCs w:val="14"/>
                <w:b w:val="1"/>
                <w:bCs w:val="1"/>
                <w:color w:val="435363"/>
              </w:rPr>
              <w:t>Martin H. Nesbitt</w:t>
            </w:r>
          </w:p>
        </w:tc>
        <w:tc>
          <w:tcPr>
            <w:tcW w:w="420" w:type="dxa"/>
            <w:vAlign w:val="bottom"/>
          </w:tcPr>
          <w:p>
            <w:pPr>
              <w:jc w:val="center"/>
              <w:spacing w:after="0" w:line="159" w:lineRule="exact"/>
              <w:rPr>
                <w:sz w:val="20"/>
                <w:szCs w:val="20"/>
                <w:color w:val="auto"/>
              </w:rPr>
            </w:pPr>
            <w:r>
              <w:rPr>
                <w:rFonts w:ascii="Arial" w:cs="Arial" w:eastAsia="Arial" w:hAnsi="Arial"/>
                <w:sz w:val="14"/>
                <w:szCs w:val="14"/>
                <w:color w:val="435363"/>
              </w:rPr>
              <w:t>61</w:t>
            </w:r>
          </w:p>
        </w:tc>
        <w:tc>
          <w:tcPr>
            <w:tcW w:w="660" w:type="dxa"/>
            <w:vAlign w:val="bottom"/>
          </w:tcPr>
          <w:p>
            <w:pPr>
              <w:jc w:val="center"/>
              <w:spacing w:after="0" w:line="159" w:lineRule="exact"/>
              <w:rPr>
                <w:sz w:val="20"/>
                <w:szCs w:val="20"/>
                <w:color w:val="auto"/>
              </w:rPr>
            </w:pPr>
            <w:r>
              <w:rPr>
                <w:rFonts w:ascii="Arial" w:cs="Arial" w:eastAsia="Arial" w:hAnsi="Arial"/>
                <w:sz w:val="14"/>
                <w:szCs w:val="14"/>
                <w:color w:val="435363"/>
              </w:rPr>
              <w:t>2015</w:t>
            </w:r>
          </w:p>
        </w:tc>
        <w:tc>
          <w:tcPr>
            <w:tcW w:w="3660" w:type="dxa"/>
            <w:vAlign w:val="bottom"/>
            <w:gridSpan w:val="2"/>
          </w:tcPr>
          <w:p>
            <w:pPr>
              <w:ind w:left="60"/>
              <w:spacing w:after="0" w:line="159" w:lineRule="exact"/>
              <w:rPr>
                <w:sz w:val="20"/>
                <w:szCs w:val="20"/>
                <w:color w:val="auto"/>
              </w:rPr>
            </w:pPr>
            <w:r>
              <w:rPr>
                <w:rFonts w:ascii="Arial" w:cs="Arial" w:eastAsia="Arial" w:hAnsi="Arial"/>
                <w:sz w:val="14"/>
                <w:szCs w:val="14"/>
                <w:color w:val="435363"/>
              </w:rPr>
              <w:t>President and Chief Executive Officer of PRG Parking</w:t>
            </w:r>
          </w:p>
        </w:tc>
        <w:tc>
          <w:tcPr>
            <w:tcW w:w="1120" w:type="dxa"/>
            <w:vAlign w:val="bottom"/>
            <w:vMerge w:val="continue"/>
          </w:tcPr>
          <w:p>
            <w:pPr>
              <w:spacing w:after="0"/>
              <w:rPr>
                <w:sz w:val="13"/>
                <w:szCs w:val="13"/>
                <w:color w:val="auto"/>
              </w:rPr>
            </w:pP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435363"/>
              </w:rPr>
              <w:t>M</w:t>
            </w:r>
          </w:p>
        </w:tc>
        <w:tc>
          <w:tcPr>
            <w:tcW w:w="480" w:type="dxa"/>
            <w:vAlign w:val="bottom"/>
          </w:tcPr>
          <w:p>
            <w:pPr>
              <w:spacing w:after="0"/>
              <w:rPr>
                <w:sz w:val="13"/>
                <w:szCs w:val="13"/>
                <w:color w:val="auto"/>
              </w:rPr>
            </w:pPr>
          </w:p>
        </w:tc>
        <w:tc>
          <w:tcPr>
            <w:tcW w:w="740" w:type="dxa"/>
            <w:vAlign w:val="bottom"/>
          </w:tcPr>
          <w:p>
            <w:pPr>
              <w:jc w:val="center"/>
              <w:spacing w:after="0" w:line="159" w:lineRule="exact"/>
              <w:rPr>
                <w:sz w:val="20"/>
                <w:szCs w:val="20"/>
                <w:color w:val="auto"/>
              </w:rPr>
            </w:pPr>
            <w:r>
              <w:rPr>
                <w:rFonts w:ascii="Arial" w:cs="Arial" w:eastAsia="Arial" w:hAnsi="Arial"/>
                <w:sz w:val="14"/>
                <w:szCs w:val="14"/>
                <w:color w:val="435363"/>
              </w:rPr>
              <w:t>C</w:t>
            </w: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20" w:type="dxa"/>
            <w:vAlign w:val="bottom"/>
          </w:tcPr>
          <w:p>
            <w:pPr>
              <w:ind w:left="60"/>
              <w:spacing w:after="0"/>
              <w:rPr>
                <w:sz w:val="20"/>
                <w:szCs w:val="20"/>
                <w:color w:val="auto"/>
              </w:rPr>
            </w:pPr>
            <w:r>
              <w:rPr>
                <w:rFonts w:ascii="Arial" w:cs="Arial" w:eastAsia="Arial" w:hAnsi="Arial"/>
                <w:sz w:val="14"/>
                <w:szCs w:val="14"/>
                <w:color w:val="435363"/>
              </w:rPr>
              <w:t>Management</w:t>
            </w:r>
          </w:p>
        </w:tc>
        <w:tc>
          <w:tcPr>
            <w:tcW w:w="1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240" w:type="dxa"/>
            <w:vAlign w:val="bottom"/>
            <w:shd w:val="clear" w:color="auto" w:fill="EDEDED"/>
          </w:tcPr>
          <w:p>
            <w:pPr>
              <w:ind w:left="60"/>
              <w:spacing w:after="0"/>
              <w:rPr>
                <w:sz w:val="20"/>
                <w:szCs w:val="20"/>
                <w:color w:val="auto"/>
              </w:rPr>
            </w:pPr>
            <w:r>
              <w:rPr>
                <w:rFonts w:ascii="Arial" w:cs="Arial" w:eastAsia="Arial" w:hAnsi="Arial"/>
                <w:sz w:val="14"/>
                <w:szCs w:val="14"/>
                <w:b w:val="1"/>
                <w:bCs w:val="1"/>
                <w:color w:val="435363"/>
              </w:rPr>
              <w:t>Denise M. O’Leary</w:t>
            </w:r>
          </w:p>
        </w:tc>
        <w:tc>
          <w:tcPr>
            <w:tcW w:w="420" w:type="dxa"/>
            <w:vAlign w:val="bottom"/>
            <w:shd w:val="clear" w:color="auto" w:fill="EDEDED"/>
          </w:tcPr>
          <w:p>
            <w:pPr>
              <w:jc w:val="center"/>
              <w:spacing w:after="0"/>
              <w:rPr>
                <w:sz w:val="20"/>
                <w:szCs w:val="20"/>
                <w:color w:val="auto"/>
              </w:rPr>
            </w:pPr>
            <w:r>
              <w:rPr>
                <w:rFonts w:ascii="Arial" w:cs="Arial" w:eastAsia="Arial" w:hAnsi="Arial"/>
                <w:sz w:val="14"/>
                <w:szCs w:val="14"/>
                <w:color w:val="435363"/>
              </w:rPr>
              <w:t>66</w:t>
            </w:r>
          </w:p>
        </w:tc>
        <w:tc>
          <w:tcPr>
            <w:tcW w:w="660" w:type="dxa"/>
            <w:vAlign w:val="bottom"/>
            <w:shd w:val="clear" w:color="auto" w:fill="EDEDED"/>
          </w:tcPr>
          <w:p>
            <w:pPr>
              <w:jc w:val="center"/>
              <w:spacing w:after="0"/>
              <w:rPr>
                <w:sz w:val="20"/>
                <w:szCs w:val="20"/>
                <w:color w:val="auto"/>
              </w:rPr>
            </w:pPr>
            <w:r>
              <w:rPr>
                <w:rFonts w:ascii="Arial" w:cs="Arial" w:eastAsia="Arial" w:hAnsi="Arial"/>
                <w:sz w:val="14"/>
                <w:szCs w:val="14"/>
                <w:color w:val="435363"/>
              </w:rPr>
              <w:t>2013</w:t>
            </w:r>
          </w:p>
        </w:tc>
        <w:tc>
          <w:tcPr>
            <w:tcW w:w="3660" w:type="dxa"/>
            <w:vAlign w:val="bottom"/>
            <w:gridSpan w:val="2"/>
            <w:shd w:val="clear" w:color="auto" w:fill="EDEDED"/>
          </w:tcPr>
          <w:p>
            <w:pPr>
              <w:ind w:left="60"/>
              <w:spacing w:after="0"/>
              <w:rPr>
                <w:sz w:val="20"/>
                <w:szCs w:val="20"/>
                <w:color w:val="auto"/>
              </w:rPr>
            </w:pPr>
            <w:r>
              <w:rPr>
                <w:rFonts w:ascii="Arial" w:cs="Arial" w:eastAsia="Arial" w:hAnsi="Arial"/>
                <w:sz w:val="14"/>
                <w:szCs w:val="14"/>
                <w:color w:val="435363"/>
              </w:rPr>
              <w:t>Private venture capital investor; former General Partner</w:t>
            </w:r>
          </w:p>
        </w:tc>
        <w:tc>
          <w:tcPr>
            <w:tcW w:w="1120" w:type="dxa"/>
            <w:vAlign w:val="bottom"/>
            <w:shd w:val="clear" w:color="auto" w:fill="EDEDED"/>
          </w:tcPr>
          <w:p>
            <w:pPr>
              <w:jc w:val="center"/>
              <w:ind w:right="9"/>
              <w:spacing w:after="0" w:line="141" w:lineRule="exact"/>
              <w:rPr>
                <w:sz w:val="20"/>
                <w:szCs w:val="20"/>
                <w:color w:val="auto"/>
              </w:rPr>
            </w:pPr>
            <w:r>
              <w:rPr>
                <w:rFonts w:ascii="MS PGothic" w:cs="MS PGothic" w:eastAsia="MS PGothic" w:hAnsi="MS PGothic"/>
                <w:sz w:val="14"/>
                <w:szCs w:val="14"/>
                <w:color w:val="435363"/>
                <w:w w:val="85"/>
              </w:rPr>
              <w:t>✓</w:t>
            </w:r>
          </w:p>
        </w:tc>
        <w:tc>
          <w:tcPr>
            <w:tcW w:w="520" w:type="dxa"/>
            <w:vAlign w:val="bottom"/>
            <w:shd w:val="clear" w:color="auto" w:fill="EDEDED"/>
          </w:tcPr>
          <w:p>
            <w:pPr>
              <w:spacing w:after="0"/>
              <w:rPr>
                <w:sz w:val="23"/>
                <w:szCs w:val="23"/>
                <w:color w:val="auto"/>
              </w:rPr>
            </w:pPr>
          </w:p>
        </w:tc>
        <w:tc>
          <w:tcPr>
            <w:tcW w:w="480" w:type="dxa"/>
            <w:vAlign w:val="bottom"/>
            <w:shd w:val="clear" w:color="auto" w:fill="EDEDED"/>
          </w:tcPr>
          <w:p>
            <w:pPr>
              <w:jc w:val="center"/>
              <w:spacing w:after="0"/>
              <w:rPr>
                <w:sz w:val="20"/>
                <w:szCs w:val="20"/>
                <w:color w:val="auto"/>
              </w:rPr>
            </w:pPr>
            <w:r>
              <w:rPr>
                <w:rFonts w:ascii="Arial" w:cs="Arial" w:eastAsia="Arial" w:hAnsi="Arial"/>
                <w:sz w:val="14"/>
                <w:szCs w:val="14"/>
                <w:color w:val="435363"/>
                <w:w w:val="98"/>
              </w:rPr>
              <w:t>C</w:t>
            </w:r>
          </w:p>
        </w:tc>
        <w:tc>
          <w:tcPr>
            <w:tcW w:w="740" w:type="dxa"/>
            <w:vAlign w:val="bottom"/>
            <w:shd w:val="clear" w:color="auto" w:fill="EDEDED"/>
          </w:tcPr>
          <w:p>
            <w:pPr>
              <w:spacing w:after="0"/>
              <w:rPr>
                <w:sz w:val="23"/>
                <w:szCs w:val="23"/>
                <w:color w:val="auto"/>
              </w:rPr>
            </w:pPr>
          </w:p>
        </w:tc>
        <w:tc>
          <w:tcPr>
            <w:tcW w:w="460" w:type="dxa"/>
            <w:vAlign w:val="bottom"/>
            <w:shd w:val="clear" w:color="auto" w:fill="EDEDED"/>
          </w:tcPr>
          <w:p>
            <w:pPr>
              <w:jc w:val="center"/>
              <w:spacing w:after="0"/>
              <w:rPr>
                <w:sz w:val="20"/>
                <w:szCs w:val="20"/>
                <w:color w:val="auto"/>
              </w:rPr>
            </w:pPr>
            <w:r>
              <w:rPr>
                <w:rFonts w:ascii="Arial" w:cs="Arial" w:eastAsia="Arial" w:hAnsi="Arial"/>
                <w:sz w:val="14"/>
                <w:szCs w:val="14"/>
                <w:color w:val="435363"/>
              </w:rPr>
              <w:t>M</w:t>
            </w:r>
          </w:p>
        </w:tc>
        <w:tc>
          <w:tcPr>
            <w:tcW w:w="500" w:type="dxa"/>
            <w:vAlign w:val="bottom"/>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shd w:val="clear" w:color="auto" w:fill="EDEDED"/>
          </w:tcPr>
          <w:p>
            <w:pPr>
              <w:spacing w:after="0"/>
              <w:rPr>
                <w:sz w:val="12"/>
                <w:szCs w:val="12"/>
                <w:color w:val="auto"/>
              </w:rPr>
            </w:pPr>
          </w:p>
        </w:tc>
        <w:tc>
          <w:tcPr>
            <w:tcW w:w="420" w:type="dxa"/>
            <w:vAlign w:val="bottom"/>
            <w:shd w:val="clear" w:color="auto" w:fill="EDEDED"/>
          </w:tcPr>
          <w:p>
            <w:pPr>
              <w:spacing w:after="0"/>
              <w:rPr>
                <w:sz w:val="12"/>
                <w:szCs w:val="12"/>
                <w:color w:val="auto"/>
              </w:rPr>
            </w:pPr>
          </w:p>
        </w:tc>
        <w:tc>
          <w:tcPr>
            <w:tcW w:w="660" w:type="dxa"/>
            <w:vAlign w:val="bottom"/>
            <w:shd w:val="clear" w:color="auto" w:fill="EDEDED"/>
          </w:tcPr>
          <w:p>
            <w:pPr>
              <w:spacing w:after="0"/>
              <w:rPr>
                <w:sz w:val="12"/>
                <w:szCs w:val="12"/>
                <w:color w:val="auto"/>
              </w:rPr>
            </w:pPr>
          </w:p>
        </w:tc>
        <w:tc>
          <w:tcPr>
            <w:tcW w:w="2120" w:type="dxa"/>
            <w:vAlign w:val="bottom"/>
            <w:shd w:val="clear" w:color="auto" w:fill="EDEDED"/>
          </w:tcPr>
          <w:p>
            <w:pPr>
              <w:ind w:left="60"/>
              <w:spacing w:after="0" w:line="146" w:lineRule="exact"/>
              <w:rPr>
                <w:sz w:val="20"/>
                <w:szCs w:val="20"/>
                <w:color w:val="auto"/>
              </w:rPr>
            </w:pPr>
            <w:r>
              <w:rPr>
                <w:rFonts w:ascii="Arial" w:cs="Arial" w:eastAsia="Arial" w:hAnsi="Arial"/>
                <w:sz w:val="14"/>
                <w:szCs w:val="14"/>
                <w:color w:val="435363"/>
              </w:rPr>
              <w:t>at Menlo Ventures</w:t>
            </w:r>
          </w:p>
        </w:tc>
        <w:tc>
          <w:tcPr>
            <w:tcW w:w="1540" w:type="dxa"/>
            <w:vAlign w:val="bottom"/>
            <w:shd w:val="clear" w:color="auto" w:fill="EDEDED"/>
          </w:tcPr>
          <w:p>
            <w:pPr>
              <w:spacing w:after="0"/>
              <w:rPr>
                <w:sz w:val="12"/>
                <w:szCs w:val="12"/>
                <w:color w:val="auto"/>
              </w:rPr>
            </w:pPr>
          </w:p>
        </w:tc>
        <w:tc>
          <w:tcPr>
            <w:tcW w:w="1120" w:type="dxa"/>
            <w:vAlign w:val="bottom"/>
            <w:shd w:val="clear" w:color="auto" w:fill="EDEDED"/>
          </w:tcPr>
          <w:p>
            <w:pPr>
              <w:spacing w:after="0"/>
              <w:rPr>
                <w:sz w:val="12"/>
                <w:szCs w:val="12"/>
                <w:color w:val="auto"/>
              </w:rPr>
            </w:pPr>
          </w:p>
        </w:tc>
        <w:tc>
          <w:tcPr>
            <w:tcW w:w="520" w:type="dxa"/>
            <w:vAlign w:val="bottom"/>
            <w:shd w:val="clear" w:color="auto" w:fill="EDEDED"/>
          </w:tcPr>
          <w:p>
            <w:pPr>
              <w:spacing w:after="0"/>
              <w:rPr>
                <w:sz w:val="12"/>
                <w:szCs w:val="12"/>
                <w:color w:val="auto"/>
              </w:rPr>
            </w:pPr>
          </w:p>
        </w:tc>
        <w:tc>
          <w:tcPr>
            <w:tcW w:w="480" w:type="dxa"/>
            <w:vAlign w:val="bottom"/>
            <w:shd w:val="clear" w:color="auto" w:fill="EDEDED"/>
          </w:tcPr>
          <w:p>
            <w:pPr>
              <w:spacing w:after="0"/>
              <w:rPr>
                <w:sz w:val="12"/>
                <w:szCs w:val="12"/>
                <w:color w:val="auto"/>
              </w:rPr>
            </w:pPr>
          </w:p>
        </w:tc>
        <w:tc>
          <w:tcPr>
            <w:tcW w:w="740" w:type="dxa"/>
            <w:vAlign w:val="bottom"/>
            <w:shd w:val="clear" w:color="auto" w:fill="EDEDED"/>
          </w:tcPr>
          <w:p>
            <w:pPr>
              <w:spacing w:after="0"/>
              <w:rPr>
                <w:sz w:val="12"/>
                <w:szCs w:val="12"/>
                <w:color w:val="auto"/>
              </w:rPr>
            </w:pPr>
          </w:p>
        </w:tc>
        <w:tc>
          <w:tcPr>
            <w:tcW w:w="460" w:type="dxa"/>
            <w:vAlign w:val="bottom"/>
            <w:shd w:val="clear" w:color="auto" w:fill="EDEDED"/>
          </w:tcPr>
          <w:p>
            <w:pPr>
              <w:spacing w:after="0"/>
              <w:rPr>
                <w:sz w:val="12"/>
                <w:szCs w:val="12"/>
                <w:color w:val="auto"/>
              </w:rPr>
            </w:pPr>
          </w:p>
        </w:tc>
        <w:tc>
          <w:tcPr>
            <w:tcW w:w="500" w:type="dxa"/>
            <w:vAlign w:val="bottom"/>
            <w:shd w:val="clear" w:color="auto" w:fill="EDEDED"/>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240" w:type="dxa"/>
            <w:vAlign w:val="bottom"/>
          </w:tcPr>
          <w:p>
            <w:pPr>
              <w:ind w:left="60"/>
              <w:spacing w:after="0"/>
              <w:rPr>
                <w:sz w:val="20"/>
                <w:szCs w:val="20"/>
                <w:color w:val="auto"/>
              </w:rPr>
            </w:pPr>
            <w:r>
              <w:rPr>
                <w:rFonts w:ascii="Arial" w:cs="Arial" w:eastAsia="Arial" w:hAnsi="Arial"/>
                <w:sz w:val="14"/>
                <w:szCs w:val="14"/>
                <w:b w:val="1"/>
                <w:bCs w:val="1"/>
                <w:color w:val="435363"/>
              </w:rPr>
              <w:t>Vicente Reynal</w:t>
            </w:r>
          </w:p>
        </w:tc>
        <w:tc>
          <w:tcPr>
            <w:tcW w:w="420" w:type="dxa"/>
            <w:vAlign w:val="bottom"/>
          </w:tcPr>
          <w:p>
            <w:pPr>
              <w:jc w:val="center"/>
              <w:spacing w:after="0"/>
              <w:rPr>
                <w:sz w:val="20"/>
                <w:szCs w:val="20"/>
                <w:color w:val="auto"/>
              </w:rPr>
            </w:pPr>
            <w:r>
              <w:rPr>
                <w:rFonts w:ascii="Arial" w:cs="Arial" w:eastAsia="Arial" w:hAnsi="Arial"/>
                <w:sz w:val="14"/>
                <w:szCs w:val="14"/>
                <w:color w:val="435363"/>
              </w:rPr>
              <w:t>49</w:t>
            </w:r>
          </w:p>
        </w:tc>
        <w:tc>
          <w:tcPr>
            <w:tcW w:w="660" w:type="dxa"/>
            <w:vAlign w:val="bottom"/>
          </w:tcPr>
          <w:p>
            <w:pPr>
              <w:jc w:val="center"/>
              <w:spacing w:after="0"/>
              <w:rPr>
                <w:sz w:val="20"/>
                <w:szCs w:val="20"/>
                <w:color w:val="auto"/>
              </w:rPr>
            </w:pPr>
            <w:r>
              <w:rPr>
                <w:rFonts w:ascii="Arial" w:cs="Arial" w:eastAsia="Arial" w:hAnsi="Arial"/>
                <w:sz w:val="14"/>
                <w:szCs w:val="14"/>
                <w:color w:val="435363"/>
              </w:rPr>
              <w:t>2022</w:t>
            </w:r>
          </w:p>
        </w:tc>
        <w:tc>
          <w:tcPr>
            <w:tcW w:w="3660" w:type="dxa"/>
            <w:vAlign w:val="bottom"/>
            <w:gridSpan w:val="2"/>
          </w:tcPr>
          <w:p>
            <w:pPr>
              <w:ind w:left="60"/>
              <w:spacing w:after="0"/>
              <w:rPr>
                <w:sz w:val="20"/>
                <w:szCs w:val="20"/>
                <w:color w:val="auto"/>
              </w:rPr>
            </w:pPr>
            <w:r>
              <w:rPr>
                <w:rFonts w:ascii="Arial" w:cs="Arial" w:eastAsia="Arial" w:hAnsi="Arial"/>
                <w:sz w:val="14"/>
                <w:szCs w:val="14"/>
                <w:color w:val="435363"/>
              </w:rPr>
              <w:t>Chairman, Chief Executive Officer and President of</w:t>
            </w:r>
          </w:p>
        </w:tc>
        <w:tc>
          <w:tcPr>
            <w:tcW w:w="1120" w:type="dxa"/>
            <w:vAlign w:val="bottom"/>
          </w:tcPr>
          <w:p>
            <w:pPr>
              <w:jc w:val="center"/>
              <w:ind w:right="9"/>
              <w:spacing w:after="0" w:line="141" w:lineRule="exact"/>
              <w:rPr>
                <w:sz w:val="20"/>
                <w:szCs w:val="20"/>
                <w:color w:val="auto"/>
              </w:rPr>
            </w:pPr>
            <w:r>
              <w:rPr>
                <w:rFonts w:ascii="MS PGothic" w:cs="MS PGothic" w:eastAsia="MS PGothic" w:hAnsi="MS PGothic"/>
                <w:sz w:val="14"/>
                <w:szCs w:val="14"/>
                <w:color w:val="435363"/>
                <w:w w:val="85"/>
              </w:rPr>
              <w:t>✓</w:t>
            </w:r>
          </w:p>
        </w:tc>
        <w:tc>
          <w:tcPr>
            <w:tcW w:w="5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435363"/>
              </w:rPr>
              <w:t>M</w:t>
            </w:r>
          </w:p>
        </w:tc>
        <w:tc>
          <w:tcPr>
            <w:tcW w:w="740" w:type="dxa"/>
            <w:vAlign w:val="bottom"/>
          </w:tcPr>
          <w:p>
            <w:pPr>
              <w:jc w:val="center"/>
              <w:spacing w:after="0"/>
              <w:rPr>
                <w:sz w:val="20"/>
                <w:szCs w:val="20"/>
                <w:color w:val="auto"/>
              </w:rPr>
            </w:pPr>
            <w:r>
              <w:rPr>
                <w:rFonts w:ascii="Arial" w:cs="Arial" w:eastAsia="Arial" w:hAnsi="Arial"/>
                <w:sz w:val="14"/>
                <w:szCs w:val="14"/>
                <w:color w:val="435363"/>
              </w:rPr>
              <w:t>M</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120" w:type="dxa"/>
            <w:vAlign w:val="bottom"/>
          </w:tcPr>
          <w:p>
            <w:pPr>
              <w:ind w:left="60"/>
              <w:spacing w:after="0" w:line="133" w:lineRule="exact"/>
              <w:rPr>
                <w:sz w:val="20"/>
                <w:szCs w:val="20"/>
                <w:color w:val="auto"/>
              </w:rPr>
            </w:pPr>
            <w:r>
              <w:rPr>
                <w:rFonts w:ascii="Arial" w:cs="Arial" w:eastAsia="Arial" w:hAnsi="Arial"/>
                <w:sz w:val="14"/>
                <w:szCs w:val="14"/>
                <w:color w:val="435363"/>
              </w:rPr>
              <w:t>Ingersoll Rand</w:t>
            </w:r>
          </w:p>
        </w:tc>
        <w:tc>
          <w:tcPr>
            <w:tcW w:w="1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40" w:type="dxa"/>
            <w:vAlign w:val="bottom"/>
            <w:shd w:val="clear" w:color="auto" w:fill="EDEDED"/>
          </w:tcPr>
          <w:p>
            <w:pPr>
              <w:ind w:left="60"/>
              <w:spacing w:after="0"/>
              <w:rPr>
                <w:sz w:val="20"/>
                <w:szCs w:val="20"/>
                <w:color w:val="auto"/>
              </w:rPr>
            </w:pPr>
            <w:r>
              <w:rPr>
                <w:rFonts w:ascii="Arial" w:cs="Arial" w:eastAsia="Arial" w:hAnsi="Arial"/>
                <w:sz w:val="14"/>
                <w:szCs w:val="14"/>
                <w:b w:val="1"/>
                <w:bCs w:val="1"/>
                <w:color w:val="435363"/>
              </w:rPr>
              <w:t>Gregory D. Smith</w:t>
            </w:r>
          </w:p>
        </w:tc>
        <w:tc>
          <w:tcPr>
            <w:tcW w:w="420" w:type="dxa"/>
            <w:vAlign w:val="bottom"/>
            <w:shd w:val="clear" w:color="auto" w:fill="EDEDED"/>
          </w:tcPr>
          <w:p>
            <w:pPr>
              <w:jc w:val="center"/>
              <w:spacing w:after="0"/>
              <w:rPr>
                <w:sz w:val="20"/>
                <w:szCs w:val="20"/>
                <w:color w:val="auto"/>
              </w:rPr>
            </w:pPr>
            <w:r>
              <w:rPr>
                <w:rFonts w:ascii="Arial" w:cs="Arial" w:eastAsia="Arial" w:hAnsi="Arial"/>
                <w:sz w:val="14"/>
                <w:szCs w:val="14"/>
                <w:color w:val="435363"/>
              </w:rPr>
              <w:t>57</w:t>
            </w:r>
          </w:p>
        </w:tc>
        <w:tc>
          <w:tcPr>
            <w:tcW w:w="660" w:type="dxa"/>
            <w:vAlign w:val="bottom"/>
            <w:shd w:val="clear" w:color="auto" w:fill="EDEDED"/>
          </w:tcPr>
          <w:p>
            <w:pPr>
              <w:jc w:val="center"/>
              <w:spacing w:after="0"/>
              <w:rPr>
                <w:sz w:val="20"/>
                <w:szCs w:val="20"/>
                <w:color w:val="auto"/>
              </w:rPr>
            </w:pPr>
            <w:r>
              <w:rPr>
                <w:rFonts w:ascii="Arial" w:cs="Arial" w:eastAsia="Arial" w:hAnsi="Arial"/>
                <w:sz w:val="14"/>
                <w:szCs w:val="14"/>
                <w:color w:val="435363"/>
              </w:rPr>
              <w:t>2022</w:t>
            </w:r>
          </w:p>
        </w:tc>
        <w:tc>
          <w:tcPr>
            <w:tcW w:w="3660" w:type="dxa"/>
            <w:vAlign w:val="bottom"/>
            <w:gridSpan w:val="2"/>
            <w:shd w:val="clear" w:color="auto" w:fill="EDEDED"/>
          </w:tcPr>
          <w:p>
            <w:pPr>
              <w:ind w:left="60"/>
              <w:spacing w:after="0"/>
              <w:rPr>
                <w:sz w:val="20"/>
                <w:szCs w:val="20"/>
                <w:color w:val="auto"/>
              </w:rPr>
            </w:pPr>
            <w:r>
              <w:rPr>
                <w:rFonts w:ascii="Arial" w:cs="Arial" w:eastAsia="Arial" w:hAnsi="Arial"/>
                <w:sz w:val="14"/>
                <w:szCs w:val="14"/>
                <w:color w:val="435363"/>
              </w:rPr>
              <w:t>Former Executive Vice President and Chief Financial</w:t>
            </w:r>
          </w:p>
        </w:tc>
        <w:tc>
          <w:tcPr>
            <w:tcW w:w="1120" w:type="dxa"/>
            <w:vAlign w:val="bottom"/>
            <w:shd w:val="clear" w:color="auto" w:fill="EDEDED"/>
          </w:tcPr>
          <w:p>
            <w:pPr>
              <w:jc w:val="center"/>
              <w:ind w:right="9"/>
              <w:spacing w:after="0" w:line="141" w:lineRule="exact"/>
              <w:rPr>
                <w:sz w:val="20"/>
                <w:szCs w:val="20"/>
                <w:color w:val="auto"/>
              </w:rPr>
            </w:pPr>
            <w:r>
              <w:rPr>
                <w:rFonts w:ascii="MS PGothic" w:cs="MS PGothic" w:eastAsia="MS PGothic" w:hAnsi="MS PGothic"/>
                <w:sz w:val="14"/>
                <w:szCs w:val="14"/>
                <w:color w:val="435363"/>
                <w:w w:val="85"/>
              </w:rPr>
              <w:t>✓</w:t>
            </w:r>
          </w:p>
        </w:tc>
        <w:tc>
          <w:tcPr>
            <w:tcW w:w="520" w:type="dxa"/>
            <w:vAlign w:val="bottom"/>
            <w:shd w:val="clear" w:color="auto" w:fill="EDEDED"/>
          </w:tcPr>
          <w:p>
            <w:pPr>
              <w:spacing w:after="0"/>
              <w:rPr>
                <w:sz w:val="19"/>
                <w:szCs w:val="19"/>
                <w:color w:val="auto"/>
              </w:rPr>
            </w:pPr>
          </w:p>
        </w:tc>
        <w:tc>
          <w:tcPr>
            <w:tcW w:w="480" w:type="dxa"/>
            <w:vAlign w:val="bottom"/>
            <w:shd w:val="clear" w:color="auto" w:fill="EDEDED"/>
          </w:tcPr>
          <w:p>
            <w:pPr>
              <w:spacing w:after="0"/>
              <w:rPr>
                <w:sz w:val="19"/>
                <w:szCs w:val="19"/>
                <w:color w:val="auto"/>
              </w:rPr>
            </w:pPr>
          </w:p>
        </w:tc>
        <w:tc>
          <w:tcPr>
            <w:tcW w:w="740" w:type="dxa"/>
            <w:vAlign w:val="bottom"/>
            <w:shd w:val="clear" w:color="auto" w:fill="EDEDED"/>
          </w:tcPr>
          <w:p>
            <w:pPr>
              <w:spacing w:after="0"/>
              <w:rPr>
                <w:sz w:val="19"/>
                <w:szCs w:val="19"/>
                <w:color w:val="auto"/>
              </w:rPr>
            </w:pPr>
          </w:p>
        </w:tc>
        <w:tc>
          <w:tcPr>
            <w:tcW w:w="460" w:type="dxa"/>
            <w:vAlign w:val="bottom"/>
            <w:shd w:val="clear" w:color="auto" w:fill="EDEDED"/>
          </w:tcPr>
          <w:p>
            <w:pPr>
              <w:spacing w:after="0"/>
              <w:rPr>
                <w:sz w:val="19"/>
                <w:szCs w:val="19"/>
                <w:color w:val="auto"/>
              </w:rPr>
            </w:pPr>
          </w:p>
        </w:tc>
        <w:tc>
          <w:tcPr>
            <w:tcW w:w="500" w:type="dxa"/>
            <w:vAlign w:val="bottom"/>
            <w:shd w:val="clear" w:color="auto" w:fill="EDEDED"/>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40" w:type="dxa"/>
            <w:vAlign w:val="bottom"/>
            <w:shd w:val="clear" w:color="auto" w:fill="EDEDED"/>
          </w:tcPr>
          <w:p>
            <w:pPr>
              <w:ind w:left="60"/>
              <w:spacing w:after="0"/>
              <w:rPr>
                <w:sz w:val="20"/>
                <w:szCs w:val="20"/>
                <w:color w:val="auto"/>
              </w:rPr>
            </w:pPr>
            <w:r>
              <w:rPr>
                <w:rFonts w:ascii="Arial" w:cs="Arial" w:eastAsia="Arial" w:hAnsi="Arial"/>
                <w:sz w:val="14"/>
                <w:szCs w:val="14"/>
                <w:color w:val="435363"/>
              </w:rPr>
              <w:t>Independent Chairman</w:t>
            </w:r>
          </w:p>
        </w:tc>
        <w:tc>
          <w:tcPr>
            <w:tcW w:w="420" w:type="dxa"/>
            <w:vAlign w:val="bottom"/>
            <w:shd w:val="clear" w:color="auto" w:fill="EDEDED"/>
          </w:tcPr>
          <w:p>
            <w:pPr>
              <w:spacing w:after="0"/>
              <w:rPr>
                <w:sz w:val="16"/>
                <w:szCs w:val="16"/>
                <w:color w:val="auto"/>
              </w:rPr>
            </w:pPr>
          </w:p>
        </w:tc>
        <w:tc>
          <w:tcPr>
            <w:tcW w:w="660" w:type="dxa"/>
            <w:vAlign w:val="bottom"/>
            <w:shd w:val="clear" w:color="auto" w:fill="EDEDED"/>
          </w:tcPr>
          <w:p>
            <w:pPr>
              <w:spacing w:after="0"/>
              <w:rPr>
                <w:sz w:val="16"/>
                <w:szCs w:val="16"/>
                <w:color w:val="auto"/>
              </w:rPr>
            </w:pPr>
          </w:p>
        </w:tc>
        <w:tc>
          <w:tcPr>
            <w:tcW w:w="2120" w:type="dxa"/>
            <w:vAlign w:val="bottom"/>
            <w:shd w:val="clear" w:color="auto" w:fill="EDEDED"/>
          </w:tcPr>
          <w:p>
            <w:pPr>
              <w:ind w:left="60"/>
              <w:spacing w:after="0"/>
              <w:rPr>
                <w:sz w:val="20"/>
                <w:szCs w:val="20"/>
                <w:color w:val="auto"/>
              </w:rPr>
            </w:pPr>
            <w:r>
              <w:rPr>
                <w:rFonts w:ascii="Arial" w:cs="Arial" w:eastAsia="Arial" w:hAnsi="Arial"/>
                <w:sz w:val="14"/>
                <w:szCs w:val="14"/>
                <w:color w:val="435363"/>
              </w:rPr>
              <w:t>Officer of The Boeing Company</w:t>
            </w:r>
          </w:p>
        </w:tc>
        <w:tc>
          <w:tcPr>
            <w:tcW w:w="1540" w:type="dxa"/>
            <w:vAlign w:val="bottom"/>
            <w:shd w:val="clear" w:color="auto" w:fill="EDEDED"/>
          </w:tcPr>
          <w:p>
            <w:pPr>
              <w:spacing w:after="0"/>
              <w:rPr>
                <w:sz w:val="16"/>
                <w:szCs w:val="16"/>
                <w:color w:val="auto"/>
              </w:rPr>
            </w:pPr>
          </w:p>
        </w:tc>
        <w:tc>
          <w:tcPr>
            <w:tcW w:w="1120" w:type="dxa"/>
            <w:vAlign w:val="bottom"/>
            <w:shd w:val="clear" w:color="auto" w:fill="EDEDED"/>
          </w:tcPr>
          <w:p>
            <w:pPr>
              <w:spacing w:after="0"/>
              <w:rPr>
                <w:sz w:val="16"/>
                <w:szCs w:val="16"/>
                <w:color w:val="auto"/>
              </w:rPr>
            </w:pPr>
          </w:p>
        </w:tc>
        <w:tc>
          <w:tcPr>
            <w:tcW w:w="520" w:type="dxa"/>
            <w:vAlign w:val="bottom"/>
            <w:shd w:val="clear" w:color="auto" w:fill="EDEDED"/>
          </w:tcPr>
          <w:p>
            <w:pPr>
              <w:spacing w:after="0"/>
              <w:rPr>
                <w:sz w:val="16"/>
                <w:szCs w:val="16"/>
                <w:color w:val="auto"/>
              </w:rPr>
            </w:pPr>
          </w:p>
        </w:tc>
        <w:tc>
          <w:tcPr>
            <w:tcW w:w="480" w:type="dxa"/>
            <w:vAlign w:val="bottom"/>
            <w:shd w:val="clear" w:color="auto" w:fill="EDEDED"/>
          </w:tcPr>
          <w:p>
            <w:pPr>
              <w:spacing w:after="0"/>
              <w:rPr>
                <w:sz w:val="16"/>
                <w:szCs w:val="16"/>
                <w:color w:val="auto"/>
              </w:rPr>
            </w:pPr>
          </w:p>
        </w:tc>
        <w:tc>
          <w:tcPr>
            <w:tcW w:w="740" w:type="dxa"/>
            <w:vAlign w:val="bottom"/>
            <w:shd w:val="clear" w:color="auto" w:fill="EDEDED"/>
          </w:tcPr>
          <w:p>
            <w:pPr>
              <w:spacing w:after="0"/>
              <w:rPr>
                <w:sz w:val="16"/>
                <w:szCs w:val="16"/>
                <w:color w:val="auto"/>
              </w:rPr>
            </w:pPr>
          </w:p>
        </w:tc>
        <w:tc>
          <w:tcPr>
            <w:tcW w:w="460" w:type="dxa"/>
            <w:vAlign w:val="bottom"/>
            <w:shd w:val="clear" w:color="auto" w:fill="EDEDED"/>
          </w:tcPr>
          <w:p>
            <w:pPr>
              <w:spacing w:after="0"/>
              <w:rPr>
                <w:sz w:val="16"/>
                <w:szCs w:val="16"/>
                <w:color w:val="auto"/>
              </w:rPr>
            </w:pPr>
          </w:p>
        </w:tc>
        <w:tc>
          <w:tcPr>
            <w:tcW w:w="50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60" w:type="dxa"/>
            <w:vAlign w:val="bottom"/>
            <w:gridSpan w:val="2"/>
          </w:tcPr>
          <w:p>
            <w:pPr>
              <w:ind w:left="60"/>
              <w:spacing w:after="0"/>
              <w:rPr>
                <w:sz w:val="20"/>
                <w:szCs w:val="20"/>
                <w:color w:val="auto"/>
              </w:rPr>
            </w:pPr>
            <w:r>
              <w:rPr>
                <w:rFonts w:ascii="Arial" w:cs="Arial" w:eastAsia="Arial" w:hAnsi="Arial"/>
                <w:sz w:val="14"/>
                <w:szCs w:val="14"/>
                <w:color w:val="435363"/>
              </w:rPr>
              <w:t>Senior Advisor to The Blackstone Group; Former</w:t>
            </w:r>
          </w:p>
        </w:tc>
        <w:tc>
          <w:tcPr>
            <w:tcW w:w="1120" w:type="dxa"/>
            <w:vAlign w:val="bottom"/>
            <w:vMerge w:val="restart"/>
          </w:tcPr>
          <w:p>
            <w:pPr>
              <w:jc w:val="center"/>
              <w:ind w:right="9"/>
              <w:spacing w:after="0" w:line="141" w:lineRule="exact"/>
              <w:rPr>
                <w:sz w:val="20"/>
                <w:szCs w:val="20"/>
                <w:color w:val="auto"/>
              </w:rPr>
            </w:pPr>
            <w:r>
              <w:rPr>
                <w:rFonts w:ascii="MS PGothic" w:cs="MS PGothic" w:eastAsia="MS PGothic" w:hAnsi="MS PGothic"/>
                <w:sz w:val="14"/>
                <w:szCs w:val="14"/>
                <w:color w:val="435363"/>
                <w:w w:val="85"/>
              </w:rPr>
              <w:t>✓</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40" w:type="dxa"/>
            <w:vAlign w:val="bottom"/>
          </w:tcPr>
          <w:p>
            <w:pPr>
              <w:ind w:left="60"/>
              <w:spacing w:after="0" w:line="159" w:lineRule="exact"/>
              <w:rPr>
                <w:sz w:val="20"/>
                <w:szCs w:val="20"/>
                <w:color w:val="auto"/>
              </w:rPr>
            </w:pPr>
            <w:r>
              <w:rPr>
                <w:rFonts w:ascii="Arial" w:cs="Arial" w:eastAsia="Arial" w:hAnsi="Arial"/>
                <w:sz w:val="14"/>
                <w:szCs w:val="14"/>
                <w:b w:val="1"/>
                <w:bCs w:val="1"/>
                <w:color w:val="435363"/>
              </w:rPr>
              <w:t>Douglas M. Steenland</w:t>
            </w:r>
          </w:p>
        </w:tc>
        <w:tc>
          <w:tcPr>
            <w:tcW w:w="420" w:type="dxa"/>
            <w:vAlign w:val="bottom"/>
          </w:tcPr>
          <w:p>
            <w:pPr>
              <w:jc w:val="center"/>
              <w:spacing w:after="0" w:line="159" w:lineRule="exact"/>
              <w:rPr>
                <w:sz w:val="20"/>
                <w:szCs w:val="20"/>
                <w:color w:val="auto"/>
              </w:rPr>
            </w:pPr>
            <w:r>
              <w:rPr>
                <w:rFonts w:ascii="Arial" w:cs="Arial" w:eastAsia="Arial" w:hAnsi="Arial"/>
                <w:sz w:val="14"/>
                <w:szCs w:val="14"/>
                <w:color w:val="435363"/>
              </w:rPr>
              <w:t>72</w:t>
            </w:r>
          </w:p>
        </w:tc>
        <w:tc>
          <w:tcPr>
            <w:tcW w:w="660" w:type="dxa"/>
            <w:vAlign w:val="bottom"/>
          </w:tcPr>
          <w:p>
            <w:pPr>
              <w:jc w:val="center"/>
              <w:spacing w:after="0" w:line="159" w:lineRule="exact"/>
              <w:rPr>
                <w:sz w:val="20"/>
                <w:szCs w:val="20"/>
                <w:color w:val="auto"/>
              </w:rPr>
            </w:pPr>
            <w:r>
              <w:rPr>
                <w:rFonts w:ascii="Arial" w:cs="Arial" w:eastAsia="Arial" w:hAnsi="Arial"/>
                <w:sz w:val="14"/>
                <w:szCs w:val="14"/>
                <w:color w:val="435363"/>
              </w:rPr>
              <w:t>2020</w:t>
            </w:r>
          </w:p>
        </w:tc>
        <w:tc>
          <w:tcPr>
            <w:tcW w:w="3660" w:type="dxa"/>
            <w:vAlign w:val="bottom"/>
            <w:gridSpan w:val="2"/>
          </w:tcPr>
          <w:p>
            <w:pPr>
              <w:ind w:left="60"/>
              <w:spacing w:after="0" w:line="159" w:lineRule="exact"/>
              <w:rPr>
                <w:sz w:val="20"/>
                <w:szCs w:val="20"/>
                <w:color w:val="auto"/>
              </w:rPr>
            </w:pPr>
            <w:r>
              <w:rPr>
                <w:rFonts w:ascii="Arial" w:cs="Arial" w:eastAsia="Arial" w:hAnsi="Arial"/>
                <w:sz w:val="14"/>
                <w:szCs w:val="14"/>
                <w:color w:val="435363"/>
              </w:rPr>
              <w:t>President and Chief Executive Officer of Northwest</w:t>
            </w:r>
          </w:p>
        </w:tc>
        <w:tc>
          <w:tcPr>
            <w:tcW w:w="112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jc w:val="center"/>
              <w:spacing w:after="0" w:line="159" w:lineRule="exact"/>
              <w:rPr>
                <w:sz w:val="20"/>
                <w:szCs w:val="20"/>
                <w:color w:val="auto"/>
              </w:rPr>
            </w:pPr>
            <w:r>
              <w:rPr>
                <w:rFonts w:ascii="Arial" w:cs="Arial" w:eastAsia="Arial" w:hAnsi="Arial"/>
                <w:sz w:val="14"/>
                <w:szCs w:val="14"/>
                <w:color w:val="435363"/>
              </w:rPr>
              <w:t>M</w:t>
            </w:r>
          </w:p>
        </w:tc>
        <w:tc>
          <w:tcPr>
            <w:tcW w:w="740" w:type="dxa"/>
            <w:vAlign w:val="bottom"/>
          </w:tcPr>
          <w:p>
            <w:pPr>
              <w:spacing w:after="0"/>
              <w:rPr>
                <w:sz w:val="13"/>
                <w:szCs w:val="13"/>
                <w:color w:val="auto"/>
              </w:rPr>
            </w:pPr>
          </w:p>
        </w:tc>
        <w:tc>
          <w:tcPr>
            <w:tcW w:w="460" w:type="dxa"/>
            <w:vAlign w:val="bottom"/>
          </w:tcPr>
          <w:p>
            <w:pPr>
              <w:jc w:val="center"/>
              <w:spacing w:after="0" w:line="159" w:lineRule="exact"/>
              <w:rPr>
                <w:sz w:val="20"/>
                <w:szCs w:val="20"/>
                <w:color w:val="auto"/>
              </w:rPr>
            </w:pPr>
            <w:r>
              <w:rPr>
                <w:rFonts w:ascii="Arial" w:cs="Arial" w:eastAsia="Arial" w:hAnsi="Arial"/>
                <w:sz w:val="14"/>
                <w:szCs w:val="14"/>
                <w:color w:val="435363"/>
                <w:w w:val="98"/>
              </w:rPr>
              <w:t>C</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40" w:type="dxa"/>
            <w:vAlign w:val="bottom"/>
            <w:tcBorders>
              <w:bottom w:val="single" w:sz="8" w:color="435363"/>
            </w:tcBorders>
          </w:tcPr>
          <w:p>
            <w:pPr>
              <w:spacing w:after="0"/>
              <w:rPr>
                <w:sz w:val="16"/>
                <w:szCs w:val="16"/>
                <w:color w:val="auto"/>
              </w:rPr>
            </w:pPr>
          </w:p>
        </w:tc>
        <w:tc>
          <w:tcPr>
            <w:tcW w:w="420" w:type="dxa"/>
            <w:vAlign w:val="bottom"/>
            <w:tcBorders>
              <w:bottom w:val="single" w:sz="8" w:color="435363"/>
            </w:tcBorders>
          </w:tcPr>
          <w:p>
            <w:pPr>
              <w:spacing w:after="0"/>
              <w:rPr>
                <w:sz w:val="16"/>
                <w:szCs w:val="16"/>
                <w:color w:val="auto"/>
              </w:rPr>
            </w:pPr>
          </w:p>
        </w:tc>
        <w:tc>
          <w:tcPr>
            <w:tcW w:w="660" w:type="dxa"/>
            <w:vAlign w:val="bottom"/>
            <w:tcBorders>
              <w:bottom w:val="single" w:sz="8" w:color="435363"/>
            </w:tcBorders>
          </w:tcPr>
          <w:p>
            <w:pPr>
              <w:spacing w:after="0"/>
              <w:rPr>
                <w:sz w:val="16"/>
                <w:szCs w:val="16"/>
                <w:color w:val="auto"/>
              </w:rPr>
            </w:pPr>
          </w:p>
        </w:tc>
        <w:tc>
          <w:tcPr>
            <w:tcW w:w="2120" w:type="dxa"/>
            <w:vAlign w:val="bottom"/>
            <w:tcBorders>
              <w:bottom w:val="single" w:sz="8" w:color="435363"/>
            </w:tcBorders>
          </w:tcPr>
          <w:p>
            <w:pPr>
              <w:ind w:left="60"/>
              <w:spacing w:after="0"/>
              <w:rPr>
                <w:sz w:val="20"/>
                <w:szCs w:val="20"/>
                <w:color w:val="auto"/>
              </w:rPr>
            </w:pPr>
            <w:r>
              <w:rPr>
                <w:rFonts w:ascii="Arial" w:cs="Arial" w:eastAsia="Arial" w:hAnsi="Arial"/>
                <w:sz w:val="14"/>
                <w:szCs w:val="14"/>
                <w:color w:val="435363"/>
              </w:rPr>
              <w:t>Airlines Corporation</w:t>
            </w:r>
          </w:p>
        </w:tc>
        <w:tc>
          <w:tcPr>
            <w:tcW w:w="1540" w:type="dxa"/>
            <w:vAlign w:val="bottom"/>
            <w:tcBorders>
              <w:bottom w:val="single" w:sz="8" w:color="435363"/>
            </w:tcBorders>
          </w:tcPr>
          <w:p>
            <w:pPr>
              <w:spacing w:after="0"/>
              <w:rPr>
                <w:sz w:val="16"/>
                <w:szCs w:val="16"/>
                <w:color w:val="auto"/>
              </w:rPr>
            </w:pPr>
          </w:p>
        </w:tc>
        <w:tc>
          <w:tcPr>
            <w:tcW w:w="1120" w:type="dxa"/>
            <w:vAlign w:val="bottom"/>
            <w:tcBorders>
              <w:bottom w:val="single" w:sz="8" w:color="435363"/>
            </w:tcBorders>
          </w:tcPr>
          <w:p>
            <w:pPr>
              <w:spacing w:after="0"/>
              <w:rPr>
                <w:sz w:val="16"/>
                <w:szCs w:val="16"/>
                <w:color w:val="auto"/>
              </w:rPr>
            </w:pPr>
          </w:p>
        </w:tc>
        <w:tc>
          <w:tcPr>
            <w:tcW w:w="520" w:type="dxa"/>
            <w:vAlign w:val="bottom"/>
            <w:tcBorders>
              <w:bottom w:val="single" w:sz="8" w:color="435363"/>
            </w:tcBorders>
          </w:tcPr>
          <w:p>
            <w:pPr>
              <w:spacing w:after="0"/>
              <w:rPr>
                <w:sz w:val="16"/>
                <w:szCs w:val="16"/>
                <w:color w:val="auto"/>
              </w:rPr>
            </w:pPr>
          </w:p>
        </w:tc>
        <w:tc>
          <w:tcPr>
            <w:tcW w:w="480" w:type="dxa"/>
            <w:vAlign w:val="bottom"/>
            <w:tcBorders>
              <w:bottom w:val="single" w:sz="8" w:color="435363"/>
            </w:tcBorders>
          </w:tcPr>
          <w:p>
            <w:pPr>
              <w:spacing w:after="0"/>
              <w:rPr>
                <w:sz w:val="16"/>
                <w:szCs w:val="16"/>
                <w:color w:val="auto"/>
              </w:rPr>
            </w:pPr>
          </w:p>
        </w:tc>
        <w:tc>
          <w:tcPr>
            <w:tcW w:w="740" w:type="dxa"/>
            <w:vAlign w:val="bottom"/>
            <w:tcBorders>
              <w:bottom w:val="single" w:sz="8" w:color="435363"/>
            </w:tcBorders>
          </w:tcPr>
          <w:p>
            <w:pPr>
              <w:spacing w:after="0"/>
              <w:rPr>
                <w:sz w:val="16"/>
                <w:szCs w:val="16"/>
                <w:color w:val="auto"/>
              </w:rPr>
            </w:pPr>
          </w:p>
        </w:tc>
        <w:tc>
          <w:tcPr>
            <w:tcW w:w="460" w:type="dxa"/>
            <w:vAlign w:val="bottom"/>
            <w:tcBorders>
              <w:bottom w:val="single" w:sz="8" w:color="435363"/>
            </w:tcBorders>
          </w:tcPr>
          <w:p>
            <w:pPr>
              <w:spacing w:after="0"/>
              <w:rPr>
                <w:sz w:val="16"/>
                <w:szCs w:val="16"/>
                <w:color w:val="auto"/>
              </w:rPr>
            </w:pPr>
          </w:p>
        </w:tc>
        <w:tc>
          <w:tcPr>
            <w:tcW w:w="500" w:type="dxa"/>
            <w:vAlign w:val="bottom"/>
            <w:tcBorders>
              <w:bottom w:val="single" w:sz="8" w:color="435363"/>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260" w:type="dxa"/>
            <w:vAlign w:val="bottom"/>
            <w:gridSpan w:val="2"/>
          </w:tcPr>
          <w:p>
            <w:pPr>
              <w:spacing w:after="0"/>
              <w:rPr>
                <w:sz w:val="20"/>
                <w:szCs w:val="20"/>
                <w:color w:val="auto"/>
              </w:rPr>
            </w:pPr>
            <w:r>
              <w:rPr>
                <w:rFonts w:ascii="Arial" w:cs="Arial" w:eastAsia="Arial" w:hAnsi="Arial"/>
                <w:sz w:val="12"/>
                <w:szCs w:val="12"/>
                <w:color w:val="435363"/>
              </w:rPr>
              <w:t>AC = Audit Committee</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540" w:type="dxa"/>
            <w:vAlign w:val="bottom"/>
          </w:tcPr>
          <w:p>
            <w:pPr>
              <w:ind w:left="60"/>
              <w:spacing w:after="0"/>
              <w:rPr>
                <w:sz w:val="20"/>
                <w:szCs w:val="20"/>
                <w:color w:val="auto"/>
              </w:rPr>
            </w:pPr>
            <w:r>
              <w:rPr>
                <w:rFonts w:ascii="Arial" w:cs="Arial" w:eastAsia="Arial" w:hAnsi="Arial"/>
                <w:sz w:val="12"/>
                <w:szCs w:val="12"/>
                <w:color w:val="435363"/>
              </w:rPr>
              <w:t>FC = Finance Committee</w:t>
            </w:r>
          </w:p>
        </w:tc>
        <w:tc>
          <w:tcPr>
            <w:tcW w:w="1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260" w:type="dxa"/>
            <w:vAlign w:val="bottom"/>
            <w:gridSpan w:val="2"/>
          </w:tcPr>
          <w:p>
            <w:pPr>
              <w:spacing w:after="0"/>
              <w:rPr>
                <w:sz w:val="20"/>
                <w:szCs w:val="20"/>
                <w:color w:val="auto"/>
              </w:rPr>
            </w:pPr>
            <w:r>
              <w:rPr>
                <w:rFonts w:ascii="Arial" w:cs="Arial" w:eastAsia="Arial" w:hAnsi="Arial"/>
                <w:sz w:val="12"/>
                <w:szCs w:val="12"/>
                <w:color w:val="435363"/>
              </w:rPr>
              <w:t>CC = Compensation Committee</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40" w:type="dxa"/>
            <w:vAlign w:val="bottom"/>
          </w:tcPr>
          <w:p>
            <w:pPr>
              <w:ind w:left="60"/>
              <w:spacing w:after="0"/>
              <w:rPr>
                <w:sz w:val="20"/>
                <w:szCs w:val="20"/>
                <w:color w:val="auto"/>
              </w:rPr>
            </w:pPr>
            <w:r>
              <w:rPr>
                <w:rFonts w:ascii="Arial" w:cs="Arial" w:eastAsia="Arial" w:hAnsi="Arial"/>
                <w:sz w:val="12"/>
                <w:szCs w:val="12"/>
                <w:color w:val="435363"/>
              </w:rPr>
              <w:t>M = Member</w:t>
            </w: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60" w:type="dxa"/>
            <w:vAlign w:val="bottom"/>
            <w:gridSpan w:val="5"/>
          </w:tcPr>
          <w:p>
            <w:pPr>
              <w:spacing w:after="0"/>
              <w:rPr>
                <w:sz w:val="20"/>
                <w:szCs w:val="20"/>
                <w:color w:val="auto"/>
              </w:rPr>
            </w:pPr>
            <w:r>
              <w:rPr>
                <w:rFonts w:ascii="Arial" w:cs="Arial" w:eastAsia="Arial" w:hAnsi="Arial"/>
                <w:sz w:val="12"/>
                <w:szCs w:val="12"/>
                <w:color w:val="435363"/>
              </w:rPr>
              <w:t>CGPRC = Corporate Governance and Public Responsibility Committee</w:t>
            </w:r>
          </w:p>
        </w:tc>
        <w:tc>
          <w:tcPr>
            <w:tcW w:w="1540" w:type="dxa"/>
            <w:vAlign w:val="bottom"/>
          </w:tcPr>
          <w:p>
            <w:pPr>
              <w:ind w:left="60"/>
              <w:spacing w:after="0"/>
              <w:rPr>
                <w:sz w:val="20"/>
                <w:szCs w:val="20"/>
                <w:color w:val="auto"/>
              </w:rPr>
            </w:pPr>
            <w:r>
              <w:rPr>
                <w:rFonts w:ascii="Arial" w:cs="Arial" w:eastAsia="Arial" w:hAnsi="Arial"/>
                <w:sz w:val="12"/>
                <w:szCs w:val="12"/>
                <w:color w:val="435363"/>
              </w:rPr>
              <w:t>C = Committee Chair</w:t>
            </w: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60" w:type="dxa"/>
            <w:vAlign w:val="bottom"/>
            <w:gridSpan w:val="2"/>
          </w:tcPr>
          <w:p>
            <w:pPr>
              <w:spacing w:after="0"/>
              <w:rPr>
                <w:sz w:val="20"/>
                <w:szCs w:val="20"/>
                <w:color w:val="auto"/>
              </w:rPr>
            </w:pPr>
            <w:r>
              <w:rPr>
                <w:rFonts w:ascii="Arial" w:cs="Arial" w:eastAsia="Arial" w:hAnsi="Arial"/>
                <w:sz w:val="12"/>
                <w:szCs w:val="12"/>
                <w:color w:val="435363"/>
              </w:rPr>
              <w:t>SC = Safety Committee</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335915</wp:posOffset>
            </wp:positionV>
            <wp:extent cx="4471035" cy="672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71035" cy="67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20" w:right="440"/>
        <w:spacing w:after="0" w:line="285" w:lineRule="auto"/>
        <w:rPr>
          <w:sz w:val="20"/>
          <w:szCs w:val="20"/>
          <w:color w:val="auto"/>
        </w:rPr>
      </w:pPr>
      <w:r>
        <w:rPr>
          <w:rFonts w:ascii="Arial" w:cs="Arial" w:eastAsia="Arial" w:hAnsi="Arial"/>
          <w:sz w:val="16"/>
          <w:szCs w:val="16"/>
          <w:b w:val="1"/>
          <w:bCs w:val="1"/>
          <w:color w:val="3575B3"/>
        </w:rPr>
        <w:t>The Board unanimously recommends that the stockholders vote “FOR” each of the nominees shown in the chart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403860</wp:posOffset>
            </wp:positionV>
            <wp:extent cx="5177155" cy="168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iv</w:t>
      </w:r>
    </w:p>
    <w:p>
      <w:pPr>
        <w:spacing w:after="0" w:line="3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Ratification of Appointment of KPMG LLP (Proposal 2)</w:t>
      </w:r>
    </w:p>
    <w:p>
      <w:pPr>
        <w:spacing w:after="0" w:line="90" w:lineRule="exact"/>
        <w:rPr>
          <w:sz w:val="20"/>
          <w:szCs w:val="20"/>
          <w:color w:val="auto"/>
        </w:rPr>
      </w:pPr>
    </w:p>
    <w:p>
      <w:pPr>
        <w:ind w:left="220" w:right="120"/>
        <w:spacing w:after="0" w:line="250" w:lineRule="auto"/>
        <w:rPr>
          <w:sz w:val="20"/>
          <w:szCs w:val="20"/>
          <w:color w:val="auto"/>
        </w:rPr>
      </w:pPr>
      <w:r>
        <w:rPr>
          <w:rFonts w:ascii="Arial" w:cs="Arial" w:eastAsia="Arial" w:hAnsi="Arial"/>
          <w:sz w:val="16"/>
          <w:szCs w:val="16"/>
          <w:color w:val="435363"/>
        </w:rPr>
        <w:t>The Board has directed that KPMG’s appointment for the fiscal year ending December 31, 2024 be submitted to our stockholders for ratification at the Annual Meeting. KPMG is well qualified to act as our independent registered public accounting firm and has a deep understanding of our operations and accounting practices. The Audit Committee considered the qualifications, performance, and independence of KPMG, the quality of its discussions with KPMG, and the fees charged by KPMG for the level and quality of services provided during 2023, and determined that the reappointment of KPMG is in the best interest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299720</wp:posOffset>
            </wp:positionV>
            <wp:extent cx="4471035" cy="672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71035" cy="67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320" w:right="300"/>
        <w:spacing w:after="0" w:line="285" w:lineRule="auto"/>
        <w:rPr>
          <w:sz w:val="20"/>
          <w:szCs w:val="20"/>
          <w:color w:val="auto"/>
        </w:rPr>
      </w:pPr>
      <w:r>
        <w:rPr>
          <w:rFonts w:ascii="Arial" w:cs="Arial" w:eastAsia="Arial" w:hAnsi="Arial"/>
          <w:sz w:val="16"/>
          <w:szCs w:val="16"/>
          <w:b w:val="1"/>
          <w:bCs w:val="1"/>
          <w:color w:val="3575B3"/>
        </w:rPr>
        <w:t>The Board unanimously recommends that the stockholders vote “FOR” the proposal to ratify the appointment of KPMG.</w:t>
      </w: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Approval of Executive Compensation (Proposal 3)</w:t>
      </w:r>
    </w:p>
    <w:p>
      <w:pPr>
        <w:spacing w:after="0" w:line="77" w:lineRule="exact"/>
        <w:rPr>
          <w:sz w:val="20"/>
          <w:szCs w:val="20"/>
          <w:color w:val="auto"/>
        </w:rPr>
      </w:pPr>
    </w:p>
    <w:p>
      <w:pPr>
        <w:ind w:left="220" w:right="60"/>
        <w:spacing w:after="0" w:line="245" w:lineRule="auto"/>
        <w:rPr>
          <w:sz w:val="20"/>
          <w:szCs w:val="20"/>
          <w:color w:val="auto"/>
        </w:rPr>
      </w:pPr>
      <w:r>
        <w:rPr>
          <w:rFonts w:ascii="Arial" w:cs="Arial" w:eastAsia="Arial" w:hAnsi="Arial"/>
          <w:sz w:val="16"/>
          <w:szCs w:val="16"/>
          <w:color w:val="435363"/>
        </w:rPr>
        <w:t>Our executive compensation program is heavily performance-based and directly linked with our established goals of delivering record operational results, continuing to close our margin gap with our largest competitors, and reducing total debt by $15 billion by the end of 2025. Our 2023 long-term incentive program (“LTIP”) incorporated both performance- and time-vesting components, with half of the target value consisting of the performance-vesting component. The performance-vesting component is tied to attainment of total debt reduction (50% weighting) and relative pre-tax income margin improvement versus our industry peers (50% weighting). The performance-vesting component of the 2023 LTIP will be earned, if at all, following the completion of a three-year performance period. The 2023 performance-based short-term incentive program (“STIP”) was designed to align management with our goals to run a reliable operation and to return to profitability as we emerged from the COVID-19 pandemic while building on our momentum on diversity, equity and inclusion. As more fully described under the “Compensation Discussion and Analysis” section, in making 2023 compensation decisions, the Compensation Committee continued to consider concerns related to the need to retain and create appropriate incentives for our management team against the backdrop of significant reductions in compensation during the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110490</wp:posOffset>
            </wp:positionV>
            <wp:extent cx="5177155" cy="168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v</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We are committed to effective compensation governance, as demonstrated by the following compensation policies and practices:</w:t>
      </w:r>
    </w:p>
    <w:p>
      <w:pPr>
        <w:spacing w:after="0" w:line="240" w:lineRule="exact"/>
        <w:rPr>
          <w:sz w:val="20"/>
          <w:szCs w:val="20"/>
          <w:color w:val="auto"/>
        </w:rPr>
      </w:pPr>
    </w:p>
    <w:tbl>
      <w:tblPr>
        <w:tblLayout w:type="fixed"/>
        <w:tblInd w:w="240" w:type="dxa"/>
        <w:tblCellMar>
          <w:top w:w="0" w:type="dxa"/>
          <w:left w:w="0" w:type="dxa"/>
          <w:bottom w:w="0" w:type="dxa"/>
          <w:right w:w="0" w:type="dxa"/>
        </w:tblCellMar>
      </w:tblPr>
      <w:tr>
        <w:trPr>
          <w:trHeight w:val="226"/>
        </w:trPr>
        <w:tc>
          <w:tcPr>
            <w:tcW w:w="5140" w:type="dxa"/>
            <w:vAlign w:val="bottom"/>
            <w:tcBorders>
              <w:bottom w:val="single" w:sz="8" w:color="BF0000"/>
            </w:tcBorders>
          </w:tcPr>
          <w:p>
            <w:pPr>
              <w:ind w:left="2060"/>
              <w:spacing w:after="0"/>
              <w:rPr>
                <w:sz w:val="20"/>
                <w:szCs w:val="20"/>
                <w:color w:val="auto"/>
              </w:rPr>
            </w:pPr>
            <w:r>
              <w:rPr>
                <w:rFonts w:ascii="Arial" w:cs="Arial" w:eastAsia="Arial" w:hAnsi="Arial"/>
                <w:sz w:val="16"/>
                <w:szCs w:val="16"/>
                <w:b w:val="1"/>
                <w:bCs w:val="1"/>
                <w:color w:val="435363"/>
              </w:rPr>
              <w:t>What We Do</w:t>
            </w:r>
          </w:p>
        </w:tc>
        <w:tc>
          <w:tcPr>
            <w:tcW w:w="260" w:type="dxa"/>
            <w:vAlign w:val="bottom"/>
            <w:tcBorders>
              <w:bottom w:val="single" w:sz="8" w:color="BF0000"/>
            </w:tcBorders>
          </w:tcPr>
          <w:p>
            <w:pPr>
              <w:ind w:left="80"/>
              <w:spacing w:after="0"/>
              <w:rPr>
                <w:sz w:val="20"/>
                <w:szCs w:val="20"/>
                <w:color w:val="auto"/>
              </w:rPr>
            </w:pPr>
            <w:r>
              <w:rPr>
                <w:rFonts w:ascii="Arial" w:cs="Arial" w:eastAsia="Arial" w:hAnsi="Arial"/>
                <w:sz w:val="16"/>
                <w:szCs w:val="16"/>
                <w:b w:val="1"/>
                <w:bCs w:val="1"/>
                <w:color w:val="435363"/>
                <w:w w:val="99"/>
              </w:rPr>
              <w:t> </w:t>
            </w:r>
          </w:p>
        </w:tc>
        <w:tc>
          <w:tcPr>
            <w:tcW w:w="300" w:type="dxa"/>
            <w:vAlign w:val="bottom"/>
            <w:tcBorders>
              <w:bottom w:val="single" w:sz="8" w:color="BF0000"/>
            </w:tcBorders>
          </w:tcPr>
          <w:p>
            <w:pPr>
              <w:ind w:left="120"/>
              <w:spacing w:after="0"/>
              <w:rPr>
                <w:sz w:val="20"/>
                <w:szCs w:val="20"/>
                <w:color w:val="auto"/>
              </w:rPr>
            </w:pPr>
            <w:r>
              <w:rPr>
                <w:rFonts w:ascii="Arial" w:cs="Arial" w:eastAsia="Arial" w:hAnsi="Arial"/>
                <w:sz w:val="16"/>
                <w:szCs w:val="16"/>
                <w:b w:val="1"/>
                <w:bCs w:val="1"/>
                <w:color w:val="435363"/>
                <w:w w:val="99"/>
              </w:rPr>
              <w:t> </w:t>
            </w:r>
          </w:p>
        </w:tc>
        <w:tc>
          <w:tcPr>
            <w:tcW w:w="5100" w:type="dxa"/>
            <w:vAlign w:val="bottom"/>
            <w:tcBorders>
              <w:bottom w:val="single" w:sz="8" w:color="BF0000"/>
            </w:tcBorders>
          </w:tcPr>
          <w:p>
            <w:pPr>
              <w:ind w:left="1820"/>
              <w:spacing w:after="0"/>
              <w:rPr>
                <w:sz w:val="20"/>
                <w:szCs w:val="20"/>
                <w:color w:val="auto"/>
              </w:rPr>
            </w:pPr>
            <w:r>
              <w:rPr>
                <w:rFonts w:ascii="Arial" w:cs="Arial" w:eastAsia="Arial" w:hAnsi="Arial"/>
                <w:sz w:val="16"/>
                <w:szCs w:val="16"/>
                <w:b w:val="1"/>
                <w:bCs w:val="1"/>
                <w:color w:val="435363"/>
              </w:rPr>
              <w:t>What We Do NOT Do</w:t>
            </w:r>
          </w:p>
        </w:tc>
      </w:tr>
      <w:tr>
        <w:trPr>
          <w:trHeight w:val="244"/>
        </w:trPr>
        <w:tc>
          <w:tcPr>
            <w:tcW w:w="5140" w:type="dxa"/>
            <w:vAlign w:val="bottom"/>
            <w:shd w:val="clear" w:color="auto" w:fill="EDEDED"/>
          </w:tcPr>
          <w:p>
            <w:pPr>
              <w:ind w:left="100"/>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b w:val="1"/>
                <w:bCs w:val="1"/>
                <w:color w:val="435363"/>
              </w:rPr>
              <w:t xml:space="preserve">    91% of CEO’s Annual Target Compensation is At-Risk and</w:t>
            </w:r>
          </w:p>
        </w:tc>
        <w:tc>
          <w:tcPr>
            <w:tcW w:w="260" w:type="dxa"/>
            <w:vAlign w:val="bottom"/>
            <w:shd w:val="clear" w:color="auto" w:fill="EDEDED"/>
          </w:tcPr>
          <w:p>
            <w:pPr>
              <w:spacing w:after="0"/>
              <w:rPr>
                <w:sz w:val="21"/>
                <w:szCs w:val="21"/>
                <w:color w:val="auto"/>
              </w:rPr>
            </w:pPr>
          </w:p>
        </w:tc>
        <w:tc>
          <w:tcPr>
            <w:tcW w:w="300" w:type="dxa"/>
            <w:vAlign w:val="bottom"/>
            <w:shd w:val="clear" w:color="auto" w:fill="EDEDED"/>
          </w:tcPr>
          <w:p>
            <w:pPr>
              <w:spacing w:after="0"/>
              <w:rPr>
                <w:sz w:val="21"/>
                <w:szCs w:val="21"/>
                <w:color w:val="auto"/>
              </w:rPr>
            </w:pPr>
          </w:p>
        </w:tc>
        <w:tc>
          <w:tcPr>
            <w:tcW w:w="5100" w:type="dxa"/>
            <w:vAlign w:val="bottom"/>
            <w:shd w:val="clear" w:color="auto" w:fill="EDEDED"/>
          </w:tcPr>
          <w:p>
            <w:pPr>
              <w:ind w:left="120"/>
              <w:spacing w:after="0" w:line="184" w:lineRule="exact"/>
              <w:rPr>
                <w:sz w:val="20"/>
                <w:szCs w:val="20"/>
                <w:color w:val="auto"/>
              </w:rPr>
            </w:pPr>
            <w:r>
              <w:rPr>
                <w:rFonts w:ascii="MS PGothic" w:cs="MS PGothic" w:eastAsia="MS PGothic" w:hAnsi="MS PGothic"/>
                <w:sz w:val="16"/>
                <w:szCs w:val="16"/>
                <w:color w:val="BF0000"/>
              </w:rPr>
              <w:t>✖</w:t>
            </w:r>
            <w:r>
              <w:rPr>
                <w:rFonts w:ascii="Arial" w:cs="Arial" w:eastAsia="Arial" w:hAnsi="Arial"/>
                <w:sz w:val="16"/>
                <w:szCs w:val="16"/>
                <w:b w:val="1"/>
                <w:bCs w:val="1"/>
                <w:color w:val="435363"/>
              </w:rPr>
              <w:t xml:space="preserve">    No Guaranteed Bonuses</w:t>
            </w:r>
            <w:r>
              <w:rPr>
                <w:rFonts w:ascii="Arial" w:cs="Arial" w:eastAsia="Arial" w:hAnsi="Arial"/>
                <w:sz w:val="16"/>
                <w:szCs w:val="16"/>
                <w:color w:val="435363"/>
              </w:rPr>
              <w:t>. Our executive officers’ bonuses are</w:t>
            </w:r>
          </w:p>
        </w:tc>
      </w:tr>
      <w:tr>
        <w:trPr>
          <w:trHeight w:val="189"/>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b w:val="1"/>
                <w:bCs w:val="1"/>
                <w:color w:val="435363"/>
              </w:rPr>
              <w:t xml:space="preserve">74% is in the form of Long-term Equity Incentives </w:t>
            </w:r>
            <w:r>
              <w:rPr>
                <w:rFonts w:ascii="Arial" w:cs="Arial" w:eastAsia="Arial" w:hAnsi="Arial"/>
                <w:sz w:val="16"/>
                <w:szCs w:val="16"/>
                <w:color w:val="435363"/>
              </w:rPr>
              <w:t>that foster</w:t>
            </w:r>
          </w:p>
        </w:tc>
        <w:tc>
          <w:tcPr>
            <w:tcW w:w="26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5100" w:type="dxa"/>
            <w:vAlign w:val="bottom"/>
            <w:shd w:val="clear" w:color="auto" w:fill="EDEDED"/>
          </w:tcPr>
          <w:p>
            <w:pPr>
              <w:ind w:left="440"/>
              <w:spacing w:after="0"/>
              <w:rPr>
                <w:sz w:val="20"/>
                <w:szCs w:val="20"/>
                <w:color w:val="auto"/>
              </w:rPr>
            </w:pPr>
            <w:r>
              <w:rPr>
                <w:rFonts w:ascii="Arial" w:cs="Arial" w:eastAsia="Arial" w:hAnsi="Arial"/>
                <w:sz w:val="16"/>
                <w:szCs w:val="16"/>
                <w:color w:val="435363"/>
              </w:rPr>
              <w:t>100% performance-based.</w:t>
            </w:r>
          </w:p>
        </w:tc>
      </w:tr>
      <w:tr>
        <w:trPr>
          <w:trHeight w:val="199"/>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color w:val="435363"/>
              </w:rPr>
              <w:t>alignment with stockholders.</w:t>
            </w:r>
          </w:p>
        </w:tc>
        <w:tc>
          <w:tcPr>
            <w:tcW w:w="260" w:type="dxa"/>
            <w:vAlign w:val="bottom"/>
            <w:shd w:val="clear" w:color="auto" w:fill="EDEDED"/>
          </w:tcPr>
          <w:p>
            <w:pPr>
              <w:spacing w:after="0"/>
              <w:rPr>
                <w:sz w:val="17"/>
                <w:szCs w:val="17"/>
                <w:color w:val="auto"/>
              </w:rPr>
            </w:pPr>
          </w:p>
        </w:tc>
        <w:tc>
          <w:tcPr>
            <w:tcW w:w="300" w:type="dxa"/>
            <w:vAlign w:val="bottom"/>
            <w:shd w:val="clear" w:color="auto" w:fill="EDEDED"/>
          </w:tcPr>
          <w:p>
            <w:pPr>
              <w:spacing w:after="0"/>
              <w:rPr>
                <w:sz w:val="17"/>
                <w:szCs w:val="17"/>
                <w:color w:val="auto"/>
              </w:rPr>
            </w:pPr>
          </w:p>
        </w:tc>
        <w:tc>
          <w:tcPr>
            <w:tcW w:w="5100" w:type="dxa"/>
            <w:vAlign w:val="bottom"/>
            <w:shd w:val="clear" w:color="auto" w:fill="EDEDED"/>
          </w:tcPr>
          <w:p>
            <w:pPr>
              <w:ind w:left="120"/>
              <w:spacing w:after="0" w:line="184" w:lineRule="exact"/>
              <w:rPr>
                <w:sz w:val="20"/>
                <w:szCs w:val="20"/>
                <w:color w:val="auto"/>
              </w:rPr>
            </w:pPr>
            <w:r>
              <w:rPr>
                <w:rFonts w:ascii="MS PGothic" w:cs="MS PGothic" w:eastAsia="MS PGothic" w:hAnsi="MS PGothic"/>
                <w:sz w:val="16"/>
                <w:szCs w:val="16"/>
                <w:color w:val="BF0000"/>
              </w:rPr>
              <w:t>✖</w:t>
            </w:r>
            <w:r>
              <w:rPr>
                <w:rFonts w:ascii="Arial" w:cs="Arial" w:eastAsia="Arial" w:hAnsi="Arial"/>
                <w:sz w:val="16"/>
                <w:szCs w:val="16"/>
                <w:b w:val="1"/>
                <w:bCs w:val="1"/>
                <w:color w:val="435363"/>
              </w:rPr>
              <w:t xml:space="preserve">    No Active Executive Retirement Plans</w:t>
            </w:r>
            <w:r>
              <w:rPr>
                <w:rFonts w:ascii="Arial" w:cs="Arial" w:eastAsia="Arial" w:hAnsi="Arial"/>
                <w:sz w:val="16"/>
                <w:szCs w:val="16"/>
                <w:color w:val="435363"/>
              </w:rPr>
              <w:t>. We do not maintain</w:t>
            </w:r>
          </w:p>
        </w:tc>
      </w:tr>
      <w:tr>
        <w:trPr>
          <w:trHeight w:val="225"/>
        </w:trPr>
        <w:tc>
          <w:tcPr>
            <w:tcW w:w="5140" w:type="dxa"/>
            <w:vAlign w:val="bottom"/>
            <w:shd w:val="clear" w:color="auto" w:fill="EDEDED"/>
          </w:tcPr>
          <w:p>
            <w:pPr>
              <w:ind w:left="100"/>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color w:val="435363"/>
              </w:rPr>
              <w:t xml:space="preserve">    </w:t>
            </w:r>
            <w:r>
              <w:rPr>
                <w:rFonts w:ascii="Arial" w:cs="Arial" w:eastAsia="Arial" w:hAnsi="Arial"/>
                <w:sz w:val="16"/>
                <w:szCs w:val="16"/>
                <w:b w:val="1"/>
                <w:bCs w:val="1"/>
                <w:color w:val="435363"/>
              </w:rPr>
              <w:t>Link Pay to Performance</w:t>
            </w:r>
            <w:r>
              <w:rPr>
                <w:rFonts w:ascii="Arial" w:cs="Arial" w:eastAsia="Arial" w:hAnsi="Arial"/>
                <w:sz w:val="16"/>
                <w:szCs w:val="16"/>
                <w:color w:val="435363"/>
              </w:rPr>
              <w:t xml:space="preserve"> with performance goals tied to</w:t>
            </w:r>
          </w:p>
        </w:tc>
        <w:tc>
          <w:tcPr>
            <w:tcW w:w="260" w:type="dxa"/>
            <w:vAlign w:val="bottom"/>
            <w:shd w:val="clear" w:color="auto" w:fill="EDEDED"/>
          </w:tcPr>
          <w:p>
            <w:pPr>
              <w:spacing w:after="0"/>
              <w:rPr>
                <w:sz w:val="19"/>
                <w:szCs w:val="19"/>
                <w:color w:val="auto"/>
              </w:rPr>
            </w:pPr>
          </w:p>
        </w:tc>
        <w:tc>
          <w:tcPr>
            <w:tcW w:w="300" w:type="dxa"/>
            <w:vAlign w:val="bottom"/>
            <w:shd w:val="clear" w:color="auto" w:fill="EDEDED"/>
          </w:tcPr>
          <w:p>
            <w:pPr>
              <w:spacing w:after="0"/>
              <w:rPr>
                <w:sz w:val="19"/>
                <w:szCs w:val="19"/>
                <w:color w:val="auto"/>
              </w:rPr>
            </w:pPr>
          </w:p>
        </w:tc>
        <w:tc>
          <w:tcPr>
            <w:tcW w:w="5100" w:type="dxa"/>
            <w:vAlign w:val="bottom"/>
            <w:shd w:val="clear" w:color="auto" w:fill="EDEDED"/>
          </w:tcPr>
          <w:p>
            <w:pPr>
              <w:ind w:left="440"/>
              <w:spacing w:after="0"/>
              <w:rPr>
                <w:sz w:val="20"/>
                <w:szCs w:val="20"/>
                <w:color w:val="auto"/>
              </w:rPr>
            </w:pPr>
            <w:r>
              <w:rPr>
                <w:rFonts w:ascii="Arial" w:cs="Arial" w:eastAsia="Arial" w:hAnsi="Arial"/>
                <w:sz w:val="16"/>
                <w:szCs w:val="16"/>
                <w:color w:val="435363"/>
              </w:rPr>
              <w:t>any active executive-only or supplemental retirement plans.</w:t>
            </w:r>
          </w:p>
        </w:tc>
      </w:tr>
      <w:tr>
        <w:trPr>
          <w:trHeight w:val="195"/>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color w:val="435363"/>
              </w:rPr>
              <w:t>improving the reliability, profitability and accountability of our</w:t>
            </w:r>
          </w:p>
        </w:tc>
        <w:tc>
          <w:tcPr>
            <w:tcW w:w="26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5100" w:type="dxa"/>
            <w:vAlign w:val="bottom"/>
            <w:shd w:val="clear" w:color="auto" w:fill="EDEDED"/>
          </w:tcPr>
          <w:p>
            <w:pPr>
              <w:ind w:left="120"/>
              <w:spacing w:after="0" w:line="184" w:lineRule="exact"/>
              <w:rPr>
                <w:sz w:val="20"/>
                <w:szCs w:val="20"/>
                <w:color w:val="auto"/>
              </w:rPr>
            </w:pPr>
            <w:r>
              <w:rPr>
                <w:rFonts w:ascii="MS PGothic" w:cs="MS PGothic" w:eastAsia="MS PGothic" w:hAnsi="MS PGothic"/>
                <w:sz w:val="16"/>
                <w:szCs w:val="16"/>
                <w:color w:val="BF0000"/>
              </w:rPr>
              <w:t>✖</w:t>
            </w:r>
            <w:r>
              <w:rPr>
                <w:rFonts w:ascii="Arial" w:cs="Arial" w:eastAsia="Arial" w:hAnsi="Arial"/>
                <w:sz w:val="16"/>
                <w:szCs w:val="16"/>
                <w:color w:val="435363"/>
              </w:rPr>
              <w:t xml:space="preserve">    </w:t>
            </w:r>
            <w:r>
              <w:rPr>
                <w:rFonts w:ascii="Arial" w:cs="Arial" w:eastAsia="Arial" w:hAnsi="Arial"/>
                <w:sz w:val="16"/>
                <w:szCs w:val="16"/>
                <w:b w:val="1"/>
                <w:bCs w:val="1"/>
                <w:color w:val="435363"/>
              </w:rPr>
              <w:t>No Hedging or Pledging of our Stock.</w:t>
            </w:r>
            <w:r>
              <w:rPr>
                <w:rFonts w:ascii="Arial" w:cs="Arial" w:eastAsia="Arial" w:hAnsi="Arial"/>
                <w:sz w:val="16"/>
                <w:szCs w:val="16"/>
                <w:color w:val="435363"/>
              </w:rPr>
              <w:t xml:space="preserve"> We prohibit our</w:t>
            </w:r>
          </w:p>
        </w:tc>
      </w:tr>
      <w:tr>
        <w:trPr>
          <w:trHeight w:val="199"/>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color w:val="435363"/>
              </w:rPr>
              <w:t>operations to create long-term stockholder value.</w:t>
            </w:r>
          </w:p>
        </w:tc>
        <w:tc>
          <w:tcPr>
            <w:tcW w:w="260" w:type="dxa"/>
            <w:vAlign w:val="bottom"/>
            <w:shd w:val="clear" w:color="auto" w:fill="EDEDED"/>
          </w:tcPr>
          <w:p>
            <w:pPr>
              <w:spacing w:after="0"/>
              <w:rPr>
                <w:sz w:val="17"/>
                <w:szCs w:val="17"/>
                <w:color w:val="auto"/>
              </w:rPr>
            </w:pPr>
          </w:p>
        </w:tc>
        <w:tc>
          <w:tcPr>
            <w:tcW w:w="300" w:type="dxa"/>
            <w:vAlign w:val="bottom"/>
            <w:shd w:val="clear" w:color="auto" w:fill="EDEDED"/>
          </w:tcPr>
          <w:p>
            <w:pPr>
              <w:spacing w:after="0"/>
              <w:rPr>
                <w:sz w:val="17"/>
                <w:szCs w:val="17"/>
                <w:color w:val="auto"/>
              </w:rPr>
            </w:pPr>
          </w:p>
        </w:tc>
        <w:tc>
          <w:tcPr>
            <w:tcW w:w="5100" w:type="dxa"/>
            <w:vAlign w:val="bottom"/>
            <w:shd w:val="clear" w:color="auto" w:fill="EDEDED"/>
          </w:tcPr>
          <w:p>
            <w:pPr>
              <w:ind w:left="440"/>
              <w:spacing w:after="0"/>
              <w:rPr>
                <w:sz w:val="20"/>
                <w:szCs w:val="20"/>
                <w:color w:val="auto"/>
              </w:rPr>
            </w:pPr>
            <w:r>
              <w:rPr>
                <w:rFonts w:ascii="Arial" w:cs="Arial" w:eastAsia="Arial" w:hAnsi="Arial"/>
                <w:sz w:val="16"/>
                <w:szCs w:val="16"/>
                <w:color w:val="435363"/>
              </w:rPr>
              <w:t>executive officers from engaging in hedging transactions or using</w:t>
            </w:r>
          </w:p>
        </w:tc>
      </w:tr>
      <w:tr>
        <w:trPr>
          <w:trHeight w:val="215"/>
        </w:trPr>
        <w:tc>
          <w:tcPr>
            <w:tcW w:w="5140" w:type="dxa"/>
            <w:vAlign w:val="bottom"/>
            <w:shd w:val="clear" w:color="auto" w:fill="EDEDED"/>
          </w:tcPr>
          <w:p>
            <w:pPr>
              <w:ind w:left="100"/>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color w:val="435363"/>
              </w:rPr>
              <w:t xml:space="preserve">    </w:t>
            </w:r>
            <w:r>
              <w:rPr>
                <w:rFonts w:ascii="Arial" w:cs="Arial" w:eastAsia="Arial" w:hAnsi="Arial"/>
                <w:sz w:val="16"/>
                <w:szCs w:val="16"/>
                <w:b w:val="1"/>
                <w:bCs w:val="1"/>
                <w:color w:val="435363"/>
              </w:rPr>
              <w:t>Performance-Based Long-term Equity Incentives with a</w:t>
            </w:r>
          </w:p>
        </w:tc>
        <w:tc>
          <w:tcPr>
            <w:tcW w:w="260" w:type="dxa"/>
            <w:vAlign w:val="bottom"/>
            <w:shd w:val="clear" w:color="auto" w:fill="EDEDED"/>
          </w:tcPr>
          <w:p>
            <w:pPr>
              <w:spacing w:after="0"/>
              <w:rPr>
                <w:sz w:val="18"/>
                <w:szCs w:val="18"/>
                <w:color w:val="auto"/>
              </w:rPr>
            </w:pPr>
          </w:p>
        </w:tc>
        <w:tc>
          <w:tcPr>
            <w:tcW w:w="300" w:type="dxa"/>
            <w:vAlign w:val="bottom"/>
            <w:shd w:val="clear" w:color="auto" w:fill="EDEDED"/>
          </w:tcPr>
          <w:p>
            <w:pPr>
              <w:spacing w:after="0"/>
              <w:rPr>
                <w:sz w:val="18"/>
                <w:szCs w:val="18"/>
                <w:color w:val="auto"/>
              </w:rPr>
            </w:pPr>
          </w:p>
        </w:tc>
        <w:tc>
          <w:tcPr>
            <w:tcW w:w="5100" w:type="dxa"/>
            <w:vAlign w:val="bottom"/>
            <w:shd w:val="clear" w:color="auto" w:fill="EDEDED"/>
          </w:tcPr>
          <w:p>
            <w:pPr>
              <w:ind w:left="440"/>
              <w:spacing w:after="0"/>
              <w:rPr>
                <w:sz w:val="20"/>
                <w:szCs w:val="20"/>
                <w:color w:val="auto"/>
              </w:rPr>
            </w:pPr>
            <w:r>
              <w:rPr>
                <w:rFonts w:ascii="Arial" w:cs="Arial" w:eastAsia="Arial" w:hAnsi="Arial"/>
                <w:sz w:val="16"/>
                <w:szCs w:val="16"/>
                <w:color w:val="435363"/>
              </w:rPr>
              <w:t>our stock as collateral for loans.</w:t>
            </w:r>
          </w:p>
        </w:tc>
      </w:tr>
      <w:tr>
        <w:trPr>
          <w:trHeight w:val="199"/>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b w:val="1"/>
                <w:bCs w:val="1"/>
                <w:color w:val="435363"/>
              </w:rPr>
              <w:t xml:space="preserve">Three-year Performance Period to </w:t>
            </w:r>
            <w:r>
              <w:rPr>
                <w:rFonts w:ascii="Arial" w:cs="Arial" w:eastAsia="Arial" w:hAnsi="Arial"/>
                <w:sz w:val="16"/>
                <w:szCs w:val="16"/>
                <w:color w:val="435363"/>
              </w:rPr>
              <w:t>promote long-term focus.</w:t>
            </w:r>
          </w:p>
        </w:tc>
        <w:tc>
          <w:tcPr>
            <w:tcW w:w="260" w:type="dxa"/>
            <w:vAlign w:val="bottom"/>
            <w:shd w:val="clear" w:color="auto" w:fill="EDEDED"/>
          </w:tcPr>
          <w:p>
            <w:pPr>
              <w:spacing w:after="0"/>
              <w:rPr>
                <w:sz w:val="17"/>
                <w:szCs w:val="17"/>
                <w:color w:val="auto"/>
              </w:rPr>
            </w:pPr>
          </w:p>
        </w:tc>
        <w:tc>
          <w:tcPr>
            <w:tcW w:w="300" w:type="dxa"/>
            <w:vAlign w:val="bottom"/>
            <w:shd w:val="clear" w:color="auto" w:fill="EDEDED"/>
          </w:tcPr>
          <w:p>
            <w:pPr>
              <w:spacing w:after="0"/>
              <w:rPr>
                <w:sz w:val="17"/>
                <w:szCs w:val="17"/>
                <w:color w:val="auto"/>
              </w:rPr>
            </w:pPr>
          </w:p>
        </w:tc>
        <w:tc>
          <w:tcPr>
            <w:tcW w:w="5100" w:type="dxa"/>
            <w:vAlign w:val="bottom"/>
            <w:shd w:val="clear" w:color="auto" w:fill="EDEDED"/>
          </w:tcPr>
          <w:p>
            <w:pPr>
              <w:ind w:left="120"/>
              <w:spacing w:after="0" w:line="184" w:lineRule="exact"/>
              <w:rPr>
                <w:sz w:val="20"/>
                <w:szCs w:val="20"/>
                <w:color w:val="auto"/>
              </w:rPr>
            </w:pPr>
            <w:r>
              <w:rPr>
                <w:rFonts w:ascii="MS PGothic" w:cs="MS PGothic" w:eastAsia="MS PGothic" w:hAnsi="MS PGothic"/>
                <w:sz w:val="16"/>
                <w:szCs w:val="16"/>
                <w:color w:val="BF0000"/>
              </w:rPr>
              <w:t>✖</w:t>
            </w:r>
            <w:r>
              <w:rPr>
                <w:rFonts w:ascii="Arial" w:cs="Arial" w:eastAsia="Arial" w:hAnsi="Arial"/>
                <w:sz w:val="16"/>
                <w:szCs w:val="16"/>
                <w:b w:val="1"/>
                <w:bCs w:val="1"/>
                <w:color w:val="435363"/>
              </w:rPr>
              <w:t xml:space="preserve">    No Excise Tax Gross-Ups. </w:t>
            </w:r>
            <w:r>
              <w:rPr>
                <w:rFonts w:ascii="Arial" w:cs="Arial" w:eastAsia="Arial" w:hAnsi="Arial"/>
                <w:sz w:val="16"/>
                <w:szCs w:val="16"/>
                <w:color w:val="435363"/>
              </w:rPr>
              <w:t>We do not provide gross ups on</w:t>
            </w:r>
          </w:p>
        </w:tc>
      </w:tr>
      <w:tr>
        <w:trPr>
          <w:trHeight w:val="225"/>
        </w:trPr>
        <w:tc>
          <w:tcPr>
            <w:tcW w:w="5140" w:type="dxa"/>
            <w:vAlign w:val="bottom"/>
            <w:shd w:val="clear" w:color="auto" w:fill="EDEDED"/>
          </w:tcPr>
          <w:p>
            <w:pPr>
              <w:ind w:left="100"/>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b w:val="1"/>
                <w:bCs w:val="1"/>
                <w:color w:val="435363"/>
              </w:rPr>
              <w:t xml:space="preserve">    Independent Compensation Consultant </w:t>
            </w:r>
            <w:r>
              <w:rPr>
                <w:rFonts w:ascii="Arial" w:cs="Arial" w:eastAsia="Arial" w:hAnsi="Arial"/>
                <w:sz w:val="16"/>
                <w:szCs w:val="16"/>
                <w:color w:val="435363"/>
              </w:rPr>
              <w:t>that is directly engaged</w:t>
            </w:r>
          </w:p>
        </w:tc>
        <w:tc>
          <w:tcPr>
            <w:tcW w:w="260" w:type="dxa"/>
            <w:vAlign w:val="bottom"/>
            <w:shd w:val="clear" w:color="auto" w:fill="EDEDED"/>
          </w:tcPr>
          <w:p>
            <w:pPr>
              <w:spacing w:after="0"/>
              <w:rPr>
                <w:sz w:val="19"/>
                <w:szCs w:val="19"/>
                <w:color w:val="auto"/>
              </w:rPr>
            </w:pPr>
          </w:p>
        </w:tc>
        <w:tc>
          <w:tcPr>
            <w:tcW w:w="300" w:type="dxa"/>
            <w:vAlign w:val="bottom"/>
            <w:shd w:val="clear" w:color="auto" w:fill="EDEDED"/>
          </w:tcPr>
          <w:p>
            <w:pPr>
              <w:spacing w:after="0"/>
              <w:rPr>
                <w:sz w:val="19"/>
                <w:szCs w:val="19"/>
                <w:color w:val="auto"/>
              </w:rPr>
            </w:pPr>
          </w:p>
        </w:tc>
        <w:tc>
          <w:tcPr>
            <w:tcW w:w="5100" w:type="dxa"/>
            <w:vAlign w:val="bottom"/>
            <w:shd w:val="clear" w:color="auto" w:fill="EDEDED"/>
          </w:tcPr>
          <w:p>
            <w:pPr>
              <w:ind w:left="440"/>
              <w:spacing w:after="0"/>
              <w:rPr>
                <w:sz w:val="20"/>
                <w:szCs w:val="20"/>
                <w:color w:val="auto"/>
              </w:rPr>
            </w:pPr>
            <w:r>
              <w:rPr>
                <w:rFonts w:ascii="Arial" w:cs="Arial" w:eastAsia="Arial" w:hAnsi="Arial"/>
                <w:sz w:val="16"/>
                <w:szCs w:val="16"/>
                <w:color w:val="435363"/>
              </w:rPr>
              <w:t>excise taxes in connection with a change in control.</w:t>
            </w:r>
          </w:p>
        </w:tc>
      </w:tr>
      <w:tr>
        <w:trPr>
          <w:trHeight w:val="195"/>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color w:val="435363"/>
              </w:rPr>
              <w:t>by the Compensation Committee to advise on executive and</w:t>
            </w:r>
          </w:p>
        </w:tc>
        <w:tc>
          <w:tcPr>
            <w:tcW w:w="26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5100" w:type="dxa"/>
            <w:vAlign w:val="bottom"/>
            <w:shd w:val="clear" w:color="auto" w:fill="EDEDED"/>
          </w:tcPr>
          <w:p>
            <w:pPr>
              <w:ind w:left="120"/>
              <w:spacing w:after="0" w:line="184" w:lineRule="exact"/>
              <w:rPr>
                <w:sz w:val="20"/>
                <w:szCs w:val="20"/>
                <w:color w:val="auto"/>
              </w:rPr>
            </w:pPr>
            <w:r>
              <w:rPr>
                <w:rFonts w:ascii="MS PGothic" w:cs="MS PGothic" w:eastAsia="MS PGothic" w:hAnsi="MS PGothic"/>
                <w:sz w:val="16"/>
                <w:szCs w:val="16"/>
                <w:color w:val="BF0000"/>
              </w:rPr>
              <w:t>✖</w:t>
            </w:r>
            <w:r>
              <w:rPr>
                <w:rFonts w:ascii="Arial" w:cs="Arial" w:eastAsia="Arial" w:hAnsi="Arial"/>
                <w:sz w:val="16"/>
                <w:szCs w:val="16"/>
                <w:b w:val="1"/>
                <w:bCs w:val="1"/>
                <w:color w:val="435363"/>
              </w:rPr>
              <w:t xml:space="preserve">    No Excessive Perquisites</w:t>
            </w:r>
            <w:r>
              <w:rPr>
                <w:rFonts w:ascii="Arial" w:cs="Arial" w:eastAsia="Arial" w:hAnsi="Arial"/>
                <w:sz w:val="16"/>
                <w:szCs w:val="16"/>
                <w:color w:val="435363"/>
              </w:rPr>
              <w:t>. Perquisites and other personal</w:t>
            </w:r>
          </w:p>
        </w:tc>
      </w:tr>
      <w:tr>
        <w:trPr>
          <w:trHeight w:val="199"/>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color w:val="435363"/>
              </w:rPr>
              <w:t>director compensa</w:t>
            </w:r>
          </w:p>
        </w:tc>
        <w:tc>
          <w:tcPr>
            <w:tcW w:w="260" w:type="dxa"/>
            <w:vAlign w:val="bottom"/>
            <w:shd w:val="clear" w:color="auto" w:fill="EDEDED"/>
          </w:tcPr>
          <w:p>
            <w:pPr>
              <w:spacing w:after="0"/>
              <w:rPr>
                <w:sz w:val="17"/>
                <w:szCs w:val="17"/>
                <w:color w:val="auto"/>
              </w:rPr>
            </w:pPr>
          </w:p>
        </w:tc>
        <w:tc>
          <w:tcPr>
            <w:tcW w:w="300" w:type="dxa"/>
            <w:vAlign w:val="bottom"/>
            <w:shd w:val="clear" w:color="auto" w:fill="EDEDED"/>
          </w:tcPr>
          <w:p>
            <w:pPr>
              <w:spacing w:after="0"/>
              <w:rPr>
                <w:sz w:val="17"/>
                <w:szCs w:val="17"/>
                <w:color w:val="auto"/>
              </w:rPr>
            </w:pPr>
          </w:p>
        </w:tc>
        <w:tc>
          <w:tcPr>
            <w:tcW w:w="5100" w:type="dxa"/>
            <w:vAlign w:val="bottom"/>
            <w:shd w:val="clear" w:color="auto" w:fill="EDEDED"/>
          </w:tcPr>
          <w:p>
            <w:pPr>
              <w:ind w:left="440"/>
              <w:spacing w:after="0"/>
              <w:rPr>
                <w:sz w:val="20"/>
                <w:szCs w:val="20"/>
                <w:color w:val="auto"/>
              </w:rPr>
            </w:pPr>
            <w:r>
              <w:rPr>
                <w:rFonts w:ascii="Arial" w:cs="Arial" w:eastAsia="Arial" w:hAnsi="Arial"/>
                <w:sz w:val="16"/>
                <w:szCs w:val="16"/>
                <w:color w:val="435363"/>
              </w:rPr>
              <w:t>benefits are in line with industry standards.</w:t>
            </w:r>
          </w:p>
        </w:tc>
      </w:tr>
      <w:tr>
        <w:trPr>
          <w:trHeight w:val="225"/>
        </w:trPr>
        <w:tc>
          <w:tcPr>
            <w:tcW w:w="5140" w:type="dxa"/>
            <w:vAlign w:val="bottom"/>
            <w:shd w:val="clear" w:color="auto" w:fill="EDEDED"/>
          </w:tcPr>
          <w:p>
            <w:pPr>
              <w:ind w:left="100"/>
              <w:spacing w:after="0"/>
              <w:rPr>
                <w:sz w:val="20"/>
                <w:szCs w:val="20"/>
                <w:color w:val="auto"/>
              </w:rPr>
            </w:pPr>
            <w:r>
              <w:rPr>
                <w:rFonts w:ascii="Arial" w:cs="Arial" w:eastAsia="Arial" w:hAnsi="Arial"/>
                <w:sz w:val="16"/>
                <w:szCs w:val="16"/>
                <w:color w:val="435363"/>
              </w:rPr>
              <w:t>tion  matters.</w:t>
            </w:r>
          </w:p>
        </w:tc>
        <w:tc>
          <w:tcPr>
            <w:tcW w:w="260" w:type="dxa"/>
            <w:vAlign w:val="bottom"/>
            <w:shd w:val="clear" w:color="auto" w:fill="EDEDED"/>
          </w:tcPr>
          <w:p>
            <w:pPr>
              <w:spacing w:after="0"/>
              <w:rPr>
                <w:sz w:val="19"/>
                <w:szCs w:val="19"/>
                <w:color w:val="auto"/>
              </w:rPr>
            </w:pPr>
          </w:p>
        </w:tc>
        <w:tc>
          <w:tcPr>
            <w:tcW w:w="300" w:type="dxa"/>
            <w:vAlign w:val="bottom"/>
            <w:shd w:val="clear" w:color="auto" w:fill="EDEDED"/>
          </w:tcPr>
          <w:p>
            <w:pPr>
              <w:spacing w:after="0"/>
              <w:rPr>
                <w:sz w:val="19"/>
                <w:szCs w:val="19"/>
                <w:color w:val="auto"/>
              </w:rPr>
            </w:pPr>
          </w:p>
        </w:tc>
        <w:tc>
          <w:tcPr>
            <w:tcW w:w="5100" w:type="dxa"/>
            <w:vAlign w:val="bottom"/>
            <w:shd w:val="clear" w:color="auto" w:fill="EDEDED"/>
          </w:tcPr>
          <w:p>
            <w:pPr>
              <w:ind w:left="120"/>
              <w:spacing w:after="0" w:line="184" w:lineRule="exact"/>
              <w:rPr>
                <w:sz w:val="20"/>
                <w:szCs w:val="20"/>
                <w:color w:val="auto"/>
              </w:rPr>
            </w:pPr>
            <w:r>
              <w:rPr>
                <w:rFonts w:ascii="MS PGothic" w:cs="MS PGothic" w:eastAsia="MS PGothic" w:hAnsi="MS PGothic"/>
                <w:sz w:val="16"/>
                <w:szCs w:val="16"/>
                <w:color w:val="BF0000"/>
              </w:rPr>
              <w:t>✖</w:t>
            </w:r>
            <w:r>
              <w:rPr>
                <w:rFonts w:ascii="Arial" w:cs="Arial" w:eastAsia="Arial" w:hAnsi="Arial"/>
                <w:sz w:val="16"/>
                <w:szCs w:val="16"/>
                <w:color w:val="435363"/>
              </w:rPr>
              <w:t xml:space="preserve">    </w:t>
            </w:r>
            <w:r>
              <w:rPr>
                <w:rFonts w:ascii="Arial" w:cs="Arial" w:eastAsia="Arial" w:hAnsi="Arial"/>
                <w:sz w:val="16"/>
                <w:szCs w:val="16"/>
                <w:b w:val="1"/>
                <w:bCs w:val="1"/>
                <w:color w:val="435363"/>
              </w:rPr>
              <w:t>No Payouts of Dividends on Unvested Awards.</w:t>
            </w:r>
            <w:r>
              <w:rPr>
                <w:rFonts w:ascii="Arial" w:cs="Arial" w:eastAsia="Arial" w:hAnsi="Arial"/>
                <w:sz w:val="16"/>
                <w:szCs w:val="16"/>
                <w:color w:val="435363"/>
              </w:rPr>
              <w:t xml:space="preserve"> Unless and</w:t>
            </w:r>
          </w:p>
        </w:tc>
      </w:tr>
      <w:tr>
        <w:trPr>
          <w:trHeight w:val="199"/>
        </w:trPr>
        <w:tc>
          <w:tcPr>
            <w:tcW w:w="5140" w:type="dxa"/>
            <w:vAlign w:val="bottom"/>
            <w:shd w:val="clear" w:color="auto" w:fill="EDEDED"/>
          </w:tcPr>
          <w:p>
            <w:pPr>
              <w:ind w:left="100"/>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b w:val="1"/>
                <w:bCs w:val="1"/>
                <w:color w:val="435363"/>
              </w:rPr>
              <w:t xml:space="preserve">    Robust Stock Ownership Guidelines </w:t>
            </w:r>
            <w:r>
              <w:rPr>
                <w:rFonts w:ascii="Arial" w:cs="Arial" w:eastAsia="Arial" w:hAnsi="Arial"/>
                <w:sz w:val="16"/>
                <w:szCs w:val="16"/>
                <w:color w:val="435363"/>
              </w:rPr>
              <w:t>that align our executive</w:t>
            </w:r>
          </w:p>
        </w:tc>
        <w:tc>
          <w:tcPr>
            <w:tcW w:w="260" w:type="dxa"/>
            <w:vAlign w:val="bottom"/>
            <w:shd w:val="clear" w:color="auto" w:fill="EDEDED"/>
          </w:tcPr>
          <w:p>
            <w:pPr>
              <w:spacing w:after="0"/>
              <w:rPr>
                <w:sz w:val="17"/>
                <w:szCs w:val="17"/>
                <w:color w:val="auto"/>
              </w:rPr>
            </w:pPr>
          </w:p>
        </w:tc>
        <w:tc>
          <w:tcPr>
            <w:tcW w:w="300" w:type="dxa"/>
            <w:vAlign w:val="bottom"/>
            <w:shd w:val="clear" w:color="auto" w:fill="EDEDED"/>
          </w:tcPr>
          <w:p>
            <w:pPr>
              <w:spacing w:after="0"/>
              <w:rPr>
                <w:sz w:val="17"/>
                <w:szCs w:val="17"/>
                <w:color w:val="auto"/>
              </w:rPr>
            </w:pPr>
          </w:p>
        </w:tc>
        <w:tc>
          <w:tcPr>
            <w:tcW w:w="5100" w:type="dxa"/>
            <w:vAlign w:val="bottom"/>
            <w:shd w:val="clear" w:color="auto" w:fill="EDEDED"/>
          </w:tcPr>
          <w:p>
            <w:pPr>
              <w:ind w:left="440"/>
              <w:spacing w:after="0"/>
              <w:rPr>
                <w:sz w:val="20"/>
                <w:szCs w:val="20"/>
                <w:color w:val="auto"/>
              </w:rPr>
            </w:pPr>
            <w:r>
              <w:rPr>
                <w:rFonts w:ascii="Arial" w:cs="Arial" w:eastAsia="Arial" w:hAnsi="Arial"/>
                <w:sz w:val="16"/>
                <w:szCs w:val="16"/>
                <w:color w:val="435363"/>
              </w:rPr>
              <w:t>until an award’s vesting conditions are satisfied, no dividends or</w:t>
            </w:r>
          </w:p>
        </w:tc>
      </w:tr>
      <w:tr>
        <w:trPr>
          <w:trHeight w:val="185"/>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color w:val="435363"/>
              </w:rPr>
              <w:t>officers’ long-term interests with those of our stockholders.</w:t>
            </w:r>
          </w:p>
        </w:tc>
        <w:tc>
          <w:tcPr>
            <w:tcW w:w="26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5100" w:type="dxa"/>
            <w:vAlign w:val="bottom"/>
            <w:shd w:val="clear" w:color="auto" w:fill="EDEDED"/>
          </w:tcPr>
          <w:p>
            <w:pPr>
              <w:ind w:left="440"/>
              <w:spacing w:after="0"/>
              <w:rPr>
                <w:sz w:val="20"/>
                <w:szCs w:val="20"/>
                <w:color w:val="auto"/>
              </w:rPr>
            </w:pPr>
            <w:r>
              <w:rPr>
                <w:rFonts w:ascii="Arial" w:cs="Arial" w:eastAsia="Arial" w:hAnsi="Arial"/>
                <w:sz w:val="16"/>
                <w:szCs w:val="16"/>
                <w:color w:val="435363"/>
              </w:rPr>
              <w:t>dividend equivalents accrued on the award are paid.</w:t>
            </w:r>
          </w:p>
        </w:tc>
      </w:tr>
      <w:tr>
        <w:trPr>
          <w:trHeight w:val="225"/>
        </w:trPr>
        <w:tc>
          <w:tcPr>
            <w:tcW w:w="5140" w:type="dxa"/>
            <w:vAlign w:val="bottom"/>
            <w:shd w:val="clear" w:color="auto" w:fill="EDEDED"/>
          </w:tcPr>
          <w:p>
            <w:pPr>
              <w:ind w:left="100"/>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b w:val="1"/>
                <w:bCs w:val="1"/>
                <w:color w:val="435363"/>
              </w:rPr>
              <w:t xml:space="preserve">    Annual Compensation Risk Assessment </w:t>
            </w:r>
            <w:r>
              <w:rPr>
                <w:rFonts w:ascii="Arial" w:cs="Arial" w:eastAsia="Arial" w:hAnsi="Arial"/>
                <w:sz w:val="16"/>
                <w:szCs w:val="16"/>
                <w:color w:val="435363"/>
              </w:rPr>
              <w:t>to identify any</w:t>
            </w:r>
          </w:p>
        </w:tc>
        <w:tc>
          <w:tcPr>
            <w:tcW w:w="260" w:type="dxa"/>
            <w:vAlign w:val="bottom"/>
            <w:shd w:val="clear" w:color="auto" w:fill="EDEDED"/>
          </w:tcPr>
          <w:p>
            <w:pPr>
              <w:spacing w:after="0"/>
              <w:rPr>
                <w:sz w:val="19"/>
                <w:szCs w:val="19"/>
                <w:color w:val="auto"/>
              </w:rPr>
            </w:pPr>
          </w:p>
        </w:tc>
        <w:tc>
          <w:tcPr>
            <w:tcW w:w="300" w:type="dxa"/>
            <w:vAlign w:val="bottom"/>
            <w:shd w:val="clear" w:color="auto" w:fill="EDEDED"/>
          </w:tcPr>
          <w:p>
            <w:pPr>
              <w:spacing w:after="0"/>
              <w:rPr>
                <w:sz w:val="19"/>
                <w:szCs w:val="19"/>
                <w:color w:val="auto"/>
              </w:rPr>
            </w:pPr>
          </w:p>
        </w:tc>
        <w:tc>
          <w:tcPr>
            <w:tcW w:w="5100" w:type="dxa"/>
            <w:vAlign w:val="bottom"/>
            <w:shd w:val="clear" w:color="auto" w:fill="EDEDED"/>
          </w:tcPr>
          <w:p>
            <w:pPr>
              <w:ind w:left="120"/>
              <w:spacing w:after="0" w:line="184" w:lineRule="exact"/>
              <w:rPr>
                <w:sz w:val="20"/>
                <w:szCs w:val="20"/>
                <w:color w:val="auto"/>
              </w:rPr>
            </w:pPr>
            <w:r>
              <w:rPr>
                <w:rFonts w:ascii="MS PGothic" w:cs="MS PGothic" w:eastAsia="MS PGothic" w:hAnsi="MS PGothic"/>
                <w:sz w:val="16"/>
                <w:szCs w:val="16"/>
                <w:color w:val="BF0000"/>
              </w:rPr>
              <w:t>✖</w:t>
            </w:r>
            <w:r>
              <w:rPr>
                <w:rFonts w:ascii="Arial" w:cs="Arial" w:eastAsia="Arial" w:hAnsi="Arial"/>
                <w:sz w:val="16"/>
                <w:szCs w:val="16"/>
                <w:color w:val="435363"/>
              </w:rPr>
              <w:t xml:space="preserve">    </w:t>
            </w:r>
            <w:r>
              <w:rPr>
                <w:rFonts w:ascii="Arial" w:cs="Arial" w:eastAsia="Arial" w:hAnsi="Arial"/>
                <w:sz w:val="16"/>
                <w:szCs w:val="16"/>
                <w:b w:val="1"/>
                <w:bCs w:val="1"/>
                <w:color w:val="435363"/>
              </w:rPr>
              <w:t>No Repricing of Awards Without Stockholder Approval.</w:t>
            </w:r>
          </w:p>
        </w:tc>
      </w:tr>
      <w:tr>
        <w:trPr>
          <w:trHeight w:val="199"/>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color w:val="435363"/>
              </w:rPr>
              <w:t>elements of our compensation program design or oversight</w:t>
            </w:r>
          </w:p>
        </w:tc>
        <w:tc>
          <w:tcPr>
            <w:tcW w:w="260" w:type="dxa"/>
            <w:vAlign w:val="bottom"/>
            <w:shd w:val="clear" w:color="auto" w:fill="EDEDED"/>
          </w:tcPr>
          <w:p>
            <w:pPr>
              <w:spacing w:after="0"/>
              <w:rPr>
                <w:sz w:val="17"/>
                <w:szCs w:val="17"/>
                <w:color w:val="auto"/>
              </w:rPr>
            </w:pPr>
          </w:p>
        </w:tc>
        <w:tc>
          <w:tcPr>
            <w:tcW w:w="300" w:type="dxa"/>
            <w:vAlign w:val="bottom"/>
            <w:shd w:val="clear" w:color="auto" w:fill="EDEDED"/>
          </w:tcPr>
          <w:p>
            <w:pPr>
              <w:spacing w:after="0"/>
              <w:rPr>
                <w:sz w:val="17"/>
                <w:szCs w:val="17"/>
                <w:color w:val="auto"/>
              </w:rPr>
            </w:pPr>
          </w:p>
        </w:tc>
        <w:tc>
          <w:tcPr>
            <w:tcW w:w="5100" w:type="dxa"/>
            <w:vAlign w:val="bottom"/>
            <w:shd w:val="clear" w:color="auto" w:fill="EDEDED"/>
          </w:tcPr>
          <w:p>
            <w:pPr>
              <w:ind w:left="440"/>
              <w:spacing w:after="0"/>
              <w:rPr>
                <w:sz w:val="20"/>
                <w:szCs w:val="20"/>
                <w:color w:val="auto"/>
              </w:rPr>
            </w:pPr>
            <w:r>
              <w:rPr>
                <w:rFonts w:ascii="Arial" w:cs="Arial" w:eastAsia="Arial" w:hAnsi="Arial"/>
                <w:sz w:val="16"/>
                <w:szCs w:val="16"/>
                <w:color w:val="435363"/>
              </w:rPr>
              <w:t>Under our equity plan, awards may not be repriced without</w:t>
            </w:r>
          </w:p>
        </w:tc>
      </w:tr>
      <w:tr>
        <w:trPr>
          <w:trHeight w:val="185"/>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color w:val="435363"/>
              </w:rPr>
              <w:t>processes that carry elevated levels of adverse risk.</w:t>
            </w:r>
          </w:p>
        </w:tc>
        <w:tc>
          <w:tcPr>
            <w:tcW w:w="26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5100" w:type="dxa"/>
            <w:vAlign w:val="bottom"/>
            <w:shd w:val="clear" w:color="auto" w:fill="EDEDED"/>
          </w:tcPr>
          <w:p>
            <w:pPr>
              <w:ind w:left="440"/>
              <w:spacing w:after="0"/>
              <w:rPr>
                <w:sz w:val="20"/>
                <w:szCs w:val="20"/>
                <w:color w:val="auto"/>
              </w:rPr>
            </w:pPr>
            <w:r>
              <w:rPr>
                <w:rFonts w:ascii="Arial" w:cs="Arial" w:eastAsia="Arial" w:hAnsi="Arial"/>
                <w:sz w:val="16"/>
                <w:szCs w:val="16"/>
                <w:color w:val="435363"/>
              </w:rPr>
              <w:t>stockholder approval if the effect would be to reduce the exercise</w:t>
            </w:r>
          </w:p>
        </w:tc>
      </w:tr>
      <w:tr>
        <w:trPr>
          <w:trHeight w:val="224"/>
        </w:trPr>
        <w:tc>
          <w:tcPr>
            <w:tcW w:w="5140" w:type="dxa"/>
            <w:vAlign w:val="bottom"/>
            <w:shd w:val="clear" w:color="auto" w:fill="EDEDED"/>
          </w:tcPr>
          <w:p>
            <w:pPr>
              <w:ind w:left="100"/>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b w:val="1"/>
                <w:bCs w:val="1"/>
                <w:color w:val="435363"/>
              </w:rPr>
              <w:t xml:space="preserve">    Minimum Vesting Requirements. </w:t>
            </w:r>
            <w:r>
              <w:rPr>
                <w:rFonts w:ascii="Arial" w:cs="Arial" w:eastAsia="Arial" w:hAnsi="Arial"/>
                <w:sz w:val="16"/>
                <w:szCs w:val="16"/>
                <w:color w:val="435363"/>
              </w:rPr>
              <w:t>Subject to limited exceptions,</w:t>
            </w:r>
          </w:p>
        </w:tc>
        <w:tc>
          <w:tcPr>
            <w:tcW w:w="260" w:type="dxa"/>
            <w:vAlign w:val="bottom"/>
            <w:shd w:val="clear" w:color="auto" w:fill="EDEDED"/>
          </w:tcPr>
          <w:p>
            <w:pPr>
              <w:spacing w:after="0"/>
              <w:rPr>
                <w:sz w:val="19"/>
                <w:szCs w:val="19"/>
                <w:color w:val="auto"/>
              </w:rPr>
            </w:pPr>
          </w:p>
        </w:tc>
        <w:tc>
          <w:tcPr>
            <w:tcW w:w="300" w:type="dxa"/>
            <w:vAlign w:val="bottom"/>
            <w:shd w:val="clear" w:color="auto" w:fill="EDEDED"/>
          </w:tcPr>
          <w:p>
            <w:pPr>
              <w:spacing w:after="0"/>
              <w:rPr>
                <w:sz w:val="19"/>
                <w:szCs w:val="19"/>
                <w:color w:val="auto"/>
              </w:rPr>
            </w:pPr>
          </w:p>
        </w:tc>
        <w:tc>
          <w:tcPr>
            <w:tcW w:w="5100" w:type="dxa"/>
            <w:vAlign w:val="bottom"/>
            <w:shd w:val="clear" w:color="auto" w:fill="EDEDED"/>
          </w:tcPr>
          <w:p>
            <w:pPr>
              <w:ind w:left="440"/>
              <w:spacing w:after="0"/>
              <w:rPr>
                <w:sz w:val="20"/>
                <w:szCs w:val="20"/>
                <w:color w:val="auto"/>
              </w:rPr>
            </w:pPr>
            <w:r>
              <w:rPr>
                <w:rFonts w:ascii="Arial" w:cs="Arial" w:eastAsia="Arial" w:hAnsi="Arial"/>
                <w:sz w:val="16"/>
                <w:szCs w:val="16"/>
                <w:color w:val="435363"/>
              </w:rPr>
              <w:t>price for the shares underlying the award.</w:t>
            </w:r>
          </w:p>
        </w:tc>
      </w:tr>
      <w:tr>
        <w:trPr>
          <w:trHeight w:val="185"/>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color w:val="435363"/>
              </w:rPr>
              <w:t>no awards granted under our equity plan may vest until the first</w:t>
            </w:r>
          </w:p>
        </w:tc>
        <w:tc>
          <w:tcPr>
            <w:tcW w:w="26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5100" w:type="dxa"/>
            <w:vAlign w:val="bottom"/>
            <w:shd w:val="clear" w:color="auto" w:fill="EDEDED"/>
          </w:tcPr>
          <w:p>
            <w:pPr>
              <w:spacing w:after="0"/>
              <w:rPr>
                <w:sz w:val="16"/>
                <w:szCs w:val="16"/>
                <w:color w:val="auto"/>
              </w:rPr>
            </w:pPr>
          </w:p>
        </w:tc>
      </w:tr>
      <w:tr>
        <w:trPr>
          <w:trHeight w:val="189"/>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color w:val="435363"/>
              </w:rPr>
              <w:t>anniversary of the date of grant.</w:t>
            </w:r>
          </w:p>
        </w:tc>
        <w:tc>
          <w:tcPr>
            <w:tcW w:w="26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5100" w:type="dxa"/>
            <w:vAlign w:val="bottom"/>
            <w:shd w:val="clear" w:color="auto" w:fill="EDEDED"/>
          </w:tcPr>
          <w:p>
            <w:pPr>
              <w:spacing w:after="0"/>
              <w:rPr>
                <w:sz w:val="16"/>
                <w:szCs w:val="16"/>
                <w:color w:val="auto"/>
              </w:rPr>
            </w:pPr>
          </w:p>
        </w:tc>
      </w:tr>
      <w:tr>
        <w:trPr>
          <w:trHeight w:val="234"/>
        </w:trPr>
        <w:tc>
          <w:tcPr>
            <w:tcW w:w="5140" w:type="dxa"/>
            <w:vAlign w:val="bottom"/>
            <w:shd w:val="clear" w:color="auto" w:fill="EDEDED"/>
          </w:tcPr>
          <w:p>
            <w:pPr>
              <w:ind w:left="100"/>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b w:val="1"/>
                <w:bCs w:val="1"/>
                <w:color w:val="435363"/>
              </w:rPr>
              <w:t xml:space="preserve">    Clawback Policy </w:t>
            </w:r>
            <w:r>
              <w:rPr>
                <w:rFonts w:ascii="Arial" w:cs="Arial" w:eastAsia="Arial" w:hAnsi="Arial"/>
                <w:sz w:val="16"/>
                <w:szCs w:val="16"/>
                <w:color w:val="435363"/>
              </w:rPr>
              <w:t>that mandates recoupment of erroneously</w:t>
            </w:r>
          </w:p>
        </w:tc>
        <w:tc>
          <w:tcPr>
            <w:tcW w:w="260" w:type="dxa"/>
            <w:vAlign w:val="bottom"/>
            <w:shd w:val="clear" w:color="auto" w:fill="EDEDED"/>
          </w:tcPr>
          <w:p>
            <w:pPr>
              <w:spacing w:after="0"/>
              <w:rPr>
                <w:sz w:val="20"/>
                <w:szCs w:val="20"/>
                <w:color w:val="auto"/>
              </w:rPr>
            </w:pPr>
          </w:p>
        </w:tc>
        <w:tc>
          <w:tcPr>
            <w:tcW w:w="300" w:type="dxa"/>
            <w:vAlign w:val="bottom"/>
            <w:shd w:val="clear" w:color="auto" w:fill="EDEDED"/>
          </w:tcPr>
          <w:p>
            <w:pPr>
              <w:spacing w:after="0"/>
              <w:rPr>
                <w:sz w:val="20"/>
                <w:szCs w:val="20"/>
                <w:color w:val="auto"/>
              </w:rPr>
            </w:pPr>
          </w:p>
        </w:tc>
        <w:tc>
          <w:tcPr>
            <w:tcW w:w="5100" w:type="dxa"/>
            <w:vAlign w:val="bottom"/>
            <w:shd w:val="clear" w:color="auto" w:fill="EDEDED"/>
          </w:tcPr>
          <w:p>
            <w:pPr>
              <w:spacing w:after="0"/>
              <w:rPr>
                <w:sz w:val="20"/>
                <w:szCs w:val="20"/>
                <w:color w:val="auto"/>
              </w:rPr>
            </w:pPr>
          </w:p>
        </w:tc>
      </w:tr>
      <w:tr>
        <w:trPr>
          <w:trHeight w:val="185"/>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color w:val="435363"/>
              </w:rPr>
              <w:t>awarded incentive compensation to executive officers on</w:t>
            </w:r>
          </w:p>
        </w:tc>
        <w:tc>
          <w:tcPr>
            <w:tcW w:w="26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5100" w:type="dxa"/>
            <w:vAlign w:val="bottom"/>
            <w:shd w:val="clear" w:color="auto" w:fill="EDEDED"/>
          </w:tcPr>
          <w:p>
            <w:pPr>
              <w:spacing w:after="0"/>
              <w:rPr>
                <w:sz w:val="16"/>
                <w:szCs w:val="16"/>
                <w:color w:val="auto"/>
              </w:rPr>
            </w:pPr>
          </w:p>
        </w:tc>
      </w:tr>
      <w:tr>
        <w:trPr>
          <w:trHeight w:val="185"/>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color w:val="435363"/>
              </w:rPr>
              <w:t>accounting restatement consistent with SEC and Nasdaq</w:t>
            </w:r>
          </w:p>
        </w:tc>
        <w:tc>
          <w:tcPr>
            <w:tcW w:w="26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5100" w:type="dxa"/>
            <w:vAlign w:val="bottom"/>
            <w:shd w:val="clear" w:color="auto" w:fill="EDEDED"/>
          </w:tcPr>
          <w:p>
            <w:pPr>
              <w:spacing w:after="0"/>
              <w:rPr>
                <w:sz w:val="16"/>
                <w:szCs w:val="16"/>
                <w:color w:val="auto"/>
              </w:rPr>
            </w:pPr>
          </w:p>
        </w:tc>
      </w:tr>
      <w:tr>
        <w:trPr>
          <w:trHeight w:val="185"/>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color w:val="435363"/>
              </w:rPr>
              <w:t>requirements and goes beyond by providing the Compensation</w:t>
            </w:r>
          </w:p>
        </w:tc>
        <w:tc>
          <w:tcPr>
            <w:tcW w:w="26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5100" w:type="dxa"/>
            <w:vAlign w:val="bottom"/>
            <w:shd w:val="clear" w:color="auto" w:fill="EDEDED"/>
          </w:tcPr>
          <w:p>
            <w:pPr>
              <w:spacing w:after="0"/>
              <w:rPr>
                <w:sz w:val="16"/>
                <w:szCs w:val="16"/>
                <w:color w:val="auto"/>
              </w:rPr>
            </w:pPr>
          </w:p>
        </w:tc>
      </w:tr>
      <w:tr>
        <w:trPr>
          <w:trHeight w:val="185"/>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color w:val="435363"/>
              </w:rPr>
              <w:t>Committee with discretion to recover additional compensation</w:t>
            </w:r>
          </w:p>
        </w:tc>
        <w:tc>
          <w:tcPr>
            <w:tcW w:w="26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5100" w:type="dxa"/>
            <w:vAlign w:val="bottom"/>
            <w:shd w:val="clear" w:color="auto" w:fill="EDEDED"/>
          </w:tcPr>
          <w:p>
            <w:pPr>
              <w:spacing w:after="0"/>
              <w:rPr>
                <w:sz w:val="16"/>
                <w:szCs w:val="16"/>
                <w:color w:val="auto"/>
              </w:rPr>
            </w:pPr>
          </w:p>
        </w:tc>
      </w:tr>
      <w:tr>
        <w:trPr>
          <w:trHeight w:val="185"/>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color w:val="435363"/>
              </w:rPr>
              <w:t>paid under the Company’s STIP, LTIP and other equity incentive</w:t>
            </w:r>
          </w:p>
        </w:tc>
        <w:tc>
          <w:tcPr>
            <w:tcW w:w="26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5100" w:type="dxa"/>
            <w:vAlign w:val="bottom"/>
            <w:shd w:val="clear" w:color="auto" w:fill="EDEDED"/>
          </w:tcPr>
          <w:p>
            <w:pPr>
              <w:spacing w:after="0"/>
              <w:rPr>
                <w:sz w:val="16"/>
                <w:szCs w:val="16"/>
                <w:color w:val="auto"/>
              </w:rPr>
            </w:pPr>
          </w:p>
        </w:tc>
      </w:tr>
      <w:tr>
        <w:trPr>
          <w:trHeight w:val="189"/>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color w:val="435363"/>
              </w:rPr>
              <w:t>awards based on circumstances.</w:t>
            </w:r>
          </w:p>
        </w:tc>
        <w:tc>
          <w:tcPr>
            <w:tcW w:w="26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5100" w:type="dxa"/>
            <w:vAlign w:val="bottom"/>
            <w:shd w:val="clear" w:color="auto" w:fill="EDEDED"/>
          </w:tcPr>
          <w:p>
            <w:pPr>
              <w:spacing w:after="0"/>
              <w:rPr>
                <w:sz w:val="16"/>
                <w:szCs w:val="16"/>
                <w:color w:val="auto"/>
              </w:rPr>
            </w:pPr>
          </w:p>
        </w:tc>
      </w:tr>
      <w:tr>
        <w:trPr>
          <w:trHeight w:val="234"/>
        </w:trPr>
        <w:tc>
          <w:tcPr>
            <w:tcW w:w="5140" w:type="dxa"/>
            <w:vAlign w:val="bottom"/>
            <w:shd w:val="clear" w:color="auto" w:fill="EDEDED"/>
          </w:tcPr>
          <w:p>
            <w:pPr>
              <w:ind w:left="100"/>
              <w:spacing w:after="0" w:line="184" w:lineRule="exact"/>
              <w:rPr>
                <w:sz w:val="20"/>
                <w:szCs w:val="20"/>
                <w:color w:val="auto"/>
              </w:rPr>
            </w:pPr>
            <w:r>
              <w:rPr>
                <w:rFonts w:ascii="MS PGothic" w:cs="MS PGothic" w:eastAsia="MS PGothic" w:hAnsi="MS PGothic"/>
                <w:sz w:val="16"/>
                <w:szCs w:val="16"/>
                <w:color w:val="435363"/>
              </w:rPr>
              <w:t>✓</w:t>
            </w:r>
            <w:r>
              <w:rPr>
                <w:rFonts w:ascii="Arial" w:cs="Arial" w:eastAsia="Arial" w:hAnsi="Arial"/>
                <w:sz w:val="16"/>
                <w:szCs w:val="16"/>
                <w:b w:val="1"/>
                <w:bCs w:val="1"/>
                <w:color w:val="435363"/>
              </w:rPr>
              <w:t xml:space="preserve">    Extensive Stockholder Engagement </w:t>
            </w:r>
            <w:r>
              <w:rPr>
                <w:rFonts w:ascii="Arial" w:cs="Arial" w:eastAsia="Arial" w:hAnsi="Arial"/>
                <w:sz w:val="16"/>
                <w:szCs w:val="16"/>
                <w:color w:val="435363"/>
              </w:rPr>
              <w:t>to solicit investor feedback</w:t>
            </w:r>
          </w:p>
        </w:tc>
        <w:tc>
          <w:tcPr>
            <w:tcW w:w="260" w:type="dxa"/>
            <w:vAlign w:val="bottom"/>
            <w:shd w:val="clear" w:color="auto" w:fill="EDEDED"/>
          </w:tcPr>
          <w:p>
            <w:pPr>
              <w:spacing w:after="0"/>
              <w:rPr>
                <w:sz w:val="20"/>
                <w:szCs w:val="20"/>
                <w:color w:val="auto"/>
              </w:rPr>
            </w:pPr>
          </w:p>
        </w:tc>
        <w:tc>
          <w:tcPr>
            <w:tcW w:w="300" w:type="dxa"/>
            <w:vAlign w:val="bottom"/>
            <w:shd w:val="clear" w:color="auto" w:fill="EDEDED"/>
          </w:tcPr>
          <w:p>
            <w:pPr>
              <w:spacing w:after="0"/>
              <w:rPr>
                <w:sz w:val="20"/>
                <w:szCs w:val="20"/>
                <w:color w:val="auto"/>
              </w:rPr>
            </w:pPr>
          </w:p>
        </w:tc>
        <w:tc>
          <w:tcPr>
            <w:tcW w:w="5100" w:type="dxa"/>
            <w:vAlign w:val="bottom"/>
            <w:shd w:val="clear" w:color="auto" w:fill="EDEDED"/>
          </w:tcPr>
          <w:p>
            <w:pPr>
              <w:spacing w:after="0"/>
              <w:rPr>
                <w:sz w:val="20"/>
                <w:szCs w:val="20"/>
                <w:color w:val="auto"/>
              </w:rPr>
            </w:pPr>
          </w:p>
        </w:tc>
      </w:tr>
      <w:tr>
        <w:trPr>
          <w:trHeight w:val="210"/>
        </w:trPr>
        <w:tc>
          <w:tcPr>
            <w:tcW w:w="5140" w:type="dxa"/>
            <w:vAlign w:val="bottom"/>
            <w:shd w:val="clear" w:color="auto" w:fill="EDEDED"/>
          </w:tcPr>
          <w:p>
            <w:pPr>
              <w:ind w:left="400"/>
              <w:spacing w:after="0"/>
              <w:rPr>
                <w:sz w:val="20"/>
                <w:szCs w:val="20"/>
                <w:color w:val="auto"/>
              </w:rPr>
            </w:pPr>
            <w:r>
              <w:rPr>
                <w:rFonts w:ascii="Arial" w:cs="Arial" w:eastAsia="Arial" w:hAnsi="Arial"/>
                <w:sz w:val="16"/>
                <w:szCs w:val="16"/>
                <w:color w:val="435363"/>
              </w:rPr>
              <w:t>on our compensation program.</w:t>
            </w:r>
          </w:p>
        </w:tc>
        <w:tc>
          <w:tcPr>
            <w:tcW w:w="260" w:type="dxa"/>
            <w:vAlign w:val="bottom"/>
            <w:shd w:val="clear" w:color="auto" w:fill="EDEDED"/>
          </w:tcPr>
          <w:p>
            <w:pPr>
              <w:spacing w:after="0"/>
              <w:rPr>
                <w:sz w:val="18"/>
                <w:szCs w:val="18"/>
                <w:color w:val="auto"/>
              </w:rPr>
            </w:pPr>
          </w:p>
        </w:tc>
        <w:tc>
          <w:tcPr>
            <w:tcW w:w="300" w:type="dxa"/>
            <w:vAlign w:val="bottom"/>
            <w:shd w:val="clear" w:color="auto" w:fill="EDEDED"/>
          </w:tcPr>
          <w:p>
            <w:pPr>
              <w:spacing w:after="0"/>
              <w:rPr>
                <w:sz w:val="18"/>
                <w:szCs w:val="18"/>
                <w:color w:val="auto"/>
              </w:rPr>
            </w:pPr>
          </w:p>
        </w:tc>
        <w:tc>
          <w:tcPr>
            <w:tcW w:w="5100" w:type="dxa"/>
            <w:vAlign w:val="bottom"/>
            <w:shd w:val="clear" w:color="auto" w:fill="EDEDED"/>
          </w:tcPr>
          <w:p>
            <w:pPr>
              <w:spacing w:after="0"/>
              <w:rPr>
                <w:sz w:val="18"/>
                <w:szCs w:val="18"/>
                <w:color w:val="auto"/>
              </w:rPr>
            </w:pPr>
          </w:p>
        </w:tc>
      </w:tr>
      <w:tr>
        <w:trPr>
          <w:trHeight w:val="122"/>
        </w:trPr>
        <w:tc>
          <w:tcPr>
            <w:tcW w:w="5140" w:type="dxa"/>
            <w:vAlign w:val="bottom"/>
            <w:shd w:val="clear" w:color="auto" w:fill="EDEDED"/>
          </w:tcPr>
          <w:p>
            <w:pPr>
              <w:spacing w:after="0"/>
              <w:rPr>
                <w:sz w:val="10"/>
                <w:szCs w:val="10"/>
                <w:color w:val="auto"/>
              </w:rPr>
            </w:pPr>
          </w:p>
        </w:tc>
        <w:tc>
          <w:tcPr>
            <w:tcW w:w="260" w:type="dxa"/>
            <w:vAlign w:val="bottom"/>
            <w:shd w:val="clear" w:color="auto" w:fill="EDEDED"/>
          </w:tcPr>
          <w:p>
            <w:pPr>
              <w:spacing w:after="0"/>
              <w:rPr>
                <w:sz w:val="10"/>
                <w:szCs w:val="10"/>
                <w:color w:val="auto"/>
              </w:rPr>
            </w:pPr>
          </w:p>
        </w:tc>
        <w:tc>
          <w:tcPr>
            <w:tcW w:w="300" w:type="dxa"/>
            <w:vAlign w:val="bottom"/>
            <w:shd w:val="clear" w:color="auto" w:fill="EDEDED"/>
          </w:tcPr>
          <w:p>
            <w:pPr>
              <w:spacing w:after="0"/>
              <w:rPr>
                <w:sz w:val="10"/>
                <w:szCs w:val="10"/>
                <w:color w:val="auto"/>
              </w:rPr>
            </w:pPr>
          </w:p>
        </w:tc>
        <w:tc>
          <w:tcPr>
            <w:tcW w:w="5100" w:type="dxa"/>
            <w:vAlign w:val="bottom"/>
            <w:shd w:val="clear" w:color="auto" w:fill="EDEDED"/>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311150</wp:posOffset>
            </wp:positionV>
            <wp:extent cx="4471035" cy="672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471035" cy="67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320" w:right="340"/>
        <w:spacing w:after="0" w:line="285" w:lineRule="auto"/>
        <w:rPr>
          <w:sz w:val="20"/>
          <w:szCs w:val="20"/>
          <w:color w:val="auto"/>
        </w:rPr>
      </w:pPr>
      <w:r>
        <w:rPr>
          <w:rFonts w:ascii="Arial" w:cs="Arial" w:eastAsia="Arial" w:hAnsi="Arial"/>
          <w:sz w:val="16"/>
          <w:szCs w:val="16"/>
          <w:b w:val="1"/>
          <w:bCs w:val="1"/>
          <w:color w:val="3575B3"/>
        </w:rPr>
        <w:t>The Board unanimously recommends that the stockholders vote “FOR” the approval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403860</wp:posOffset>
            </wp:positionV>
            <wp:extent cx="5177155" cy="168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vi</w:t>
      </w:r>
    </w:p>
    <w:p>
      <w:pPr>
        <w:spacing w:after="0" w:line="3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220" w:right="660"/>
        <w:spacing w:after="0" w:line="283" w:lineRule="auto"/>
        <w:rPr>
          <w:sz w:val="20"/>
          <w:szCs w:val="20"/>
          <w:color w:val="auto"/>
        </w:rPr>
      </w:pPr>
      <w:r>
        <w:rPr>
          <w:rFonts w:ascii="Arial" w:cs="Arial" w:eastAsia="Arial" w:hAnsi="Arial"/>
          <w:sz w:val="21"/>
          <w:szCs w:val="21"/>
          <w:b w:val="1"/>
          <w:bCs w:val="1"/>
          <w:color w:val="3575B3"/>
        </w:rPr>
        <w:t>Approval of an Amendment to Our Certificate of Incorporation Regarding Future Bylaw Amendments (Proposal 4)</w:t>
      </w:r>
    </w:p>
    <w:p>
      <w:pPr>
        <w:spacing w:after="0" w:line="1" w:lineRule="exact"/>
        <w:rPr>
          <w:sz w:val="20"/>
          <w:szCs w:val="20"/>
          <w:color w:val="auto"/>
        </w:rPr>
      </w:pPr>
    </w:p>
    <w:p>
      <w:pPr>
        <w:ind w:left="220" w:right="620"/>
        <w:spacing w:after="0" w:line="303" w:lineRule="auto"/>
        <w:rPr>
          <w:sz w:val="20"/>
          <w:szCs w:val="20"/>
          <w:color w:val="auto"/>
        </w:rPr>
      </w:pPr>
      <w:r>
        <w:rPr>
          <w:rFonts w:ascii="Arial" w:cs="Arial" w:eastAsia="Arial" w:hAnsi="Arial"/>
          <w:sz w:val="15"/>
          <w:szCs w:val="15"/>
          <w:color w:val="435363"/>
        </w:rPr>
        <w:t>At our 2023 annual meeting of stockholders, our stockholders passed a stockholder-sponsored proposal requesting that the Board take the steps necessary to eliminate each stockholder voting requirement in our Certificate of Incorporation that calls for a greater than simple majority vote.</w:t>
      </w:r>
    </w:p>
    <w:p>
      <w:pPr>
        <w:spacing w:after="0" w:line="1" w:lineRule="exact"/>
        <w:rPr>
          <w:sz w:val="20"/>
          <w:szCs w:val="20"/>
          <w:color w:val="auto"/>
        </w:rPr>
      </w:pPr>
    </w:p>
    <w:p>
      <w:pPr>
        <w:ind w:left="220" w:right="240"/>
        <w:spacing w:after="0" w:line="252" w:lineRule="auto"/>
        <w:rPr>
          <w:sz w:val="20"/>
          <w:szCs w:val="20"/>
          <w:color w:val="auto"/>
        </w:rPr>
      </w:pPr>
      <w:r>
        <w:rPr>
          <w:rFonts w:ascii="Arial" w:cs="Arial" w:eastAsia="Arial" w:hAnsi="Arial"/>
          <w:sz w:val="16"/>
          <w:szCs w:val="16"/>
          <w:color w:val="435363"/>
        </w:rPr>
        <w:t>In response to this request, and after carefully considering the advantages and disadvantages of maintaining the supermajority voting provisions in our Certificate of Incorporation, the Board has determined that it is in the best interests of the Company and its stockholders to amend our Certificate of Incorporation to eliminate the supermajority voting requirement for amendments to the Bylaws by our stockholders (the “Bylaw Voting Threshold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299720</wp:posOffset>
            </wp:positionV>
            <wp:extent cx="4471035" cy="789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71035" cy="78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320" w:right="320"/>
        <w:spacing w:after="0" w:line="263" w:lineRule="auto"/>
        <w:rPr>
          <w:sz w:val="20"/>
          <w:szCs w:val="20"/>
          <w:color w:val="auto"/>
        </w:rPr>
      </w:pPr>
      <w:r>
        <w:rPr>
          <w:rFonts w:ascii="Arial" w:cs="Arial" w:eastAsia="Arial" w:hAnsi="Arial"/>
          <w:sz w:val="16"/>
          <w:szCs w:val="16"/>
          <w:b w:val="1"/>
          <w:bCs w:val="1"/>
          <w:color w:val="3575B3"/>
        </w:rPr>
        <w:t>The Board unanimously recommends that the stockholders vote “FOR” the approval of the proposal to amend our Certificate of Incorporation to allow our Bylaws to be amended by our stockholders by simple majority vote.</w:t>
      </w:r>
    </w:p>
    <w:p>
      <w:pPr>
        <w:spacing w:after="0" w:line="200" w:lineRule="exact"/>
        <w:rPr>
          <w:sz w:val="20"/>
          <w:szCs w:val="20"/>
          <w:color w:val="auto"/>
        </w:rPr>
      </w:pPr>
    </w:p>
    <w:p>
      <w:pPr>
        <w:spacing w:after="0" w:line="306" w:lineRule="exact"/>
        <w:rPr>
          <w:sz w:val="20"/>
          <w:szCs w:val="20"/>
          <w:color w:val="auto"/>
        </w:rPr>
      </w:pPr>
    </w:p>
    <w:p>
      <w:pPr>
        <w:ind w:left="220" w:right="1300"/>
        <w:spacing w:after="0" w:line="276" w:lineRule="auto"/>
        <w:rPr>
          <w:sz w:val="20"/>
          <w:szCs w:val="20"/>
          <w:color w:val="auto"/>
        </w:rPr>
      </w:pPr>
      <w:r>
        <w:rPr>
          <w:rFonts w:ascii="Arial" w:cs="Arial" w:eastAsia="Arial" w:hAnsi="Arial"/>
          <w:sz w:val="21"/>
          <w:szCs w:val="21"/>
          <w:b w:val="1"/>
          <w:bCs w:val="1"/>
          <w:color w:val="3575B3"/>
        </w:rPr>
        <w:t>Approval of an Amendment to Our Certificate of Incorporation Regarding Other Future Charter Amendments (Proposal 5)</w:t>
      </w:r>
    </w:p>
    <w:p>
      <w:pPr>
        <w:spacing w:after="0" w:line="1" w:lineRule="exact"/>
        <w:rPr>
          <w:sz w:val="20"/>
          <w:szCs w:val="20"/>
          <w:color w:val="auto"/>
        </w:rPr>
      </w:pPr>
    </w:p>
    <w:p>
      <w:pPr>
        <w:ind w:left="220" w:right="60"/>
        <w:spacing w:after="0" w:line="252" w:lineRule="auto"/>
        <w:rPr>
          <w:sz w:val="20"/>
          <w:szCs w:val="20"/>
          <w:color w:val="auto"/>
        </w:rPr>
      </w:pPr>
      <w:r>
        <w:rPr>
          <w:rFonts w:ascii="Arial" w:cs="Arial" w:eastAsia="Arial" w:hAnsi="Arial"/>
          <w:sz w:val="16"/>
          <w:szCs w:val="16"/>
          <w:color w:val="435363"/>
        </w:rPr>
        <w:t>In response to shareholder action at our 2023 annual meeting of stockholders, and after carefully considering the advantages and disadvantages of maintaining the supermajority voting provisions in our Certificate of Incorporation, the Board has determined that it is in the best interests of the Company and its stockholders to amend our Certificate of Incorporation to eliminate the supermajority voting provisions (the “Supermajority Elimination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299720</wp:posOffset>
            </wp:positionV>
            <wp:extent cx="4471035" cy="789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71035" cy="78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4320" w:right="280"/>
        <w:spacing w:after="0" w:line="289" w:lineRule="auto"/>
        <w:rPr>
          <w:sz w:val="20"/>
          <w:szCs w:val="20"/>
          <w:color w:val="auto"/>
        </w:rPr>
      </w:pPr>
      <w:r>
        <w:rPr>
          <w:rFonts w:ascii="Arial" w:cs="Arial" w:eastAsia="Arial" w:hAnsi="Arial"/>
          <w:sz w:val="15"/>
          <w:szCs w:val="15"/>
          <w:b w:val="1"/>
          <w:bCs w:val="1"/>
          <w:color w:val="3575B3"/>
        </w:rPr>
        <w:t>The Board unanimously recommends that the stockholders vote “FOR” the approval of the proposal to amend our Certificate of Incorporation to allow all other provisions of the Certificate of Incorporation to be amended by simple majority vote.</w:t>
      </w: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Advisory Vote on a Stockholder Proposal (Proposal 6)</w:t>
      </w:r>
    </w:p>
    <w:p>
      <w:pPr>
        <w:spacing w:after="0" w:line="90"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435363"/>
        </w:rPr>
        <w:t>The Treasurer for the State of Illinois, as Trustee of the Bright Start College Savings Trust, has informed the Company that it intends to present a proposal at our Annual Meeting. The address of the stockholder and the number of the Company’s securities that the stockholder owns will be provided to stockholders promptly upon request. If the stockholder (or their “qualified representative”) is present at the Annual Meeting and properly submits the proposal for a vote, then the stockholder proposal will be voted upon at the Annual Meeting. In accordance with federal securities laws, the stockholder proposal is presented under Proposal 6 as submitted by the stockholder and is quoted verbatim. The Company disclaims all responsibility for the content of the proposal and the supporting statement, including other sources referenced in the supporting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301625</wp:posOffset>
            </wp:positionV>
            <wp:extent cx="4471035" cy="789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71035" cy="78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320" w:right="380"/>
        <w:spacing w:after="0" w:line="263" w:lineRule="auto"/>
        <w:rPr>
          <w:sz w:val="20"/>
          <w:szCs w:val="20"/>
          <w:color w:val="auto"/>
        </w:rPr>
      </w:pPr>
      <w:r>
        <w:rPr>
          <w:rFonts w:ascii="Arial" w:cs="Arial" w:eastAsia="Arial" w:hAnsi="Arial"/>
          <w:sz w:val="16"/>
          <w:szCs w:val="16"/>
          <w:b w:val="1"/>
          <w:bCs w:val="1"/>
          <w:color w:val="3575B3"/>
        </w:rPr>
        <w:t>For the reasons stated in the Board’s Statement in Opposition, which follows the stockholder proposal under Proposal 6, the Board unanimously urges stockholders to vote “AGAINST” the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549275</wp:posOffset>
            </wp:positionV>
            <wp:extent cx="5177155" cy="168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vii</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215265</wp:posOffset>
            </wp:positionV>
            <wp:extent cx="6193790" cy="285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ectPr>
          <w:pgSz w:w="11900" w:h="16838" w:orient="portrait"/>
          <w:cols w:equalWidth="0" w:num="1">
            <w:col w:w="10920"/>
          </w:cols>
          <w:pgMar w:left="320" w:top="477"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32"/>
          <w:szCs w:val="32"/>
          <w:color w:val="66AFDA"/>
        </w:rPr>
        <w:t>TABLE OF CONTENTS</w:t>
      </w:r>
    </w:p>
    <w:p>
      <w:pPr>
        <w:spacing w:after="0" w:line="18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22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b w:val="1"/>
                <w:bCs w:val="1"/>
                <w:color w:val="0000EE"/>
                <w:w w:val="96"/>
              </w:rPr>
              <w:t>PROXY STATEMENT SUMMARY </w:t>
            </w:r>
          </w:p>
        </w:tc>
        <w:tc>
          <w:tcPr>
            <w:tcW w:w="140" w:type="dxa"/>
            <w:vAlign w:val="bottom"/>
            <w:tcBorders>
              <w:bottom w:val="single" w:sz="8" w:color="0000EE"/>
            </w:tcBorders>
          </w:tcPr>
          <w:p>
            <w:pPr>
              <w:ind w:left="60"/>
              <w:spacing w:after="0"/>
              <w:rPr>
                <w:sz w:val="20"/>
                <w:szCs w:val="20"/>
                <w:color w:val="auto"/>
              </w:rPr>
            </w:pPr>
            <w:r>
              <w:rPr>
                <w:rFonts w:ascii="Arial" w:cs="Arial" w:eastAsia="Arial" w:hAnsi="Arial"/>
                <w:sz w:val="8"/>
                <w:szCs w:val="8"/>
                <w:b w:val="1"/>
                <w:bCs w:val="1"/>
                <w:color w:val="0000EE"/>
                <w:w w:val="74"/>
              </w:rPr>
              <w:t> </w:t>
            </w:r>
          </w:p>
        </w:tc>
        <w:tc>
          <w:tcPr>
            <w:tcW w:w="200" w:type="dxa"/>
            <w:vAlign w:val="bottom"/>
            <w:tcBorders>
              <w:bottom w:val="single" w:sz="8" w:color="0000EE"/>
            </w:tcBorders>
          </w:tcPr>
          <w:p>
            <w:pPr>
              <w:ind w:left="60"/>
              <w:spacing w:after="0"/>
              <w:rPr>
                <w:sz w:val="20"/>
                <w:szCs w:val="20"/>
                <w:color w:val="auto"/>
              </w:rPr>
            </w:pPr>
            <w:r>
              <w:rPr>
                <w:rFonts w:ascii="Arial" w:cs="Arial" w:eastAsia="Arial" w:hAnsi="Arial"/>
                <w:sz w:val="14"/>
                <w:szCs w:val="14"/>
                <w:b w:val="1"/>
                <w:bCs w:val="1"/>
                <w:color w:val="0000EE"/>
                <w:w w:val="85"/>
              </w:rPr>
              <w:t> </w:t>
            </w:r>
          </w:p>
        </w:tc>
        <w:tc>
          <w:tcPr>
            <w:tcW w:w="14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w w:val="85"/>
              </w:rPr>
              <w:t> </w:t>
            </w:r>
          </w:p>
        </w:tc>
        <w:tc>
          <w:tcPr>
            <w:tcW w:w="14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w w:val="85"/>
              </w:rPr>
              <w:t> </w:t>
            </w:r>
          </w:p>
        </w:tc>
        <w:tc>
          <w:tcPr>
            <w:tcW w:w="14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w w:val="85"/>
              </w:rPr>
              <w:t> </w:t>
            </w:r>
          </w:p>
        </w:tc>
        <w:tc>
          <w:tcPr>
            <w:tcW w:w="14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w w:val="85"/>
              </w:rPr>
              <w:t> </w:t>
            </w:r>
          </w:p>
        </w:tc>
        <w:tc>
          <w:tcPr>
            <w:tcW w:w="160" w:type="dxa"/>
            <w:vAlign w:val="bottom"/>
            <w:tcBorders>
              <w:bottom w:val="single" w:sz="8" w:color="0000EE"/>
            </w:tcBorders>
          </w:tcPr>
          <w:p>
            <w:pPr>
              <w:ind w:left="20"/>
              <w:spacing w:after="0"/>
              <w:rPr>
                <w:sz w:val="20"/>
                <w:szCs w:val="20"/>
                <w:color w:val="auto"/>
              </w:rPr>
            </w:pPr>
            <w:r>
              <w:rPr>
                <w:rFonts w:ascii="Arial" w:cs="Arial" w:eastAsia="Arial" w:hAnsi="Arial"/>
                <w:sz w:val="14"/>
                <w:szCs w:val="14"/>
                <w:b w:val="1"/>
                <w:bCs w:val="1"/>
                <w:color w:val="0000EE"/>
                <w:w w:val="85"/>
              </w:rPr>
              <w:t> </w:t>
            </w:r>
          </w:p>
        </w:tc>
        <w:tc>
          <w:tcPr>
            <w:tcW w:w="14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w w:val="85"/>
              </w:rPr>
              <w:t> </w:t>
            </w:r>
          </w:p>
        </w:tc>
        <w:tc>
          <w:tcPr>
            <w:tcW w:w="200" w:type="dxa"/>
            <w:vAlign w:val="bottom"/>
            <w:tcBorders>
              <w:bottom w:val="single" w:sz="8" w:color="0000EE"/>
            </w:tcBorders>
          </w:tcPr>
          <w:p>
            <w:pPr>
              <w:spacing w:after="0"/>
              <w:rPr>
                <w:sz w:val="20"/>
                <w:szCs w:val="20"/>
                <w:color w:val="auto"/>
              </w:rPr>
            </w:pPr>
            <w:r>
              <w:rPr>
                <w:rFonts w:ascii="Arial" w:cs="Arial" w:eastAsia="Arial" w:hAnsi="Arial"/>
                <w:sz w:val="14"/>
                <w:szCs w:val="14"/>
                <w:b w:val="1"/>
                <w:bCs w:val="1"/>
                <w:color w:val="0000EE"/>
              </w:rPr>
              <w:t xml:space="preserve">    </w:t>
            </w:r>
          </w:p>
        </w:tc>
        <w:tc>
          <w:tcPr>
            <w:tcW w:w="140" w:type="dxa"/>
            <w:vAlign w:val="bottom"/>
            <w:tcBorders>
              <w:bottom w:val="single" w:sz="8" w:color="0000EE"/>
            </w:tcBorders>
          </w:tcPr>
          <w:p>
            <w:pPr>
              <w:ind w:left="80"/>
              <w:spacing w:after="0"/>
              <w:rPr>
                <w:sz w:val="20"/>
                <w:szCs w:val="20"/>
                <w:color w:val="auto"/>
              </w:rPr>
            </w:pPr>
            <w:r>
              <w:rPr>
                <w:rFonts w:ascii="Arial" w:cs="Arial" w:eastAsia="Arial" w:hAnsi="Arial"/>
                <w:sz w:val="5"/>
                <w:szCs w:val="5"/>
                <w:b w:val="1"/>
                <w:bCs w:val="1"/>
                <w:color w:val="0000EE"/>
                <w:w w:val="79"/>
              </w:rPr>
              <w:t> </w:t>
            </w:r>
          </w:p>
        </w:tc>
        <w:tc>
          <w:tcPr>
            <w:tcW w:w="120" w:type="dxa"/>
            <w:vAlign w:val="bottom"/>
            <w:tcBorders>
              <w:bottom w:val="single" w:sz="8" w:color="0000EE"/>
            </w:tcBorders>
          </w:tcPr>
          <w:p>
            <w:pPr>
              <w:jc w:val="center"/>
              <w:ind w:left="9"/>
              <w:spacing w:after="0"/>
              <w:rPr>
                <w:sz w:val="20"/>
                <w:szCs w:val="20"/>
                <w:color w:val="auto"/>
              </w:rPr>
            </w:pPr>
            <w:r>
              <w:rPr>
                <w:rFonts w:ascii="Arial" w:cs="Arial" w:eastAsia="Arial" w:hAnsi="Arial"/>
                <w:sz w:val="14"/>
                <w:szCs w:val="14"/>
                <w:b w:val="1"/>
                <w:bCs w:val="1"/>
                <w:color w:val="0000EE"/>
                <w:w w:val="84"/>
              </w:rPr>
              <w:t> </w:t>
            </w:r>
          </w:p>
        </w:tc>
        <w:tc>
          <w:tcPr>
            <w:tcW w:w="40" w:type="dxa"/>
            <w:vAlign w:val="bottom"/>
          </w:tcPr>
          <w:p>
            <w:pPr>
              <w:spacing w:after="0"/>
              <w:rPr>
                <w:sz w:val="14"/>
                <w:szCs w:val="14"/>
                <w:color w:val="auto"/>
              </w:rPr>
            </w:pPr>
          </w:p>
        </w:tc>
      </w:tr>
      <w:tr>
        <w:trPr>
          <w:trHeight w:val="245"/>
        </w:trPr>
        <w:tc>
          <w:tcPr>
            <w:tcW w:w="1460" w:type="dxa"/>
            <w:vAlign w:val="bottom"/>
            <w:tcBorders>
              <w:bottom w:val="single" w:sz="8" w:color="0000EE"/>
            </w:tcBorders>
            <w:gridSpan w:val="2"/>
          </w:tcPr>
          <w:p>
            <w:pPr>
              <w:jc w:val="right"/>
              <w:spacing w:after="0"/>
              <w:rPr>
                <w:sz w:val="20"/>
                <w:szCs w:val="20"/>
                <w:color w:val="auto"/>
              </w:rPr>
            </w:pPr>
            <w:r>
              <w:rPr>
                <w:rFonts w:ascii="Arial" w:cs="Arial" w:eastAsia="Arial" w:hAnsi="Arial"/>
                <w:sz w:val="14"/>
                <w:szCs w:val="14"/>
                <w:b w:val="1"/>
                <w:bCs w:val="1"/>
                <w:color w:val="0000EE"/>
              </w:rPr>
              <w:t xml:space="preserve">THE MEETING          </w:t>
            </w:r>
          </w:p>
        </w:tc>
        <w:tc>
          <w:tcPr>
            <w:tcW w:w="760" w:type="dxa"/>
            <w:vAlign w:val="bottom"/>
            <w:tcBorders>
              <w:bottom w:val="single" w:sz="8" w:color="0000EE"/>
            </w:tcBorders>
            <w:gridSpan w:val="2"/>
          </w:tcPr>
          <w:p>
            <w:pPr>
              <w:ind w:left="80"/>
              <w:spacing w:after="0"/>
              <w:rPr>
                <w:sz w:val="20"/>
                <w:szCs w:val="20"/>
                <w:color w:val="auto"/>
              </w:rPr>
            </w:pPr>
            <w:r>
              <w:rPr>
                <w:rFonts w:ascii="Arial" w:cs="Arial" w:eastAsia="Arial" w:hAnsi="Arial"/>
                <w:sz w:val="14"/>
                <w:szCs w:val="14"/>
                <w:b w:val="1"/>
                <w:bCs w:val="1"/>
                <w:color w:val="0000EE"/>
              </w:rPr>
              <w:t xml:space="preserve">             </w:t>
            </w:r>
          </w:p>
        </w:tc>
        <w:tc>
          <w:tcPr>
            <w:tcW w:w="140" w:type="dxa"/>
            <w:vAlign w:val="bottom"/>
            <w:tcBorders>
              <w:bottom w:val="single" w:sz="8" w:color="0000EE"/>
            </w:tcBorders>
          </w:tcPr>
          <w:p>
            <w:pPr>
              <w:ind w:left="20"/>
              <w:spacing w:after="0"/>
              <w:rPr>
                <w:sz w:val="20"/>
                <w:szCs w:val="20"/>
                <w:color w:val="auto"/>
              </w:rPr>
            </w:pPr>
            <w:r>
              <w:rPr>
                <w:rFonts w:ascii="Arial" w:cs="Arial" w:eastAsia="Arial" w:hAnsi="Arial"/>
                <w:sz w:val="14"/>
                <w:szCs w:val="14"/>
                <w:b w:val="1"/>
                <w:bCs w:val="1"/>
                <w:color w:val="0000EE"/>
                <w:w w:val="71"/>
              </w:rPr>
              <w:t> </w:t>
            </w:r>
          </w:p>
        </w:tc>
        <w:tc>
          <w:tcPr>
            <w:tcW w:w="200" w:type="dxa"/>
            <w:vAlign w:val="bottom"/>
            <w:tcBorders>
              <w:bottom w:val="single" w:sz="8" w:color="0000EE"/>
            </w:tcBorders>
          </w:tcPr>
          <w:p>
            <w:pPr>
              <w:ind w:left="20"/>
              <w:spacing w:after="0"/>
              <w:rPr>
                <w:sz w:val="20"/>
                <w:szCs w:val="20"/>
                <w:color w:val="auto"/>
              </w:rPr>
            </w:pPr>
            <w:r>
              <w:rPr>
                <w:rFonts w:ascii="Arial" w:cs="Arial" w:eastAsia="Arial" w:hAnsi="Arial"/>
                <w:sz w:val="14"/>
                <w:szCs w:val="14"/>
                <w:b w:val="1"/>
                <w:bCs w:val="1"/>
                <w:color w:val="0000EE"/>
              </w:rPr>
              <w:t xml:space="preserve">    </w:t>
            </w:r>
          </w:p>
        </w:tc>
        <w:tc>
          <w:tcPr>
            <w:tcW w:w="140" w:type="dxa"/>
            <w:vAlign w:val="bottom"/>
            <w:tcBorders>
              <w:bottom w:val="single" w:sz="8" w:color="0000EE"/>
            </w:tcBorders>
          </w:tcPr>
          <w:p>
            <w:pPr>
              <w:ind w:left="100"/>
              <w:spacing w:after="0"/>
              <w:rPr>
                <w:sz w:val="20"/>
                <w:szCs w:val="20"/>
                <w:color w:val="auto"/>
              </w:rPr>
            </w:pPr>
            <w:r>
              <w:rPr>
                <w:rFonts w:ascii="Arial" w:cs="Arial" w:eastAsia="Arial" w:hAnsi="Arial"/>
                <w:sz w:val="2"/>
                <w:szCs w:val="2"/>
                <w:b w:val="1"/>
                <w:bCs w:val="1"/>
                <w:color w:val="0000EE"/>
                <w:w w:val="97"/>
              </w:rPr>
              <w:t> </w:t>
            </w:r>
          </w:p>
        </w:tc>
        <w:tc>
          <w:tcPr>
            <w:tcW w:w="140" w:type="dxa"/>
            <w:vAlign w:val="bottom"/>
            <w:tcBorders>
              <w:bottom w:val="single" w:sz="8" w:color="0000EE"/>
            </w:tcBorders>
          </w:tcPr>
          <w:p>
            <w:pPr>
              <w:ind w:left="100"/>
              <w:spacing w:after="0"/>
              <w:rPr>
                <w:sz w:val="20"/>
                <w:szCs w:val="20"/>
                <w:color w:val="auto"/>
              </w:rPr>
            </w:pPr>
            <w:r>
              <w:rPr>
                <w:rFonts w:ascii="Arial" w:cs="Arial" w:eastAsia="Arial" w:hAnsi="Arial"/>
                <w:sz w:val="2"/>
                <w:szCs w:val="2"/>
                <w:b w:val="1"/>
                <w:bCs w:val="1"/>
                <w:color w:val="0000EE"/>
                <w:w w:val="97"/>
              </w:rPr>
              <w:t> </w:t>
            </w:r>
          </w:p>
        </w:tc>
        <w:tc>
          <w:tcPr>
            <w:tcW w:w="140" w:type="dxa"/>
            <w:vAlign w:val="bottom"/>
            <w:tcBorders>
              <w:bottom w:val="single" w:sz="8" w:color="0000EE"/>
            </w:tcBorders>
          </w:tcPr>
          <w:p>
            <w:pPr>
              <w:ind w:left="100"/>
              <w:spacing w:after="0"/>
              <w:rPr>
                <w:sz w:val="20"/>
                <w:szCs w:val="20"/>
                <w:color w:val="auto"/>
              </w:rPr>
            </w:pPr>
            <w:r>
              <w:rPr>
                <w:rFonts w:ascii="Arial" w:cs="Arial" w:eastAsia="Arial" w:hAnsi="Arial"/>
                <w:sz w:val="2"/>
                <w:szCs w:val="2"/>
                <w:b w:val="1"/>
                <w:bCs w:val="1"/>
                <w:color w:val="0000EE"/>
                <w:w w:val="97"/>
              </w:rPr>
              <w:t> </w:t>
            </w:r>
          </w:p>
        </w:tc>
        <w:tc>
          <w:tcPr>
            <w:tcW w:w="140" w:type="dxa"/>
            <w:vAlign w:val="bottom"/>
            <w:tcBorders>
              <w:bottom w:val="single" w:sz="8" w:color="0000EE"/>
            </w:tcBorders>
          </w:tcPr>
          <w:p>
            <w:pPr>
              <w:ind w:left="100"/>
              <w:spacing w:after="0"/>
              <w:rPr>
                <w:sz w:val="20"/>
                <w:szCs w:val="20"/>
                <w:color w:val="auto"/>
              </w:rPr>
            </w:pPr>
            <w:r>
              <w:rPr>
                <w:rFonts w:ascii="Arial" w:cs="Arial" w:eastAsia="Arial" w:hAnsi="Arial"/>
                <w:sz w:val="2"/>
                <w:szCs w:val="2"/>
                <w:b w:val="1"/>
                <w:bCs w:val="1"/>
                <w:color w:val="0000EE"/>
                <w:w w:val="97"/>
              </w:rPr>
              <w:t> </w:t>
            </w:r>
          </w:p>
        </w:tc>
        <w:tc>
          <w:tcPr>
            <w:tcW w:w="160" w:type="dxa"/>
            <w:vAlign w:val="bottom"/>
            <w:tcBorders>
              <w:bottom w:val="single" w:sz="8" w:color="0000EE"/>
            </w:tcBorders>
          </w:tcPr>
          <w:p>
            <w:pPr>
              <w:ind w:left="100"/>
              <w:spacing w:after="0"/>
              <w:rPr>
                <w:sz w:val="20"/>
                <w:szCs w:val="20"/>
                <w:color w:val="auto"/>
              </w:rPr>
            </w:pPr>
            <w:r>
              <w:rPr>
                <w:rFonts w:ascii="Arial" w:cs="Arial" w:eastAsia="Arial" w:hAnsi="Arial"/>
                <w:sz w:val="5"/>
                <w:szCs w:val="5"/>
                <w:b w:val="1"/>
                <w:bCs w:val="1"/>
                <w:color w:val="0000EE"/>
                <w:w w:val="79"/>
              </w:rPr>
              <w:t> </w:t>
            </w:r>
          </w:p>
        </w:tc>
        <w:tc>
          <w:tcPr>
            <w:tcW w:w="140" w:type="dxa"/>
            <w:vAlign w:val="bottom"/>
            <w:tcBorders>
              <w:bottom w:val="single" w:sz="8" w:color="0000EE"/>
            </w:tcBorders>
          </w:tcPr>
          <w:p>
            <w:pPr>
              <w:ind w:left="100"/>
              <w:spacing w:after="0"/>
              <w:rPr>
                <w:sz w:val="20"/>
                <w:szCs w:val="20"/>
                <w:color w:val="auto"/>
              </w:rPr>
            </w:pPr>
            <w:r>
              <w:rPr>
                <w:rFonts w:ascii="Arial" w:cs="Arial" w:eastAsia="Arial" w:hAnsi="Arial"/>
                <w:sz w:val="2"/>
                <w:szCs w:val="2"/>
                <w:b w:val="1"/>
                <w:bCs w:val="1"/>
                <w:color w:val="0000EE"/>
                <w:w w:val="97"/>
              </w:rPr>
              <w:t> </w:t>
            </w:r>
          </w:p>
        </w:tc>
        <w:tc>
          <w:tcPr>
            <w:tcW w:w="200" w:type="dxa"/>
            <w:vAlign w:val="bottom"/>
            <w:tcBorders>
              <w:bottom w:val="single" w:sz="8" w:color="0000EE"/>
            </w:tcBorders>
          </w:tcPr>
          <w:p>
            <w:pPr>
              <w:ind w:left="100"/>
              <w:spacing w:after="0"/>
              <w:rPr>
                <w:sz w:val="20"/>
                <w:szCs w:val="20"/>
                <w:color w:val="auto"/>
              </w:rPr>
            </w:pPr>
            <w:r>
              <w:rPr>
                <w:rFonts w:ascii="Arial" w:cs="Arial" w:eastAsia="Arial" w:hAnsi="Arial"/>
                <w:sz w:val="11"/>
                <w:szCs w:val="11"/>
                <w:b w:val="1"/>
                <w:bCs w:val="1"/>
                <w:color w:val="0000EE"/>
                <w:w w:val="72"/>
              </w:rPr>
              <w:t> </w:t>
            </w:r>
          </w:p>
        </w:tc>
        <w:tc>
          <w:tcPr>
            <w:tcW w:w="140" w:type="dxa"/>
            <w:vAlign w:val="bottom"/>
            <w:tcBorders>
              <w:bottom w:val="single" w:sz="8" w:color="0000EE"/>
            </w:tcBorders>
          </w:tcPr>
          <w:p>
            <w:pPr>
              <w:ind w:left="40"/>
              <w:spacing w:after="0"/>
              <w:rPr>
                <w:sz w:val="20"/>
                <w:szCs w:val="20"/>
                <w:color w:val="auto"/>
              </w:rPr>
            </w:pPr>
            <w:r>
              <w:rPr>
                <w:rFonts w:ascii="Arial" w:cs="Arial" w:eastAsia="Arial" w:hAnsi="Arial"/>
                <w:sz w:val="11"/>
                <w:szCs w:val="11"/>
                <w:b w:val="1"/>
                <w:bCs w:val="1"/>
                <w:color w:val="0000EE"/>
                <w:w w:val="72"/>
              </w:rPr>
              <w:t> </w:t>
            </w:r>
          </w:p>
        </w:tc>
        <w:tc>
          <w:tcPr>
            <w:tcW w:w="160" w:type="dxa"/>
            <w:vAlign w:val="bottom"/>
            <w:tcBorders>
              <w:bottom w:val="single" w:sz="8" w:color="0000EE"/>
            </w:tcBorders>
            <w:gridSpan w:val="2"/>
          </w:tcPr>
          <w:p>
            <w:pPr>
              <w:jc w:val="center"/>
              <w:spacing w:after="0"/>
              <w:rPr>
                <w:sz w:val="20"/>
                <w:szCs w:val="20"/>
                <w:color w:val="auto"/>
              </w:rPr>
            </w:pPr>
            <w:r>
              <w:rPr>
                <w:rFonts w:ascii="Arial" w:cs="Arial" w:eastAsia="Arial" w:hAnsi="Arial"/>
                <w:sz w:val="14"/>
                <w:szCs w:val="14"/>
                <w:b w:val="1"/>
                <w:bCs w:val="1"/>
                <w:color w:val="0000EE"/>
              </w:rPr>
              <w:t xml:space="preserve">   </w:t>
            </w:r>
          </w:p>
        </w:tc>
      </w:tr>
      <w:tr>
        <w:trPr>
          <w:trHeight w:val="139"/>
        </w:trPr>
        <w:tc>
          <w:tcPr>
            <w:tcW w:w="260" w:type="dxa"/>
            <w:vAlign w:val="bottom"/>
          </w:tcPr>
          <w:p>
            <w:pPr>
              <w:spacing w:after="0"/>
              <w:rPr>
                <w:sz w:val="12"/>
                <w:szCs w:val="12"/>
                <w:color w:val="auto"/>
              </w:rPr>
            </w:pPr>
          </w:p>
        </w:tc>
        <w:tc>
          <w:tcPr>
            <w:tcW w:w="1200" w:type="dxa"/>
            <w:vAlign w:val="bottom"/>
            <w:tcBorders>
              <w:bottom w:val="single" w:sz="8" w:color="0000EE"/>
            </w:tcBorders>
          </w:tcPr>
          <w:p>
            <w:pPr>
              <w:jc w:val="right"/>
              <w:spacing w:after="0" w:line="139" w:lineRule="exact"/>
              <w:rPr>
                <w:sz w:val="20"/>
                <w:szCs w:val="20"/>
                <w:color w:val="auto"/>
              </w:rPr>
            </w:pPr>
            <w:r>
              <w:rPr>
                <w:rFonts w:ascii="Arial" w:cs="Arial" w:eastAsia="Arial" w:hAnsi="Arial"/>
                <w:sz w:val="14"/>
                <w:szCs w:val="14"/>
                <w:color w:val="0000EE"/>
                <w:w w:val="99"/>
              </w:rPr>
              <w:t>Purpose, Date and</w:t>
            </w:r>
          </w:p>
        </w:tc>
        <w:tc>
          <w:tcPr>
            <w:tcW w:w="320" w:type="dxa"/>
            <w:vAlign w:val="bottom"/>
            <w:tcBorders>
              <w:bottom w:val="single" w:sz="8" w:color="0000EE"/>
            </w:tcBorders>
          </w:tcPr>
          <w:p>
            <w:pPr>
              <w:ind w:left="20"/>
              <w:spacing w:after="0" w:line="139" w:lineRule="exact"/>
              <w:rPr>
                <w:sz w:val="20"/>
                <w:szCs w:val="20"/>
                <w:color w:val="auto"/>
              </w:rPr>
            </w:pPr>
            <w:r>
              <w:rPr>
                <w:rFonts w:ascii="Arial" w:cs="Arial" w:eastAsia="Arial" w:hAnsi="Arial"/>
                <w:sz w:val="14"/>
                <w:szCs w:val="14"/>
                <w:color w:val="0000EE"/>
                <w:w w:val="89"/>
              </w:rPr>
              <w:t>Time</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ind w:left="480" w:right="1860"/>
        <w:spacing w:after="0"/>
        <w:rPr>
          <w:sz w:val="20"/>
          <w:szCs w:val="20"/>
          <w:color w:val="auto"/>
        </w:rPr>
      </w:pPr>
      <w:r>
        <w:rPr>
          <w:rFonts w:ascii="Arial" w:cs="Arial" w:eastAsia="Arial" w:hAnsi="Arial"/>
          <w:sz w:val="14"/>
          <w:szCs w:val="14"/>
          <w:u w:val="single" w:color="auto"/>
          <w:color w:val="0000EE"/>
        </w:rPr>
        <w:t>Record Date; Stockholders Entitled to Vote Virtual Stockholder Meeting Quorum</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4"/>
          <w:szCs w:val="14"/>
          <w:u w:val="single" w:color="auto"/>
          <w:color w:val="0000EE"/>
        </w:rPr>
        <w:t>Vote Required to Approve Each Proposal</w:t>
      </w:r>
    </w:p>
    <w:p>
      <w:pPr>
        <w:ind w:left="480"/>
        <w:spacing w:after="0" w:line="236" w:lineRule="auto"/>
        <w:rPr>
          <w:sz w:val="20"/>
          <w:szCs w:val="20"/>
          <w:color w:val="auto"/>
        </w:rPr>
      </w:pPr>
      <w:r>
        <w:rPr>
          <w:rFonts w:ascii="Arial" w:cs="Arial" w:eastAsia="Arial" w:hAnsi="Arial"/>
          <w:sz w:val="14"/>
          <w:szCs w:val="14"/>
          <w:u w:val="single" w:color="auto"/>
          <w:color w:val="0000EE"/>
        </w:rPr>
        <w:t>How to Vote Your Shares</w:t>
      </w:r>
    </w:p>
    <w:p>
      <w:pPr>
        <w:ind w:left="480"/>
        <w:spacing w:after="0" w:line="237" w:lineRule="auto"/>
        <w:rPr>
          <w:sz w:val="20"/>
          <w:szCs w:val="20"/>
          <w:color w:val="auto"/>
        </w:rPr>
      </w:pPr>
      <w:r>
        <w:rPr>
          <w:rFonts w:ascii="Arial" w:cs="Arial" w:eastAsia="Arial" w:hAnsi="Arial"/>
          <w:sz w:val="14"/>
          <w:szCs w:val="14"/>
          <w:u w:val="single" w:color="auto"/>
          <w:color w:val="0000EE"/>
        </w:rPr>
        <w:t>Revoking or Changing Your Vote</w:t>
      </w:r>
    </w:p>
    <w:p>
      <w:pPr>
        <w:ind w:left="480"/>
        <w:spacing w:after="0" w:line="237" w:lineRule="auto"/>
        <w:rPr>
          <w:sz w:val="20"/>
          <w:szCs w:val="20"/>
          <w:color w:val="auto"/>
        </w:rPr>
      </w:pPr>
      <w:r>
        <w:rPr>
          <w:rFonts w:ascii="Arial" w:cs="Arial" w:eastAsia="Arial" w:hAnsi="Arial"/>
          <w:sz w:val="14"/>
          <w:szCs w:val="14"/>
          <w:u w:val="single" w:color="auto"/>
          <w:color w:val="0000EE"/>
        </w:rPr>
        <w:t>Authority of Proxies</w:t>
      </w:r>
    </w:p>
    <w:p>
      <w:pPr>
        <w:ind w:left="480"/>
        <w:spacing w:after="0" w:line="237" w:lineRule="auto"/>
        <w:rPr>
          <w:sz w:val="20"/>
          <w:szCs w:val="20"/>
          <w:color w:val="auto"/>
        </w:rPr>
      </w:pPr>
      <w:r>
        <w:rPr>
          <w:rFonts w:ascii="Arial" w:cs="Arial" w:eastAsia="Arial" w:hAnsi="Arial"/>
          <w:sz w:val="14"/>
          <w:szCs w:val="14"/>
          <w:u w:val="single" w:color="auto"/>
          <w:color w:val="0000EE"/>
        </w:rPr>
        <w:t>Solicitation of Votes</w:t>
      </w:r>
    </w:p>
    <w:p>
      <w:pPr>
        <w:ind w:left="480"/>
        <w:spacing w:after="0" w:line="236" w:lineRule="auto"/>
        <w:rPr>
          <w:sz w:val="20"/>
          <w:szCs w:val="20"/>
          <w:color w:val="auto"/>
        </w:rPr>
      </w:pPr>
      <w:r>
        <w:rPr>
          <w:rFonts w:ascii="Arial" w:cs="Arial" w:eastAsia="Arial" w:hAnsi="Arial"/>
          <w:sz w:val="14"/>
          <w:szCs w:val="14"/>
          <w:u w:val="single" w:color="auto"/>
          <w:color w:val="0000EE"/>
        </w:rPr>
        <w:t>Inspector of Election</w:t>
      </w:r>
    </w:p>
    <w:p>
      <w:pPr>
        <w:spacing w:after="0" w:line="1" w:lineRule="exact"/>
        <w:rPr>
          <w:sz w:val="20"/>
          <w:szCs w:val="20"/>
          <w:color w:val="auto"/>
        </w:rPr>
      </w:pPr>
    </w:p>
    <w:p>
      <w:pPr>
        <w:ind w:left="480" w:right="20"/>
        <w:spacing w:after="0" w:line="236" w:lineRule="auto"/>
        <w:rPr>
          <w:sz w:val="20"/>
          <w:szCs w:val="20"/>
          <w:color w:val="auto"/>
        </w:rPr>
      </w:pPr>
      <w:r>
        <w:rPr>
          <w:rFonts w:ascii="Arial" w:cs="Arial" w:eastAsia="Arial" w:hAnsi="Arial"/>
          <w:sz w:val="14"/>
          <w:szCs w:val="14"/>
          <w:u w:val="single" w:color="auto"/>
          <w:color w:val="0000EE"/>
        </w:rPr>
        <w:t>Important Notice of Internet Availability of Proxy Materials for the Annual Meeting</w:t>
      </w:r>
    </w:p>
    <w:p>
      <w:pPr>
        <w:ind w:left="480"/>
        <w:spacing w:after="0" w:line="238" w:lineRule="auto"/>
        <w:rPr>
          <w:sz w:val="20"/>
          <w:szCs w:val="20"/>
          <w:color w:val="auto"/>
        </w:rPr>
      </w:pPr>
      <w:r>
        <w:rPr>
          <w:rFonts w:ascii="Arial" w:cs="Arial" w:eastAsia="Arial" w:hAnsi="Arial"/>
          <w:sz w:val="14"/>
          <w:szCs w:val="14"/>
          <w:u w:val="single" w:color="auto"/>
          <w:color w:val="0000EE"/>
        </w:rPr>
        <w:t>Electronic Delivery of Proxy Materials</w:t>
      </w:r>
    </w:p>
    <w:p>
      <w:pPr>
        <w:ind w:left="480"/>
        <w:spacing w:after="0"/>
        <w:rPr>
          <w:sz w:val="20"/>
          <w:szCs w:val="20"/>
          <w:color w:val="auto"/>
        </w:rPr>
      </w:pPr>
      <w:r>
        <w:rPr>
          <w:rFonts w:ascii="Arial" w:cs="Arial" w:eastAsia="Arial" w:hAnsi="Arial"/>
          <w:sz w:val="14"/>
          <w:szCs w:val="14"/>
          <w:u w:val="single" w:color="auto"/>
          <w:color w:val="0000EE"/>
        </w:rPr>
        <w:t>Householding of Proxy Materials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00EE"/>
        </w:rPr>
        <w:t xml:space="preserve">PROPOSAL 1—ELECTION OF DIRECTORS 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-3175</wp:posOffset>
            </wp:positionV>
            <wp:extent cx="2476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76500" cy="825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u w:val="single" w:color="auto"/>
          <w:color w:val="0000EE"/>
        </w:rPr>
        <w:t>Election of Directors</w:t>
      </w:r>
    </w:p>
    <w:p>
      <w:pPr>
        <w:ind w:left="480"/>
        <w:spacing w:after="0"/>
        <w:rPr>
          <w:sz w:val="20"/>
          <w:szCs w:val="20"/>
          <w:color w:val="auto"/>
        </w:rPr>
      </w:pPr>
      <w:r>
        <w:rPr>
          <w:rFonts w:ascii="Arial" w:cs="Arial" w:eastAsia="Arial" w:hAnsi="Arial"/>
          <w:sz w:val="14"/>
          <w:szCs w:val="14"/>
          <w:u w:val="single" w:color="auto"/>
          <w:color w:val="0000EE"/>
        </w:rPr>
        <w:t>Director Nominees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0000EE"/>
        </w:rPr>
        <w:t xml:space="preserve">BOARD COMPOSITION 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-3175</wp:posOffset>
            </wp:positionV>
            <wp:extent cx="24739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73960" cy="8255"/>
                    </a:xfrm>
                    <a:prstGeom prst="rect">
                      <a:avLst/>
                    </a:prstGeom>
                    <a:noFill/>
                  </pic:spPr>
                </pic:pic>
              </a:graphicData>
            </a:graphic>
          </wp:anchor>
        </w:drawing>
      </w:r>
    </w:p>
    <w:p>
      <w:pPr>
        <w:ind w:left="480" w:right="980"/>
        <w:spacing w:after="0" w:line="236" w:lineRule="auto"/>
        <w:rPr>
          <w:sz w:val="20"/>
          <w:szCs w:val="20"/>
          <w:color w:val="auto"/>
        </w:rPr>
      </w:pPr>
      <w:r>
        <w:rPr>
          <w:rFonts w:ascii="Arial" w:cs="Arial" w:eastAsia="Arial" w:hAnsi="Arial"/>
          <w:sz w:val="14"/>
          <w:szCs w:val="14"/>
          <w:u w:val="single" w:color="auto"/>
          <w:color w:val="0000EE"/>
        </w:rPr>
        <w:t>How We Build a Board that is Right for American Airlines Board Refreshment and Succession Planning Board Diversity and Tenure</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14"/>
          <w:szCs w:val="14"/>
          <w:u w:val="single" w:color="auto"/>
          <w:color w:val="0000EE"/>
        </w:rPr>
        <w:t>Stockholder Recommendations or Nominations of Director Candidates</w:t>
      </w:r>
    </w:p>
    <w:p>
      <w:pPr>
        <w:spacing w:after="0" w:line="90" w:lineRule="exact"/>
        <w:rPr>
          <w:sz w:val="20"/>
          <w:szCs w:val="20"/>
          <w:color w:val="auto"/>
        </w:rPr>
      </w:pPr>
    </w:p>
    <w:p>
      <w:pPr>
        <w:ind w:left="220" w:right="160"/>
        <w:spacing w:after="0" w:line="247" w:lineRule="auto"/>
        <w:rPr>
          <w:sz w:val="20"/>
          <w:szCs w:val="20"/>
          <w:color w:val="auto"/>
        </w:rPr>
      </w:pPr>
      <w:r>
        <w:rPr>
          <w:rFonts w:ascii="Arial" w:cs="Arial" w:eastAsia="Arial" w:hAnsi="Arial"/>
          <w:sz w:val="14"/>
          <w:szCs w:val="14"/>
          <w:b w:val="1"/>
          <w:bCs w:val="1"/>
          <w:u w:val="single" w:color="auto"/>
          <w:color w:val="0000EE"/>
        </w:rPr>
        <w:t>PROPOSAL 2—RATIFICATION OF APPOINTMENT OF INDEPENDENT REGISTERED PUBLIC ACCOUNTING</w:t>
      </w:r>
    </w:p>
    <w:p>
      <w:pPr>
        <w:ind w:left="480" w:right="640" w:hanging="246"/>
        <w:spacing w:after="0" w:line="242" w:lineRule="auto"/>
        <w:rPr>
          <w:sz w:val="20"/>
          <w:szCs w:val="20"/>
          <w:color w:val="auto"/>
        </w:rPr>
      </w:pPr>
      <w:r>
        <w:rPr>
          <w:rFonts w:ascii="Arial" w:cs="Arial" w:eastAsia="Arial" w:hAnsi="Arial"/>
          <w:sz w:val="14"/>
          <w:szCs w:val="14"/>
          <w:b w:val="1"/>
          <w:bCs w:val="1"/>
          <w:color w:val="0000EE"/>
        </w:rPr>
        <w:t xml:space="preserve">FIRM                                                    </w:t>
      </w:r>
      <w:r>
        <w:rPr>
          <w:rFonts w:ascii="Arial" w:cs="Arial" w:eastAsia="Arial" w:hAnsi="Arial"/>
          <w:sz w:val="14"/>
          <w:szCs w:val="14"/>
          <w:u w:val="single" w:color="auto"/>
          <w:color w:val="0000EE"/>
        </w:rPr>
        <w:t>Ratification of Independent Registered Public Accounting Firm Independent Registered Public Accounting Firm Fees Policy on Audit Committee Pre-Approval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-321945</wp:posOffset>
            </wp:positionV>
            <wp:extent cx="24885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88565" cy="8255"/>
                    </a:xfrm>
                    <a:prstGeom prst="rect">
                      <a:avLst/>
                    </a:prstGeom>
                    <a:noFill/>
                  </pic:spPr>
                </pic:pic>
              </a:graphicData>
            </a:graphic>
          </wp:anchor>
        </w:drawing>
      </w:r>
    </w:p>
    <w:p>
      <w:pPr>
        <w:spacing w:after="0" w:line="58" w:lineRule="exact"/>
        <w:rPr>
          <w:sz w:val="20"/>
          <w:szCs w:val="20"/>
          <w:color w:val="auto"/>
        </w:rPr>
      </w:pPr>
    </w:p>
    <w:p>
      <w:pPr>
        <w:ind w:left="220" w:right="940"/>
        <w:spacing w:after="0" w:line="285" w:lineRule="auto"/>
        <w:rPr>
          <w:sz w:val="20"/>
          <w:szCs w:val="20"/>
          <w:color w:val="auto"/>
        </w:rPr>
      </w:pPr>
      <w:r>
        <w:rPr>
          <w:rFonts w:ascii="Arial" w:cs="Arial" w:eastAsia="Arial" w:hAnsi="Arial"/>
          <w:sz w:val="14"/>
          <w:szCs w:val="14"/>
          <w:b w:val="1"/>
          <w:bCs w:val="1"/>
          <w:u w:val="single" w:color="auto"/>
          <w:color w:val="0000EE"/>
        </w:rPr>
        <w:t xml:space="preserve">PROPOSAL 3—ADVISORY VOTE TO APPROVE </w:t>
      </w:r>
      <w:r>
        <w:rPr>
          <w:rFonts w:ascii="Arial" w:cs="Arial" w:eastAsia="Arial" w:hAnsi="Arial"/>
          <w:sz w:val="14"/>
          <w:szCs w:val="14"/>
          <w:b w:val="1"/>
          <w:bCs w:val="1"/>
          <w:color w:val="0000EE"/>
        </w:rPr>
        <w:t xml:space="preserve">EXECUTIVE COMPENSATION (SAY-ON-PAY)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-43180</wp:posOffset>
            </wp:positionV>
            <wp:extent cx="24434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21" w:lineRule="exact"/>
        <w:rPr>
          <w:sz w:val="20"/>
          <w:szCs w:val="20"/>
          <w:color w:val="auto"/>
        </w:rPr>
      </w:pPr>
    </w:p>
    <w:p>
      <w:pPr>
        <w:ind w:left="220" w:right="60"/>
        <w:spacing w:after="0" w:line="261" w:lineRule="auto"/>
        <w:rPr>
          <w:sz w:val="20"/>
          <w:szCs w:val="20"/>
          <w:color w:val="auto"/>
        </w:rPr>
      </w:pPr>
      <w:r>
        <w:rPr>
          <w:rFonts w:ascii="Arial" w:cs="Arial" w:eastAsia="Arial" w:hAnsi="Arial"/>
          <w:sz w:val="14"/>
          <w:szCs w:val="14"/>
          <w:b w:val="1"/>
          <w:bCs w:val="1"/>
          <w:u w:val="single" w:color="auto"/>
          <w:color w:val="0000EE"/>
        </w:rPr>
        <w:t>PROPOSAL 4—APPROVE AN AMENDMENT TO OUR CERTIFICATE OF INCORPORATION TO ALLOW OUR BYLAWS TO BE AMENDED BY SIMPLE MAJORITY VOTE</w:t>
      </w:r>
    </w:p>
    <w:p>
      <w:pPr>
        <w:spacing w:after="0" w:line="57" w:lineRule="exact"/>
        <w:rPr>
          <w:sz w:val="20"/>
          <w:szCs w:val="20"/>
          <w:color w:val="auto"/>
        </w:rPr>
      </w:pPr>
    </w:p>
    <w:p>
      <w:pPr>
        <w:ind w:left="220" w:right="60"/>
        <w:spacing w:after="0" w:line="252" w:lineRule="auto"/>
        <w:rPr>
          <w:sz w:val="20"/>
          <w:szCs w:val="20"/>
          <w:color w:val="auto"/>
        </w:rPr>
      </w:pPr>
      <w:r>
        <w:rPr>
          <w:rFonts w:ascii="Arial" w:cs="Arial" w:eastAsia="Arial" w:hAnsi="Arial"/>
          <w:sz w:val="14"/>
          <w:szCs w:val="14"/>
          <w:b w:val="1"/>
          <w:bCs w:val="1"/>
          <w:u w:val="single" w:color="auto"/>
          <w:color w:val="0000EE"/>
        </w:rPr>
        <w:t>PROPOSAL 5—APPROVE AN AMENDMENT TO OUR CERTIFICATE OF INCORPORATION TO ALLOW ALL OTHER PROVISIONS OF THE CERTIFICATE OF INCORPORATION TO BE AMENDED BY SIMPLE MAJORITY VOTE</w:t>
      </w:r>
    </w:p>
    <w:p>
      <w:pPr>
        <w:spacing w:after="0" w:line="65" w:lineRule="exact"/>
        <w:rPr>
          <w:sz w:val="20"/>
          <w:szCs w:val="20"/>
          <w:color w:val="auto"/>
        </w:rPr>
      </w:pPr>
    </w:p>
    <w:p>
      <w:pPr>
        <w:ind w:left="220" w:right="860"/>
        <w:spacing w:after="0" w:line="247" w:lineRule="auto"/>
        <w:rPr>
          <w:sz w:val="20"/>
          <w:szCs w:val="20"/>
          <w:color w:val="auto"/>
        </w:rPr>
      </w:pPr>
      <w:r>
        <w:rPr>
          <w:rFonts w:ascii="Arial" w:cs="Arial" w:eastAsia="Arial" w:hAnsi="Arial"/>
          <w:sz w:val="14"/>
          <w:szCs w:val="14"/>
          <w:b w:val="1"/>
          <w:bCs w:val="1"/>
          <w:u w:val="single" w:color="auto"/>
          <w:color w:val="0000EE"/>
        </w:rPr>
        <w:t xml:space="preserve">PROPOSAL 6—ADVISORY VOTE ON STOCKHOLDER </w:t>
      </w:r>
      <w:r>
        <w:rPr>
          <w:rFonts w:ascii="Arial" w:cs="Arial" w:eastAsia="Arial" w:hAnsi="Arial"/>
          <w:sz w:val="14"/>
          <w:szCs w:val="14"/>
          <w:b w:val="1"/>
          <w:bCs w:val="1"/>
          <w:color w:val="0000EE"/>
        </w:rPr>
        <w:t>PROPOSAL 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-10795</wp:posOffset>
            </wp:positionV>
            <wp:extent cx="24625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62530" cy="8255"/>
                    </a:xfrm>
                    <a:prstGeom prst="rect">
                      <a:avLst/>
                    </a:prstGeom>
                    <a:noFill/>
                  </pic:spPr>
                </pic:pic>
              </a:graphicData>
            </a:graphic>
          </wp:anchor>
        </w:drawing>
      </w:r>
    </w:p>
    <w:p>
      <w:pPr>
        <w:ind w:left="480"/>
        <w:spacing w:after="0" w:line="237" w:lineRule="auto"/>
        <w:rPr>
          <w:sz w:val="20"/>
          <w:szCs w:val="20"/>
          <w:color w:val="auto"/>
        </w:rPr>
      </w:pPr>
      <w:r>
        <w:rPr>
          <w:rFonts w:ascii="Arial" w:cs="Arial" w:eastAsia="Arial" w:hAnsi="Arial"/>
          <w:sz w:val="14"/>
          <w:szCs w:val="14"/>
          <w:u w:val="single" w:color="auto"/>
          <w:color w:val="0000EE"/>
        </w:rPr>
        <w:t>Stockholder Proposal</w:t>
      </w:r>
    </w:p>
    <w:p>
      <w:pPr>
        <w:ind w:left="480"/>
        <w:spacing w:after="0"/>
        <w:rPr>
          <w:sz w:val="20"/>
          <w:szCs w:val="20"/>
          <w:color w:val="auto"/>
        </w:rPr>
      </w:pPr>
      <w:r>
        <w:rPr>
          <w:rFonts w:ascii="Arial" w:cs="Arial" w:eastAsia="Arial" w:hAnsi="Arial"/>
          <w:sz w:val="14"/>
          <w:szCs w:val="14"/>
          <w:u w:val="single" w:color="auto"/>
          <w:color w:val="0000EE"/>
        </w:rPr>
        <w:t>The Board’s Statement in Opposition</w:t>
      </w:r>
    </w:p>
    <w:p>
      <w:pPr>
        <w:spacing w:after="0" w:line="90" w:lineRule="exact"/>
        <w:rPr>
          <w:sz w:val="20"/>
          <w:szCs w:val="20"/>
          <w:color w:val="auto"/>
        </w:rPr>
      </w:pPr>
    </w:p>
    <w:p>
      <w:pPr>
        <w:ind w:left="220" w:right="360"/>
        <w:spacing w:after="0" w:line="285" w:lineRule="auto"/>
        <w:rPr>
          <w:sz w:val="20"/>
          <w:szCs w:val="20"/>
          <w:color w:val="auto"/>
        </w:rPr>
      </w:pPr>
      <w:r>
        <w:rPr>
          <w:rFonts w:ascii="Arial" w:cs="Arial" w:eastAsia="Arial" w:hAnsi="Arial"/>
          <w:sz w:val="14"/>
          <w:szCs w:val="14"/>
          <w:b w:val="1"/>
          <w:bCs w:val="1"/>
          <w:u w:val="single" w:color="auto"/>
          <w:color w:val="0000EE"/>
        </w:rPr>
        <w:t xml:space="preserve">SECURITY OWNERSHIP OF CERTAIN BENEFICIAL OWNERS AND </w:t>
      </w:r>
      <w:r>
        <w:rPr>
          <w:rFonts w:ascii="Arial" w:cs="Arial" w:eastAsia="Arial" w:hAnsi="Arial"/>
          <w:sz w:val="14"/>
          <w:szCs w:val="14"/>
          <w:b w:val="1"/>
          <w:bCs w:val="1"/>
          <w:color w:val="0000EE"/>
        </w:rPr>
        <w:t xml:space="preserve">MANAGEMENT 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-43180</wp:posOffset>
            </wp:positionV>
            <wp:extent cx="18313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31340" cy="8255"/>
                    </a:xfrm>
                    <a:prstGeom prst="rect">
                      <a:avLst/>
                    </a:prstGeom>
                    <a:noFill/>
                  </pic:spPr>
                </pic:pic>
              </a:graphicData>
            </a:graphic>
          </wp:anchor>
        </w:drawing>
      </w:r>
    </w:p>
    <w:p>
      <w:pPr>
        <w:spacing w:after="0" w:line="21" w:lineRule="exact"/>
        <w:rPr>
          <w:sz w:val="20"/>
          <w:szCs w:val="20"/>
          <w:color w:val="auto"/>
        </w:rPr>
      </w:pPr>
    </w:p>
    <w:p>
      <w:pPr>
        <w:ind w:left="220"/>
        <w:spacing w:after="0" w:line="247" w:lineRule="auto"/>
        <w:rPr>
          <w:sz w:val="20"/>
          <w:szCs w:val="20"/>
          <w:color w:val="auto"/>
        </w:rPr>
      </w:pPr>
      <w:r>
        <w:rPr>
          <w:rFonts w:ascii="Arial" w:cs="Arial" w:eastAsia="Arial" w:hAnsi="Arial"/>
          <w:sz w:val="14"/>
          <w:szCs w:val="14"/>
          <w:b w:val="1"/>
          <w:bCs w:val="1"/>
          <w:u w:val="single" w:color="auto"/>
          <w:color w:val="0000EE"/>
        </w:rPr>
        <w:t xml:space="preserve">INFORMATION ABOUT THE BOARD OF DIRECTORS AND CORPORATE </w:t>
      </w:r>
      <w:r>
        <w:rPr>
          <w:rFonts w:ascii="Arial" w:cs="Arial" w:eastAsia="Arial" w:hAnsi="Arial"/>
          <w:sz w:val="14"/>
          <w:szCs w:val="14"/>
          <w:b w:val="1"/>
          <w:bCs w:val="1"/>
          <w:color w:val="0000EE"/>
        </w:rPr>
        <w:t xml:space="preserve">GOVERNANCE 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-10795</wp:posOffset>
            </wp:positionV>
            <wp:extent cx="18808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480"/>
        <w:spacing w:after="0" w:line="237" w:lineRule="auto"/>
        <w:rPr>
          <w:sz w:val="20"/>
          <w:szCs w:val="20"/>
          <w:color w:val="auto"/>
        </w:rPr>
      </w:pPr>
      <w:r>
        <w:rPr>
          <w:rFonts w:ascii="Arial" w:cs="Arial" w:eastAsia="Arial" w:hAnsi="Arial"/>
          <w:sz w:val="14"/>
          <w:szCs w:val="14"/>
          <w:u w:val="single" w:color="auto"/>
          <w:color w:val="0000EE"/>
        </w:rPr>
        <w:t>Governance Overview</w:t>
      </w:r>
    </w:p>
    <w:p>
      <w:pPr>
        <w:ind w:left="480"/>
        <w:spacing w:after="0" w:line="236" w:lineRule="auto"/>
        <w:rPr>
          <w:sz w:val="20"/>
          <w:szCs w:val="20"/>
          <w:color w:val="auto"/>
        </w:rPr>
      </w:pPr>
      <w:r>
        <w:rPr>
          <w:rFonts w:ascii="Arial" w:cs="Arial" w:eastAsia="Arial" w:hAnsi="Arial"/>
          <w:sz w:val="14"/>
          <w:szCs w:val="14"/>
          <w:u w:val="single" w:color="auto"/>
          <w:color w:val="0000EE"/>
        </w:rPr>
        <w:t>Board Leadership and Structure—Separate Chairman and CEO Roles</w:t>
      </w:r>
    </w:p>
    <w:p>
      <w:pPr>
        <w:ind w:left="480"/>
        <w:spacing w:after="0" w:line="237" w:lineRule="auto"/>
        <w:rPr>
          <w:sz w:val="20"/>
          <w:szCs w:val="20"/>
          <w:color w:val="auto"/>
        </w:rPr>
      </w:pPr>
      <w:r>
        <w:rPr>
          <w:rFonts w:ascii="Arial" w:cs="Arial" w:eastAsia="Arial" w:hAnsi="Arial"/>
          <w:sz w:val="14"/>
          <w:szCs w:val="14"/>
          <w:u w:val="single" w:color="auto"/>
          <w:color w:val="0000EE"/>
        </w:rPr>
        <w:t>Board Meetings</w:t>
      </w:r>
    </w:p>
    <w:p>
      <w:pPr>
        <w:ind w:left="480"/>
        <w:spacing w:after="0" w:line="237" w:lineRule="auto"/>
        <w:rPr>
          <w:sz w:val="20"/>
          <w:szCs w:val="20"/>
          <w:color w:val="auto"/>
        </w:rPr>
      </w:pPr>
      <w:r>
        <w:rPr>
          <w:rFonts w:ascii="Arial" w:cs="Arial" w:eastAsia="Arial" w:hAnsi="Arial"/>
          <w:sz w:val="14"/>
          <w:szCs w:val="14"/>
          <w:u w:val="single" w:color="auto"/>
          <w:color w:val="0000EE"/>
        </w:rPr>
        <w:t>Committees</w:t>
      </w:r>
    </w:p>
    <w:p>
      <w:pPr>
        <w:ind w:left="480"/>
        <w:spacing w:after="0" w:line="237" w:lineRule="auto"/>
        <w:rPr>
          <w:sz w:val="20"/>
          <w:szCs w:val="20"/>
          <w:color w:val="auto"/>
        </w:rPr>
      </w:pPr>
      <w:r>
        <w:rPr>
          <w:rFonts w:ascii="Arial" w:cs="Arial" w:eastAsia="Arial" w:hAnsi="Arial"/>
          <w:sz w:val="14"/>
          <w:szCs w:val="14"/>
          <w:u w:val="single" w:color="auto"/>
          <w:color w:val="0000EE"/>
        </w:rPr>
        <w:t>Director Independence</w:t>
      </w:r>
    </w:p>
    <w:p>
      <w:pPr>
        <w:ind w:left="480"/>
        <w:spacing w:after="0" w:line="236" w:lineRule="auto"/>
        <w:rPr>
          <w:sz w:val="20"/>
          <w:szCs w:val="20"/>
          <w:color w:val="auto"/>
        </w:rPr>
      </w:pPr>
      <w:r>
        <w:rPr>
          <w:rFonts w:ascii="Arial" w:cs="Arial" w:eastAsia="Arial" w:hAnsi="Arial"/>
          <w:sz w:val="14"/>
          <w:szCs w:val="14"/>
          <w:u w:val="single" w:color="auto"/>
          <w:color w:val="0000EE"/>
        </w:rPr>
        <w:t>Board Diversity and Tenure</w:t>
      </w:r>
    </w:p>
    <w:p>
      <w:pPr>
        <w:ind w:left="480"/>
        <w:spacing w:after="0" w:line="237" w:lineRule="auto"/>
        <w:rPr>
          <w:sz w:val="20"/>
          <w:szCs w:val="20"/>
          <w:color w:val="auto"/>
        </w:rPr>
      </w:pPr>
      <w:r>
        <w:rPr>
          <w:rFonts w:ascii="Arial" w:cs="Arial" w:eastAsia="Arial" w:hAnsi="Arial"/>
          <w:sz w:val="14"/>
          <w:szCs w:val="14"/>
          <w:u w:val="single" w:color="auto"/>
          <w:color w:val="0000EE"/>
        </w:rPr>
        <w:t>Board Self-Evaluation</w:t>
      </w:r>
    </w:p>
    <w:p>
      <w:pPr>
        <w:ind w:left="480"/>
        <w:spacing w:after="0" w:line="237" w:lineRule="auto"/>
        <w:rPr>
          <w:sz w:val="20"/>
          <w:szCs w:val="20"/>
          <w:color w:val="auto"/>
        </w:rPr>
      </w:pPr>
      <w:r>
        <w:rPr>
          <w:rFonts w:ascii="Arial" w:cs="Arial" w:eastAsia="Arial" w:hAnsi="Arial"/>
          <w:sz w:val="14"/>
          <w:szCs w:val="14"/>
          <w:u w:val="single" w:color="auto"/>
          <w:color w:val="0000EE"/>
        </w:rPr>
        <w:t>Audit Committee</w:t>
      </w:r>
    </w:p>
    <w:p>
      <w:pPr>
        <w:ind w:left="480"/>
        <w:spacing w:after="0" w:line="237" w:lineRule="auto"/>
        <w:rPr>
          <w:sz w:val="20"/>
          <w:szCs w:val="20"/>
          <w:color w:val="auto"/>
        </w:rPr>
      </w:pPr>
      <w:r>
        <w:rPr>
          <w:rFonts w:ascii="Arial" w:cs="Arial" w:eastAsia="Arial" w:hAnsi="Arial"/>
          <w:sz w:val="14"/>
          <w:szCs w:val="14"/>
          <w:u w:val="single" w:color="auto"/>
          <w:color w:val="0000EE"/>
        </w:rPr>
        <w:t>Compensation Committee</w:t>
      </w:r>
    </w:p>
    <w:p>
      <w:pPr>
        <w:ind w:left="480"/>
        <w:spacing w:after="0"/>
        <w:rPr>
          <w:sz w:val="20"/>
          <w:szCs w:val="20"/>
          <w:color w:val="auto"/>
        </w:rPr>
      </w:pPr>
      <w:r>
        <w:rPr>
          <w:rFonts w:ascii="Arial" w:cs="Arial" w:eastAsia="Arial" w:hAnsi="Arial"/>
          <w:sz w:val="14"/>
          <w:szCs w:val="14"/>
          <w:u w:val="single" w:color="auto"/>
          <w:color w:val="0000EE"/>
        </w:rPr>
        <w:t>Corporate Governance and Public Responsibility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20"/>
                <w:szCs w:val="20"/>
                <w:color w:val="auto"/>
              </w:rPr>
            </w:pPr>
            <w:r>
              <w:rPr>
                <w:rFonts w:ascii="Arial" w:cs="Arial" w:eastAsia="Arial" w:hAnsi="Arial"/>
                <w:sz w:val="14"/>
                <w:szCs w:val="14"/>
                <w:b w:val="1"/>
                <w:bCs w:val="1"/>
                <w:color w:val="3575B3"/>
              </w:rPr>
              <w:t>i</w:t>
            </w:r>
          </w:p>
        </w:tc>
        <w:tc>
          <w:tcPr>
            <w:tcW w:w="260" w:type="dxa"/>
            <w:vAlign w:val="bottom"/>
          </w:tcPr>
          <w:p>
            <w:pPr>
              <w:spacing w:after="0"/>
              <w:rPr>
                <w:sz w:val="14"/>
                <w:szCs w:val="14"/>
                <w:color w:val="auto"/>
              </w:rPr>
            </w:pPr>
          </w:p>
        </w:tc>
        <w:tc>
          <w:tcPr>
            <w:tcW w:w="2400" w:type="dxa"/>
            <w:vAlign w:val="bottom"/>
            <w:gridSpan w:val="18"/>
          </w:tcPr>
          <w:p>
            <w:pPr>
              <w:spacing w:after="0"/>
              <w:rPr>
                <w:sz w:val="20"/>
                <w:szCs w:val="20"/>
                <w:color w:val="auto"/>
              </w:rPr>
            </w:pPr>
            <w:r>
              <w:rPr>
                <w:rFonts w:ascii="Arial" w:cs="Arial" w:eastAsia="Arial" w:hAnsi="Arial"/>
                <w:sz w:val="14"/>
                <w:szCs w:val="14"/>
                <w:color w:val="0000EE"/>
              </w:rPr>
              <w:t>Finance Committee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ind w:left="100"/>
              <w:spacing w:after="0"/>
              <w:rPr>
                <w:sz w:val="20"/>
                <w:szCs w:val="20"/>
                <w:color w:val="auto"/>
              </w:rPr>
            </w:pPr>
            <w:r>
              <w:rPr>
                <w:rFonts w:ascii="Arial" w:cs="Arial" w:eastAsia="Arial" w:hAnsi="Arial"/>
                <w:sz w:val="14"/>
                <w:szCs w:val="14"/>
                <w:color w:val="435363"/>
              </w:rPr>
              <w:t>36</w:t>
            </w:r>
          </w:p>
        </w:tc>
        <w:tc>
          <w:tcPr>
            <w:tcW w:w="0" w:type="dxa"/>
            <w:vAlign w:val="bottom"/>
          </w:tcPr>
          <w:p>
            <w:pPr>
              <w:spacing w:after="0"/>
              <w:rPr>
                <w:sz w:val="1"/>
                <w:szCs w:val="1"/>
                <w:color w:val="auto"/>
              </w:rPr>
            </w:pPr>
          </w:p>
        </w:tc>
      </w:tr>
      <w:tr>
        <w:trPr>
          <w:trHeight w:val="139"/>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3575B3"/>
              </w:rPr>
              <w:t>1</w:t>
            </w:r>
          </w:p>
        </w:tc>
        <w:tc>
          <w:tcPr>
            <w:tcW w:w="260" w:type="dxa"/>
            <w:vAlign w:val="bottom"/>
          </w:tcPr>
          <w:p>
            <w:pPr>
              <w:spacing w:after="0"/>
              <w:rPr>
                <w:sz w:val="12"/>
                <w:szCs w:val="12"/>
                <w:color w:val="auto"/>
              </w:rPr>
            </w:pPr>
          </w:p>
        </w:tc>
        <w:tc>
          <w:tcPr>
            <w:tcW w:w="1200" w:type="dxa"/>
            <w:vAlign w:val="bottom"/>
            <w:tcBorders>
              <w:top w:val="single" w:sz="8" w:color="0000EE"/>
            </w:tcBorders>
            <w:gridSpan w:val="6"/>
          </w:tcPr>
          <w:p>
            <w:pPr>
              <w:spacing w:after="0" w:line="139" w:lineRule="exact"/>
              <w:rPr>
                <w:sz w:val="20"/>
                <w:szCs w:val="20"/>
                <w:color w:val="auto"/>
              </w:rPr>
            </w:pPr>
            <w:r>
              <w:rPr>
                <w:rFonts w:ascii="Arial" w:cs="Arial" w:eastAsia="Arial" w:hAnsi="Arial"/>
                <w:sz w:val="14"/>
                <w:szCs w:val="14"/>
                <w:color w:val="0000EE"/>
              </w:rPr>
              <w:t>Safety Committee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36</w:t>
            </w:r>
          </w:p>
        </w:tc>
        <w:tc>
          <w:tcPr>
            <w:tcW w:w="0" w:type="dxa"/>
            <w:vAlign w:val="bottom"/>
          </w:tcPr>
          <w:p>
            <w:pPr>
              <w:spacing w:after="0"/>
              <w:rPr>
                <w:sz w:val="1"/>
                <w:szCs w:val="1"/>
                <w:color w:val="auto"/>
              </w:rPr>
            </w:pPr>
          </w:p>
        </w:tc>
      </w:tr>
      <w:tr>
        <w:trPr>
          <w:trHeight w:val="126"/>
        </w:trPr>
        <w:tc>
          <w:tcPr>
            <w:tcW w:w="5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Borders>
              <w:top w:val="single" w:sz="8" w:color="0000EE"/>
            </w:tcBorders>
            <w:gridSpan w:val="5"/>
          </w:tcPr>
          <w:p>
            <w:pPr>
              <w:spacing w:after="0" w:line="126" w:lineRule="exact"/>
              <w:rPr>
                <w:sz w:val="20"/>
                <w:szCs w:val="20"/>
                <w:color w:val="auto"/>
              </w:rPr>
            </w:pPr>
            <w:r>
              <w:rPr>
                <w:rFonts w:ascii="Arial" w:cs="Arial" w:eastAsia="Arial" w:hAnsi="Arial"/>
                <w:sz w:val="14"/>
                <w:szCs w:val="14"/>
                <w:color w:val="0000EE"/>
                <w:w w:val="93"/>
              </w:rPr>
              <w:t>Board Role in Risk</w:t>
            </w:r>
          </w:p>
        </w:tc>
        <w:tc>
          <w:tcPr>
            <w:tcW w:w="1300" w:type="dxa"/>
            <w:vAlign w:val="bottom"/>
            <w:gridSpan w:val="13"/>
          </w:tcPr>
          <w:p>
            <w:pPr>
              <w:ind w:left="100"/>
              <w:spacing w:after="0" w:line="126" w:lineRule="exact"/>
              <w:rPr>
                <w:sz w:val="20"/>
                <w:szCs w:val="20"/>
                <w:color w:val="auto"/>
              </w:rPr>
            </w:pPr>
            <w:r>
              <w:rPr>
                <w:rFonts w:ascii="Arial" w:cs="Arial" w:eastAsia="Arial" w:hAnsi="Arial"/>
                <w:sz w:val="14"/>
                <w:szCs w:val="14"/>
                <w:color w:val="0000EE"/>
              </w:rPr>
              <w:t>Oversight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ind w:left="100"/>
              <w:spacing w:after="0" w:line="126" w:lineRule="exact"/>
              <w:rPr>
                <w:sz w:val="20"/>
                <w:szCs w:val="20"/>
                <w:color w:val="auto"/>
              </w:rPr>
            </w:pPr>
            <w:r>
              <w:rPr>
                <w:rFonts w:ascii="Arial" w:cs="Arial" w:eastAsia="Arial" w:hAnsi="Arial"/>
                <w:sz w:val="14"/>
                <w:szCs w:val="14"/>
                <w:color w:val="435363"/>
              </w:rPr>
              <w:t>37</w:t>
            </w:r>
          </w:p>
        </w:tc>
        <w:tc>
          <w:tcPr>
            <w:tcW w:w="0" w:type="dxa"/>
            <w:vAlign w:val="bottom"/>
          </w:tcPr>
          <w:p>
            <w:pPr>
              <w:spacing w:after="0"/>
              <w:rPr>
                <w:sz w:val="1"/>
                <w:szCs w:val="1"/>
                <w:color w:val="auto"/>
              </w:rPr>
            </w:pPr>
          </w:p>
        </w:tc>
      </w:tr>
      <w:tr>
        <w:trPr>
          <w:trHeight w:val="26"/>
        </w:trPr>
        <w:tc>
          <w:tcPr>
            <w:tcW w:w="560" w:type="dxa"/>
            <w:vAlign w:val="bottom"/>
            <w:vMerge w:val="restart"/>
          </w:tcPr>
          <w:p>
            <w:pPr>
              <w:spacing w:after="0" w:line="123" w:lineRule="exact"/>
              <w:rPr>
                <w:sz w:val="20"/>
                <w:szCs w:val="20"/>
                <w:color w:val="auto"/>
              </w:rPr>
            </w:pPr>
            <w:r>
              <w:rPr>
                <w:rFonts w:ascii="Arial" w:cs="Arial" w:eastAsia="Arial" w:hAnsi="Arial"/>
                <w:sz w:val="14"/>
                <w:szCs w:val="14"/>
                <w:color w:val="435363"/>
              </w:rPr>
              <w:t>1</w:t>
            </w:r>
          </w:p>
        </w:tc>
        <w:tc>
          <w:tcPr>
            <w:tcW w:w="2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5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4580" w:type="dxa"/>
            <w:vAlign w:val="bottom"/>
            <w:gridSpan w:val="44"/>
            <w:vMerge w:val="restart"/>
          </w:tcPr>
          <w:p>
            <w:pPr>
              <w:spacing w:after="0" w:line="146" w:lineRule="exact"/>
              <w:rPr>
                <w:sz w:val="20"/>
                <w:szCs w:val="20"/>
                <w:color w:val="auto"/>
              </w:rPr>
            </w:pPr>
            <w:r>
              <w:rPr>
                <w:rFonts w:ascii="Arial" w:cs="Arial" w:eastAsia="Arial" w:hAnsi="Arial"/>
                <w:sz w:val="14"/>
                <w:szCs w:val="14"/>
                <w:color w:val="0000EE"/>
              </w:rPr>
              <w:t>Risk Assessment with Respect to Compensation Practices</w:t>
            </w:r>
          </w:p>
        </w:tc>
        <w:tc>
          <w:tcPr>
            <w:tcW w:w="340" w:type="dxa"/>
            <w:vAlign w:val="bottom"/>
            <w:vMerge w:val="restart"/>
          </w:tcPr>
          <w:p>
            <w:pPr>
              <w:ind w:left="100"/>
              <w:spacing w:after="0" w:line="146" w:lineRule="exact"/>
              <w:rPr>
                <w:sz w:val="20"/>
                <w:szCs w:val="20"/>
                <w:color w:val="auto"/>
              </w:rPr>
            </w:pPr>
            <w:r>
              <w:rPr>
                <w:rFonts w:ascii="Arial" w:cs="Arial" w:eastAsia="Arial" w:hAnsi="Arial"/>
                <w:sz w:val="14"/>
                <w:szCs w:val="14"/>
                <w:color w:val="435363"/>
              </w:rPr>
              <w:t>38</w:t>
            </w:r>
          </w:p>
        </w:tc>
        <w:tc>
          <w:tcPr>
            <w:tcW w:w="0" w:type="dxa"/>
            <w:vAlign w:val="bottom"/>
          </w:tcPr>
          <w:p>
            <w:pPr>
              <w:spacing w:after="0"/>
              <w:rPr>
                <w:sz w:val="1"/>
                <w:szCs w:val="1"/>
                <w:color w:val="auto"/>
              </w:rPr>
            </w:pPr>
          </w:p>
        </w:tc>
      </w:tr>
      <w:tr>
        <w:trPr>
          <w:trHeight w:val="49"/>
        </w:trPr>
        <w:tc>
          <w:tcPr>
            <w:tcW w:w="560" w:type="dxa"/>
            <w:vAlign w:val="bottom"/>
            <w:vMerge w:val="restart"/>
          </w:tcPr>
          <w:p>
            <w:pPr>
              <w:spacing w:after="0" w:line="159" w:lineRule="exact"/>
              <w:rPr>
                <w:sz w:val="20"/>
                <w:szCs w:val="20"/>
                <w:color w:val="auto"/>
              </w:rPr>
            </w:pPr>
            <w:r>
              <w:rPr>
                <w:rFonts w:ascii="Arial" w:cs="Arial" w:eastAsia="Arial" w:hAnsi="Arial"/>
                <w:sz w:val="14"/>
                <w:szCs w:val="14"/>
                <w:color w:val="435363"/>
              </w:rPr>
              <w:t>1</w:t>
            </w:r>
          </w:p>
        </w:tc>
        <w:tc>
          <w:tcPr>
            <w:tcW w:w="260" w:type="dxa"/>
            <w:vAlign w:val="bottom"/>
          </w:tcPr>
          <w:p>
            <w:pPr>
              <w:spacing w:after="0"/>
              <w:rPr>
                <w:sz w:val="4"/>
                <w:szCs w:val="4"/>
                <w:color w:val="auto"/>
              </w:rPr>
            </w:pPr>
          </w:p>
        </w:tc>
        <w:tc>
          <w:tcPr>
            <w:tcW w:w="4580" w:type="dxa"/>
            <w:vAlign w:val="bottom"/>
            <w:gridSpan w:val="44"/>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27"/>
            <w:vMerge w:val="restart"/>
          </w:tcPr>
          <w:p>
            <w:pPr>
              <w:spacing w:after="0" w:line="139" w:lineRule="exact"/>
              <w:rPr>
                <w:sz w:val="20"/>
                <w:szCs w:val="20"/>
                <w:color w:val="auto"/>
              </w:rPr>
            </w:pPr>
            <w:r>
              <w:rPr>
                <w:rFonts w:ascii="Arial" w:cs="Arial" w:eastAsia="Arial" w:hAnsi="Arial"/>
                <w:sz w:val="14"/>
                <w:szCs w:val="14"/>
                <w:color w:val="0000EE"/>
              </w:rPr>
              <w:t>Oversight of Sustainability and Related Matters</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100"/>
              <w:spacing w:after="0" w:line="139" w:lineRule="exact"/>
              <w:rPr>
                <w:sz w:val="20"/>
                <w:szCs w:val="20"/>
                <w:color w:val="auto"/>
              </w:rPr>
            </w:pPr>
            <w:r>
              <w:rPr>
                <w:rFonts w:ascii="Arial" w:cs="Arial" w:eastAsia="Arial" w:hAnsi="Arial"/>
                <w:sz w:val="14"/>
                <w:szCs w:val="14"/>
                <w:color w:val="435363"/>
              </w:rPr>
              <w:t>38</w:t>
            </w:r>
          </w:p>
        </w:tc>
        <w:tc>
          <w:tcPr>
            <w:tcW w:w="0" w:type="dxa"/>
            <w:vAlign w:val="bottom"/>
          </w:tcPr>
          <w:p>
            <w:pPr>
              <w:spacing w:after="0"/>
              <w:rPr>
                <w:sz w:val="1"/>
                <w:szCs w:val="1"/>
                <w:color w:val="auto"/>
              </w:rPr>
            </w:pPr>
          </w:p>
        </w:tc>
      </w:tr>
      <w:tr>
        <w:trPr>
          <w:trHeight w:val="49"/>
        </w:trPr>
        <w:tc>
          <w:tcPr>
            <w:tcW w:w="560" w:type="dxa"/>
            <w:vAlign w:val="bottom"/>
            <w:vMerge w:val="restart"/>
          </w:tcPr>
          <w:p>
            <w:pPr>
              <w:spacing w:after="0" w:line="159" w:lineRule="exact"/>
              <w:rPr>
                <w:sz w:val="20"/>
                <w:szCs w:val="20"/>
                <w:color w:val="auto"/>
              </w:rPr>
            </w:pPr>
            <w:r>
              <w:rPr>
                <w:rFonts w:ascii="Arial" w:cs="Arial" w:eastAsia="Arial" w:hAnsi="Arial"/>
                <w:sz w:val="14"/>
                <w:szCs w:val="14"/>
                <w:color w:val="435363"/>
              </w:rPr>
              <w:t>1</w:t>
            </w:r>
          </w:p>
        </w:tc>
        <w:tc>
          <w:tcPr>
            <w:tcW w:w="260" w:type="dxa"/>
            <w:vAlign w:val="bottom"/>
          </w:tcPr>
          <w:p>
            <w:pPr>
              <w:spacing w:after="0"/>
              <w:rPr>
                <w:sz w:val="4"/>
                <w:szCs w:val="4"/>
                <w:color w:val="auto"/>
              </w:rPr>
            </w:pPr>
          </w:p>
        </w:tc>
        <w:tc>
          <w:tcPr>
            <w:tcW w:w="2960" w:type="dxa"/>
            <w:vAlign w:val="bottom"/>
            <w:gridSpan w:val="27"/>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400" w:type="dxa"/>
            <w:vAlign w:val="bottom"/>
            <w:gridSpan w:val="18"/>
            <w:vMerge w:val="restart"/>
          </w:tcPr>
          <w:p>
            <w:pPr>
              <w:spacing w:after="0" w:line="139" w:lineRule="exact"/>
              <w:rPr>
                <w:sz w:val="20"/>
                <w:szCs w:val="20"/>
                <w:color w:val="auto"/>
              </w:rPr>
            </w:pPr>
            <w:r>
              <w:rPr>
                <w:rFonts w:ascii="Arial" w:cs="Arial" w:eastAsia="Arial" w:hAnsi="Arial"/>
                <w:sz w:val="14"/>
                <w:szCs w:val="14"/>
                <w:color w:val="0000EE"/>
              </w:rPr>
              <w:t>Codes of Ethics</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100"/>
              <w:spacing w:after="0" w:line="139" w:lineRule="exact"/>
              <w:rPr>
                <w:sz w:val="20"/>
                <w:szCs w:val="20"/>
                <w:color w:val="auto"/>
              </w:rPr>
            </w:pPr>
            <w:r>
              <w:rPr>
                <w:rFonts w:ascii="Arial" w:cs="Arial" w:eastAsia="Arial" w:hAnsi="Arial"/>
                <w:sz w:val="14"/>
                <w:szCs w:val="14"/>
                <w:color w:val="435363"/>
              </w:rPr>
              <w:t>40</w:t>
            </w:r>
          </w:p>
        </w:tc>
        <w:tc>
          <w:tcPr>
            <w:tcW w:w="0" w:type="dxa"/>
            <w:vAlign w:val="bottom"/>
          </w:tcPr>
          <w:p>
            <w:pPr>
              <w:spacing w:after="0"/>
              <w:rPr>
                <w:sz w:val="1"/>
                <w:szCs w:val="1"/>
                <w:color w:val="auto"/>
              </w:rPr>
            </w:pPr>
          </w:p>
        </w:tc>
      </w:tr>
      <w:tr>
        <w:trPr>
          <w:trHeight w:val="49"/>
        </w:trPr>
        <w:tc>
          <w:tcPr>
            <w:tcW w:w="560" w:type="dxa"/>
            <w:vAlign w:val="bottom"/>
            <w:vMerge w:val="restart"/>
          </w:tcPr>
          <w:p>
            <w:pPr>
              <w:spacing w:after="0" w:line="159" w:lineRule="exact"/>
              <w:rPr>
                <w:sz w:val="20"/>
                <w:szCs w:val="20"/>
                <w:color w:val="auto"/>
              </w:rPr>
            </w:pPr>
            <w:r>
              <w:rPr>
                <w:rFonts w:ascii="Arial" w:cs="Arial" w:eastAsia="Arial" w:hAnsi="Arial"/>
                <w:sz w:val="14"/>
                <w:szCs w:val="14"/>
                <w:color w:val="435363"/>
              </w:rPr>
              <w:t>2</w:t>
            </w:r>
          </w:p>
        </w:tc>
        <w:tc>
          <w:tcPr>
            <w:tcW w:w="260" w:type="dxa"/>
            <w:vAlign w:val="bottom"/>
          </w:tcPr>
          <w:p>
            <w:pPr>
              <w:spacing w:after="0"/>
              <w:rPr>
                <w:sz w:val="4"/>
                <w:szCs w:val="4"/>
                <w:color w:val="auto"/>
              </w:rPr>
            </w:pPr>
          </w:p>
        </w:tc>
        <w:tc>
          <w:tcPr>
            <w:tcW w:w="2400" w:type="dxa"/>
            <w:vAlign w:val="bottom"/>
            <w:gridSpan w:val="18"/>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240" w:type="dxa"/>
            <w:vAlign w:val="bottom"/>
            <w:gridSpan w:val="30"/>
            <w:vMerge w:val="restart"/>
          </w:tcPr>
          <w:p>
            <w:pPr>
              <w:spacing w:after="0" w:line="139" w:lineRule="exact"/>
              <w:rPr>
                <w:sz w:val="20"/>
                <w:szCs w:val="20"/>
                <w:color w:val="auto"/>
              </w:rPr>
            </w:pPr>
            <w:r>
              <w:rPr>
                <w:rFonts w:ascii="Arial" w:cs="Arial" w:eastAsia="Arial" w:hAnsi="Arial"/>
                <w:sz w:val="14"/>
                <w:szCs w:val="14"/>
                <w:color w:val="0000EE"/>
                <w:w w:val="99"/>
              </w:rPr>
              <w:t>Public Policy Engagement and Political Participation</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100"/>
              <w:spacing w:after="0" w:line="139" w:lineRule="exact"/>
              <w:rPr>
                <w:sz w:val="20"/>
                <w:szCs w:val="20"/>
                <w:color w:val="auto"/>
              </w:rPr>
            </w:pPr>
            <w:r>
              <w:rPr>
                <w:rFonts w:ascii="Arial" w:cs="Arial" w:eastAsia="Arial" w:hAnsi="Arial"/>
                <w:sz w:val="14"/>
                <w:szCs w:val="14"/>
                <w:color w:val="435363"/>
              </w:rPr>
              <w:t>40</w:t>
            </w:r>
          </w:p>
        </w:tc>
        <w:tc>
          <w:tcPr>
            <w:tcW w:w="0" w:type="dxa"/>
            <w:vAlign w:val="bottom"/>
          </w:tcPr>
          <w:p>
            <w:pPr>
              <w:spacing w:after="0"/>
              <w:rPr>
                <w:sz w:val="1"/>
                <w:szCs w:val="1"/>
                <w:color w:val="auto"/>
              </w:rPr>
            </w:pPr>
          </w:p>
        </w:tc>
      </w:tr>
      <w:tr>
        <w:trPr>
          <w:trHeight w:val="49"/>
        </w:trPr>
        <w:tc>
          <w:tcPr>
            <w:tcW w:w="560" w:type="dxa"/>
            <w:vAlign w:val="bottom"/>
            <w:vMerge w:val="restart"/>
          </w:tcPr>
          <w:p>
            <w:pPr>
              <w:spacing w:after="0" w:line="159" w:lineRule="exact"/>
              <w:rPr>
                <w:sz w:val="20"/>
                <w:szCs w:val="20"/>
                <w:color w:val="auto"/>
              </w:rPr>
            </w:pPr>
            <w:r>
              <w:rPr>
                <w:rFonts w:ascii="Arial" w:cs="Arial" w:eastAsia="Arial" w:hAnsi="Arial"/>
                <w:sz w:val="14"/>
                <w:szCs w:val="14"/>
                <w:color w:val="435363"/>
              </w:rPr>
              <w:t>2</w:t>
            </w:r>
          </w:p>
        </w:tc>
        <w:tc>
          <w:tcPr>
            <w:tcW w:w="260" w:type="dxa"/>
            <w:vAlign w:val="bottom"/>
          </w:tcPr>
          <w:p>
            <w:pPr>
              <w:spacing w:after="0"/>
              <w:rPr>
                <w:sz w:val="4"/>
                <w:szCs w:val="4"/>
                <w:color w:val="auto"/>
              </w:rPr>
            </w:pPr>
          </w:p>
        </w:tc>
        <w:tc>
          <w:tcPr>
            <w:tcW w:w="3240" w:type="dxa"/>
            <w:vAlign w:val="bottom"/>
            <w:gridSpan w:val="30"/>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400" w:type="dxa"/>
            <w:vAlign w:val="bottom"/>
            <w:gridSpan w:val="18"/>
            <w:vMerge w:val="restart"/>
          </w:tcPr>
          <w:p>
            <w:pPr>
              <w:spacing w:after="0" w:line="139" w:lineRule="exact"/>
              <w:rPr>
                <w:sz w:val="20"/>
                <w:szCs w:val="20"/>
                <w:color w:val="auto"/>
              </w:rPr>
            </w:pPr>
            <w:r>
              <w:rPr>
                <w:rFonts w:ascii="Arial" w:cs="Arial" w:eastAsia="Arial" w:hAnsi="Arial"/>
                <w:sz w:val="14"/>
                <w:szCs w:val="14"/>
                <w:color w:val="0000EE"/>
              </w:rPr>
              <w:t>Prohibition on Hedging and Pledging</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100"/>
              <w:spacing w:after="0" w:line="139" w:lineRule="exact"/>
              <w:rPr>
                <w:sz w:val="20"/>
                <w:szCs w:val="20"/>
                <w:color w:val="auto"/>
              </w:rPr>
            </w:pPr>
            <w:r>
              <w:rPr>
                <w:rFonts w:ascii="Arial" w:cs="Arial" w:eastAsia="Arial" w:hAnsi="Arial"/>
                <w:sz w:val="14"/>
                <w:szCs w:val="14"/>
                <w:color w:val="435363"/>
              </w:rPr>
              <w:t>40</w:t>
            </w:r>
          </w:p>
        </w:tc>
        <w:tc>
          <w:tcPr>
            <w:tcW w:w="0" w:type="dxa"/>
            <w:vAlign w:val="bottom"/>
          </w:tcPr>
          <w:p>
            <w:pPr>
              <w:spacing w:after="0"/>
              <w:rPr>
                <w:sz w:val="1"/>
                <w:szCs w:val="1"/>
                <w:color w:val="auto"/>
              </w:rPr>
            </w:pPr>
          </w:p>
        </w:tc>
      </w:tr>
      <w:tr>
        <w:trPr>
          <w:trHeight w:val="49"/>
        </w:trPr>
        <w:tc>
          <w:tcPr>
            <w:tcW w:w="560" w:type="dxa"/>
            <w:vAlign w:val="bottom"/>
            <w:vMerge w:val="restart"/>
          </w:tcPr>
          <w:p>
            <w:pPr>
              <w:spacing w:after="0" w:line="159" w:lineRule="exact"/>
              <w:rPr>
                <w:sz w:val="20"/>
                <w:szCs w:val="20"/>
                <w:color w:val="auto"/>
              </w:rPr>
            </w:pPr>
            <w:r>
              <w:rPr>
                <w:rFonts w:ascii="Arial" w:cs="Arial" w:eastAsia="Arial" w:hAnsi="Arial"/>
                <w:sz w:val="14"/>
                <w:szCs w:val="14"/>
                <w:color w:val="435363"/>
              </w:rPr>
              <w:t>3</w:t>
            </w:r>
          </w:p>
        </w:tc>
        <w:tc>
          <w:tcPr>
            <w:tcW w:w="260" w:type="dxa"/>
            <w:vAlign w:val="bottom"/>
          </w:tcPr>
          <w:p>
            <w:pPr>
              <w:spacing w:after="0"/>
              <w:rPr>
                <w:sz w:val="4"/>
                <w:szCs w:val="4"/>
                <w:color w:val="auto"/>
              </w:rPr>
            </w:pPr>
          </w:p>
        </w:tc>
        <w:tc>
          <w:tcPr>
            <w:tcW w:w="2400" w:type="dxa"/>
            <w:vAlign w:val="bottom"/>
            <w:gridSpan w:val="18"/>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400" w:type="dxa"/>
            <w:vAlign w:val="bottom"/>
            <w:gridSpan w:val="18"/>
            <w:vMerge w:val="restart"/>
          </w:tcPr>
          <w:p>
            <w:pPr>
              <w:spacing w:after="0" w:line="139" w:lineRule="exact"/>
              <w:rPr>
                <w:sz w:val="20"/>
                <w:szCs w:val="20"/>
                <w:color w:val="auto"/>
              </w:rPr>
            </w:pPr>
            <w:r>
              <w:rPr>
                <w:rFonts w:ascii="Arial" w:cs="Arial" w:eastAsia="Arial" w:hAnsi="Arial"/>
                <w:sz w:val="14"/>
                <w:szCs w:val="14"/>
                <w:color w:val="0000EE"/>
              </w:rPr>
              <w:t>Annual Meeting Attendance</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100"/>
              <w:spacing w:after="0" w:line="139" w:lineRule="exact"/>
              <w:rPr>
                <w:sz w:val="20"/>
                <w:szCs w:val="20"/>
                <w:color w:val="auto"/>
              </w:rPr>
            </w:pPr>
            <w:r>
              <w:rPr>
                <w:rFonts w:ascii="Arial" w:cs="Arial" w:eastAsia="Arial" w:hAnsi="Arial"/>
                <w:sz w:val="14"/>
                <w:szCs w:val="14"/>
                <w:color w:val="435363"/>
              </w:rPr>
              <w:t>40</w:t>
            </w:r>
          </w:p>
        </w:tc>
        <w:tc>
          <w:tcPr>
            <w:tcW w:w="0" w:type="dxa"/>
            <w:vAlign w:val="bottom"/>
          </w:tcPr>
          <w:p>
            <w:pPr>
              <w:spacing w:after="0"/>
              <w:rPr>
                <w:sz w:val="1"/>
                <w:szCs w:val="1"/>
                <w:color w:val="auto"/>
              </w:rPr>
            </w:pPr>
          </w:p>
        </w:tc>
      </w:tr>
      <w:tr>
        <w:trPr>
          <w:trHeight w:val="49"/>
        </w:trPr>
        <w:tc>
          <w:tcPr>
            <w:tcW w:w="560" w:type="dxa"/>
            <w:vAlign w:val="bottom"/>
            <w:vMerge w:val="restart"/>
          </w:tcPr>
          <w:p>
            <w:pPr>
              <w:spacing w:after="0" w:line="159" w:lineRule="exact"/>
              <w:rPr>
                <w:sz w:val="20"/>
                <w:szCs w:val="20"/>
                <w:color w:val="auto"/>
              </w:rPr>
            </w:pPr>
            <w:r>
              <w:rPr>
                <w:rFonts w:ascii="Arial" w:cs="Arial" w:eastAsia="Arial" w:hAnsi="Arial"/>
                <w:sz w:val="14"/>
                <w:szCs w:val="14"/>
                <w:color w:val="435363"/>
              </w:rPr>
              <w:t>3</w:t>
            </w:r>
          </w:p>
        </w:tc>
        <w:tc>
          <w:tcPr>
            <w:tcW w:w="260" w:type="dxa"/>
            <w:vAlign w:val="bottom"/>
          </w:tcPr>
          <w:p>
            <w:pPr>
              <w:spacing w:after="0"/>
              <w:rPr>
                <w:sz w:val="4"/>
                <w:szCs w:val="4"/>
                <w:color w:val="auto"/>
              </w:rPr>
            </w:pPr>
          </w:p>
        </w:tc>
        <w:tc>
          <w:tcPr>
            <w:tcW w:w="2400" w:type="dxa"/>
            <w:vAlign w:val="bottom"/>
            <w:gridSpan w:val="18"/>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400" w:type="dxa"/>
            <w:vAlign w:val="bottom"/>
            <w:gridSpan w:val="18"/>
            <w:vMerge w:val="restart"/>
          </w:tcPr>
          <w:p>
            <w:pPr>
              <w:spacing w:after="0" w:line="139" w:lineRule="exact"/>
              <w:rPr>
                <w:sz w:val="20"/>
                <w:szCs w:val="20"/>
                <w:color w:val="auto"/>
              </w:rPr>
            </w:pPr>
            <w:r>
              <w:rPr>
                <w:rFonts w:ascii="Arial" w:cs="Arial" w:eastAsia="Arial" w:hAnsi="Arial"/>
                <w:sz w:val="14"/>
                <w:szCs w:val="14"/>
                <w:color w:val="0000EE"/>
              </w:rPr>
              <w:t>Director Continuing Education</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100"/>
              <w:spacing w:after="0" w:line="139" w:lineRule="exact"/>
              <w:rPr>
                <w:sz w:val="20"/>
                <w:szCs w:val="20"/>
                <w:color w:val="auto"/>
              </w:rPr>
            </w:pPr>
            <w:r>
              <w:rPr>
                <w:rFonts w:ascii="Arial" w:cs="Arial" w:eastAsia="Arial" w:hAnsi="Arial"/>
                <w:sz w:val="14"/>
                <w:szCs w:val="14"/>
                <w:color w:val="435363"/>
              </w:rPr>
              <w:t>41</w:t>
            </w:r>
          </w:p>
        </w:tc>
        <w:tc>
          <w:tcPr>
            <w:tcW w:w="0" w:type="dxa"/>
            <w:vAlign w:val="bottom"/>
          </w:tcPr>
          <w:p>
            <w:pPr>
              <w:spacing w:after="0"/>
              <w:rPr>
                <w:sz w:val="1"/>
                <w:szCs w:val="1"/>
                <w:color w:val="auto"/>
              </w:rPr>
            </w:pPr>
          </w:p>
        </w:tc>
      </w:tr>
      <w:tr>
        <w:trPr>
          <w:trHeight w:val="49"/>
        </w:trPr>
        <w:tc>
          <w:tcPr>
            <w:tcW w:w="560" w:type="dxa"/>
            <w:vAlign w:val="bottom"/>
            <w:vMerge w:val="restart"/>
          </w:tcPr>
          <w:p>
            <w:pPr>
              <w:spacing w:after="0" w:line="159" w:lineRule="exact"/>
              <w:rPr>
                <w:sz w:val="20"/>
                <w:szCs w:val="20"/>
                <w:color w:val="auto"/>
              </w:rPr>
            </w:pPr>
            <w:r>
              <w:rPr>
                <w:rFonts w:ascii="Arial" w:cs="Arial" w:eastAsia="Arial" w:hAnsi="Arial"/>
                <w:sz w:val="14"/>
                <w:szCs w:val="14"/>
                <w:color w:val="435363"/>
              </w:rPr>
              <w:t>4</w:t>
            </w:r>
          </w:p>
        </w:tc>
        <w:tc>
          <w:tcPr>
            <w:tcW w:w="260" w:type="dxa"/>
            <w:vAlign w:val="bottom"/>
          </w:tcPr>
          <w:p>
            <w:pPr>
              <w:spacing w:after="0"/>
              <w:rPr>
                <w:sz w:val="4"/>
                <w:szCs w:val="4"/>
                <w:color w:val="auto"/>
              </w:rPr>
            </w:pPr>
          </w:p>
        </w:tc>
        <w:tc>
          <w:tcPr>
            <w:tcW w:w="2400" w:type="dxa"/>
            <w:vAlign w:val="bottom"/>
            <w:gridSpan w:val="18"/>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580" w:type="dxa"/>
            <w:vAlign w:val="bottom"/>
            <w:gridSpan w:val="44"/>
            <w:vMerge w:val="restart"/>
          </w:tcPr>
          <w:p>
            <w:pPr>
              <w:spacing w:after="0" w:line="139" w:lineRule="exact"/>
              <w:rPr>
                <w:sz w:val="20"/>
                <w:szCs w:val="20"/>
                <w:color w:val="auto"/>
              </w:rPr>
            </w:pPr>
            <w:r>
              <w:rPr>
                <w:rFonts w:ascii="Arial" w:cs="Arial" w:eastAsia="Arial" w:hAnsi="Arial"/>
                <w:sz w:val="14"/>
                <w:szCs w:val="14"/>
                <w:color w:val="0000EE"/>
              </w:rPr>
              <w:t>Communications with the Board and Non-Management Directors</w:t>
            </w:r>
          </w:p>
        </w:tc>
        <w:tc>
          <w:tcPr>
            <w:tcW w:w="340" w:type="dxa"/>
            <w:vAlign w:val="bottom"/>
            <w:vMerge w:val="restart"/>
          </w:tcPr>
          <w:p>
            <w:pPr>
              <w:ind w:left="100"/>
              <w:spacing w:after="0" w:line="139" w:lineRule="exact"/>
              <w:rPr>
                <w:sz w:val="20"/>
                <w:szCs w:val="20"/>
                <w:color w:val="auto"/>
              </w:rPr>
            </w:pPr>
            <w:r>
              <w:rPr>
                <w:rFonts w:ascii="Arial" w:cs="Arial" w:eastAsia="Arial" w:hAnsi="Arial"/>
                <w:sz w:val="14"/>
                <w:szCs w:val="14"/>
                <w:color w:val="435363"/>
              </w:rPr>
              <w:t>41</w:t>
            </w:r>
          </w:p>
        </w:tc>
        <w:tc>
          <w:tcPr>
            <w:tcW w:w="0" w:type="dxa"/>
            <w:vAlign w:val="bottom"/>
          </w:tcPr>
          <w:p>
            <w:pPr>
              <w:spacing w:after="0"/>
              <w:rPr>
                <w:sz w:val="1"/>
                <w:szCs w:val="1"/>
                <w:color w:val="auto"/>
              </w:rPr>
            </w:pPr>
          </w:p>
        </w:tc>
      </w:tr>
      <w:tr>
        <w:trPr>
          <w:trHeight w:val="49"/>
        </w:trPr>
        <w:tc>
          <w:tcPr>
            <w:tcW w:w="560" w:type="dxa"/>
            <w:vAlign w:val="bottom"/>
            <w:vMerge w:val="restart"/>
          </w:tcPr>
          <w:p>
            <w:pPr>
              <w:spacing w:after="0" w:line="159" w:lineRule="exact"/>
              <w:rPr>
                <w:sz w:val="20"/>
                <w:szCs w:val="20"/>
                <w:color w:val="auto"/>
              </w:rPr>
            </w:pPr>
            <w:r>
              <w:rPr>
                <w:rFonts w:ascii="Arial" w:cs="Arial" w:eastAsia="Arial" w:hAnsi="Arial"/>
                <w:sz w:val="14"/>
                <w:szCs w:val="14"/>
                <w:color w:val="435363"/>
              </w:rPr>
              <w:t>4</w:t>
            </w:r>
          </w:p>
        </w:tc>
        <w:tc>
          <w:tcPr>
            <w:tcW w:w="260" w:type="dxa"/>
            <w:vAlign w:val="bottom"/>
          </w:tcPr>
          <w:p>
            <w:pPr>
              <w:spacing w:after="0"/>
              <w:rPr>
                <w:sz w:val="4"/>
                <w:szCs w:val="4"/>
                <w:color w:val="auto"/>
              </w:rPr>
            </w:pPr>
          </w:p>
        </w:tc>
        <w:tc>
          <w:tcPr>
            <w:tcW w:w="4580" w:type="dxa"/>
            <w:vAlign w:val="bottom"/>
            <w:gridSpan w:val="44"/>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400" w:type="dxa"/>
            <w:vAlign w:val="bottom"/>
            <w:gridSpan w:val="18"/>
            <w:vMerge w:val="restart"/>
          </w:tcPr>
          <w:p>
            <w:pPr>
              <w:spacing w:after="0" w:line="139" w:lineRule="exact"/>
              <w:rPr>
                <w:sz w:val="20"/>
                <w:szCs w:val="20"/>
                <w:color w:val="auto"/>
              </w:rPr>
            </w:pPr>
            <w:r>
              <w:rPr>
                <w:rFonts w:ascii="Arial" w:cs="Arial" w:eastAsia="Arial" w:hAnsi="Arial"/>
                <w:sz w:val="14"/>
                <w:szCs w:val="14"/>
                <w:color w:val="0000EE"/>
              </w:rPr>
              <w:t>Stockholder Engagement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100"/>
              <w:spacing w:after="0" w:line="139" w:lineRule="exact"/>
              <w:rPr>
                <w:sz w:val="20"/>
                <w:szCs w:val="20"/>
                <w:color w:val="auto"/>
              </w:rPr>
            </w:pPr>
            <w:r>
              <w:rPr>
                <w:rFonts w:ascii="Arial" w:cs="Arial" w:eastAsia="Arial" w:hAnsi="Arial"/>
                <w:sz w:val="14"/>
                <w:szCs w:val="14"/>
                <w:color w:val="435363"/>
              </w:rPr>
              <w:t>41</w:t>
            </w:r>
          </w:p>
        </w:tc>
        <w:tc>
          <w:tcPr>
            <w:tcW w:w="0" w:type="dxa"/>
            <w:vAlign w:val="bottom"/>
          </w:tcPr>
          <w:p>
            <w:pPr>
              <w:spacing w:after="0"/>
              <w:rPr>
                <w:sz w:val="1"/>
                <w:szCs w:val="1"/>
                <w:color w:val="auto"/>
              </w:rPr>
            </w:pPr>
          </w:p>
        </w:tc>
      </w:tr>
      <w:tr>
        <w:trPr>
          <w:trHeight w:val="49"/>
        </w:trPr>
        <w:tc>
          <w:tcPr>
            <w:tcW w:w="560" w:type="dxa"/>
            <w:vAlign w:val="bottom"/>
            <w:vMerge w:val="restart"/>
          </w:tcPr>
          <w:p>
            <w:pPr>
              <w:spacing w:after="0"/>
              <w:rPr>
                <w:sz w:val="20"/>
                <w:szCs w:val="20"/>
                <w:color w:val="auto"/>
              </w:rPr>
            </w:pPr>
            <w:r>
              <w:rPr>
                <w:rFonts w:ascii="Arial" w:cs="Arial" w:eastAsia="Arial" w:hAnsi="Arial"/>
                <w:sz w:val="14"/>
                <w:szCs w:val="14"/>
                <w:color w:val="435363"/>
              </w:rPr>
              <w:t>4</w:t>
            </w:r>
          </w:p>
        </w:tc>
        <w:tc>
          <w:tcPr>
            <w:tcW w:w="260" w:type="dxa"/>
            <w:vAlign w:val="bottom"/>
          </w:tcPr>
          <w:p>
            <w:pPr>
              <w:spacing w:after="0"/>
              <w:rPr>
                <w:sz w:val="4"/>
                <w:szCs w:val="4"/>
                <w:color w:val="auto"/>
              </w:rPr>
            </w:pPr>
          </w:p>
        </w:tc>
        <w:tc>
          <w:tcPr>
            <w:tcW w:w="2400" w:type="dxa"/>
            <w:vAlign w:val="bottom"/>
            <w:gridSpan w:val="18"/>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60" w:type="dxa"/>
            <w:vAlign w:val="bottom"/>
            <w:vMerge w:val="continue"/>
          </w:tcPr>
          <w:p>
            <w:pPr>
              <w:spacing w:after="0"/>
              <w:rPr>
                <w:sz w:val="10"/>
                <w:szCs w:val="10"/>
                <w:color w:val="auto"/>
              </w:rPr>
            </w:pPr>
          </w:p>
        </w:tc>
        <w:tc>
          <w:tcPr>
            <w:tcW w:w="3220" w:type="dxa"/>
            <w:vAlign w:val="bottom"/>
            <w:gridSpan w:val="28"/>
            <w:vMerge w:val="restart"/>
          </w:tcPr>
          <w:p>
            <w:pPr>
              <w:spacing w:after="0"/>
              <w:rPr>
                <w:sz w:val="20"/>
                <w:szCs w:val="20"/>
                <w:color w:val="auto"/>
              </w:rPr>
            </w:pPr>
            <w:r>
              <w:rPr>
                <w:rFonts w:ascii="Arial" w:cs="Arial" w:eastAsia="Arial" w:hAnsi="Arial"/>
                <w:sz w:val="14"/>
                <w:szCs w:val="14"/>
                <w:b w:val="1"/>
                <w:bCs w:val="1"/>
                <w:color w:val="0000EE"/>
              </w:rPr>
              <w:t xml:space="preserve">DIRECTOR COMPENSATION                            </w:t>
            </w:r>
          </w:p>
        </w:tc>
        <w:tc>
          <w:tcPr>
            <w:tcW w:w="140" w:type="dxa"/>
            <w:vAlign w:val="bottom"/>
            <w:gridSpan w:val="2"/>
            <w:vMerge w:val="restart"/>
          </w:tcPr>
          <w:p>
            <w:pPr>
              <w:ind w:left="100"/>
              <w:spacing w:after="0"/>
              <w:rPr>
                <w:sz w:val="20"/>
                <w:szCs w:val="20"/>
                <w:color w:val="auto"/>
              </w:rPr>
            </w:pPr>
            <w:r>
              <w:rPr>
                <w:rFonts w:ascii="Arial" w:cs="Arial" w:eastAsia="Arial" w:hAnsi="Arial"/>
                <w:sz w:val="2"/>
                <w:szCs w:val="2"/>
                <w:b w:val="1"/>
                <w:bCs w:val="1"/>
                <w:color w:val="0000EE"/>
                <w:w w:val="97"/>
              </w:rPr>
              <w:t> </w:t>
            </w:r>
          </w:p>
        </w:tc>
        <w:tc>
          <w:tcPr>
            <w:tcW w:w="140" w:type="dxa"/>
            <w:vAlign w:val="bottom"/>
            <w:vMerge w:val="restart"/>
          </w:tcPr>
          <w:p>
            <w:pPr>
              <w:ind w:left="100"/>
              <w:spacing w:after="0"/>
              <w:rPr>
                <w:sz w:val="20"/>
                <w:szCs w:val="20"/>
                <w:color w:val="auto"/>
              </w:rPr>
            </w:pPr>
            <w:r>
              <w:rPr>
                <w:rFonts w:ascii="Arial" w:cs="Arial" w:eastAsia="Arial" w:hAnsi="Arial"/>
                <w:sz w:val="1"/>
                <w:szCs w:val="1"/>
                <w:b w:val="1"/>
                <w:bCs w:val="1"/>
                <w:color w:val="0000EE"/>
                <w:w w:val="4294967291"/>
              </w:rPr>
              <w:t> </w:t>
            </w:r>
          </w:p>
        </w:tc>
        <w:tc>
          <w:tcPr>
            <w:tcW w:w="160" w:type="dxa"/>
            <w:vAlign w:val="bottom"/>
            <w:gridSpan w:val="2"/>
            <w:vMerge w:val="restart"/>
          </w:tcPr>
          <w:p>
            <w:pPr>
              <w:ind w:left="100"/>
              <w:spacing w:after="0"/>
              <w:rPr>
                <w:sz w:val="20"/>
                <w:szCs w:val="20"/>
                <w:color w:val="auto"/>
              </w:rPr>
            </w:pPr>
            <w:r>
              <w:rPr>
                <w:rFonts w:ascii="Arial" w:cs="Arial" w:eastAsia="Arial" w:hAnsi="Arial"/>
                <w:sz w:val="5"/>
                <w:szCs w:val="5"/>
                <w:b w:val="1"/>
                <w:bCs w:val="1"/>
                <w:color w:val="0000EE"/>
                <w:w w:val="79"/>
              </w:rPr>
              <w:t> </w:t>
            </w:r>
          </w:p>
        </w:tc>
        <w:tc>
          <w:tcPr>
            <w:tcW w:w="40" w:type="dxa"/>
            <w:vAlign w:val="bottom"/>
          </w:tcPr>
          <w:p>
            <w:pPr>
              <w:spacing w:after="0"/>
              <w:rPr>
                <w:sz w:val="10"/>
                <w:szCs w:val="10"/>
                <w:color w:val="auto"/>
              </w:rPr>
            </w:pPr>
          </w:p>
        </w:tc>
        <w:tc>
          <w:tcPr>
            <w:tcW w:w="1140" w:type="dxa"/>
            <w:vAlign w:val="bottom"/>
            <w:gridSpan w:val="11"/>
            <w:vMerge w:val="restart"/>
          </w:tcPr>
          <w:p>
            <w:pPr>
              <w:jc w:val="right"/>
              <w:ind w:right="940"/>
              <w:spacing w:after="0"/>
              <w:rPr>
                <w:sz w:val="20"/>
                <w:szCs w:val="20"/>
                <w:color w:val="auto"/>
              </w:rPr>
            </w:pPr>
            <w:r>
              <w:rPr>
                <w:rFonts w:ascii="Arial" w:cs="Arial" w:eastAsia="Arial" w:hAnsi="Arial"/>
                <w:sz w:val="14"/>
                <w:szCs w:val="14"/>
                <w:b w:val="1"/>
                <w:bCs w:val="1"/>
                <w:color w:val="0000EE"/>
              </w:rPr>
              <w:t>    </w:t>
            </w:r>
          </w:p>
        </w:tc>
        <w:tc>
          <w:tcPr>
            <w:tcW w:w="340" w:type="dxa"/>
            <w:vAlign w:val="bottom"/>
            <w:vMerge w:val="restart"/>
          </w:tcPr>
          <w:p>
            <w:pPr>
              <w:ind w:left="100"/>
              <w:spacing w:after="0"/>
              <w:rPr>
                <w:sz w:val="20"/>
                <w:szCs w:val="20"/>
                <w:color w:val="auto"/>
              </w:rPr>
            </w:pPr>
            <w:r>
              <w:rPr>
                <w:rFonts w:ascii="Arial" w:cs="Arial" w:eastAsia="Arial" w:hAnsi="Arial"/>
                <w:sz w:val="14"/>
                <w:szCs w:val="14"/>
                <w:b w:val="1"/>
                <w:bCs w:val="1"/>
                <w:color w:val="3575B3"/>
              </w:rPr>
              <w:t>43</w:t>
            </w:r>
          </w:p>
        </w:tc>
        <w:tc>
          <w:tcPr>
            <w:tcW w:w="0" w:type="dxa"/>
            <w:vAlign w:val="bottom"/>
          </w:tcPr>
          <w:p>
            <w:pPr>
              <w:spacing w:after="0"/>
              <w:rPr>
                <w:sz w:val="1"/>
                <w:szCs w:val="1"/>
                <w:color w:val="auto"/>
              </w:rPr>
            </w:pPr>
          </w:p>
        </w:tc>
      </w:tr>
      <w:tr>
        <w:trPr>
          <w:trHeight w:val="128"/>
        </w:trPr>
        <w:tc>
          <w:tcPr>
            <w:tcW w:w="560" w:type="dxa"/>
            <w:vAlign w:val="bottom"/>
          </w:tcPr>
          <w:p>
            <w:pPr>
              <w:spacing w:after="0"/>
              <w:rPr>
                <w:sz w:val="11"/>
                <w:szCs w:val="11"/>
                <w:color w:val="auto"/>
              </w:rPr>
            </w:pPr>
          </w:p>
        </w:tc>
        <w:tc>
          <w:tcPr>
            <w:tcW w:w="3220" w:type="dxa"/>
            <w:vAlign w:val="bottom"/>
            <w:gridSpan w:val="28"/>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11"/>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560" w:type="dxa"/>
            <w:vAlign w:val="bottom"/>
          </w:tcPr>
          <w:p>
            <w:pPr>
              <w:spacing w:after="0" w:line="139" w:lineRule="exact"/>
              <w:rPr>
                <w:sz w:val="20"/>
                <w:szCs w:val="20"/>
                <w:color w:val="auto"/>
              </w:rPr>
            </w:pPr>
            <w:r>
              <w:rPr>
                <w:rFonts w:ascii="Arial" w:cs="Arial" w:eastAsia="Arial" w:hAnsi="Arial"/>
                <w:sz w:val="14"/>
                <w:szCs w:val="14"/>
                <w:color w:val="435363"/>
              </w:rPr>
              <w:t>4</w:t>
            </w:r>
          </w:p>
        </w:tc>
        <w:tc>
          <w:tcPr>
            <w:tcW w:w="260" w:type="dxa"/>
            <w:vAlign w:val="bottom"/>
            <w:tcBorders>
              <w:top w:val="single" w:sz="8" w:color="0000EE"/>
            </w:tcBorders>
          </w:tcPr>
          <w:p>
            <w:pPr>
              <w:spacing w:after="0"/>
              <w:rPr>
                <w:sz w:val="12"/>
                <w:szCs w:val="12"/>
                <w:color w:val="auto"/>
              </w:rPr>
            </w:pPr>
          </w:p>
        </w:tc>
        <w:tc>
          <w:tcPr>
            <w:tcW w:w="2400" w:type="dxa"/>
            <w:vAlign w:val="bottom"/>
            <w:tcBorders>
              <w:top w:val="single" w:sz="8" w:color="0000EE"/>
            </w:tcBorders>
            <w:gridSpan w:val="18"/>
          </w:tcPr>
          <w:p>
            <w:pPr>
              <w:spacing w:after="0" w:line="139" w:lineRule="exact"/>
              <w:rPr>
                <w:sz w:val="20"/>
                <w:szCs w:val="20"/>
                <w:color w:val="auto"/>
              </w:rPr>
            </w:pPr>
            <w:r>
              <w:rPr>
                <w:rFonts w:ascii="Arial" w:cs="Arial" w:eastAsia="Arial" w:hAnsi="Arial"/>
                <w:sz w:val="14"/>
                <w:szCs w:val="14"/>
                <w:color w:val="0000EE"/>
              </w:rPr>
              <w:t>Director Compensation</w:t>
            </w: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44</w:t>
            </w: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159" w:lineRule="exact"/>
              <w:rPr>
                <w:sz w:val="20"/>
                <w:szCs w:val="20"/>
                <w:color w:val="auto"/>
              </w:rPr>
            </w:pPr>
            <w:r>
              <w:rPr>
                <w:rFonts w:ascii="Arial" w:cs="Arial" w:eastAsia="Arial" w:hAnsi="Arial"/>
                <w:sz w:val="14"/>
                <w:szCs w:val="14"/>
                <w:color w:val="435363"/>
              </w:rPr>
              <w:t>4</w:t>
            </w: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vMerge w:val="restart"/>
          </w:tcPr>
          <w:p>
            <w:pPr>
              <w:ind w:left="100"/>
              <w:spacing w:after="0" w:line="159" w:lineRule="exact"/>
              <w:rPr>
                <w:sz w:val="20"/>
                <w:szCs w:val="20"/>
                <w:color w:val="auto"/>
              </w:rPr>
            </w:pPr>
            <w:r>
              <w:rPr>
                <w:rFonts w:ascii="Arial" w:cs="Arial" w:eastAsia="Arial" w:hAnsi="Arial"/>
                <w:sz w:val="14"/>
                <w:szCs w:val="14"/>
                <w:color w:val="435363"/>
              </w:rPr>
              <w:t>45</w:t>
            </w:r>
          </w:p>
        </w:tc>
        <w:tc>
          <w:tcPr>
            <w:tcW w:w="0" w:type="dxa"/>
            <w:vAlign w:val="bottom"/>
          </w:tcPr>
          <w:p>
            <w:pPr>
              <w:spacing w:after="0" w:line="20" w:lineRule="exact"/>
              <w:rPr>
                <w:sz w:val="1"/>
                <w:szCs w:val="1"/>
                <w:color w:val="auto"/>
              </w:rPr>
            </w:pPr>
          </w:p>
        </w:tc>
      </w:tr>
      <w:tr>
        <w:trPr>
          <w:trHeight w:val="139"/>
        </w:trPr>
        <w:tc>
          <w:tcPr>
            <w:tcW w:w="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gridSpan w:val="23"/>
          </w:tcPr>
          <w:p>
            <w:pPr>
              <w:spacing w:after="0" w:line="139" w:lineRule="exact"/>
              <w:rPr>
                <w:sz w:val="20"/>
                <w:szCs w:val="20"/>
                <w:color w:val="auto"/>
              </w:rPr>
            </w:pPr>
            <w:r>
              <w:rPr>
                <w:rFonts w:ascii="Arial" w:cs="Arial" w:eastAsia="Arial" w:hAnsi="Arial"/>
                <w:sz w:val="14"/>
                <w:szCs w:val="14"/>
                <w:color w:val="0000EE"/>
              </w:rPr>
              <w:t>Legacy Director Compensation Programs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60" w:type="dxa"/>
            <w:vAlign w:val="bottom"/>
          </w:tcPr>
          <w:p>
            <w:pPr>
              <w:spacing w:after="0" w:line="139" w:lineRule="exact"/>
              <w:rPr>
                <w:sz w:val="20"/>
                <w:szCs w:val="20"/>
                <w:color w:val="auto"/>
              </w:rPr>
            </w:pPr>
            <w:r>
              <w:rPr>
                <w:rFonts w:ascii="Arial" w:cs="Arial" w:eastAsia="Arial" w:hAnsi="Arial"/>
                <w:sz w:val="14"/>
                <w:szCs w:val="14"/>
                <w:color w:val="435363"/>
              </w:rPr>
              <w:t>5</w:t>
            </w:r>
          </w:p>
        </w:tc>
        <w:tc>
          <w:tcPr>
            <w:tcW w:w="260" w:type="dxa"/>
            <w:vAlign w:val="bottom"/>
          </w:tcPr>
          <w:p>
            <w:pPr>
              <w:spacing w:after="0"/>
              <w:rPr>
                <w:sz w:val="12"/>
                <w:szCs w:val="12"/>
                <w:color w:val="auto"/>
              </w:rPr>
            </w:pPr>
          </w:p>
        </w:tc>
        <w:tc>
          <w:tcPr>
            <w:tcW w:w="1800" w:type="dxa"/>
            <w:vAlign w:val="bottom"/>
            <w:tcBorders>
              <w:top w:val="single" w:sz="8" w:color="0000EE"/>
              <w:bottom w:val="single" w:sz="8" w:color="0000EE"/>
            </w:tcBorders>
            <w:gridSpan w:val="10"/>
          </w:tcPr>
          <w:p>
            <w:pPr>
              <w:spacing w:after="0" w:line="139" w:lineRule="exact"/>
              <w:rPr>
                <w:sz w:val="20"/>
                <w:szCs w:val="20"/>
                <w:color w:val="auto"/>
              </w:rPr>
            </w:pPr>
            <w:r>
              <w:rPr>
                <w:rFonts w:ascii="Arial" w:cs="Arial" w:eastAsia="Arial" w:hAnsi="Arial"/>
                <w:sz w:val="14"/>
                <w:szCs w:val="14"/>
                <w:color w:val="0000EE"/>
              </w:rPr>
              <w:t>Stock Ownership Guidelines</w:t>
            </w:r>
          </w:p>
        </w:tc>
        <w:tc>
          <w:tcPr>
            <w:tcW w:w="600" w:type="dxa"/>
            <w:vAlign w:val="bottom"/>
            <w:tcBorders>
              <w:top w:val="single" w:sz="8" w:color="0000EE"/>
            </w:tcBorders>
            <w:gridSpan w:val="8"/>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45</w:t>
            </w:r>
          </w:p>
        </w:tc>
        <w:tc>
          <w:tcPr>
            <w:tcW w:w="0" w:type="dxa"/>
            <w:vAlign w:val="bottom"/>
          </w:tcPr>
          <w:p>
            <w:pPr>
              <w:spacing w:after="0"/>
              <w:rPr>
                <w:sz w:val="1"/>
                <w:szCs w:val="1"/>
                <w:color w:val="auto"/>
              </w:rPr>
            </w:pPr>
          </w:p>
        </w:tc>
      </w:tr>
      <w:tr>
        <w:trPr>
          <w:trHeight w:val="245"/>
        </w:trPr>
        <w:tc>
          <w:tcPr>
            <w:tcW w:w="560" w:type="dxa"/>
            <w:vAlign w:val="bottom"/>
          </w:tcPr>
          <w:p>
            <w:pPr>
              <w:spacing w:after="0"/>
              <w:rPr>
                <w:sz w:val="20"/>
                <w:szCs w:val="20"/>
                <w:color w:val="auto"/>
              </w:rPr>
            </w:pPr>
            <w:r>
              <w:rPr>
                <w:rFonts w:ascii="Arial" w:cs="Arial" w:eastAsia="Arial" w:hAnsi="Arial"/>
                <w:sz w:val="14"/>
                <w:szCs w:val="14"/>
                <w:b w:val="1"/>
                <w:bCs w:val="1"/>
                <w:color w:val="3575B3"/>
              </w:rPr>
              <w:t>6</w:t>
            </w:r>
          </w:p>
        </w:tc>
        <w:tc>
          <w:tcPr>
            <w:tcW w:w="3360" w:type="dxa"/>
            <w:vAlign w:val="bottom"/>
            <w:gridSpan w:val="30"/>
          </w:tcPr>
          <w:p>
            <w:pPr>
              <w:spacing w:after="0"/>
              <w:rPr>
                <w:sz w:val="20"/>
                <w:szCs w:val="20"/>
                <w:color w:val="auto"/>
              </w:rPr>
            </w:pPr>
            <w:r>
              <w:rPr>
                <w:rFonts w:ascii="Arial" w:cs="Arial" w:eastAsia="Arial" w:hAnsi="Arial"/>
                <w:sz w:val="14"/>
                <w:szCs w:val="14"/>
                <w:b w:val="1"/>
                <w:bCs w:val="1"/>
                <w:color w:val="0000EE"/>
                <w:w w:val="99"/>
              </w:rPr>
              <w:t>CERTAIN RELATIONSHIPS AND RELATED PARTY</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560" w:type="dxa"/>
            <w:vAlign w:val="bottom"/>
          </w:tcPr>
          <w:p>
            <w:pPr>
              <w:spacing w:after="0" w:line="139" w:lineRule="exact"/>
              <w:rPr>
                <w:sz w:val="20"/>
                <w:szCs w:val="20"/>
                <w:color w:val="auto"/>
              </w:rPr>
            </w:pPr>
            <w:r>
              <w:rPr>
                <w:rFonts w:ascii="Arial" w:cs="Arial" w:eastAsia="Arial" w:hAnsi="Arial"/>
                <w:sz w:val="14"/>
                <w:szCs w:val="14"/>
                <w:color w:val="435363"/>
              </w:rPr>
              <w:t>6</w:t>
            </w:r>
          </w:p>
        </w:tc>
        <w:tc>
          <w:tcPr>
            <w:tcW w:w="2940" w:type="dxa"/>
            <w:vAlign w:val="bottom"/>
            <w:tcBorders>
              <w:top w:val="single" w:sz="8" w:color="0000EE"/>
            </w:tcBorders>
            <w:gridSpan w:val="24"/>
          </w:tcPr>
          <w:p>
            <w:pPr>
              <w:spacing w:after="0" w:line="139" w:lineRule="exact"/>
              <w:rPr>
                <w:sz w:val="20"/>
                <w:szCs w:val="20"/>
                <w:color w:val="auto"/>
              </w:rPr>
            </w:pPr>
            <w:r>
              <w:rPr>
                <w:rFonts w:ascii="Arial" w:cs="Arial" w:eastAsia="Arial" w:hAnsi="Arial"/>
                <w:sz w:val="14"/>
                <w:szCs w:val="14"/>
                <w:b w:val="1"/>
                <w:bCs w:val="1"/>
                <w:color w:val="0000EE"/>
              </w:rPr>
              <w:t xml:space="preserve">TRANSACTIONS                                     </w:t>
            </w:r>
          </w:p>
        </w:tc>
        <w:tc>
          <w:tcPr>
            <w:tcW w:w="140" w:type="dxa"/>
            <w:vAlign w:val="bottom"/>
            <w:tcBorders>
              <w:top w:val="single" w:sz="8" w:color="0000EE"/>
            </w:tcBorders>
            <w:gridSpan w:val="2"/>
          </w:tcPr>
          <w:p>
            <w:pPr>
              <w:ind w:left="20"/>
              <w:spacing w:after="0" w:line="139" w:lineRule="exact"/>
              <w:rPr>
                <w:sz w:val="20"/>
                <w:szCs w:val="20"/>
                <w:color w:val="auto"/>
              </w:rPr>
            </w:pPr>
            <w:r>
              <w:rPr>
                <w:rFonts w:ascii="Arial" w:cs="Arial" w:eastAsia="Arial" w:hAnsi="Arial"/>
                <w:sz w:val="14"/>
                <w:szCs w:val="14"/>
                <w:b w:val="1"/>
                <w:bCs w:val="1"/>
                <w:color w:val="0000EE"/>
                <w:w w:val="71"/>
              </w:rPr>
              <w:t> </w:t>
            </w:r>
          </w:p>
        </w:tc>
        <w:tc>
          <w:tcPr>
            <w:tcW w:w="140" w:type="dxa"/>
            <w:vAlign w:val="bottom"/>
            <w:tcBorders>
              <w:top w:val="single" w:sz="8" w:color="0000EE"/>
            </w:tcBorders>
            <w:gridSpan w:val="2"/>
          </w:tcPr>
          <w:p>
            <w:pPr>
              <w:ind w:left="20"/>
              <w:spacing w:after="0" w:line="139" w:lineRule="exact"/>
              <w:rPr>
                <w:sz w:val="20"/>
                <w:szCs w:val="20"/>
                <w:color w:val="auto"/>
              </w:rPr>
            </w:pPr>
            <w:r>
              <w:rPr>
                <w:rFonts w:ascii="Arial" w:cs="Arial" w:eastAsia="Arial" w:hAnsi="Arial"/>
                <w:sz w:val="14"/>
                <w:szCs w:val="14"/>
                <w:b w:val="1"/>
                <w:bCs w:val="1"/>
                <w:color w:val="0000EE"/>
                <w:w w:val="71"/>
              </w:rPr>
              <w:t> </w:t>
            </w:r>
          </w:p>
        </w:tc>
        <w:tc>
          <w:tcPr>
            <w:tcW w:w="100" w:type="dxa"/>
            <w:vAlign w:val="bottom"/>
            <w:tcBorders>
              <w:top w:val="single" w:sz="8" w:color="0000EE"/>
            </w:tcBorders>
          </w:tcPr>
          <w:p>
            <w:pPr>
              <w:ind w:left="20"/>
              <w:spacing w:after="0"/>
              <w:rPr>
                <w:sz w:val="20"/>
                <w:szCs w:val="20"/>
                <w:color w:val="auto"/>
              </w:rPr>
            </w:pPr>
            <w:r>
              <w:rPr>
                <w:rFonts w:ascii="Arial" w:cs="Arial" w:eastAsia="Arial" w:hAnsi="Arial"/>
                <w:sz w:val="8"/>
                <w:szCs w:val="8"/>
                <w:b w:val="1"/>
                <w:bCs w:val="1"/>
                <w:color w:val="0000EE"/>
                <w:w w:val="74"/>
              </w:rPr>
              <w:t> </w:t>
            </w:r>
          </w:p>
        </w:tc>
        <w:tc>
          <w:tcPr>
            <w:tcW w:w="4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Arial" w:cs="Arial" w:eastAsia="Arial" w:hAnsi="Arial"/>
                <w:sz w:val="11"/>
                <w:szCs w:val="11"/>
                <w:b w:val="1"/>
                <w:bCs w:val="1"/>
                <w:color w:val="0000EE"/>
                <w:w w:val="72"/>
              </w:rPr>
              <w:t> </w:t>
            </w:r>
          </w:p>
        </w:tc>
        <w:tc>
          <w:tcPr>
            <w:tcW w:w="16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0000EE"/>
                <w:w w:val="85"/>
              </w:rPr>
              <w:t> </w:t>
            </w:r>
          </w:p>
        </w:tc>
        <w:tc>
          <w:tcPr>
            <w:tcW w:w="120" w:type="dxa"/>
            <w:vAlign w:val="bottom"/>
            <w:gridSpan w:val="2"/>
          </w:tcPr>
          <w:p>
            <w:pPr>
              <w:spacing w:after="0"/>
              <w:rPr>
                <w:sz w:val="20"/>
                <w:szCs w:val="20"/>
                <w:color w:val="auto"/>
              </w:rPr>
            </w:pPr>
            <w:r>
              <w:rPr>
                <w:rFonts w:ascii="Arial" w:cs="Arial" w:eastAsia="Arial" w:hAnsi="Arial"/>
                <w:sz w:val="11"/>
                <w:szCs w:val="11"/>
                <w:b w:val="1"/>
                <w:bCs w:val="1"/>
                <w:color w:val="0000EE"/>
                <w:w w:val="72"/>
              </w:rPr>
              <w:t> </w:t>
            </w:r>
          </w:p>
        </w:tc>
        <w:tc>
          <w:tcPr>
            <w:tcW w:w="1060" w:type="dxa"/>
            <w:vAlign w:val="bottom"/>
            <w:gridSpan w:val="10"/>
          </w:tcPr>
          <w:p>
            <w:pPr>
              <w:jc w:val="right"/>
              <w:ind w:right="940"/>
              <w:spacing w:after="0" w:line="139" w:lineRule="exact"/>
              <w:rPr>
                <w:sz w:val="20"/>
                <w:szCs w:val="20"/>
                <w:color w:val="auto"/>
              </w:rPr>
            </w:pPr>
            <w:r>
              <w:rPr>
                <w:rFonts w:ascii="Arial" w:cs="Arial" w:eastAsia="Arial" w:hAnsi="Arial"/>
                <w:sz w:val="14"/>
                <w:szCs w:val="14"/>
                <w:b w:val="1"/>
                <w:bCs w:val="1"/>
                <w:color w:val="0000EE"/>
              </w:rPr>
              <w:t xml:space="preserve">   </w:t>
            </w:r>
          </w:p>
        </w:tc>
        <w:tc>
          <w:tcPr>
            <w:tcW w:w="340" w:type="dxa"/>
            <w:vAlign w:val="bottom"/>
          </w:tcPr>
          <w:p>
            <w:pPr>
              <w:ind w:left="100"/>
              <w:spacing w:after="0" w:line="139" w:lineRule="exact"/>
              <w:rPr>
                <w:sz w:val="20"/>
                <w:szCs w:val="20"/>
                <w:color w:val="auto"/>
              </w:rPr>
            </w:pPr>
            <w:r>
              <w:rPr>
                <w:rFonts w:ascii="Arial" w:cs="Arial" w:eastAsia="Arial" w:hAnsi="Arial"/>
                <w:sz w:val="14"/>
                <w:szCs w:val="14"/>
                <w:b w:val="1"/>
                <w:bCs w:val="1"/>
                <w:color w:val="3575B3"/>
              </w:rPr>
              <w:t>46</w:t>
            </w: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159" w:lineRule="exact"/>
              <w:rPr>
                <w:sz w:val="20"/>
                <w:szCs w:val="20"/>
                <w:color w:val="auto"/>
              </w:rPr>
            </w:pPr>
            <w:r>
              <w:rPr>
                <w:rFonts w:ascii="Arial" w:cs="Arial" w:eastAsia="Arial" w:hAnsi="Arial"/>
                <w:sz w:val="14"/>
                <w:szCs w:val="14"/>
                <w:color w:val="435363"/>
              </w:rPr>
              <w:t>7</w:t>
            </w: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580" w:type="dxa"/>
            <w:vAlign w:val="bottom"/>
            <w:gridSpan w:val="44"/>
          </w:tcPr>
          <w:p>
            <w:pPr>
              <w:spacing w:after="0" w:line="139" w:lineRule="exact"/>
              <w:rPr>
                <w:sz w:val="20"/>
                <w:szCs w:val="20"/>
                <w:color w:val="auto"/>
              </w:rPr>
            </w:pPr>
            <w:r>
              <w:rPr>
                <w:rFonts w:ascii="Arial" w:cs="Arial" w:eastAsia="Arial" w:hAnsi="Arial"/>
                <w:sz w:val="14"/>
                <w:szCs w:val="14"/>
                <w:color w:val="0000EE"/>
              </w:rPr>
              <w:t>Policies and Procedures for Review and Approval of Related Person</w:t>
            </w:r>
          </w:p>
        </w:tc>
        <w:tc>
          <w:tcPr>
            <w:tcW w:w="340" w:type="dxa"/>
            <w:vAlign w:val="bottom"/>
            <w:vMerge w:val="restart"/>
          </w:tcPr>
          <w:p>
            <w:pPr>
              <w:ind w:left="100"/>
              <w:spacing w:after="0"/>
              <w:rPr>
                <w:sz w:val="20"/>
                <w:szCs w:val="20"/>
                <w:color w:val="auto"/>
              </w:rPr>
            </w:pPr>
            <w:r>
              <w:rPr>
                <w:rFonts w:ascii="Arial" w:cs="Arial" w:eastAsia="Arial" w:hAnsi="Arial"/>
                <w:sz w:val="14"/>
                <w:szCs w:val="14"/>
                <w:color w:val="435363"/>
              </w:rPr>
              <w:t>46</w:t>
            </w:r>
          </w:p>
        </w:tc>
        <w:tc>
          <w:tcPr>
            <w:tcW w:w="0" w:type="dxa"/>
            <w:vAlign w:val="bottom"/>
          </w:tcPr>
          <w:p>
            <w:pPr>
              <w:spacing w:after="0"/>
              <w:rPr>
                <w:sz w:val="1"/>
                <w:szCs w:val="1"/>
                <w:color w:val="auto"/>
              </w:rPr>
            </w:pPr>
          </w:p>
        </w:tc>
      </w:tr>
      <w:tr>
        <w:trPr>
          <w:trHeight w:val="139"/>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3575B3"/>
              </w:rPr>
              <w:t>15</w:t>
            </w:r>
          </w:p>
        </w:tc>
        <w:tc>
          <w:tcPr>
            <w:tcW w:w="260" w:type="dxa"/>
            <w:vAlign w:val="bottom"/>
          </w:tcPr>
          <w:p>
            <w:pPr>
              <w:spacing w:after="0"/>
              <w:rPr>
                <w:sz w:val="12"/>
                <w:szCs w:val="12"/>
                <w:color w:val="auto"/>
              </w:rPr>
            </w:pPr>
          </w:p>
        </w:tc>
        <w:tc>
          <w:tcPr>
            <w:tcW w:w="2400" w:type="dxa"/>
            <w:vAlign w:val="bottom"/>
            <w:tcBorders>
              <w:top w:val="single" w:sz="8" w:color="0000EE"/>
            </w:tcBorders>
            <w:gridSpan w:val="18"/>
          </w:tcPr>
          <w:p>
            <w:pPr>
              <w:spacing w:after="0" w:line="139" w:lineRule="exact"/>
              <w:rPr>
                <w:sz w:val="20"/>
                <w:szCs w:val="20"/>
                <w:color w:val="auto"/>
              </w:rPr>
            </w:pPr>
            <w:r>
              <w:rPr>
                <w:rFonts w:ascii="Arial" w:cs="Arial" w:eastAsia="Arial" w:hAnsi="Arial"/>
                <w:sz w:val="14"/>
                <w:szCs w:val="14"/>
                <w:color w:val="0000EE"/>
              </w:rPr>
              <w:t>Transactions</w:t>
            </w: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560" w:type="dxa"/>
            <w:vAlign w:val="bottom"/>
          </w:tcPr>
          <w:p>
            <w:pPr>
              <w:spacing w:after="0" w:line="155" w:lineRule="exact"/>
              <w:rPr>
                <w:sz w:val="20"/>
                <w:szCs w:val="20"/>
                <w:color w:val="auto"/>
              </w:rPr>
            </w:pPr>
            <w:r>
              <w:rPr>
                <w:rFonts w:ascii="Arial" w:cs="Arial" w:eastAsia="Arial" w:hAnsi="Arial"/>
                <w:sz w:val="14"/>
                <w:szCs w:val="14"/>
                <w:color w:val="435363"/>
              </w:rPr>
              <w:t>15</w:t>
            </w:r>
          </w:p>
        </w:tc>
        <w:tc>
          <w:tcPr>
            <w:tcW w:w="3060" w:type="dxa"/>
            <w:vAlign w:val="bottom"/>
            <w:tcBorders>
              <w:bottom w:val="single" w:sz="8" w:color="0000EE"/>
            </w:tcBorders>
            <w:gridSpan w:val="25"/>
          </w:tcPr>
          <w:p>
            <w:pPr>
              <w:spacing w:after="0" w:line="155" w:lineRule="exact"/>
              <w:rPr>
                <w:sz w:val="20"/>
                <w:szCs w:val="20"/>
                <w:color w:val="auto"/>
              </w:rPr>
            </w:pPr>
            <w:r>
              <w:rPr>
                <w:rFonts w:ascii="Arial" w:cs="Arial" w:eastAsia="Arial" w:hAnsi="Arial"/>
                <w:sz w:val="14"/>
                <w:szCs w:val="14"/>
                <w:b w:val="1"/>
                <w:bCs w:val="1"/>
                <w:color w:val="0000EE"/>
              </w:rPr>
              <w:t>REPORT OF THE AUDIT COMMITTEE OF THE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560" w:type="dxa"/>
            <w:vAlign w:val="bottom"/>
          </w:tcPr>
          <w:p>
            <w:pPr>
              <w:spacing w:after="0" w:line="139" w:lineRule="exact"/>
              <w:rPr>
                <w:sz w:val="20"/>
                <w:szCs w:val="20"/>
                <w:color w:val="auto"/>
              </w:rPr>
            </w:pPr>
            <w:r>
              <w:rPr>
                <w:rFonts w:ascii="Arial" w:cs="Arial" w:eastAsia="Arial" w:hAnsi="Arial"/>
                <w:sz w:val="14"/>
                <w:szCs w:val="14"/>
                <w:color w:val="435363"/>
              </w:rPr>
              <w:t>15</w:t>
            </w:r>
          </w:p>
        </w:tc>
        <w:tc>
          <w:tcPr>
            <w:tcW w:w="2660" w:type="dxa"/>
            <w:vAlign w:val="bottom"/>
            <w:gridSpan w:val="19"/>
          </w:tcPr>
          <w:p>
            <w:pPr>
              <w:spacing w:after="0" w:line="139" w:lineRule="exact"/>
              <w:rPr>
                <w:sz w:val="20"/>
                <w:szCs w:val="20"/>
                <w:color w:val="auto"/>
              </w:rPr>
            </w:pPr>
            <w:r>
              <w:rPr>
                <w:rFonts w:ascii="Arial" w:cs="Arial" w:eastAsia="Arial" w:hAnsi="Arial"/>
                <w:sz w:val="14"/>
                <w:szCs w:val="14"/>
                <w:b w:val="1"/>
                <w:bCs w:val="1"/>
                <w:color w:val="0000EE"/>
              </w:rPr>
              <w:t xml:space="preserve">BOARD OF DIRECTORS                      </w:t>
            </w:r>
          </w:p>
        </w:tc>
        <w:tc>
          <w:tcPr>
            <w:tcW w:w="140" w:type="dxa"/>
            <w:vAlign w:val="bottom"/>
            <w:gridSpan w:val="2"/>
          </w:tcPr>
          <w:p>
            <w:pPr>
              <w:ind w:left="80"/>
              <w:spacing w:after="0"/>
              <w:rPr>
                <w:sz w:val="20"/>
                <w:szCs w:val="20"/>
                <w:color w:val="auto"/>
              </w:rPr>
            </w:pPr>
            <w:r>
              <w:rPr>
                <w:rFonts w:ascii="Arial" w:cs="Arial" w:eastAsia="Arial" w:hAnsi="Arial"/>
                <w:sz w:val="5"/>
                <w:szCs w:val="5"/>
                <w:b w:val="1"/>
                <w:bCs w:val="1"/>
                <w:color w:val="0000EE"/>
                <w:w w:val="79"/>
              </w:rPr>
              <w:t> </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5"/>
                <w:szCs w:val="5"/>
                <w:b w:val="1"/>
                <w:bCs w:val="1"/>
                <w:color w:val="0000EE"/>
                <w:w w:val="79"/>
              </w:rPr>
              <w:t> </w:t>
            </w:r>
          </w:p>
        </w:tc>
        <w:tc>
          <w:tcPr>
            <w:tcW w:w="140" w:type="dxa"/>
            <w:vAlign w:val="bottom"/>
            <w:gridSpan w:val="2"/>
          </w:tcPr>
          <w:p>
            <w:pPr>
              <w:ind w:left="80"/>
              <w:spacing w:after="0"/>
              <w:rPr>
                <w:sz w:val="20"/>
                <w:szCs w:val="20"/>
                <w:color w:val="auto"/>
              </w:rPr>
            </w:pPr>
            <w:r>
              <w:rPr>
                <w:rFonts w:ascii="Arial" w:cs="Arial" w:eastAsia="Arial" w:hAnsi="Arial"/>
                <w:sz w:val="5"/>
                <w:szCs w:val="5"/>
                <w:b w:val="1"/>
                <w:bCs w:val="1"/>
                <w:color w:val="0000EE"/>
                <w:w w:val="79"/>
              </w:rPr>
              <w:t> </w:t>
            </w:r>
          </w:p>
        </w:tc>
        <w:tc>
          <w:tcPr>
            <w:tcW w:w="40" w:type="dxa"/>
            <w:vAlign w:val="bottom"/>
          </w:tcPr>
          <w:p>
            <w:pPr>
              <w:spacing w:after="0"/>
              <w:rPr>
                <w:sz w:val="12"/>
                <w:szCs w:val="12"/>
                <w:color w:val="auto"/>
              </w:rPr>
            </w:pPr>
          </w:p>
        </w:tc>
        <w:tc>
          <w:tcPr>
            <w:tcW w:w="100" w:type="dxa"/>
            <w:vAlign w:val="bottom"/>
          </w:tcPr>
          <w:p>
            <w:pPr>
              <w:ind w:left="40"/>
              <w:spacing w:after="0"/>
              <w:rPr>
                <w:sz w:val="20"/>
                <w:szCs w:val="20"/>
                <w:color w:val="auto"/>
              </w:rPr>
            </w:pPr>
            <w:r>
              <w:rPr>
                <w:rFonts w:ascii="Arial" w:cs="Arial" w:eastAsia="Arial" w:hAnsi="Arial"/>
                <w:sz w:val="5"/>
                <w:szCs w:val="5"/>
                <w:b w:val="1"/>
                <w:bCs w:val="1"/>
                <w:color w:val="0000EE"/>
                <w:w w:val="79"/>
              </w:rPr>
              <w:t> </w:t>
            </w:r>
          </w:p>
        </w:tc>
        <w:tc>
          <w:tcPr>
            <w:tcW w:w="140" w:type="dxa"/>
            <w:vAlign w:val="bottom"/>
            <w:gridSpan w:val="2"/>
          </w:tcPr>
          <w:p>
            <w:pPr>
              <w:jc w:val="center"/>
              <w:ind w:left="26"/>
              <w:spacing w:after="0"/>
              <w:rPr>
                <w:sz w:val="20"/>
                <w:szCs w:val="20"/>
                <w:color w:val="auto"/>
              </w:rPr>
            </w:pPr>
            <w:r>
              <w:rPr>
                <w:rFonts w:ascii="Arial" w:cs="Arial" w:eastAsia="Arial" w:hAnsi="Arial"/>
                <w:sz w:val="5"/>
                <w:szCs w:val="5"/>
                <w:b w:val="1"/>
                <w:bCs w:val="1"/>
                <w:color w:val="0000EE"/>
                <w:w w:val="79"/>
              </w:rPr>
              <w:t> </w:t>
            </w:r>
          </w:p>
        </w:tc>
        <w:tc>
          <w:tcPr>
            <w:tcW w:w="140" w:type="dxa"/>
            <w:vAlign w:val="bottom"/>
          </w:tcPr>
          <w:p>
            <w:pPr>
              <w:ind w:left="100"/>
              <w:spacing w:after="0"/>
              <w:rPr>
                <w:sz w:val="20"/>
                <w:szCs w:val="20"/>
                <w:color w:val="auto"/>
              </w:rPr>
            </w:pPr>
            <w:r>
              <w:rPr>
                <w:rFonts w:ascii="Arial" w:cs="Arial" w:eastAsia="Arial" w:hAnsi="Arial"/>
                <w:sz w:val="1"/>
                <w:szCs w:val="1"/>
                <w:b w:val="1"/>
                <w:bCs w:val="1"/>
                <w:color w:val="0000EE"/>
                <w:w w:val="4294967291"/>
              </w:rPr>
              <w:t> </w:t>
            </w:r>
          </w:p>
        </w:tc>
        <w:tc>
          <w:tcPr>
            <w:tcW w:w="160" w:type="dxa"/>
            <w:vAlign w:val="bottom"/>
            <w:gridSpan w:val="2"/>
          </w:tcPr>
          <w:p>
            <w:pPr>
              <w:ind w:left="100"/>
              <w:spacing w:after="0"/>
              <w:rPr>
                <w:sz w:val="20"/>
                <w:szCs w:val="20"/>
                <w:color w:val="auto"/>
              </w:rPr>
            </w:pPr>
            <w:r>
              <w:rPr>
                <w:rFonts w:ascii="Arial" w:cs="Arial" w:eastAsia="Arial" w:hAnsi="Arial"/>
                <w:sz w:val="5"/>
                <w:szCs w:val="5"/>
                <w:b w:val="1"/>
                <w:bCs w:val="1"/>
                <w:color w:val="0000EE"/>
                <w:w w:val="79"/>
              </w:rPr>
              <w:t> </w:t>
            </w:r>
          </w:p>
        </w:tc>
        <w:tc>
          <w:tcPr>
            <w:tcW w:w="40" w:type="dxa"/>
            <w:vAlign w:val="bottom"/>
          </w:tcPr>
          <w:p>
            <w:pPr>
              <w:spacing w:after="0"/>
              <w:rPr>
                <w:sz w:val="12"/>
                <w:szCs w:val="12"/>
                <w:color w:val="auto"/>
              </w:rPr>
            </w:pPr>
          </w:p>
        </w:tc>
        <w:tc>
          <w:tcPr>
            <w:tcW w:w="80" w:type="dxa"/>
            <w:vAlign w:val="bottom"/>
          </w:tcPr>
          <w:p>
            <w:pPr>
              <w:ind w:left="40"/>
              <w:spacing w:after="0"/>
              <w:rPr>
                <w:sz w:val="20"/>
                <w:szCs w:val="20"/>
                <w:color w:val="auto"/>
              </w:rPr>
            </w:pPr>
            <w:r>
              <w:rPr>
                <w:rFonts w:ascii="Arial" w:cs="Arial" w:eastAsia="Arial" w:hAnsi="Arial"/>
                <w:sz w:val="1"/>
                <w:szCs w:val="1"/>
                <w:b w:val="1"/>
                <w:bCs w:val="1"/>
                <w:color w:val="0000EE"/>
                <w:w w:val="4294967291"/>
              </w:rPr>
              <w:t>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8"/>
          </w:tcPr>
          <w:p>
            <w:pPr>
              <w:jc w:val="right"/>
              <w:ind w:right="920"/>
              <w:spacing w:after="0" w:line="139" w:lineRule="exact"/>
              <w:rPr>
                <w:sz w:val="20"/>
                <w:szCs w:val="20"/>
                <w:color w:val="auto"/>
              </w:rPr>
            </w:pPr>
            <w:r>
              <w:rPr>
                <w:rFonts w:ascii="Arial" w:cs="Arial" w:eastAsia="Arial" w:hAnsi="Arial"/>
                <w:sz w:val="14"/>
                <w:szCs w:val="14"/>
                <w:b w:val="1"/>
                <w:bCs w:val="1"/>
                <w:color w:val="0000EE"/>
                <w:w w:val="83"/>
              </w:rPr>
              <w:t> </w:t>
            </w:r>
          </w:p>
        </w:tc>
        <w:tc>
          <w:tcPr>
            <w:tcW w:w="340" w:type="dxa"/>
            <w:vAlign w:val="bottom"/>
          </w:tcPr>
          <w:p>
            <w:pPr>
              <w:ind w:left="100"/>
              <w:spacing w:after="0" w:line="139" w:lineRule="exact"/>
              <w:rPr>
                <w:sz w:val="20"/>
                <w:szCs w:val="20"/>
                <w:color w:val="auto"/>
              </w:rPr>
            </w:pPr>
            <w:r>
              <w:rPr>
                <w:rFonts w:ascii="Arial" w:cs="Arial" w:eastAsia="Arial" w:hAnsi="Arial"/>
                <w:sz w:val="14"/>
                <w:szCs w:val="14"/>
                <w:b w:val="1"/>
                <w:bCs w:val="1"/>
                <w:color w:val="3575B3"/>
              </w:rPr>
              <w:t>47</w:t>
            </w:r>
          </w:p>
        </w:tc>
        <w:tc>
          <w:tcPr>
            <w:tcW w:w="0" w:type="dxa"/>
            <w:vAlign w:val="bottom"/>
          </w:tcPr>
          <w:p>
            <w:pPr>
              <w:spacing w:after="0"/>
              <w:rPr>
                <w:sz w:val="1"/>
                <w:szCs w:val="1"/>
                <w:color w:val="auto"/>
              </w:rPr>
            </w:pPr>
          </w:p>
        </w:tc>
      </w:tr>
      <w:tr>
        <w:trPr>
          <w:trHeight w:val="143"/>
        </w:trPr>
        <w:tc>
          <w:tcPr>
            <w:tcW w:w="560" w:type="dxa"/>
            <w:vAlign w:val="bottom"/>
          </w:tcPr>
          <w:p>
            <w:pPr>
              <w:spacing w:after="0" w:line="143" w:lineRule="exact"/>
              <w:rPr>
                <w:sz w:val="20"/>
                <w:szCs w:val="20"/>
                <w:color w:val="auto"/>
              </w:rPr>
            </w:pPr>
            <w:r>
              <w:rPr>
                <w:rFonts w:ascii="Arial" w:cs="Arial" w:eastAsia="Arial" w:hAnsi="Arial"/>
                <w:sz w:val="14"/>
                <w:szCs w:val="14"/>
                <w:color w:val="435363"/>
              </w:rPr>
              <w:t>16</w:t>
            </w:r>
          </w:p>
        </w:tc>
        <w:tc>
          <w:tcPr>
            <w:tcW w:w="3220" w:type="dxa"/>
            <w:vAlign w:val="bottom"/>
            <w:tcBorders>
              <w:top w:val="single" w:sz="8" w:color="0000EE"/>
            </w:tcBorders>
            <w:gridSpan w:val="28"/>
            <w:vMerge w:val="restart"/>
          </w:tcPr>
          <w:p>
            <w:pPr>
              <w:spacing w:after="0"/>
              <w:rPr>
                <w:sz w:val="20"/>
                <w:szCs w:val="20"/>
                <w:color w:val="auto"/>
              </w:rPr>
            </w:pPr>
            <w:r>
              <w:rPr>
                <w:rFonts w:ascii="Arial" w:cs="Arial" w:eastAsia="Arial" w:hAnsi="Arial"/>
                <w:sz w:val="14"/>
                <w:szCs w:val="14"/>
                <w:b w:val="1"/>
                <w:bCs w:val="1"/>
                <w:color w:val="0000EE"/>
                <w:w w:val="97"/>
              </w:rPr>
              <w:t>COMPENSATION DISCUSSION AND ANALYSIS </w:t>
            </w:r>
          </w:p>
        </w:tc>
        <w:tc>
          <w:tcPr>
            <w:tcW w:w="140" w:type="dxa"/>
            <w:vAlign w:val="bottom"/>
            <w:tcBorders>
              <w:top w:val="single" w:sz="8" w:color="0000EE"/>
            </w:tcBorders>
            <w:gridSpan w:val="2"/>
            <w:vMerge w:val="restart"/>
          </w:tcPr>
          <w:p>
            <w:pPr>
              <w:jc w:val="center"/>
              <w:spacing w:after="0"/>
              <w:rPr>
                <w:sz w:val="20"/>
                <w:szCs w:val="20"/>
                <w:color w:val="auto"/>
              </w:rPr>
            </w:pPr>
            <w:r>
              <w:rPr>
                <w:rFonts w:ascii="Arial" w:cs="Arial" w:eastAsia="Arial" w:hAnsi="Arial"/>
                <w:sz w:val="5"/>
                <w:szCs w:val="5"/>
                <w:b w:val="1"/>
                <w:bCs w:val="1"/>
                <w:color w:val="0000EE"/>
                <w:w w:val="79"/>
              </w:rPr>
              <w:t> </w:t>
            </w:r>
          </w:p>
        </w:tc>
        <w:tc>
          <w:tcPr>
            <w:tcW w:w="140" w:type="dxa"/>
            <w:vAlign w:val="bottom"/>
            <w:tcBorders>
              <w:top w:val="single" w:sz="8" w:color="0000EE"/>
            </w:tcBorders>
            <w:vMerge w:val="restart"/>
          </w:tcPr>
          <w:p>
            <w:pPr>
              <w:ind w:left="60"/>
              <w:spacing w:after="0"/>
              <w:rPr>
                <w:sz w:val="20"/>
                <w:szCs w:val="20"/>
                <w:color w:val="auto"/>
              </w:rPr>
            </w:pPr>
            <w:r>
              <w:rPr>
                <w:rFonts w:ascii="Arial" w:cs="Arial" w:eastAsia="Arial" w:hAnsi="Arial"/>
                <w:sz w:val="5"/>
                <w:szCs w:val="5"/>
                <w:b w:val="1"/>
                <w:bCs w:val="1"/>
                <w:color w:val="0000EE"/>
                <w:w w:val="79"/>
              </w:rPr>
              <w:t> </w:t>
            </w:r>
          </w:p>
        </w:tc>
        <w:tc>
          <w:tcPr>
            <w:tcW w:w="160" w:type="dxa"/>
            <w:vAlign w:val="bottom"/>
            <w:tcBorders>
              <w:top w:val="single" w:sz="8" w:color="0000EE"/>
            </w:tcBorders>
            <w:gridSpan w:val="2"/>
            <w:vMerge w:val="restart"/>
          </w:tcPr>
          <w:p>
            <w:pPr>
              <w:ind w:left="60"/>
              <w:spacing w:after="0"/>
              <w:rPr>
                <w:sz w:val="20"/>
                <w:szCs w:val="20"/>
                <w:color w:val="auto"/>
              </w:rPr>
            </w:pPr>
            <w:r>
              <w:rPr>
                <w:rFonts w:ascii="Arial" w:cs="Arial" w:eastAsia="Arial" w:hAnsi="Arial"/>
                <w:sz w:val="11"/>
                <w:szCs w:val="11"/>
                <w:b w:val="1"/>
                <w:bCs w:val="1"/>
                <w:color w:val="0000EE"/>
                <w:w w:val="72"/>
              </w:rPr>
              <w:t> </w:t>
            </w: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vMerge w:val="restart"/>
          </w:tcPr>
          <w:p>
            <w:pPr>
              <w:spacing w:after="0"/>
              <w:rPr>
                <w:sz w:val="20"/>
                <w:szCs w:val="20"/>
                <w:color w:val="auto"/>
              </w:rPr>
            </w:pPr>
            <w:r>
              <w:rPr>
                <w:rFonts w:ascii="Arial" w:cs="Arial" w:eastAsia="Arial" w:hAnsi="Arial"/>
                <w:sz w:val="5"/>
                <w:szCs w:val="5"/>
                <w:b w:val="1"/>
                <w:bCs w:val="1"/>
                <w:color w:val="0000EE"/>
                <w:w w:val="79"/>
              </w:rPr>
              <w:t> </w:t>
            </w:r>
          </w:p>
        </w:tc>
        <w:tc>
          <w:tcPr>
            <w:tcW w:w="100" w:type="dxa"/>
            <w:vAlign w:val="bottom"/>
            <w:tcBorders>
              <w:top w:val="single" w:sz="8" w:color="0000EE"/>
            </w:tcBorders>
            <w:gridSpan w:val="2"/>
            <w:vMerge w:val="restart"/>
          </w:tcPr>
          <w:p>
            <w:pPr>
              <w:jc w:val="right"/>
              <w:spacing w:after="0"/>
              <w:rPr>
                <w:sz w:val="20"/>
                <w:szCs w:val="20"/>
                <w:color w:val="auto"/>
              </w:rPr>
            </w:pPr>
            <w:r>
              <w:rPr>
                <w:rFonts w:ascii="Arial" w:cs="Arial" w:eastAsia="Arial" w:hAnsi="Arial"/>
                <w:sz w:val="14"/>
                <w:szCs w:val="14"/>
                <w:b w:val="1"/>
                <w:bCs w:val="1"/>
                <w:color w:val="0000EE"/>
              </w:rPr>
              <w:t> </w:t>
            </w:r>
          </w:p>
        </w:tc>
        <w:tc>
          <w:tcPr>
            <w:tcW w:w="960" w:type="dxa"/>
            <w:vAlign w:val="bottom"/>
            <w:gridSpan w:val="8"/>
            <w:vMerge w:val="restart"/>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Arial" w:cs="Arial" w:eastAsia="Arial" w:hAnsi="Arial"/>
                <w:sz w:val="14"/>
                <w:szCs w:val="14"/>
                <w:b w:val="1"/>
                <w:bCs w:val="1"/>
                <w:color w:val="3575B3"/>
              </w:rPr>
              <w:t>48</w:t>
            </w:r>
          </w:p>
        </w:tc>
        <w:tc>
          <w:tcPr>
            <w:tcW w:w="0" w:type="dxa"/>
            <w:vAlign w:val="bottom"/>
          </w:tcPr>
          <w:p>
            <w:pPr>
              <w:spacing w:after="0"/>
              <w:rPr>
                <w:sz w:val="1"/>
                <w:szCs w:val="1"/>
                <w:color w:val="auto"/>
              </w:rPr>
            </w:pPr>
          </w:p>
        </w:tc>
      </w:tr>
      <w:tr>
        <w:trPr>
          <w:trHeight w:val="102"/>
        </w:trPr>
        <w:tc>
          <w:tcPr>
            <w:tcW w:w="560" w:type="dxa"/>
            <w:vAlign w:val="bottom"/>
          </w:tcPr>
          <w:p>
            <w:pPr>
              <w:spacing w:after="0" w:line="102" w:lineRule="exact"/>
              <w:rPr>
                <w:sz w:val="20"/>
                <w:szCs w:val="20"/>
                <w:color w:val="auto"/>
              </w:rPr>
            </w:pPr>
            <w:r>
              <w:rPr>
                <w:rFonts w:ascii="Arial" w:cs="Arial" w:eastAsia="Arial" w:hAnsi="Arial"/>
                <w:sz w:val="11"/>
                <w:szCs w:val="11"/>
                <w:color w:val="435363"/>
              </w:rPr>
              <w:t>17</w:t>
            </w:r>
          </w:p>
        </w:tc>
        <w:tc>
          <w:tcPr>
            <w:tcW w:w="3220" w:type="dxa"/>
            <w:vAlign w:val="bottom"/>
            <w:gridSpan w:val="28"/>
            <w:vMerge w:val="continue"/>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960" w:type="dxa"/>
            <w:vAlign w:val="bottom"/>
            <w:gridSpan w:val="8"/>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560" w:type="dxa"/>
            <w:vAlign w:val="bottom"/>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580" w:type="dxa"/>
            <w:vAlign w:val="bottom"/>
            <w:tcBorders>
              <w:top w:val="single" w:sz="8" w:color="0000EE"/>
              <w:bottom w:val="single" w:sz="8" w:color="0000EE"/>
            </w:tcBorders>
          </w:tcPr>
          <w:p>
            <w:pPr>
              <w:spacing w:after="0" w:line="139" w:lineRule="exact"/>
              <w:rPr>
                <w:sz w:val="20"/>
                <w:szCs w:val="20"/>
                <w:color w:val="auto"/>
              </w:rPr>
            </w:pPr>
            <w:r>
              <w:rPr>
                <w:rFonts w:ascii="Arial" w:cs="Arial" w:eastAsia="Arial" w:hAnsi="Arial"/>
                <w:sz w:val="14"/>
                <w:szCs w:val="14"/>
                <w:color w:val="0000EE"/>
                <w:w w:val="95"/>
              </w:rPr>
              <w:t>Overview</w:t>
            </w:r>
          </w:p>
        </w:tc>
        <w:tc>
          <w:tcPr>
            <w:tcW w:w="1820" w:type="dxa"/>
            <w:vAlign w:val="bottom"/>
            <w:tcBorders>
              <w:top w:val="single" w:sz="8" w:color="0000EE"/>
            </w:tcBorders>
            <w:gridSpan w:val="17"/>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48</w:t>
            </w:r>
          </w:p>
        </w:tc>
        <w:tc>
          <w:tcPr>
            <w:tcW w:w="0" w:type="dxa"/>
            <w:vAlign w:val="bottom"/>
          </w:tcPr>
          <w:p>
            <w:pPr>
              <w:spacing w:after="0"/>
              <w:rPr>
                <w:sz w:val="1"/>
                <w:szCs w:val="1"/>
                <w:color w:val="auto"/>
              </w:rPr>
            </w:pPr>
          </w:p>
        </w:tc>
      </w:tr>
      <w:tr>
        <w:trPr>
          <w:trHeight w:val="139"/>
        </w:trPr>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7"/>
          </w:tcPr>
          <w:p>
            <w:pPr>
              <w:spacing w:after="0" w:line="139" w:lineRule="exact"/>
              <w:rPr>
                <w:sz w:val="20"/>
                <w:szCs w:val="20"/>
                <w:color w:val="auto"/>
              </w:rPr>
            </w:pPr>
            <w:r>
              <w:rPr>
                <w:rFonts w:ascii="Arial" w:cs="Arial" w:eastAsia="Arial" w:hAnsi="Arial"/>
                <w:sz w:val="14"/>
                <w:szCs w:val="14"/>
                <w:color w:val="0000EE"/>
              </w:rPr>
              <w:t>2023 Compensation Objectives and Programs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50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vMerge w:val="restart"/>
          </w:tcPr>
          <w:p>
            <w:pPr>
              <w:ind w:left="100"/>
              <w:spacing w:after="0" w:line="159" w:lineRule="exact"/>
              <w:rPr>
                <w:sz w:val="20"/>
                <w:szCs w:val="20"/>
                <w:color w:val="auto"/>
              </w:rPr>
            </w:pPr>
            <w:r>
              <w:rPr>
                <w:rFonts w:ascii="Arial" w:cs="Arial" w:eastAsia="Arial" w:hAnsi="Arial"/>
                <w:sz w:val="14"/>
                <w:szCs w:val="14"/>
                <w:color w:val="435363"/>
              </w:rPr>
              <w:t>52</w:t>
            </w:r>
          </w:p>
        </w:tc>
        <w:tc>
          <w:tcPr>
            <w:tcW w:w="0" w:type="dxa"/>
            <w:vAlign w:val="bottom"/>
          </w:tcPr>
          <w:p>
            <w:pPr>
              <w:spacing w:after="0" w:line="20" w:lineRule="exact"/>
              <w:rPr>
                <w:sz w:val="1"/>
                <w:szCs w:val="1"/>
                <w:color w:val="auto"/>
              </w:rPr>
            </w:pPr>
          </w:p>
        </w:tc>
      </w:tr>
      <w:tr>
        <w:trPr>
          <w:trHeight w:val="139"/>
        </w:trPr>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20" w:type="dxa"/>
            <w:vAlign w:val="bottom"/>
            <w:gridSpan w:val="34"/>
          </w:tcPr>
          <w:p>
            <w:pPr>
              <w:spacing w:after="0" w:line="139" w:lineRule="exact"/>
              <w:rPr>
                <w:sz w:val="20"/>
                <w:szCs w:val="20"/>
                <w:color w:val="auto"/>
              </w:rPr>
            </w:pPr>
            <w:r>
              <w:rPr>
                <w:rFonts w:ascii="Arial" w:cs="Arial" w:eastAsia="Arial" w:hAnsi="Arial"/>
                <w:sz w:val="14"/>
                <w:szCs w:val="14"/>
                <w:color w:val="0000EE"/>
              </w:rPr>
              <w:t>Stockholder Approval of 2022 Executive Compensation</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60" w:type="dxa"/>
            <w:vAlign w:val="bottom"/>
          </w:tcPr>
          <w:p>
            <w:pPr>
              <w:spacing w:after="0" w:line="139" w:lineRule="exact"/>
              <w:rPr>
                <w:sz w:val="20"/>
                <w:szCs w:val="20"/>
                <w:color w:val="auto"/>
              </w:rPr>
            </w:pPr>
            <w:r>
              <w:rPr>
                <w:rFonts w:ascii="Arial" w:cs="Arial" w:eastAsia="Arial" w:hAnsi="Arial"/>
                <w:sz w:val="14"/>
                <w:szCs w:val="14"/>
                <w:b w:val="1"/>
                <w:bCs w:val="1"/>
                <w:color w:val="3575B3"/>
              </w:rPr>
              <w:t>19</w:t>
            </w:r>
          </w:p>
        </w:tc>
        <w:tc>
          <w:tcPr>
            <w:tcW w:w="260" w:type="dxa"/>
            <w:vAlign w:val="bottom"/>
          </w:tcPr>
          <w:p>
            <w:pPr>
              <w:spacing w:after="0"/>
              <w:rPr>
                <w:sz w:val="12"/>
                <w:szCs w:val="12"/>
                <w:color w:val="auto"/>
              </w:rPr>
            </w:pPr>
          </w:p>
        </w:tc>
        <w:tc>
          <w:tcPr>
            <w:tcW w:w="2680" w:type="dxa"/>
            <w:vAlign w:val="bottom"/>
            <w:tcBorders>
              <w:top w:val="single" w:sz="8" w:color="0000EE"/>
            </w:tcBorders>
            <w:gridSpan w:val="23"/>
          </w:tcPr>
          <w:p>
            <w:pPr>
              <w:spacing w:after="0" w:line="139" w:lineRule="exact"/>
              <w:rPr>
                <w:sz w:val="20"/>
                <w:szCs w:val="20"/>
                <w:color w:val="auto"/>
              </w:rPr>
            </w:pPr>
            <w:r>
              <w:rPr>
                <w:rFonts w:ascii="Arial" w:cs="Arial" w:eastAsia="Arial" w:hAnsi="Arial"/>
                <w:sz w:val="14"/>
                <w:szCs w:val="14"/>
                <w:color w:val="0000EE"/>
              </w:rPr>
              <w:t>Determination of Executive Compensation</w:t>
            </w: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52</w:t>
            </w:r>
          </w:p>
        </w:tc>
        <w:tc>
          <w:tcPr>
            <w:tcW w:w="0" w:type="dxa"/>
            <w:vAlign w:val="bottom"/>
          </w:tcPr>
          <w:p>
            <w:pPr>
              <w:spacing w:after="0"/>
              <w:rPr>
                <w:sz w:val="1"/>
                <w:szCs w:val="1"/>
                <w:color w:val="auto"/>
              </w:rPr>
            </w:pPr>
          </w:p>
        </w:tc>
      </w:tr>
      <w:tr>
        <w:trPr>
          <w:trHeight w:val="139"/>
        </w:trPr>
        <w:tc>
          <w:tcPr>
            <w:tcW w:w="560" w:type="dxa"/>
            <w:vAlign w:val="bottom"/>
          </w:tcPr>
          <w:p>
            <w:pPr>
              <w:spacing w:after="0" w:line="139" w:lineRule="exact"/>
              <w:rPr>
                <w:sz w:val="20"/>
                <w:szCs w:val="20"/>
                <w:color w:val="auto"/>
              </w:rPr>
            </w:pPr>
            <w:r>
              <w:rPr>
                <w:rFonts w:ascii="Arial" w:cs="Arial" w:eastAsia="Arial" w:hAnsi="Arial"/>
                <w:sz w:val="14"/>
                <w:szCs w:val="14"/>
                <w:color w:val="435363"/>
              </w:rPr>
              <w:t>19</w:t>
            </w:r>
          </w:p>
        </w:tc>
        <w:tc>
          <w:tcPr>
            <w:tcW w:w="260" w:type="dxa"/>
            <w:vAlign w:val="bottom"/>
          </w:tcPr>
          <w:p>
            <w:pPr>
              <w:spacing w:after="0"/>
              <w:rPr>
                <w:sz w:val="12"/>
                <w:szCs w:val="12"/>
                <w:color w:val="auto"/>
              </w:rPr>
            </w:pPr>
          </w:p>
        </w:tc>
        <w:tc>
          <w:tcPr>
            <w:tcW w:w="2620" w:type="dxa"/>
            <w:vAlign w:val="bottom"/>
            <w:tcBorders>
              <w:top w:val="single" w:sz="8" w:color="0000EE"/>
            </w:tcBorders>
            <w:gridSpan w:val="22"/>
          </w:tcPr>
          <w:p>
            <w:pPr>
              <w:spacing w:after="0" w:line="139" w:lineRule="exact"/>
              <w:rPr>
                <w:sz w:val="20"/>
                <w:szCs w:val="20"/>
                <w:color w:val="auto"/>
              </w:rPr>
            </w:pPr>
            <w:r>
              <w:rPr>
                <w:rFonts w:ascii="Arial" w:cs="Arial" w:eastAsia="Arial" w:hAnsi="Arial"/>
                <w:sz w:val="14"/>
                <w:szCs w:val="14"/>
                <w:color w:val="0000EE"/>
                <w:w w:val="96"/>
              </w:rPr>
              <w:t>Executive Compensation with an Emphasis</w:t>
            </w:r>
          </w:p>
        </w:tc>
        <w:tc>
          <w:tcPr>
            <w:tcW w:w="1960" w:type="dxa"/>
            <w:vAlign w:val="bottom"/>
            <w:gridSpan w:val="22"/>
          </w:tcPr>
          <w:p>
            <w:pPr>
              <w:ind w:left="100"/>
              <w:spacing w:after="0" w:line="139" w:lineRule="exact"/>
              <w:rPr>
                <w:sz w:val="20"/>
                <w:szCs w:val="20"/>
                <w:color w:val="auto"/>
              </w:rPr>
            </w:pPr>
            <w:r>
              <w:rPr>
                <w:rFonts w:ascii="Arial" w:cs="Arial" w:eastAsia="Arial" w:hAnsi="Arial"/>
                <w:sz w:val="14"/>
                <w:szCs w:val="14"/>
                <w:color w:val="0000EE"/>
              </w:rPr>
              <w:t>on Performance-Based Pay</w:t>
            </w: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53</w:t>
            </w:r>
          </w:p>
        </w:tc>
        <w:tc>
          <w:tcPr>
            <w:tcW w:w="0" w:type="dxa"/>
            <w:vAlign w:val="bottom"/>
          </w:tcPr>
          <w:p>
            <w:pPr>
              <w:spacing w:after="0"/>
              <w:rPr>
                <w:sz w:val="1"/>
                <w:szCs w:val="1"/>
                <w:color w:val="auto"/>
              </w:rPr>
            </w:pPr>
          </w:p>
        </w:tc>
      </w:tr>
      <w:tr>
        <w:trPr>
          <w:trHeight w:val="139"/>
        </w:trPr>
        <w:tc>
          <w:tcPr>
            <w:tcW w:w="560" w:type="dxa"/>
            <w:vAlign w:val="bottom"/>
          </w:tcPr>
          <w:p>
            <w:pPr>
              <w:spacing w:after="0" w:line="139" w:lineRule="exact"/>
              <w:rPr>
                <w:sz w:val="20"/>
                <w:szCs w:val="20"/>
                <w:color w:val="auto"/>
              </w:rPr>
            </w:pPr>
            <w:r>
              <w:rPr>
                <w:rFonts w:ascii="Arial" w:cs="Arial" w:eastAsia="Arial" w:hAnsi="Arial"/>
                <w:sz w:val="14"/>
                <w:szCs w:val="14"/>
                <w:color w:val="435363"/>
              </w:rPr>
              <w:t>19</w:t>
            </w:r>
          </w:p>
        </w:tc>
        <w:tc>
          <w:tcPr>
            <w:tcW w:w="260" w:type="dxa"/>
            <w:vAlign w:val="bottom"/>
          </w:tcPr>
          <w:p>
            <w:pPr>
              <w:spacing w:after="0"/>
              <w:rPr>
                <w:sz w:val="12"/>
                <w:szCs w:val="12"/>
                <w:color w:val="auto"/>
              </w:rPr>
            </w:pPr>
          </w:p>
        </w:tc>
        <w:tc>
          <w:tcPr>
            <w:tcW w:w="2400" w:type="dxa"/>
            <w:vAlign w:val="bottom"/>
            <w:tcBorders>
              <w:top w:val="single" w:sz="8" w:color="0000EE"/>
            </w:tcBorders>
            <w:gridSpan w:val="18"/>
          </w:tcPr>
          <w:p>
            <w:pPr>
              <w:spacing w:after="0" w:line="139" w:lineRule="exact"/>
              <w:rPr>
                <w:sz w:val="20"/>
                <w:szCs w:val="20"/>
                <w:color w:val="auto"/>
              </w:rPr>
            </w:pPr>
            <w:r>
              <w:rPr>
                <w:rFonts w:ascii="Arial" w:cs="Arial" w:eastAsia="Arial" w:hAnsi="Arial"/>
                <w:sz w:val="14"/>
                <w:szCs w:val="14"/>
                <w:color w:val="0000EE"/>
              </w:rPr>
              <w:t>Base Salary</w:t>
            </w: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53</w:t>
            </w:r>
          </w:p>
        </w:tc>
        <w:tc>
          <w:tcPr>
            <w:tcW w:w="0" w:type="dxa"/>
            <w:vAlign w:val="bottom"/>
          </w:tcPr>
          <w:p>
            <w:pPr>
              <w:spacing w:after="0"/>
              <w:rPr>
                <w:sz w:val="1"/>
                <w:szCs w:val="1"/>
                <w:color w:val="auto"/>
              </w:rPr>
            </w:pPr>
          </w:p>
        </w:tc>
      </w:tr>
      <w:tr>
        <w:trPr>
          <w:trHeight w:val="139"/>
        </w:trPr>
        <w:tc>
          <w:tcPr>
            <w:tcW w:w="560" w:type="dxa"/>
            <w:vAlign w:val="bottom"/>
          </w:tcPr>
          <w:p>
            <w:pPr>
              <w:spacing w:after="0" w:line="139" w:lineRule="exact"/>
              <w:rPr>
                <w:sz w:val="20"/>
                <w:szCs w:val="20"/>
                <w:color w:val="auto"/>
              </w:rPr>
            </w:pPr>
            <w:r>
              <w:rPr>
                <w:rFonts w:ascii="Arial" w:cs="Arial" w:eastAsia="Arial" w:hAnsi="Arial"/>
                <w:sz w:val="14"/>
                <w:szCs w:val="14"/>
                <w:color w:val="435363"/>
              </w:rPr>
              <w:t>20</w:t>
            </w:r>
          </w:p>
        </w:tc>
        <w:tc>
          <w:tcPr>
            <w:tcW w:w="260" w:type="dxa"/>
            <w:vAlign w:val="bottom"/>
          </w:tcPr>
          <w:p>
            <w:pPr>
              <w:spacing w:after="0"/>
              <w:rPr>
                <w:sz w:val="12"/>
                <w:szCs w:val="12"/>
                <w:color w:val="auto"/>
              </w:rPr>
            </w:pPr>
          </w:p>
        </w:tc>
        <w:tc>
          <w:tcPr>
            <w:tcW w:w="740" w:type="dxa"/>
            <w:vAlign w:val="bottom"/>
            <w:tcBorders>
              <w:top w:val="single" w:sz="8" w:color="0000EE"/>
            </w:tcBorders>
            <w:gridSpan w:val="2"/>
          </w:tcPr>
          <w:p>
            <w:pPr>
              <w:spacing w:after="0" w:line="139" w:lineRule="exact"/>
              <w:rPr>
                <w:sz w:val="20"/>
                <w:szCs w:val="20"/>
                <w:color w:val="auto"/>
              </w:rPr>
            </w:pPr>
            <w:r>
              <w:rPr>
                <w:rFonts w:ascii="Arial" w:cs="Arial" w:eastAsia="Arial" w:hAnsi="Arial"/>
                <w:sz w:val="14"/>
                <w:szCs w:val="14"/>
                <w:color w:val="0000EE"/>
                <w:w w:val="89"/>
              </w:rPr>
              <w:t>Annual Cash</w:t>
            </w:r>
          </w:p>
        </w:tc>
        <w:tc>
          <w:tcPr>
            <w:tcW w:w="1660" w:type="dxa"/>
            <w:vAlign w:val="bottom"/>
            <w:gridSpan w:val="16"/>
          </w:tcPr>
          <w:p>
            <w:pPr>
              <w:ind w:left="100"/>
              <w:spacing w:after="0" w:line="139" w:lineRule="exact"/>
              <w:rPr>
                <w:sz w:val="20"/>
                <w:szCs w:val="20"/>
                <w:color w:val="auto"/>
              </w:rPr>
            </w:pPr>
            <w:r>
              <w:rPr>
                <w:rFonts w:ascii="Arial" w:cs="Arial" w:eastAsia="Arial" w:hAnsi="Arial"/>
                <w:sz w:val="14"/>
                <w:szCs w:val="14"/>
                <w:color w:val="0000EE"/>
              </w:rPr>
              <w:t>Incentive Program</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53</w:t>
            </w:r>
          </w:p>
        </w:tc>
        <w:tc>
          <w:tcPr>
            <w:tcW w:w="0" w:type="dxa"/>
            <w:vAlign w:val="bottom"/>
          </w:tcPr>
          <w:p>
            <w:pPr>
              <w:spacing w:after="0"/>
              <w:rPr>
                <w:sz w:val="1"/>
                <w:szCs w:val="1"/>
                <w:color w:val="auto"/>
              </w:rPr>
            </w:pPr>
          </w:p>
        </w:tc>
      </w:tr>
      <w:tr>
        <w:trPr>
          <w:trHeight w:val="139"/>
        </w:trPr>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tcBorders>
              <w:top w:val="single" w:sz="8" w:color="0000EE"/>
            </w:tcBorders>
            <w:gridSpan w:val="14"/>
          </w:tcPr>
          <w:p>
            <w:pPr>
              <w:spacing w:after="0" w:line="139" w:lineRule="exact"/>
              <w:rPr>
                <w:sz w:val="20"/>
                <w:szCs w:val="20"/>
                <w:color w:val="auto"/>
              </w:rPr>
            </w:pPr>
            <w:r>
              <w:rPr>
                <w:rFonts w:ascii="Arial" w:cs="Arial" w:eastAsia="Arial" w:hAnsi="Arial"/>
                <w:sz w:val="14"/>
                <w:szCs w:val="14"/>
                <w:color w:val="0000EE"/>
              </w:rPr>
              <w:t>Long-Term Incentive Programs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56</w:t>
            </w:r>
          </w:p>
        </w:tc>
        <w:tc>
          <w:tcPr>
            <w:tcW w:w="0" w:type="dxa"/>
            <w:vAlign w:val="bottom"/>
          </w:tcPr>
          <w:p>
            <w:pPr>
              <w:spacing w:after="0"/>
              <w:rPr>
                <w:sz w:val="1"/>
                <w:szCs w:val="1"/>
                <w:color w:val="auto"/>
              </w:rPr>
            </w:pPr>
          </w:p>
        </w:tc>
      </w:tr>
      <w:tr>
        <w:trPr>
          <w:trHeight w:val="139"/>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3575B3"/>
              </w:rPr>
              <w:t>21</w:t>
            </w:r>
          </w:p>
        </w:tc>
        <w:tc>
          <w:tcPr>
            <w:tcW w:w="260" w:type="dxa"/>
            <w:vAlign w:val="bottom"/>
          </w:tcPr>
          <w:p>
            <w:pPr>
              <w:spacing w:after="0"/>
              <w:rPr>
                <w:sz w:val="12"/>
                <w:szCs w:val="12"/>
                <w:color w:val="auto"/>
              </w:rPr>
            </w:pPr>
          </w:p>
        </w:tc>
        <w:tc>
          <w:tcPr>
            <w:tcW w:w="1920" w:type="dxa"/>
            <w:vAlign w:val="bottom"/>
            <w:tcBorders>
              <w:top w:val="single" w:sz="8" w:color="0000EE"/>
            </w:tcBorders>
            <w:gridSpan w:val="12"/>
          </w:tcPr>
          <w:p>
            <w:pPr>
              <w:spacing w:after="0" w:line="139" w:lineRule="exact"/>
              <w:rPr>
                <w:sz w:val="20"/>
                <w:szCs w:val="20"/>
                <w:color w:val="auto"/>
              </w:rPr>
            </w:pPr>
            <w:r>
              <w:rPr>
                <w:rFonts w:ascii="Arial" w:cs="Arial" w:eastAsia="Arial" w:hAnsi="Arial"/>
                <w:sz w:val="14"/>
                <w:szCs w:val="14"/>
                <w:color w:val="0000EE"/>
              </w:rPr>
              <w:t>Non-Recurring Compensation</w:t>
            </w:r>
          </w:p>
        </w:tc>
        <w:tc>
          <w:tcPr>
            <w:tcW w:w="2660" w:type="dxa"/>
            <w:vAlign w:val="bottom"/>
            <w:gridSpan w:val="32"/>
          </w:tcPr>
          <w:p>
            <w:pPr>
              <w:spacing w:after="0" w:line="139" w:lineRule="exact"/>
              <w:rPr>
                <w:sz w:val="20"/>
                <w:szCs w:val="20"/>
                <w:color w:val="auto"/>
              </w:rPr>
            </w:pPr>
            <w:r>
              <w:rPr>
                <w:rFonts w:ascii="Arial" w:cs="Arial" w:eastAsia="Arial" w:hAnsi="Arial"/>
                <w:sz w:val="14"/>
                <w:szCs w:val="14"/>
                <w:color w:val="0000EE"/>
              </w:rPr>
              <w:t>Elements Reported in 2023</w:t>
            </w: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58</w:t>
            </w:r>
          </w:p>
        </w:tc>
        <w:tc>
          <w:tcPr>
            <w:tcW w:w="0" w:type="dxa"/>
            <w:vAlign w:val="bottom"/>
          </w:tcPr>
          <w:p>
            <w:pPr>
              <w:spacing w:after="0"/>
              <w:rPr>
                <w:sz w:val="1"/>
                <w:szCs w:val="1"/>
                <w:color w:val="auto"/>
              </w:rPr>
            </w:pPr>
          </w:p>
        </w:tc>
      </w:tr>
      <w:tr>
        <w:trPr>
          <w:trHeight w:val="139"/>
        </w:trPr>
        <w:tc>
          <w:tcPr>
            <w:tcW w:w="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400" w:type="dxa"/>
            <w:vAlign w:val="bottom"/>
            <w:tcBorders>
              <w:top w:val="single" w:sz="8" w:color="0000EE"/>
            </w:tcBorders>
            <w:gridSpan w:val="32"/>
          </w:tcPr>
          <w:p>
            <w:pPr>
              <w:spacing w:after="0" w:line="139" w:lineRule="exact"/>
              <w:rPr>
                <w:sz w:val="20"/>
                <w:szCs w:val="20"/>
                <w:color w:val="auto"/>
              </w:rPr>
            </w:pPr>
            <w:r>
              <w:rPr>
                <w:rFonts w:ascii="Arial" w:cs="Arial" w:eastAsia="Arial" w:hAnsi="Arial"/>
                <w:sz w:val="14"/>
                <w:szCs w:val="14"/>
                <w:color w:val="0000EE"/>
              </w:rPr>
              <w:t>Stockholder Engagement on Executive Compensation</w:t>
            </w: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61</w:t>
            </w:r>
          </w:p>
        </w:tc>
        <w:tc>
          <w:tcPr>
            <w:tcW w:w="0" w:type="dxa"/>
            <w:vAlign w:val="bottom"/>
          </w:tcPr>
          <w:p>
            <w:pPr>
              <w:spacing w:after="0"/>
              <w:rPr>
                <w:sz w:val="1"/>
                <w:szCs w:val="1"/>
                <w:color w:val="auto"/>
              </w:rPr>
            </w:pPr>
          </w:p>
        </w:tc>
      </w:tr>
      <w:tr>
        <w:trPr>
          <w:trHeight w:val="139"/>
        </w:trPr>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60" w:type="dxa"/>
            <w:vAlign w:val="bottom"/>
            <w:tcBorders>
              <w:top w:val="single" w:sz="8" w:color="0000EE"/>
            </w:tcBorders>
            <w:gridSpan w:val="31"/>
          </w:tcPr>
          <w:p>
            <w:pPr>
              <w:spacing w:after="0" w:line="139" w:lineRule="exact"/>
              <w:rPr>
                <w:sz w:val="20"/>
                <w:szCs w:val="20"/>
                <w:color w:val="auto"/>
              </w:rPr>
            </w:pPr>
            <w:r>
              <w:rPr>
                <w:rFonts w:ascii="Arial" w:cs="Arial" w:eastAsia="Arial" w:hAnsi="Arial"/>
                <w:sz w:val="14"/>
                <w:szCs w:val="14"/>
                <w:color w:val="0000EE"/>
              </w:rPr>
              <w:t>Severance Benefits and Post Termination Restrictive</w:t>
            </w:r>
          </w:p>
        </w:tc>
        <w:tc>
          <w:tcPr>
            <w:tcW w:w="1220" w:type="dxa"/>
            <w:vAlign w:val="bottom"/>
            <w:gridSpan w:val="13"/>
          </w:tcPr>
          <w:p>
            <w:pPr>
              <w:spacing w:after="0" w:line="139" w:lineRule="exact"/>
              <w:rPr>
                <w:sz w:val="20"/>
                <w:szCs w:val="20"/>
                <w:color w:val="auto"/>
              </w:rPr>
            </w:pPr>
            <w:r>
              <w:rPr>
                <w:rFonts w:ascii="Arial" w:cs="Arial" w:eastAsia="Arial" w:hAnsi="Arial"/>
                <w:sz w:val="14"/>
                <w:szCs w:val="14"/>
                <w:color w:val="0000EE"/>
              </w:rPr>
              <w:t>Covenants</w:t>
            </w: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61</w:t>
            </w:r>
          </w:p>
        </w:tc>
        <w:tc>
          <w:tcPr>
            <w:tcW w:w="0" w:type="dxa"/>
            <w:vAlign w:val="bottom"/>
          </w:tcPr>
          <w:p>
            <w:pPr>
              <w:spacing w:after="0"/>
              <w:rPr>
                <w:sz w:val="1"/>
                <w:szCs w:val="1"/>
                <w:color w:val="auto"/>
              </w:rPr>
            </w:pPr>
          </w:p>
        </w:tc>
      </w:tr>
      <w:tr>
        <w:trPr>
          <w:trHeight w:val="139"/>
        </w:trPr>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tcBorders>
              <w:top w:val="single" w:sz="8" w:color="0000EE"/>
            </w:tcBorders>
            <w:gridSpan w:val="18"/>
          </w:tcPr>
          <w:p>
            <w:pPr>
              <w:spacing w:after="0" w:line="139" w:lineRule="exact"/>
              <w:rPr>
                <w:sz w:val="20"/>
                <w:szCs w:val="20"/>
                <w:color w:val="auto"/>
              </w:rPr>
            </w:pPr>
            <w:r>
              <w:rPr>
                <w:rFonts w:ascii="Arial" w:cs="Arial" w:eastAsia="Arial" w:hAnsi="Arial"/>
                <w:sz w:val="14"/>
                <w:szCs w:val="14"/>
                <w:color w:val="0000EE"/>
              </w:rPr>
              <w:t>Other Benefits and Perquisites</w:t>
            </w: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62</w:t>
            </w:r>
          </w:p>
        </w:tc>
        <w:tc>
          <w:tcPr>
            <w:tcW w:w="0" w:type="dxa"/>
            <w:vAlign w:val="bottom"/>
          </w:tcPr>
          <w:p>
            <w:pPr>
              <w:spacing w:after="0"/>
              <w:rPr>
                <w:sz w:val="1"/>
                <w:szCs w:val="1"/>
                <w:color w:val="auto"/>
              </w:rPr>
            </w:pPr>
          </w:p>
        </w:tc>
      </w:tr>
      <w:tr>
        <w:trPr>
          <w:trHeight w:val="139"/>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3575B3"/>
              </w:rPr>
              <w:t>23</w:t>
            </w:r>
          </w:p>
        </w:tc>
        <w:tc>
          <w:tcPr>
            <w:tcW w:w="260" w:type="dxa"/>
            <w:vAlign w:val="bottom"/>
          </w:tcPr>
          <w:p>
            <w:pPr>
              <w:spacing w:after="0"/>
              <w:rPr>
                <w:sz w:val="12"/>
                <w:szCs w:val="12"/>
                <w:color w:val="auto"/>
              </w:rPr>
            </w:pPr>
          </w:p>
        </w:tc>
        <w:tc>
          <w:tcPr>
            <w:tcW w:w="1900" w:type="dxa"/>
            <w:vAlign w:val="bottom"/>
            <w:tcBorders>
              <w:top w:val="single" w:sz="8" w:color="0000EE"/>
            </w:tcBorders>
            <w:gridSpan w:val="11"/>
          </w:tcPr>
          <w:p>
            <w:pPr>
              <w:spacing w:after="0" w:line="139" w:lineRule="exact"/>
              <w:rPr>
                <w:sz w:val="20"/>
                <w:szCs w:val="20"/>
                <w:color w:val="auto"/>
              </w:rPr>
            </w:pPr>
            <w:r>
              <w:rPr>
                <w:rFonts w:ascii="Arial" w:cs="Arial" w:eastAsia="Arial" w:hAnsi="Arial"/>
                <w:sz w:val="14"/>
                <w:szCs w:val="14"/>
                <w:color w:val="0000EE"/>
              </w:rPr>
              <w:t>Continuing Focus on Leading</w:t>
            </w:r>
          </w:p>
        </w:tc>
        <w:tc>
          <w:tcPr>
            <w:tcW w:w="640" w:type="dxa"/>
            <w:vAlign w:val="bottom"/>
            <w:gridSpan w:val="9"/>
          </w:tcPr>
          <w:p>
            <w:pPr>
              <w:spacing w:after="0" w:line="139" w:lineRule="exact"/>
              <w:rPr>
                <w:sz w:val="20"/>
                <w:szCs w:val="20"/>
                <w:color w:val="auto"/>
              </w:rPr>
            </w:pPr>
            <w:r>
              <w:rPr>
                <w:rFonts w:ascii="Arial" w:cs="Arial" w:eastAsia="Arial" w:hAnsi="Arial"/>
                <w:sz w:val="14"/>
                <w:szCs w:val="14"/>
                <w:color w:val="0000EE"/>
              </w:rPr>
              <w:t>Practices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63</w:t>
            </w: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560" w:type="dxa"/>
            <w:vAlign w:val="bottom"/>
            <w:vMerge w:val="continue"/>
          </w:tcPr>
          <w:p>
            <w:pPr>
              <w:spacing w:after="0"/>
              <w:rPr>
                <w:sz w:val="6"/>
                <w:szCs w:val="6"/>
                <w:color w:val="auto"/>
              </w:rPr>
            </w:pPr>
          </w:p>
        </w:tc>
        <w:tc>
          <w:tcPr>
            <w:tcW w:w="4840" w:type="dxa"/>
            <w:vAlign w:val="bottom"/>
            <w:gridSpan w:val="45"/>
            <w:vMerge w:val="restart"/>
          </w:tcPr>
          <w:p>
            <w:pPr>
              <w:spacing w:after="0"/>
              <w:rPr>
                <w:sz w:val="20"/>
                <w:szCs w:val="20"/>
                <w:color w:val="auto"/>
              </w:rPr>
            </w:pPr>
            <w:r>
              <w:rPr>
                <w:rFonts w:ascii="Arial" w:cs="Arial" w:eastAsia="Arial" w:hAnsi="Arial"/>
                <w:sz w:val="14"/>
                <w:szCs w:val="14"/>
                <w:b w:val="1"/>
                <w:bCs w:val="1"/>
                <w:color w:val="0000EE"/>
              </w:rPr>
              <w:t>REPORT OF THE COMPENSATION COMMITTEE OF THE BOARD OF</w:t>
            </w:r>
          </w:p>
        </w:tc>
        <w:tc>
          <w:tcPr>
            <w:tcW w:w="340" w:type="dxa"/>
            <w:vAlign w:val="bottom"/>
            <w:vMerge w:val="restart"/>
          </w:tcPr>
          <w:p>
            <w:pPr>
              <w:ind w:left="100"/>
              <w:spacing w:after="0"/>
              <w:rPr>
                <w:sz w:val="20"/>
                <w:szCs w:val="20"/>
                <w:color w:val="auto"/>
              </w:rPr>
            </w:pPr>
            <w:r>
              <w:rPr>
                <w:rFonts w:ascii="Arial" w:cs="Arial" w:eastAsia="Arial" w:hAnsi="Arial"/>
                <w:sz w:val="14"/>
                <w:szCs w:val="14"/>
                <w:b w:val="1"/>
                <w:bCs w:val="1"/>
                <w:color w:val="3575B3"/>
              </w:rPr>
              <w:t>65</w:t>
            </w: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4840" w:type="dxa"/>
            <w:vAlign w:val="bottom"/>
            <w:gridSpan w:val="45"/>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560" w:type="dxa"/>
            <w:vAlign w:val="bottom"/>
          </w:tcPr>
          <w:p>
            <w:pPr>
              <w:spacing w:after="0"/>
              <w:rPr>
                <w:sz w:val="12"/>
                <w:szCs w:val="12"/>
                <w:color w:val="auto"/>
              </w:rPr>
            </w:pPr>
          </w:p>
        </w:tc>
        <w:tc>
          <w:tcPr>
            <w:tcW w:w="3220" w:type="dxa"/>
            <w:vAlign w:val="bottom"/>
            <w:tcBorders>
              <w:top w:val="single" w:sz="8" w:color="0000EE"/>
            </w:tcBorders>
            <w:gridSpan w:val="28"/>
          </w:tcPr>
          <w:p>
            <w:pPr>
              <w:spacing w:after="0" w:line="139" w:lineRule="exact"/>
              <w:rPr>
                <w:sz w:val="20"/>
                <w:szCs w:val="20"/>
                <w:color w:val="auto"/>
              </w:rPr>
            </w:pPr>
            <w:r>
              <w:rPr>
                <w:rFonts w:ascii="Arial" w:cs="Arial" w:eastAsia="Arial" w:hAnsi="Arial"/>
                <w:sz w:val="14"/>
                <w:szCs w:val="14"/>
                <w:b w:val="1"/>
                <w:bCs w:val="1"/>
                <w:color w:val="0000EE"/>
              </w:rPr>
              <w:t xml:space="preserve">DIRECTORS                                                 </w:t>
            </w:r>
          </w:p>
        </w:tc>
        <w:tc>
          <w:tcPr>
            <w:tcW w:w="1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3575B3"/>
              </w:rPr>
              <w:t>24</w:t>
            </w:r>
          </w:p>
        </w:tc>
        <w:tc>
          <w:tcPr>
            <w:tcW w:w="2660" w:type="dxa"/>
            <w:vAlign w:val="bottom"/>
            <w:tcBorders>
              <w:top w:val="single" w:sz="8" w:color="0000EE"/>
            </w:tcBorders>
            <w:gridSpan w:val="19"/>
          </w:tcPr>
          <w:p>
            <w:pPr>
              <w:spacing w:after="0"/>
              <w:rPr>
                <w:sz w:val="20"/>
                <w:szCs w:val="20"/>
                <w:color w:val="auto"/>
              </w:rPr>
            </w:pPr>
            <w:r>
              <w:rPr>
                <w:rFonts w:ascii="Arial" w:cs="Arial" w:eastAsia="Arial" w:hAnsi="Arial"/>
                <w:sz w:val="14"/>
                <w:szCs w:val="14"/>
                <w:b w:val="1"/>
                <w:bCs w:val="1"/>
                <w:color w:val="0000EE"/>
              </w:rPr>
              <w:t xml:space="preserve">EXECUTIVE OFFICERS                      </w:t>
            </w:r>
          </w:p>
        </w:tc>
        <w:tc>
          <w:tcPr>
            <w:tcW w:w="140" w:type="dxa"/>
            <w:vAlign w:val="bottom"/>
            <w:tcBorders>
              <w:top w:val="single" w:sz="8" w:color="0000EE"/>
            </w:tcBorders>
            <w:gridSpan w:val="2"/>
          </w:tcPr>
          <w:p>
            <w:pPr>
              <w:ind w:left="20"/>
              <w:spacing w:after="0"/>
              <w:rPr>
                <w:sz w:val="20"/>
                <w:szCs w:val="20"/>
                <w:color w:val="auto"/>
              </w:rPr>
            </w:pPr>
            <w:r>
              <w:rPr>
                <w:rFonts w:ascii="Arial" w:cs="Arial" w:eastAsia="Arial" w:hAnsi="Arial"/>
                <w:sz w:val="14"/>
                <w:szCs w:val="14"/>
                <w:b w:val="1"/>
                <w:bCs w:val="1"/>
                <w:color w:val="0000EE"/>
                <w:w w:val="71"/>
              </w:rPr>
              <w:t> </w:t>
            </w:r>
          </w:p>
        </w:tc>
        <w:tc>
          <w:tcPr>
            <w:tcW w:w="140" w:type="dxa"/>
            <w:vAlign w:val="bottom"/>
            <w:tcBorders>
              <w:top w:val="single" w:sz="8" w:color="0000EE"/>
            </w:tcBorders>
            <w:gridSpan w:val="3"/>
          </w:tcPr>
          <w:p>
            <w:pPr>
              <w:ind w:left="20"/>
              <w:spacing w:after="0"/>
              <w:rPr>
                <w:sz w:val="20"/>
                <w:szCs w:val="20"/>
                <w:color w:val="auto"/>
              </w:rPr>
            </w:pPr>
            <w:r>
              <w:rPr>
                <w:rFonts w:ascii="Arial" w:cs="Arial" w:eastAsia="Arial" w:hAnsi="Arial"/>
                <w:sz w:val="14"/>
                <w:szCs w:val="14"/>
                <w:b w:val="1"/>
                <w:bCs w:val="1"/>
                <w:color w:val="0000EE"/>
                <w:w w:val="71"/>
              </w:rPr>
              <w:t> </w:t>
            </w:r>
          </w:p>
        </w:tc>
        <w:tc>
          <w:tcPr>
            <w:tcW w:w="140" w:type="dxa"/>
            <w:vAlign w:val="bottom"/>
            <w:tcBorders>
              <w:top w:val="single" w:sz="8" w:color="0000EE"/>
            </w:tcBorders>
            <w:gridSpan w:val="2"/>
          </w:tcPr>
          <w:p>
            <w:pPr>
              <w:ind w:left="20"/>
              <w:spacing w:after="0"/>
              <w:rPr>
                <w:sz w:val="20"/>
                <w:szCs w:val="20"/>
                <w:color w:val="auto"/>
              </w:rPr>
            </w:pPr>
            <w:r>
              <w:rPr>
                <w:rFonts w:ascii="Arial" w:cs="Arial" w:eastAsia="Arial" w:hAnsi="Arial"/>
                <w:sz w:val="14"/>
                <w:szCs w:val="14"/>
                <w:b w:val="1"/>
                <w:bCs w:val="1"/>
                <w:color w:val="0000EE"/>
                <w:w w:val="71"/>
              </w:rPr>
              <w:t> </w:t>
            </w:r>
          </w:p>
        </w:tc>
        <w:tc>
          <w:tcPr>
            <w:tcW w:w="40" w:type="dxa"/>
            <w:vAlign w:val="bottom"/>
            <w:tcBorders>
              <w:top w:val="single" w:sz="8" w:color="0000EE"/>
            </w:tcBorders>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1"/>
                <w:szCs w:val="11"/>
                <w:b w:val="1"/>
                <w:bCs w:val="1"/>
                <w:color w:val="0000EE"/>
                <w:w w:val="72"/>
              </w:rPr>
              <w:t> </w:t>
            </w:r>
          </w:p>
        </w:tc>
        <w:tc>
          <w:tcPr>
            <w:tcW w:w="140" w:type="dxa"/>
            <w:vAlign w:val="bottom"/>
            <w:gridSpan w:val="2"/>
          </w:tcPr>
          <w:p>
            <w:pPr>
              <w:ind w:left="20"/>
              <w:spacing w:after="0"/>
              <w:rPr>
                <w:sz w:val="20"/>
                <w:szCs w:val="20"/>
                <w:color w:val="auto"/>
              </w:rPr>
            </w:pPr>
            <w:r>
              <w:rPr>
                <w:rFonts w:ascii="Arial" w:cs="Arial" w:eastAsia="Arial" w:hAnsi="Arial"/>
                <w:sz w:val="14"/>
                <w:szCs w:val="14"/>
                <w:b w:val="1"/>
                <w:bCs w:val="1"/>
                <w:color w:val="0000EE"/>
                <w:w w:val="71"/>
              </w:rPr>
              <w:t> </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0000EE"/>
                <w:w w:val="72"/>
              </w:rPr>
              <w:t> </w:t>
            </w:r>
          </w:p>
        </w:tc>
        <w:tc>
          <w:tcPr>
            <w:tcW w:w="160" w:type="dxa"/>
            <w:vAlign w:val="bottom"/>
            <w:gridSpan w:val="2"/>
          </w:tcPr>
          <w:p>
            <w:pPr>
              <w:ind w:left="20"/>
              <w:spacing w:after="0"/>
              <w:rPr>
                <w:sz w:val="20"/>
                <w:szCs w:val="20"/>
                <w:color w:val="auto"/>
              </w:rPr>
            </w:pPr>
            <w:r>
              <w:rPr>
                <w:rFonts w:ascii="Arial" w:cs="Arial" w:eastAsia="Arial" w:hAnsi="Arial"/>
                <w:sz w:val="14"/>
                <w:szCs w:val="14"/>
                <w:b w:val="1"/>
                <w:bCs w:val="1"/>
                <w:color w:val="0000EE"/>
                <w:w w:val="85"/>
              </w:rPr>
              <w:t> </w:t>
            </w:r>
          </w:p>
        </w:tc>
        <w:tc>
          <w:tcPr>
            <w:tcW w:w="120" w:type="dxa"/>
            <w:vAlign w:val="bottom"/>
            <w:gridSpan w:val="2"/>
          </w:tcPr>
          <w:p>
            <w:pPr>
              <w:spacing w:after="0"/>
              <w:rPr>
                <w:sz w:val="20"/>
                <w:szCs w:val="20"/>
                <w:color w:val="auto"/>
              </w:rPr>
            </w:pPr>
            <w:r>
              <w:rPr>
                <w:rFonts w:ascii="Arial" w:cs="Arial" w:eastAsia="Arial" w:hAnsi="Arial"/>
                <w:sz w:val="11"/>
                <w:szCs w:val="11"/>
                <w:b w:val="1"/>
                <w:bCs w:val="1"/>
                <w:color w:val="0000EE"/>
                <w:w w:val="72"/>
              </w:rPr>
              <w:t> </w:t>
            </w:r>
          </w:p>
        </w:tc>
        <w:tc>
          <w:tcPr>
            <w:tcW w:w="1060" w:type="dxa"/>
            <w:vAlign w:val="bottom"/>
            <w:gridSpan w:val="10"/>
          </w:tcPr>
          <w:p>
            <w:pPr>
              <w:jc w:val="right"/>
              <w:ind w:right="920"/>
              <w:spacing w:after="0"/>
              <w:rPr>
                <w:sz w:val="20"/>
                <w:szCs w:val="20"/>
                <w:color w:val="auto"/>
              </w:rPr>
            </w:pPr>
            <w:r>
              <w:rPr>
                <w:rFonts w:ascii="Arial" w:cs="Arial" w:eastAsia="Arial" w:hAnsi="Arial"/>
                <w:sz w:val="14"/>
                <w:szCs w:val="14"/>
                <w:b w:val="1"/>
                <w:bCs w:val="1"/>
                <w:color w:val="0000EE"/>
              </w:rPr>
              <w:t xml:space="preserve">   </w:t>
            </w:r>
          </w:p>
        </w:tc>
        <w:tc>
          <w:tcPr>
            <w:tcW w:w="340" w:type="dxa"/>
            <w:vAlign w:val="bottom"/>
          </w:tcPr>
          <w:p>
            <w:pPr>
              <w:ind w:left="100"/>
              <w:spacing w:after="0"/>
              <w:rPr>
                <w:sz w:val="20"/>
                <w:szCs w:val="20"/>
                <w:color w:val="auto"/>
              </w:rPr>
            </w:pPr>
            <w:r>
              <w:rPr>
                <w:rFonts w:ascii="Arial" w:cs="Arial" w:eastAsia="Arial" w:hAnsi="Arial"/>
                <w:sz w:val="14"/>
                <w:szCs w:val="14"/>
                <w:b w:val="1"/>
                <w:bCs w:val="1"/>
                <w:color w:val="3575B3"/>
              </w:rPr>
              <w:t>66</w:t>
            </w:r>
          </w:p>
        </w:tc>
        <w:tc>
          <w:tcPr>
            <w:tcW w:w="0" w:type="dxa"/>
            <w:vAlign w:val="bottom"/>
          </w:tcPr>
          <w:p>
            <w:pPr>
              <w:spacing w:after="0"/>
              <w:rPr>
                <w:sz w:val="1"/>
                <w:szCs w:val="1"/>
                <w:color w:val="auto"/>
              </w:rPr>
            </w:pPr>
          </w:p>
        </w:tc>
      </w:tr>
      <w:tr>
        <w:trPr>
          <w:trHeight w:val="125"/>
        </w:trPr>
        <w:tc>
          <w:tcPr>
            <w:tcW w:w="560" w:type="dxa"/>
            <w:vAlign w:val="bottom"/>
            <w:vMerge w:val="continue"/>
          </w:tcPr>
          <w:p>
            <w:pPr>
              <w:spacing w:after="0"/>
              <w:rPr>
                <w:sz w:val="10"/>
                <w:szCs w:val="10"/>
                <w:color w:val="auto"/>
              </w:rPr>
            </w:pPr>
          </w:p>
        </w:tc>
        <w:tc>
          <w:tcPr>
            <w:tcW w:w="3660" w:type="dxa"/>
            <w:vAlign w:val="bottom"/>
            <w:tcBorders>
              <w:top w:val="single" w:sz="8" w:color="0000EE"/>
            </w:tcBorders>
            <w:gridSpan w:val="33"/>
            <w:vMerge w:val="restart"/>
          </w:tcPr>
          <w:p>
            <w:pPr>
              <w:spacing w:after="0"/>
              <w:rPr>
                <w:sz w:val="20"/>
                <w:szCs w:val="20"/>
                <w:color w:val="auto"/>
              </w:rPr>
            </w:pPr>
            <w:r>
              <w:rPr>
                <w:rFonts w:ascii="Arial" w:cs="Arial" w:eastAsia="Arial" w:hAnsi="Arial"/>
                <w:sz w:val="14"/>
                <w:szCs w:val="14"/>
                <w:b w:val="1"/>
                <w:bCs w:val="1"/>
                <w:color w:val="0000EE"/>
              </w:rPr>
              <w:t xml:space="preserve">EXECUTIVE COMPENSATION                                  </w:t>
            </w:r>
          </w:p>
        </w:tc>
        <w:tc>
          <w:tcPr>
            <w:tcW w:w="120" w:type="dxa"/>
            <w:vAlign w:val="bottom"/>
            <w:tcBorders>
              <w:top w:val="single" w:sz="8" w:color="0000EE"/>
            </w:tcBorders>
            <w:gridSpan w:val="2"/>
            <w:vMerge w:val="restart"/>
          </w:tcPr>
          <w:p>
            <w:pPr>
              <w:ind w:left="20"/>
              <w:spacing w:after="0"/>
              <w:rPr>
                <w:sz w:val="20"/>
                <w:szCs w:val="20"/>
                <w:color w:val="auto"/>
              </w:rPr>
            </w:pPr>
            <w:r>
              <w:rPr>
                <w:rFonts w:ascii="Arial" w:cs="Arial" w:eastAsia="Arial" w:hAnsi="Arial"/>
                <w:sz w:val="8"/>
                <w:szCs w:val="8"/>
                <w:b w:val="1"/>
                <w:bCs w:val="1"/>
                <w:color w:val="0000EE"/>
                <w:w w:val="74"/>
              </w:rPr>
              <w:t> </w:t>
            </w:r>
          </w:p>
        </w:tc>
        <w:tc>
          <w:tcPr>
            <w:tcW w:w="100" w:type="dxa"/>
            <w:vAlign w:val="bottom"/>
            <w:tcBorders>
              <w:top w:val="single" w:sz="8" w:color="0000EE"/>
            </w:tcBorders>
            <w:gridSpan w:val="2"/>
            <w:vMerge w:val="restart"/>
          </w:tcPr>
          <w:p>
            <w:pPr>
              <w:jc w:val="right"/>
              <w:ind w:right="20"/>
              <w:spacing w:after="0"/>
              <w:rPr>
                <w:sz w:val="20"/>
                <w:szCs w:val="20"/>
                <w:color w:val="auto"/>
              </w:rPr>
            </w:pPr>
            <w:r>
              <w:rPr>
                <w:rFonts w:ascii="Arial" w:cs="Arial" w:eastAsia="Arial" w:hAnsi="Arial"/>
                <w:sz w:val="14"/>
                <w:szCs w:val="14"/>
                <w:b w:val="1"/>
                <w:bCs w:val="1"/>
                <w:color w:val="0000EE"/>
              </w:rPr>
              <w:t> </w:t>
            </w:r>
          </w:p>
        </w:tc>
        <w:tc>
          <w:tcPr>
            <w:tcW w:w="960" w:type="dxa"/>
            <w:vAlign w:val="bottom"/>
            <w:gridSpan w:val="8"/>
            <w:vMerge w:val="restart"/>
          </w:tcPr>
          <w:p>
            <w:pPr>
              <w:spacing w:after="0"/>
              <w:rPr>
                <w:sz w:val="10"/>
                <w:szCs w:val="10"/>
                <w:color w:val="auto"/>
              </w:rPr>
            </w:pPr>
          </w:p>
        </w:tc>
        <w:tc>
          <w:tcPr>
            <w:tcW w:w="340" w:type="dxa"/>
            <w:vAlign w:val="bottom"/>
            <w:vMerge w:val="restart"/>
          </w:tcPr>
          <w:p>
            <w:pPr>
              <w:ind w:left="100"/>
              <w:spacing w:after="0"/>
              <w:rPr>
                <w:sz w:val="20"/>
                <w:szCs w:val="20"/>
                <w:color w:val="auto"/>
              </w:rPr>
            </w:pPr>
            <w:r>
              <w:rPr>
                <w:rFonts w:ascii="Arial" w:cs="Arial" w:eastAsia="Arial" w:hAnsi="Arial"/>
                <w:sz w:val="14"/>
                <w:szCs w:val="14"/>
                <w:b w:val="1"/>
                <w:bCs w:val="1"/>
                <w:color w:val="3575B3"/>
              </w:rPr>
              <w:t>68</w:t>
            </w:r>
          </w:p>
        </w:tc>
        <w:tc>
          <w:tcPr>
            <w:tcW w:w="0" w:type="dxa"/>
            <w:vAlign w:val="bottom"/>
          </w:tcPr>
          <w:p>
            <w:pPr>
              <w:spacing w:after="0"/>
              <w:rPr>
                <w:sz w:val="1"/>
                <w:szCs w:val="1"/>
                <w:color w:val="auto"/>
              </w:rPr>
            </w:pPr>
          </w:p>
        </w:tc>
      </w:tr>
      <w:tr>
        <w:trPr>
          <w:trHeight w:val="120"/>
        </w:trPr>
        <w:tc>
          <w:tcPr>
            <w:tcW w:w="560" w:type="dxa"/>
            <w:vAlign w:val="bottom"/>
          </w:tcPr>
          <w:p>
            <w:pPr>
              <w:spacing w:after="0"/>
              <w:rPr>
                <w:sz w:val="10"/>
                <w:szCs w:val="10"/>
                <w:color w:val="auto"/>
              </w:rPr>
            </w:pPr>
          </w:p>
        </w:tc>
        <w:tc>
          <w:tcPr>
            <w:tcW w:w="3660" w:type="dxa"/>
            <w:vAlign w:val="bottom"/>
            <w:gridSpan w:val="33"/>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960" w:type="dxa"/>
            <w:vAlign w:val="bottom"/>
            <w:gridSpan w:val="8"/>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3575B3"/>
              </w:rPr>
              <w:t>25</w:t>
            </w:r>
          </w:p>
        </w:tc>
        <w:tc>
          <w:tcPr>
            <w:tcW w:w="260" w:type="dxa"/>
            <w:vAlign w:val="bottom"/>
            <w:tcBorders>
              <w:top w:val="single" w:sz="8" w:color="0000EE"/>
            </w:tcBorders>
          </w:tcPr>
          <w:p>
            <w:pPr>
              <w:spacing w:after="0"/>
              <w:rPr>
                <w:sz w:val="12"/>
                <w:szCs w:val="12"/>
                <w:color w:val="auto"/>
              </w:rPr>
            </w:pPr>
          </w:p>
        </w:tc>
        <w:tc>
          <w:tcPr>
            <w:tcW w:w="1940" w:type="dxa"/>
            <w:vAlign w:val="bottom"/>
            <w:tcBorders>
              <w:top w:val="single" w:sz="8" w:color="0000EE"/>
              <w:bottom w:val="single" w:sz="8" w:color="0000EE"/>
            </w:tcBorders>
            <w:gridSpan w:val="13"/>
          </w:tcPr>
          <w:p>
            <w:pPr>
              <w:spacing w:after="0" w:line="139" w:lineRule="exact"/>
              <w:rPr>
                <w:sz w:val="20"/>
                <w:szCs w:val="20"/>
                <w:color w:val="auto"/>
              </w:rPr>
            </w:pPr>
            <w:r>
              <w:rPr>
                <w:rFonts w:ascii="Arial" w:cs="Arial" w:eastAsia="Arial" w:hAnsi="Arial"/>
                <w:sz w:val="14"/>
                <w:szCs w:val="14"/>
                <w:color w:val="0000EE"/>
                <w:w w:val="99"/>
              </w:rPr>
              <w:t>Summary Compensation Table</w:t>
            </w:r>
          </w:p>
        </w:tc>
        <w:tc>
          <w:tcPr>
            <w:tcW w:w="460" w:type="dxa"/>
            <w:vAlign w:val="bottom"/>
            <w:tcBorders>
              <w:top w:val="single" w:sz="8" w:color="0000EE"/>
            </w:tcBorders>
            <w:gridSpan w:val="5"/>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68</w:t>
            </w:r>
          </w:p>
        </w:tc>
        <w:tc>
          <w:tcPr>
            <w:tcW w:w="0" w:type="dxa"/>
            <w:vAlign w:val="bottom"/>
          </w:tcPr>
          <w:p>
            <w:pPr>
              <w:spacing w:after="0"/>
              <w:rPr>
                <w:sz w:val="1"/>
                <w:szCs w:val="1"/>
                <w:color w:val="auto"/>
              </w:rPr>
            </w:pPr>
          </w:p>
        </w:tc>
      </w:tr>
      <w:tr>
        <w:trPr>
          <w:trHeight w:val="126"/>
        </w:trPr>
        <w:tc>
          <w:tcPr>
            <w:tcW w:w="5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400" w:type="dxa"/>
            <w:vAlign w:val="bottom"/>
            <w:gridSpan w:val="18"/>
          </w:tcPr>
          <w:p>
            <w:pPr>
              <w:spacing w:after="0" w:line="126" w:lineRule="exact"/>
              <w:rPr>
                <w:sz w:val="20"/>
                <w:szCs w:val="20"/>
                <w:color w:val="auto"/>
              </w:rPr>
            </w:pPr>
            <w:r>
              <w:rPr>
                <w:rFonts w:ascii="Arial" w:cs="Arial" w:eastAsia="Arial" w:hAnsi="Arial"/>
                <w:sz w:val="14"/>
                <w:szCs w:val="14"/>
                <w:color w:val="0000EE"/>
              </w:rPr>
              <w:t>Grants of Plan-Based Awards in 2023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ind w:left="100"/>
              <w:spacing w:after="0" w:line="126" w:lineRule="exact"/>
              <w:rPr>
                <w:sz w:val="20"/>
                <w:szCs w:val="20"/>
                <w:color w:val="auto"/>
              </w:rPr>
            </w:pPr>
            <w:r>
              <w:rPr>
                <w:rFonts w:ascii="Arial" w:cs="Arial" w:eastAsia="Arial" w:hAnsi="Arial"/>
                <w:sz w:val="14"/>
                <w:szCs w:val="14"/>
                <w:color w:val="435363"/>
              </w:rPr>
              <w:t>70</w:t>
            </w:r>
          </w:p>
        </w:tc>
        <w:tc>
          <w:tcPr>
            <w:tcW w:w="0" w:type="dxa"/>
            <w:vAlign w:val="bottom"/>
          </w:tcPr>
          <w:p>
            <w:pPr>
              <w:spacing w:after="0"/>
              <w:rPr>
                <w:sz w:val="1"/>
                <w:szCs w:val="1"/>
                <w:color w:val="auto"/>
              </w:rPr>
            </w:pPr>
          </w:p>
        </w:tc>
      </w:tr>
      <w:tr>
        <w:trPr>
          <w:trHeight w:val="26"/>
        </w:trPr>
        <w:tc>
          <w:tcPr>
            <w:tcW w:w="560" w:type="dxa"/>
            <w:vAlign w:val="bottom"/>
            <w:vMerge w:val="restart"/>
          </w:tcPr>
          <w:p>
            <w:pPr>
              <w:spacing w:after="0" w:line="123" w:lineRule="exact"/>
              <w:rPr>
                <w:sz w:val="20"/>
                <w:szCs w:val="20"/>
                <w:color w:val="auto"/>
              </w:rPr>
            </w:pPr>
            <w:r>
              <w:rPr>
                <w:rFonts w:ascii="Arial" w:cs="Arial" w:eastAsia="Arial" w:hAnsi="Arial"/>
                <w:sz w:val="14"/>
                <w:szCs w:val="14"/>
                <w:color w:val="435363"/>
              </w:rPr>
              <w:t>25</w:t>
            </w:r>
          </w:p>
        </w:tc>
        <w:tc>
          <w:tcPr>
            <w:tcW w:w="2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5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3240" w:type="dxa"/>
            <w:vAlign w:val="bottom"/>
            <w:gridSpan w:val="30"/>
            <w:vMerge w:val="restart"/>
          </w:tcPr>
          <w:p>
            <w:pPr>
              <w:spacing w:after="0" w:line="146" w:lineRule="exact"/>
              <w:rPr>
                <w:sz w:val="20"/>
                <w:szCs w:val="20"/>
                <w:color w:val="auto"/>
              </w:rPr>
            </w:pPr>
            <w:r>
              <w:rPr>
                <w:rFonts w:ascii="Arial" w:cs="Arial" w:eastAsia="Arial" w:hAnsi="Arial"/>
                <w:sz w:val="14"/>
                <w:szCs w:val="14"/>
                <w:color w:val="0000EE"/>
                <w:w w:val="99"/>
              </w:rPr>
              <w:t>Outstanding Equity Awards at 2023 Fiscal Year-End</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restart"/>
          </w:tcPr>
          <w:p>
            <w:pPr>
              <w:ind w:left="100"/>
              <w:spacing w:after="0" w:line="146" w:lineRule="exact"/>
              <w:rPr>
                <w:sz w:val="20"/>
                <w:szCs w:val="20"/>
                <w:color w:val="auto"/>
              </w:rPr>
            </w:pPr>
            <w:r>
              <w:rPr>
                <w:rFonts w:ascii="Arial" w:cs="Arial" w:eastAsia="Arial" w:hAnsi="Arial"/>
                <w:sz w:val="14"/>
                <w:szCs w:val="14"/>
                <w:color w:val="435363"/>
              </w:rPr>
              <w:t>71</w:t>
            </w:r>
          </w:p>
        </w:tc>
        <w:tc>
          <w:tcPr>
            <w:tcW w:w="0" w:type="dxa"/>
            <w:vAlign w:val="bottom"/>
          </w:tcPr>
          <w:p>
            <w:pPr>
              <w:spacing w:after="0"/>
              <w:rPr>
                <w:sz w:val="1"/>
                <w:szCs w:val="1"/>
                <w:color w:val="auto"/>
              </w:rPr>
            </w:pPr>
          </w:p>
        </w:tc>
      </w:tr>
      <w:tr>
        <w:trPr>
          <w:trHeight w:val="49"/>
        </w:trPr>
        <w:tc>
          <w:tcPr>
            <w:tcW w:w="560" w:type="dxa"/>
            <w:vAlign w:val="bottom"/>
            <w:vMerge w:val="restart"/>
          </w:tcPr>
          <w:p>
            <w:pPr>
              <w:spacing w:after="0"/>
              <w:rPr>
                <w:sz w:val="20"/>
                <w:szCs w:val="20"/>
                <w:color w:val="auto"/>
              </w:rPr>
            </w:pPr>
            <w:r>
              <w:rPr>
                <w:rFonts w:ascii="Arial" w:cs="Arial" w:eastAsia="Arial" w:hAnsi="Arial"/>
                <w:sz w:val="14"/>
                <w:szCs w:val="14"/>
                <w:color w:val="435363"/>
              </w:rPr>
              <w:t>26</w:t>
            </w:r>
          </w:p>
        </w:tc>
        <w:tc>
          <w:tcPr>
            <w:tcW w:w="260" w:type="dxa"/>
            <w:vAlign w:val="bottom"/>
          </w:tcPr>
          <w:p>
            <w:pPr>
              <w:spacing w:after="0"/>
              <w:rPr>
                <w:sz w:val="4"/>
                <w:szCs w:val="4"/>
                <w:color w:val="auto"/>
              </w:rPr>
            </w:pPr>
          </w:p>
        </w:tc>
        <w:tc>
          <w:tcPr>
            <w:tcW w:w="3240" w:type="dxa"/>
            <w:vAlign w:val="bottom"/>
            <w:gridSpan w:val="30"/>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5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tcBorders>
              <w:top w:val="single" w:sz="8" w:color="0000EE"/>
            </w:tcBorders>
            <w:gridSpan w:val="18"/>
          </w:tcPr>
          <w:p>
            <w:pPr>
              <w:spacing w:after="0" w:line="139" w:lineRule="exact"/>
              <w:rPr>
                <w:sz w:val="20"/>
                <w:szCs w:val="20"/>
                <w:color w:val="auto"/>
              </w:rPr>
            </w:pPr>
            <w:r>
              <w:rPr>
                <w:rFonts w:ascii="Arial" w:cs="Arial" w:eastAsia="Arial" w:hAnsi="Arial"/>
                <w:sz w:val="14"/>
                <w:szCs w:val="14"/>
                <w:color w:val="0000EE"/>
              </w:rPr>
              <w:t>Options Exercised and Stock Vested</w:t>
            </w: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72</w:t>
            </w:r>
          </w:p>
        </w:tc>
        <w:tc>
          <w:tcPr>
            <w:tcW w:w="0" w:type="dxa"/>
            <w:vAlign w:val="bottom"/>
          </w:tcPr>
          <w:p>
            <w:pPr>
              <w:spacing w:after="0"/>
              <w:rPr>
                <w:sz w:val="1"/>
                <w:szCs w:val="1"/>
                <w:color w:val="auto"/>
              </w:rPr>
            </w:pPr>
          </w:p>
        </w:tc>
      </w:tr>
      <w:tr>
        <w:trPr>
          <w:trHeight w:val="139"/>
        </w:trPr>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tcBorders>
              <w:top w:val="single" w:sz="8" w:color="0000EE"/>
            </w:tcBorders>
            <w:gridSpan w:val="15"/>
          </w:tcPr>
          <w:p>
            <w:pPr>
              <w:spacing w:after="0" w:line="139" w:lineRule="exact"/>
              <w:rPr>
                <w:sz w:val="20"/>
                <w:szCs w:val="20"/>
                <w:color w:val="auto"/>
              </w:rPr>
            </w:pPr>
            <w:r>
              <w:rPr>
                <w:rFonts w:ascii="Arial" w:cs="Arial" w:eastAsia="Arial" w:hAnsi="Arial"/>
                <w:sz w:val="14"/>
                <w:szCs w:val="14"/>
                <w:color w:val="0000EE"/>
                <w:w w:val="94"/>
              </w:rPr>
              <w:t>Potential Payments Upon Termination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0" w:type="dxa"/>
            <w:vAlign w:val="bottom"/>
            <w:gridSpan w:val="27"/>
          </w:tcPr>
          <w:p>
            <w:pPr>
              <w:jc w:val="center"/>
              <w:ind w:right="860"/>
              <w:spacing w:after="0" w:line="139" w:lineRule="exact"/>
              <w:rPr>
                <w:sz w:val="20"/>
                <w:szCs w:val="20"/>
                <w:color w:val="auto"/>
              </w:rPr>
            </w:pPr>
            <w:r>
              <w:rPr>
                <w:rFonts w:ascii="Arial" w:cs="Arial" w:eastAsia="Arial" w:hAnsi="Arial"/>
                <w:sz w:val="14"/>
                <w:szCs w:val="14"/>
                <w:color w:val="0000EE"/>
              </w:rPr>
              <w:t>or Change in Control</w:t>
            </w:r>
            <w:r>
              <w:rPr>
                <w:rFonts w:ascii="Arial" w:cs="Arial" w:eastAsia="Arial" w:hAnsi="Arial"/>
                <w:sz w:val="14"/>
                <w:szCs w:val="14"/>
                <w:color w:val="435363"/>
              </w:rPr>
              <w:t xml:space="preserve"> </w:t>
            </w: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73</w:t>
            </w:r>
          </w:p>
        </w:tc>
        <w:tc>
          <w:tcPr>
            <w:tcW w:w="0" w:type="dxa"/>
            <w:vAlign w:val="bottom"/>
          </w:tcPr>
          <w:p>
            <w:pPr>
              <w:spacing w:after="0"/>
              <w:rPr>
                <w:sz w:val="1"/>
                <w:szCs w:val="1"/>
                <w:color w:val="auto"/>
              </w:rPr>
            </w:pPr>
          </w:p>
        </w:tc>
      </w:tr>
      <w:tr>
        <w:trPr>
          <w:trHeight w:val="139"/>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3575B3"/>
              </w:rPr>
              <w:t>29</w:t>
            </w:r>
          </w:p>
        </w:tc>
        <w:tc>
          <w:tcPr>
            <w:tcW w:w="260" w:type="dxa"/>
            <w:vAlign w:val="bottom"/>
          </w:tcPr>
          <w:p>
            <w:pPr>
              <w:spacing w:after="0"/>
              <w:rPr>
                <w:sz w:val="12"/>
                <w:szCs w:val="12"/>
                <w:color w:val="auto"/>
              </w:rPr>
            </w:pPr>
          </w:p>
        </w:tc>
        <w:tc>
          <w:tcPr>
            <w:tcW w:w="2400" w:type="dxa"/>
            <w:vAlign w:val="bottom"/>
            <w:tcBorders>
              <w:top w:val="single" w:sz="8" w:color="0000EE"/>
            </w:tcBorders>
            <w:gridSpan w:val="18"/>
          </w:tcPr>
          <w:p>
            <w:pPr>
              <w:spacing w:after="0" w:line="139" w:lineRule="exact"/>
              <w:rPr>
                <w:sz w:val="20"/>
                <w:szCs w:val="20"/>
                <w:color w:val="auto"/>
              </w:rPr>
            </w:pPr>
            <w:r>
              <w:rPr>
                <w:rFonts w:ascii="Arial" w:cs="Arial" w:eastAsia="Arial" w:hAnsi="Arial"/>
                <w:sz w:val="14"/>
                <w:szCs w:val="14"/>
                <w:color w:val="0000EE"/>
              </w:rPr>
              <w:t>CEO Pay Ratio</w:t>
            </w: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74</w:t>
            </w: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5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400" w:type="dxa"/>
            <w:vAlign w:val="bottom"/>
            <w:gridSpan w:val="18"/>
            <w:vMerge w:val="restart"/>
          </w:tcPr>
          <w:p>
            <w:pPr>
              <w:spacing w:after="0" w:line="139" w:lineRule="exact"/>
              <w:rPr>
                <w:sz w:val="20"/>
                <w:szCs w:val="20"/>
                <w:color w:val="auto"/>
              </w:rPr>
            </w:pPr>
            <w:r>
              <w:rPr>
                <w:rFonts w:ascii="Arial" w:cs="Arial" w:eastAsia="Arial" w:hAnsi="Arial"/>
                <w:sz w:val="14"/>
                <w:szCs w:val="14"/>
                <w:color w:val="0000EE"/>
              </w:rPr>
              <w:t>Pay versus Performance</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restart"/>
          </w:tcPr>
          <w:p>
            <w:pPr>
              <w:ind w:left="100"/>
              <w:spacing w:after="0" w:line="139" w:lineRule="exact"/>
              <w:rPr>
                <w:sz w:val="20"/>
                <w:szCs w:val="20"/>
                <w:color w:val="auto"/>
              </w:rPr>
            </w:pPr>
            <w:r>
              <w:rPr>
                <w:rFonts w:ascii="Arial" w:cs="Arial" w:eastAsia="Arial" w:hAnsi="Arial"/>
                <w:sz w:val="14"/>
                <w:szCs w:val="14"/>
                <w:color w:val="435363"/>
              </w:rPr>
              <w:t>76</w:t>
            </w:r>
          </w:p>
        </w:tc>
        <w:tc>
          <w:tcPr>
            <w:tcW w:w="0" w:type="dxa"/>
            <w:vAlign w:val="bottom"/>
          </w:tcPr>
          <w:p>
            <w:pPr>
              <w:spacing w:after="0"/>
              <w:rPr>
                <w:sz w:val="1"/>
                <w:szCs w:val="1"/>
                <w:color w:val="auto"/>
              </w:rPr>
            </w:pPr>
          </w:p>
        </w:tc>
      </w:tr>
      <w:tr>
        <w:trPr>
          <w:trHeight w:val="67"/>
        </w:trPr>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0" w:type="dxa"/>
            <w:vAlign w:val="bottom"/>
            <w:gridSpan w:val="18"/>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3575B3"/>
              </w:rPr>
              <w:t>32</w:t>
            </w:r>
          </w:p>
        </w:tc>
        <w:tc>
          <w:tcPr>
            <w:tcW w:w="3220" w:type="dxa"/>
            <w:vAlign w:val="bottom"/>
            <w:gridSpan w:val="28"/>
          </w:tcPr>
          <w:p>
            <w:pPr>
              <w:spacing w:after="0"/>
              <w:rPr>
                <w:sz w:val="20"/>
                <w:szCs w:val="20"/>
                <w:color w:val="auto"/>
              </w:rPr>
            </w:pPr>
            <w:r>
              <w:rPr>
                <w:rFonts w:ascii="Arial" w:cs="Arial" w:eastAsia="Arial" w:hAnsi="Arial"/>
                <w:sz w:val="14"/>
                <w:szCs w:val="14"/>
                <w:b w:val="1"/>
                <w:bCs w:val="1"/>
                <w:color w:val="0000EE"/>
                <w:w w:val="97"/>
              </w:rPr>
              <w:t>EQUITY COMPENSATION PLAN INFORMATION </w:t>
            </w:r>
          </w:p>
        </w:tc>
        <w:tc>
          <w:tcPr>
            <w:tcW w:w="140" w:type="dxa"/>
            <w:vAlign w:val="bottom"/>
            <w:gridSpan w:val="2"/>
          </w:tcPr>
          <w:p>
            <w:pPr>
              <w:jc w:val="center"/>
              <w:ind w:left="6"/>
              <w:spacing w:after="0"/>
              <w:rPr>
                <w:sz w:val="20"/>
                <w:szCs w:val="20"/>
                <w:color w:val="auto"/>
              </w:rPr>
            </w:pPr>
            <w:r>
              <w:rPr>
                <w:rFonts w:ascii="Arial" w:cs="Arial" w:eastAsia="Arial" w:hAnsi="Arial"/>
                <w:sz w:val="2"/>
                <w:szCs w:val="2"/>
                <w:b w:val="1"/>
                <w:bCs w:val="1"/>
                <w:color w:val="0000EE"/>
                <w:w w:val="97"/>
              </w:rPr>
              <w:t> </w:t>
            </w:r>
          </w:p>
        </w:tc>
        <w:tc>
          <w:tcPr>
            <w:tcW w:w="140" w:type="dxa"/>
            <w:vAlign w:val="bottom"/>
          </w:tcPr>
          <w:p>
            <w:pPr>
              <w:ind w:left="80"/>
              <w:spacing w:after="0"/>
              <w:rPr>
                <w:sz w:val="20"/>
                <w:szCs w:val="20"/>
                <w:color w:val="auto"/>
              </w:rPr>
            </w:pPr>
            <w:r>
              <w:rPr>
                <w:rFonts w:ascii="Arial" w:cs="Arial" w:eastAsia="Arial" w:hAnsi="Arial"/>
                <w:sz w:val="2"/>
                <w:szCs w:val="2"/>
                <w:b w:val="1"/>
                <w:bCs w:val="1"/>
                <w:color w:val="0000EE"/>
                <w:w w:val="97"/>
              </w:rPr>
              <w:t> </w:t>
            </w:r>
          </w:p>
        </w:tc>
        <w:tc>
          <w:tcPr>
            <w:tcW w:w="160" w:type="dxa"/>
            <w:vAlign w:val="bottom"/>
            <w:gridSpan w:val="2"/>
          </w:tcPr>
          <w:p>
            <w:pPr>
              <w:ind w:left="80"/>
              <w:spacing w:after="0"/>
              <w:rPr>
                <w:sz w:val="20"/>
                <w:szCs w:val="20"/>
                <w:color w:val="auto"/>
              </w:rPr>
            </w:pPr>
            <w:r>
              <w:rPr>
                <w:rFonts w:ascii="Arial" w:cs="Arial" w:eastAsia="Arial" w:hAnsi="Arial"/>
                <w:sz w:val="8"/>
                <w:szCs w:val="8"/>
                <w:b w:val="1"/>
                <w:bCs w:val="1"/>
                <w:color w:val="0000EE"/>
                <w:w w:val="74"/>
              </w:rPr>
              <w:t> </w:t>
            </w:r>
          </w:p>
        </w:tc>
        <w:tc>
          <w:tcPr>
            <w:tcW w:w="40" w:type="dxa"/>
            <w:vAlign w:val="bottom"/>
          </w:tcPr>
          <w:p>
            <w:pPr>
              <w:spacing w:after="0"/>
              <w:rPr>
                <w:sz w:val="18"/>
                <w:szCs w:val="18"/>
                <w:color w:val="auto"/>
              </w:rPr>
            </w:pPr>
          </w:p>
        </w:tc>
        <w:tc>
          <w:tcPr>
            <w:tcW w:w="1140" w:type="dxa"/>
            <w:vAlign w:val="bottom"/>
            <w:gridSpan w:val="11"/>
          </w:tcPr>
          <w:p>
            <w:pPr>
              <w:jc w:val="right"/>
              <w:ind w:right="960"/>
              <w:spacing w:after="0"/>
              <w:rPr>
                <w:sz w:val="20"/>
                <w:szCs w:val="20"/>
                <w:color w:val="auto"/>
              </w:rPr>
            </w:pPr>
            <w:r>
              <w:rPr>
                <w:rFonts w:ascii="Arial" w:cs="Arial" w:eastAsia="Arial" w:hAnsi="Arial"/>
                <w:sz w:val="14"/>
                <w:szCs w:val="14"/>
                <w:b w:val="1"/>
                <w:bCs w:val="1"/>
                <w:color w:val="0000EE"/>
                <w:w w:val="95"/>
              </w:rPr>
              <w:t>    </w:t>
            </w:r>
          </w:p>
        </w:tc>
        <w:tc>
          <w:tcPr>
            <w:tcW w:w="340" w:type="dxa"/>
            <w:vAlign w:val="bottom"/>
          </w:tcPr>
          <w:p>
            <w:pPr>
              <w:ind w:left="100"/>
              <w:spacing w:after="0"/>
              <w:rPr>
                <w:sz w:val="20"/>
                <w:szCs w:val="20"/>
                <w:color w:val="auto"/>
              </w:rPr>
            </w:pPr>
            <w:r>
              <w:rPr>
                <w:rFonts w:ascii="Arial" w:cs="Arial" w:eastAsia="Arial" w:hAnsi="Arial"/>
                <w:sz w:val="14"/>
                <w:szCs w:val="14"/>
                <w:b w:val="1"/>
                <w:bCs w:val="1"/>
                <w:color w:val="3575B3"/>
              </w:rPr>
              <w:t>80</w:t>
            </w:r>
          </w:p>
        </w:tc>
        <w:tc>
          <w:tcPr>
            <w:tcW w:w="0" w:type="dxa"/>
            <w:vAlign w:val="bottom"/>
          </w:tcPr>
          <w:p>
            <w:pPr>
              <w:spacing w:after="0"/>
              <w:rPr>
                <w:sz w:val="1"/>
                <w:szCs w:val="1"/>
                <w:color w:val="auto"/>
              </w:rPr>
            </w:pPr>
          </w:p>
        </w:tc>
      </w:tr>
      <w:tr>
        <w:trPr>
          <w:trHeight w:val="63"/>
        </w:trPr>
        <w:tc>
          <w:tcPr>
            <w:tcW w:w="560" w:type="dxa"/>
            <w:vAlign w:val="bottom"/>
            <w:vMerge w:val="continue"/>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20"/>
                <w:szCs w:val="20"/>
                <w:color w:val="auto"/>
              </w:rPr>
            </w:pPr>
            <w:r>
              <w:rPr>
                <w:rFonts w:ascii="Arial" w:cs="Arial" w:eastAsia="Arial" w:hAnsi="Arial"/>
                <w:sz w:val="14"/>
                <w:szCs w:val="14"/>
                <w:color w:val="435363"/>
              </w:rPr>
              <w:t>32</w:t>
            </w:r>
          </w:p>
        </w:tc>
        <w:tc>
          <w:tcPr>
            <w:tcW w:w="3080" w:type="dxa"/>
            <w:vAlign w:val="bottom"/>
            <w:gridSpan w:val="26"/>
          </w:tcPr>
          <w:p>
            <w:pPr>
              <w:spacing w:after="0"/>
              <w:rPr>
                <w:sz w:val="20"/>
                <w:szCs w:val="20"/>
                <w:color w:val="auto"/>
              </w:rPr>
            </w:pPr>
            <w:r>
              <w:rPr>
                <w:rFonts w:ascii="Arial" w:cs="Arial" w:eastAsia="Arial" w:hAnsi="Arial"/>
                <w:sz w:val="14"/>
                <w:szCs w:val="14"/>
                <w:b w:val="1"/>
                <w:bCs w:val="1"/>
                <w:color w:val="0000EE"/>
              </w:rPr>
              <w:t xml:space="preserve">OTHER MATTERS                                        </w:t>
            </w:r>
          </w:p>
        </w:tc>
        <w:tc>
          <w:tcPr>
            <w:tcW w:w="40" w:type="dxa"/>
            <w:vAlign w:val="bottom"/>
          </w:tcPr>
          <w:p>
            <w:pPr>
              <w:spacing w:after="0"/>
              <w:rPr>
                <w:sz w:val="15"/>
                <w:szCs w:val="15"/>
                <w:color w:val="auto"/>
              </w:rPr>
            </w:pPr>
          </w:p>
        </w:tc>
        <w:tc>
          <w:tcPr>
            <w:tcW w:w="100" w:type="dxa"/>
            <w:vAlign w:val="bottom"/>
          </w:tcPr>
          <w:p>
            <w:pPr>
              <w:ind w:left="60"/>
              <w:spacing w:after="0"/>
              <w:rPr>
                <w:sz w:val="20"/>
                <w:szCs w:val="20"/>
                <w:color w:val="auto"/>
              </w:rPr>
            </w:pPr>
            <w:r>
              <w:rPr>
                <w:rFonts w:ascii="Arial" w:cs="Arial" w:eastAsia="Arial" w:hAnsi="Arial"/>
                <w:sz w:val="2"/>
                <w:szCs w:val="2"/>
                <w:b w:val="1"/>
                <w:bCs w:val="1"/>
                <w:color w:val="0000EE"/>
                <w:w w:val="97"/>
              </w:rPr>
              <w:t> </w:t>
            </w:r>
          </w:p>
        </w:tc>
        <w:tc>
          <w:tcPr>
            <w:tcW w:w="140" w:type="dxa"/>
            <w:vAlign w:val="bottom"/>
            <w:gridSpan w:val="2"/>
          </w:tcPr>
          <w:p>
            <w:pPr>
              <w:ind w:left="100"/>
              <w:spacing w:after="0"/>
              <w:rPr>
                <w:sz w:val="20"/>
                <w:szCs w:val="20"/>
                <w:color w:val="auto"/>
              </w:rPr>
            </w:pPr>
            <w:r>
              <w:rPr>
                <w:rFonts w:ascii="Arial" w:cs="Arial" w:eastAsia="Arial" w:hAnsi="Arial"/>
                <w:sz w:val="2"/>
                <w:szCs w:val="2"/>
                <w:b w:val="1"/>
                <w:bCs w:val="1"/>
                <w:color w:val="0000EE"/>
                <w:w w:val="97"/>
              </w:rPr>
              <w:t> </w:t>
            </w:r>
          </w:p>
        </w:tc>
        <w:tc>
          <w:tcPr>
            <w:tcW w:w="140" w:type="dxa"/>
            <w:vAlign w:val="bottom"/>
          </w:tcPr>
          <w:p>
            <w:pPr>
              <w:ind w:left="100"/>
              <w:spacing w:after="0"/>
              <w:rPr>
                <w:sz w:val="20"/>
                <w:szCs w:val="20"/>
                <w:color w:val="auto"/>
              </w:rPr>
            </w:pPr>
            <w:r>
              <w:rPr>
                <w:rFonts w:ascii="Arial" w:cs="Arial" w:eastAsia="Arial" w:hAnsi="Arial"/>
                <w:sz w:val="1"/>
                <w:szCs w:val="1"/>
                <w:b w:val="1"/>
                <w:bCs w:val="1"/>
                <w:color w:val="0000EE"/>
                <w:w w:val="4294967291"/>
              </w:rPr>
              <w:t> </w:t>
            </w:r>
          </w:p>
        </w:tc>
        <w:tc>
          <w:tcPr>
            <w:tcW w:w="160" w:type="dxa"/>
            <w:vAlign w:val="bottom"/>
            <w:gridSpan w:val="2"/>
          </w:tcPr>
          <w:p>
            <w:pPr>
              <w:ind w:left="100"/>
              <w:spacing w:after="0"/>
              <w:rPr>
                <w:sz w:val="20"/>
                <w:szCs w:val="20"/>
                <w:color w:val="auto"/>
              </w:rPr>
            </w:pPr>
            <w:r>
              <w:rPr>
                <w:rFonts w:ascii="Arial" w:cs="Arial" w:eastAsia="Arial" w:hAnsi="Arial"/>
                <w:sz w:val="5"/>
                <w:szCs w:val="5"/>
                <w:b w:val="1"/>
                <w:bCs w:val="1"/>
                <w:color w:val="0000EE"/>
                <w:w w:val="79"/>
              </w:rPr>
              <w:t> </w:t>
            </w:r>
          </w:p>
        </w:tc>
        <w:tc>
          <w:tcPr>
            <w:tcW w:w="40" w:type="dxa"/>
            <w:vAlign w:val="bottom"/>
          </w:tcPr>
          <w:p>
            <w:pPr>
              <w:spacing w:after="0"/>
              <w:rPr>
                <w:sz w:val="15"/>
                <w:szCs w:val="15"/>
                <w:color w:val="auto"/>
              </w:rPr>
            </w:pPr>
          </w:p>
        </w:tc>
        <w:tc>
          <w:tcPr>
            <w:tcW w:w="1140" w:type="dxa"/>
            <w:vAlign w:val="bottom"/>
            <w:gridSpan w:val="11"/>
          </w:tcPr>
          <w:p>
            <w:pPr>
              <w:jc w:val="right"/>
              <w:ind w:right="940"/>
              <w:spacing w:after="0"/>
              <w:rPr>
                <w:sz w:val="20"/>
                <w:szCs w:val="20"/>
                <w:color w:val="auto"/>
              </w:rPr>
            </w:pPr>
            <w:r>
              <w:rPr>
                <w:rFonts w:ascii="Arial" w:cs="Arial" w:eastAsia="Arial" w:hAnsi="Arial"/>
                <w:sz w:val="14"/>
                <w:szCs w:val="14"/>
                <w:b w:val="1"/>
                <w:bCs w:val="1"/>
                <w:color w:val="0000EE"/>
              </w:rPr>
              <w:t>    </w:t>
            </w:r>
          </w:p>
        </w:tc>
        <w:tc>
          <w:tcPr>
            <w:tcW w:w="340" w:type="dxa"/>
            <w:vAlign w:val="bottom"/>
          </w:tcPr>
          <w:p>
            <w:pPr>
              <w:ind w:left="100"/>
              <w:spacing w:after="0"/>
              <w:rPr>
                <w:sz w:val="20"/>
                <w:szCs w:val="20"/>
                <w:color w:val="auto"/>
              </w:rPr>
            </w:pPr>
            <w:r>
              <w:rPr>
                <w:rFonts w:ascii="Arial" w:cs="Arial" w:eastAsia="Arial" w:hAnsi="Arial"/>
                <w:sz w:val="14"/>
                <w:szCs w:val="14"/>
                <w:b w:val="1"/>
                <w:bCs w:val="1"/>
                <w:color w:val="3575B3"/>
              </w:rPr>
              <w:t>81</w:t>
            </w:r>
          </w:p>
        </w:tc>
        <w:tc>
          <w:tcPr>
            <w:tcW w:w="0" w:type="dxa"/>
            <w:vAlign w:val="bottom"/>
          </w:tcPr>
          <w:p>
            <w:pPr>
              <w:spacing w:after="0"/>
              <w:rPr>
                <w:sz w:val="1"/>
                <w:szCs w:val="1"/>
                <w:color w:val="auto"/>
              </w:rPr>
            </w:pPr>
          </w:p>
        </w:tc>
      </w:tr>
      <w:tr>
        <w:trPr>
          <w:trHeight w:val="139"/>
        </w:trPr>
        <w:tc>
          <w:tcPr>
            <w:tcW w:w="560" w:type="dxa"/>
            <w:vAlign w:val="bottom"/>
          </w:tcPr>
          <w:p>
            <w:pPr>
              <w:spacing w:after="0" w:line="133" w:lineRule="exact"/>
              <w:rPr>
                <w:sz w:val="20"/>
                <w:szCs w:val="20"/>
                <w:color w:val="auto"/>
              </w:rPr>
            </w:pPr>
            <w:r>
              <w:rPr>
                <w:rFonts w:ascii="Arial" w:cs="Arial" w:eastAsia="Arial" w:hAnsi="Arial"/>
                <w:sz w:val="14"/>
                <w:szCs w:val="14"/>
                <w:color w:val="435363"/>
              </w:rPr>
              <w:t>32</w:t>
            </w:r>
          </w:p>
        </w:tc>
        <w:tc>
          <w:tcPr>
            <w:tcW w:w="260" w:type="dxa"/>
            <w:vAlign w:val="bottom"/>
            <w:tcBorders>
              <w:top w:val="single" w:sz="8" w:color="0000EE"/>
            </w:tcBorders>
          </w:tcPr>
          <w:p>
            <w:pPr>
              <w:spacing w:after="0"/>
              <w:rPr>
                <w:sz w:val="12"/>
                <w:szCs w:val="12"/>
                <w:color w:val="auto"/>
              </w:rPr>
            </w:pPr>
          </w:p>
        </w:tc>
        <w:tc>
          <w:tcPr>
            <w:tcW w:w="1420" w:type="dxa"/>
            <w:vAlign w:val="bottom"/>
            <w:tcBorders>
              <w:top w:val="single" w:sz="8" w:color="0000EE"/>
              <w:bottom w:val="single" w:sz="8" w:color="0000EE"/>
            </w:tcBorders>
            <w:gridSpan w:val="7"/>
          </w:tcPr>
          <w:p>
            <w:pPr>
              <w:spacing w:after="0" w:line="133" w:lineRule="exact"/>
              <w:rPr>
                <w:sz w:val="20"/>
                <w:szCs w:val="20"/>
                <w:color w:val="auto"/>
              </w:rPr>
            </w:pPr>
            <w:r>
              <w:rPr>
                <w:rFonts w:ascii="Arial" w:cs="Arial" w:eastAsia="Arial" w:hAnsi="Arial"/>
                <w:sz w:val="14"/>
                <w:szCs w:val="14"/>
                <w:color w:val="0000EE"/>
                <w:w w:val="98"/>
              </w:rPr>
              <w:t>Stockholder Proposals</w:t>
            </w:r>
          </w:p>
        </w:tc>
        <w:tc>
          <w:tcPr>
            <w:tcW w:w="980" w:type="dxa"/>
            <w:vAlign w:val="bottom"/>
            <w:tcBorders>
              <w:top w:val="single" w:sz="8" w:color="0000EE"/>
            </w:tcBorders>
            <w:gridSpan w:val="11"/>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3" w:lineRule="exact"/>
              <w:rPr>
                <w:sz w:val="20"/>
                <w:szCs w:val="20"/>
                <w:color w:val="auto"/>
              </w:rPr>
            </w:pPr>
            <w:r>
              <w:rPr>
                <w:rFonts w:ascii="Arial" w:cs="Arial" w:eastAsia="Arial" w:hAnsi="Arial"/>
                <w:sz w:val="14"/>
                <w:szCs w:val="14"/>
                <w:color w:val="435363"/>
              </w:rPr>
              <w:t>81</w:t>
            </w:r>
          </w:p>
        </w:tc>
        <w:tc>
          <w:tcPr>
            <w:tcW w:w="0" w:type="dxa"/>
            <w:vAlign w:val="bottom"/>
          </w:tcPr>
          <w:p>
            <w:pPr>
              <w:spacing w:after="0"/>
              <w:rPr>
                <w:sz w:val="1"/>
                <w:szCs w:val="1"/>
                <w:color w:val="auto"/>
              </w:rPr>
            </w:pPr>
          </w:p>
        </w:tc>
      </w:tr>
      <w:tr>
        <w:trPr>
          <w:trHeight w:val="139"/>
        </w:trPr>
        <w:tc>
          <w:tcPr>
            <w:tcW w:w="560" w:type="dxa"/>
            <w:vAlign w:val="bottom"/>
          </w:tcPr>
          <w:p>
            <w:pPr>
              <w:spacing w:after="0" w:line="133" w:lineRule="exact"/>
              <w:rPr>
                <w:sz w:val="20"/>
                <w:szCs w:val="20"/>
                <w:color w:val="auto"/>
              </w:rPr>
            </w:pPr>
            <w:r>
              <w:rPr>
                <w:rFonts w:ascii="Arial" w:cs="Arial" w:eastAsia="Arial" w:hAnsi="Arial"/>
                <w:sz w:val="14"/>
                <w:szCs w:val="14"/>
                <w:color w:val="435363"/>
              </w:rPr>
              <w:t>32</w:t>
            </w:r>
          </w:p>
        </w:tc>
        <w:tc>
          <w:tcPr>
            <w:tcW w:w="260" w:type="dxa"/>
            <w:vAlign w:val="bottom"/>
          </w:tcPr>
          <w:p>
            <w:pPr>
              <w:spacing w:after="0"/>
              <w:rPr>
                <w:sz w:val="12"/>
                <w:szCs w:val="12"/>
                <w:color w:val="auto"/>
              </w:rPr>
            </w:pPr>
          </w:p>
        </w:tc>
        <w:tc>
          <w:tcPr>
            <w:tcW w:w="2540" w:type="dxa"/>
            <w:vAlign w:val="bottom"/>
            <w:gridSpan w:val="20"/>
          </w:tcPr>
          <w:p>
            <w:pPr>
              <w:spacing w:after="0" w:line="133" w:lineRule="exact"/>
              <w:rPr>
                <w:sz w:val="20"/>
                <w:szCs w:val="20"/>
                <w:color w:val="auto"/>
              </w:rPr>
            </w:pPr>
            <w:r>
              <w:rPr>
                <w:rFonts w:ascii="Arial" w:cs="Arial" w:eastAsia="Arial" w:hAnsi="Arial"/>
                <w:sz w:val="14"/>
                <w:szCs w:val="14"/>
                <w:color w:val="0000EE"/>
              </w:rPr>
              <w:t>Annual Report and Available Information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3" w:lineRule="exact"/>
              <w:rPr>
                <w:sz w:val="20"/>
                <w:szCs w:val="20"/>
                <w:color w:val="auto"/>
              </w:rPr>
            </w:pPr>
            <w:r>
              <w:rPr>
                <w:rFonts w:ascii="Arial" w:cs="Arial" w:eastAsia="Arial" w:hAnsi="Arial"/>
                <w:sz w:val="14"/>
                <w:szCs w:val="14"/>
                <w:color w:val="435363"/>
              </w:rPr>
              <w:t>81</w:t>
            </w:r>
          </w:p>
        </w:tc>
        <w:tc>
          <w:tcPr>
            <w:tcW w:w="0" w:type="dxa"/>
            <w:vAlign w:val="bottom"/>
          </w:tcPr>
          <w:p>
            <w:pPr>
              <w:spacing w:after="0"/>
              <w:rPr>
                <w:sz w:val="1"/>
                <w:szCs w:val="1"/>
                <w:color w:val="auto"/>
              </w:rPr>
            </w:pPr>
          </w:p>
        </w:tc>
      </w:tr>
      <w:tr>
        <w:trPr>
          <w:trHeight w:val="132"/>
        </w:trPr>
        <w:tc>
          <w:tcPr>
            <w:tcW w:w="560" w:type="dxa"/>
            <w:vAlign w:val="bottom"/>
          </w:tcPr>
          <w:p>
            <w:pPr>
              <w:spacing w:after="0" w:line="133" w:lineRule="exact"/>
              <w:rPr>
                <w:sz w:val="20"/>
                <w:szCs w:val="20"/>
                <w:color w:val="auto"/>
              </w:rPr>
            </w:pPr>
            <w:r>
              <w:rPr>
                <w:rFonts w:ascii="Arial" w:cs="Arial" w:eastAsia="Arial" w:hAnsi="Arial"/>
                <w:sz w:val="14"/>
                <w:szCs w:val="14"/>
                <w:color w:val="435363"/>
              </w:rPr>
              <w:t>32</w:t>
            </w:r>
          </w:p>
        </w:tc>
        <w:tc>
          <w:tcPr>
            <w:tcW w:w="260" w:type="dxa"/>
            <w:vAlign w:val="bottom"/>
          </w:tcPr>
          <w:p>
            <w:pPr>
              <w:spacing w:after="0"/>
              <w:rPr>
                <w:sz w:val="11"/>
                <w:szCs w:val="11"/>
                <w:color w:val="auto"/>
              </w:rPr>
            </w:pPr>
          </w:p>
        </w:tc>
        <w:tc>
          <w:tcPr>
            <w:tcW w:w="2520" w:type="dxa"/>
            <w:vAlign w:val="bottom"/>
            <w:tcBorders>
              <w:top w:val="single" w:sz="8" w:color="0000EE"/>
            </w:tcBorders>
            <w:gridSpan w:val="19"/>
          </w:tcPr>
          <w:p>
            <w:pPr>
              <w:spacing w:after="0" w:line="133" w:lineRule="exact"/>
              <w:rPr>
                <w:sz w:val="20"/>
                <w:szCs w:val="20"/>
                <w:color w:val="auto"/>
              </w:rPr>
            </w:pPr>
            <w:r>
              <w:rPr>
                <w:rFonts w:ascii="Arial" w:cs="Arial" w:eastAsia="Arial" w:hAnsi="Arial"/>
                <w:sz w:val="14"/>
                <w:szCs w:val="14"/>
                <w:color w:val="0000EE"/>
                <w:w w:val="96"/>
              </w:rPr>
              <w:t>Cautionary Statement Regarding Forward</w:t>
            </w:r>
          </w:p>
        </w:tc>
        <w:tc>
          <w:tcPr>
            <w:tcW w:w="2060" w:type="dxa"/>
            <w:vAlign w:val="bottom"/>
            <w:gridSpan w:val="25"/>
          </w:tcPr>
          <w:p>
            <w:pPr>
              <w:ind w:left="80"/>
              <w:spacing w:after="0" w:line="133" w:lineRule="exact"/>
              <w:rPr>
                <w:sz w:val="20"/>
                <w:szCs w:val="20"/>
                <w:color w:val="auto"/>
              </w:rPr>
            </w:pPr>
            <w:r>
              <w:rPr>
                <w:rFonts w:ascii="Arial" w:cs="Arial" w:eastAsia="Arial" w:hAnsi="Arial"/>
                <w:sz w:val="14"/>
                <w:szCs w:val="14"/>
                <w:color w:val="0000EE"/>
              </w:rPr>
              <w:t>-Looking Statements</w:t>
            </w:r>
          </w:p>
        </w:tc>
        <w:tc>
          <w:tcPr>
            <w:tcW w:w="340" w:type="dxa"/>
            <w:vAlign w:val="bottom"/>
          </w:tcPr>
          <w:p>
            <w:pPr>
              <w:ind w:left="100"/>
              <w:spacing w:after="0" w:line="133" w:lineRule="exact"/>
              <w:rPr>
                <w:sz w:val="20"/>
                <w:szCs w:val="20"/>
                <w:color w:val="auto"/>
              </w:rPr>
            </w:pPr>
            <w:r>
              <w:rPr>
                <w:rFonts w:ascii="Arial" w:cs="Arial" w:eastAsia="Arial" w:hAnsi="Arial"/>
                <w:sz w:val="14"/>
                <w:szCs w:val="14"/>
                <w:color w:val="435363"/>
              </w:rPr>
              <w:t>81</w:t>
            </w:r>
          </w:p>
        </w:tc>
        <w:tc>
          <w:tcPr>
            <w:tcW w:w="0" w:type="dxa"/>
            <w:vAlign w:val="bottom"/>
          </w:tcPr>
          <w:p>
            <w:pPr>
              <w:spacing w:after="0"/>
              <w:rPr>
                <w:sz w:val="1"/>
                <w:szCs w:val="1"/>
                <w:color w:val="auto"/>
              </w:rPr>
            </w:pPr>
          </w:p>
        </w:tc>
      </w:tr>
      <w:tr>
        <w:trPr>
          <w:trHeight w:val="26"/>
        </w:trPr>
        <w:tc>
          <w:tcPr>
            <w:tcW w:w="560" w:type="dxa"/>
            <w:vAlign w:val="bottom"/>
            <w:vMerge w:val="restart"/>
          </w:tcPr>
          <w:p>
            <w:pPr>
              <w:spacing w:after="0" w:line="149" w:lineRule="exact"/>
              <w:rPr>
                <w:sz w:val="20"/>
                <w:szCs w:val="20"/>
                <w:color w:val="auto"/>
              </w:rPr>
            </w:pPr>
            <w:r>
              <w:rPr>
                <w:rFonts w:ascii="Arial" w:cs="Arial" w:eastAsia="Arial" w:hAnsi="Arial"/>
                <w:sz w:val="14"/>
                <w:szCs w:val="14"/>
                <w:color w:val="435363"/>
              </w:rPr>
              <w:t>32</w:t>
            </w:r>
          </w:p>
        </w:tc>
        <w:tc>
          <w:tcPr>
            <w:tcW w:w="26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tcBorders>
              <w:lef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560" w:type="dxa"/>
            <w:vAlign w:val="bottom"/>
            <w:vMerge w:val="continue"/>
          </w:tcPr>
          <w:p>
            <w:pPr>
              <w:spacing w:after="0"/>
              <w:rPr>
                <w:sz w:val="10"/>
                <w:szCs w:val="10"/>
                <w:color w:val="auto"/>
              </w:rPr>
            </w:pPr>
          </w:p>
        </w:tc>
        <w:tc>
          <w:tcPr>
            <w:tcW w:w="2660" w:type="dxa"/>
            <w:vAlign w:val="bottom"/>
            <w:gridSpan w:val="19"/>
            <w:vMerge w:val="restart"/>
          </w:tcPr>
          <w:p>
            <w:pPr>
              <w:spacing w:after="0"/>
              <w:rPr>
                <w:sz w:val="20"/>
                <w:szCs w:val="20"/>
                <w:color w:val="auto"/>
              </w:rPr>
            </w:pPr>
            <w:r>
              <w:rPr>
                <w:rFonts w:ascii="Arial" w:cs="Arial" w:eastAsia="Arial" w:hAnsi="Arial"/>
                <w:sz w:val="14"/>
                <w:szCs w:val="14"/>
                <w:b w:val="1"/>
                <w:bCs w:val="1"/>
                <w:color w:val="0000EE"/>
              </w:rPr>
              <w:t xml:space="preserve">APPENDIX A                                     </w:t>
            </w:r>
          </w:p>
        </w:tc>
        <w:tc>
          <w:tcPr>
            <w:tcW w:w="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0000EE"/>
                <w:w w:val="71"/>
              </w:rPr>
              <w:t> </w:t>
            </w:r>
          </w:p>
        </w:tc>
        <w:tc>
          <w:tcPr>
            <w:tcW w:w="140" w:type="dxa"/>
            <w:vAlign w:val="bottom"/>
            <w:gridSpan w:val="3"/>
            <w:vMerge w:val="restart"/>
          </w:tcPr>
          <w:p>
            <w:pPr>
              <w:jc w:val="right"/>
              <w:ind w:right="32"/>
              <w:spacing w:after="0"/>
              <w:rPr>
                <w:sz w:val="20"/>
                <w:szCs w:val="20"/>
                <w:color w:val="auto"/>
              </w:rPr>
            </w:pPr>
            <w:r>
              <w:rPr>
                <w:rFonts w:ascii="Arial" w:cs="Arial" w:eastAsia="Arial" w:hAnsi="Arial"/>
                <w:sz w:val="5"/>
                <w:szCs w:val="5"/>
                <w:b w:val="1"/>
                <w:bCs w:val="1"/>
                <w:color w:val="0000EE"/>
                <w:w w:val="79"/>
              </w:rPr>
              <w:t> </w:t>
            </w:r>
          </w:p>
        </w:tc>
        <w:tc>
          <w:tcPr>
            <w:tcW w:w="1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0000EE"/>
                <w:w w:val="72"/>
              </w:rPr>
              <w:t> </w:t>
            </w:r>
          </w:p>
        </w:tc>
        <w:tc>
          <w:tcPr>
            <w:tcW w:w="4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1"/>
                <w:szCs w:val="11"/>
                <w:b w:val="1"/>
                <w:bCs w:val="1"/>
                <w:color w:val="0000EE"/>
                <w:w w:val="72"/>
              </w:rPr>
              <w:t> </w:t>
            </w:r>
          </w:p>
        </w:tc>
        <w:tc>
          <w:tcPr>
            <w:tcW w:w="1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0000EE"/>
                <w:w w:val="72"/>
              </w:rPr>
              <w:t> </w:t>
            </w:r>
          </w:p>
        </w:tc>
        <w:tc>
          <w:tcPr>
            <w:tcW w:w="140" w:type="dxa"/>
            <w:vAlign w:val="bottom"/>
            <w:vMerge w:val="restart"/>
          </w:tcPr>
          <w:p>
            <w:pPr>
              <w:ind w:left="40"/>
              <w:spacing w:after="0"/>
              <w:rPr>
                <w:sz w:val="20"/>
                <w:szCs w:val="20"/>
                <w:color w:val="auto"/>
              </w:rPr>
            </w:pPr>
            <w:r>
              <w:rPr>
                <w:rFonts w:ascii="Arial" w:cs="Arial" w:eastAsia="Arial" w:hAnsi="Arial"/>
                <w:sz w:val="8"/>
                <w:szCs w:val="8"/>
                <w:b w:val="1"/>
                <w:bCs w:val="1"/>
                <w:color w:val="0000EE"/>
                <w:w w:val="74"/>
              </w:rPr>
              <w:t> </w:t>
            </w:r>
          </w:p>
        </w:tc>
        <w:tc>
          <w:tcPr>
            <w:tcW w:w="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0000EE"/>
                <w:w w:val="71"/>
              </w:rPr>
              <w:t> </w:t>
            </w:r>
          </w:p>
        </w:tc>
        <w:tc>
          <w:tcPr>
            <w:tcW w:w="120" w:type="dxa"/>
            <w:vAlign w:val="bottom"/>
            <w:gridSpan w:val="2"/>
            <w:vMerge w:val="restart"/>
          </w:tcPr>
          <w:p>
            <w:pPr>
              <w:ind w:left="20"/>
              <w:spacing w:after="0"/>
              <w:rPr>
                <w:sz w:val="20"/>
                <w:szCs w:val="20"/>
                <w:color w:val="auto"/>
              </w:rPr>
            </w:pPr>
            <w:r>
              <w:rPr>
                <w:rFonts w:ascii="Arial" w:cs="Arial" w:eastAsia="Arial" w:hAnsi="Arial"/>
                <w:sz w:val="8"/>
                <w:szCs w:val="8"/>
                <w:b w:val="1"/>
                <w:bCs w:val="1"/>
                <w:color w:val="0000EE"/>
                <w:w w:val="74"/>
              </w:rPr>
              <w:t> </w:t>
            </w:r>
          </w:p>
        </w:tc>
        <w:tc>
          <w:tcPr>
            <w:tcW w:w="1060" w:type="dxa"/>
            <w:vAlign w:val="bottom"/>
            <w:gridSpan w:val="10"/>
            <w:vMerge w:val="restart"/>
          </w:tcPr>
          <w:p>
            <w:pPr>
              <w:jc w:val="right"/>
              <w:ind w:right="980"/>
              <w:spacing w:after="0"/>
              <w:rPr>
                <w:sz w:val="20"/>
                <w:szCs w:val="20"/>
                <w:color w:val="auto"/>
              </w:rPr>
            </w:pPr>
            <w:r>
              <w:rPr>
                <w:rFonts w:ascii="Arial" w:cs="Arial" w:eastAsia="Arial" w:hAnsi="Arial"/>
                <w:sz w:val="14"/>
                <w:szCs w:val="14"/>
                <w:b w:val="1"/>
                <w:bCs w:val="1"/>
                <w:color w:val="0000EE"/>
              </w:rPr>
              <w:t> </w:t>
            </w:r>
          </w:p>
        </w:tc>
        <w:tc>
          <w:tcPr>
            <w:tcW w:w="340" w:type="dxa"/>
            <w:vAlign w:val="bottom"/>
            <w:vMerge w:val="restart"/>
          </w:tcPr>
          <w:p>
            <w:pPr>
              <w:ind w:left="100"/>
              <w:spacing w:after="0"/>
              <w:rPr>
                <w:sz w:val="20"/>
                <w:szCs w:val="20"/>
                <w:color w:val="auto"/>
              </w:rPr>
            </w:pPr>
            <w:r>
              <w:rPr>
                <w:rFonts w:ascii="Arial" w:cs="Arial" w:eastAsia="Arial" w:hAnsi="Arial"/>
                <w:sz w:val="14"/>
                <w:szCs w:val="14"/>
                <w:b w:val="1"/>
                <w:bCs w:val="1"/>
                <w:color w:val="3575B3"/>
                <w:w w:val="97"/>
              </w:rPr>
              <w:t>A-1</w:t>
            </w:r>
          </w:p>
        </w:tc>
        <w:tc>
          <w:tcPr>
            <w:tcW w:w="0" w:type="dxa"/>
            <w:vAlign w:val="bottom"/>
          </w:tcPr>
          <w:p>
            <w:pPr>
              <w:spacing w:after="0"/>
              <w:rPr>
                <w:sz w:val="1"/>
                <w:szCs w:val="1"/>
                <w:color w:val="auto"/>
              </w:rPr>
            </w:pPr>
          </w:p>
        </w:tc>
      </w:tr>
      <w:tr>
        <w:trPr>
          <w:trHeight w:val="128"/>
        </w:trPr>
        <w:tc>
          <w:tcPr>
            <w:tcW w:w="560" w:type="dxa"/>
            <w:vAlign w:val="bottom"/>
          </w:tcPr>
          <w:p>
            <w:pPr>
              <w:spacing w:after="0" w:line="122" w:lineRule="exact"/>
              <w:rPr>
                <w:sz w:val="20"/>
                <w:szCs w:val="20"/>
                <w:color w:val="auto"/>
              </w:rPr>
            </w:pPr>
            <w:r>
              <w:rPr>
                <w:rFonts w:ascii="Arial" w:cs="Arial" w:eastAsia="Arial" w:hAnsi="Arial"/>
                <w:sz w:val="14"/>
                <w:szCs w:val="14"/>
                <w:color w:val="435363"/>
              </w:rPr>
              <w:t>33</w:t>
            </w:r>
          </w:p>
        </w:tc>
        <w:tc>
          <w:tcPr>
            <w:tcW w:w="2660" w:type="dxa"/>
            <w:vAlign w:val="bottom"/>
            <w:gridSpan w:val="19"/>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140" w:type="dxa"/>
            <w:vAlign w:val="bottom"/>
            <w:gridSpan w:val="3"/>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1060" w:type="dxa"/>
            <w:vAlign w:val="bottom"/>
            <w:gridSpan w:val="10"/>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560" w:type="dxa"/>
            <w:vAlign w:val="bottom"/>
          </w:tcPr>
          <w:p>
            <w:pPr>
              <w:spacing w:after="0" w:line="139" w:lineRule="exact"/>
              <w:rPr>
                <w:sz w:val="20"/>
                <w:szCs w:val="20"/>
                <w:color w:val="auto"/>
              </w:rPr>
            </w:pPr>
            <w:r>
              <w:rPr>
                <w:rFonts w:ascii="Arial" w:cs="Arial" w:eastAsia="Arial" w:hAnsi="Arial"/>
                <w:sz w:val="14"/>
                <w:szCs w:val="14"/>
                <w:color w:val="435363"/>
              </w:rPr>
              <w:t>34</w:t>
            </w:r>
          </w:p>
        </w:tc>
        <w:tc>
          <w:tcPr>
            <w:tcW w:w="260" w:type="dxa"/>
            <w:vAlign w:val="bottom"/>
            <w:tcBorders>
              <w:top w:val="single" w:sz="8" w:color="0000EE"/>
            </w:tcBorders>
          </w:tcPr>
          <w:p>
            <w:pPr>
              <w:spacing w:after="0"/>
              <w:rPr>
                <w:sz w:val="12"/>
                <w:szCs w:val="12"/>
                <w:color w:val="auto"/>
              </w:rPr>
            </w:pPr>
          </w:p>
        </w:tc>
        <w:tc>
          <w:tcPr>
            <w:tcW w:w="2340" w:type="dxa"/>
            <w:vAlign w:val="bottom"/>
            <w:tcBorders>
              <w:top w:val="single" w:sz="8" w:color="0000EE"/>
              <w:bottom w:val="single" w:sz="8" w:color="0000EE"/>
            </w:tcBorders>
            <w:gridSpan w:val="16"/>
          </w:tcPr>
          <w:p>
            <w:pPr>
              <w:spacing w:after="0" w:line="126" w:lineRule="exact"/>
              <w:rPr>
                <w:sz w:val="20"/>
                <w:szCs w:val="20"/>
                <w:color w:val="auto"/>
              </w:rPr>
            </w:pPr>
            <w:r>
              <w:rPr>
                <w:rFonts w:ascii="Arial" w:cs="Arial" w:eastAsia="Arial" w:hAnsi="Arial"/>
                <w:sz w:val="14"/>
                <w:szCs w:val="14"/>
                <w:color w:val="0000EE"/>
                <w:w w:val="98"/>
              </w:rPr>
              <w:t>Bylaws Voting Threshold Amendment</w:t>
            </w:r>
          </w:p>
        </w:tc>
        <w:tc>
          <w:tcPr>
            <w:tcW w:w="40" w:type="dxa"/>
            <w:vAlign w:val="bottom"/>
            <w:tcBorders>
              <w:top w:val="single" w:sz="8" w:color="0000EE"/>
              <w:bottom w:val="single" w:sz="8" w:color="0000EE"/>
            </w:tcBorders>
          </w:tcPr>
          <w:p>
            <w:pPr>
              <w:spacing w:after="0"/>
              <w:rPr>
                <w:sz w:val="12"/>
                <w:szCs w:val="12"/>
                <w:color w:val="auto"/>
              </w:rPr>
            </w:pPr>
          </w:p>
        </w:tc>
        <w:tc>
          <w:tcPr>
            <w:tcW w:w="20" w:type="dxa"/>
            <w:vAlign w:val="bottom"/>
            <w:tcBorders>
              <w:top w:val="single" w:sz="8" w:color="0000EE"/>
              <w:bottom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A-1</w:t>
            </w:r>
          </w:p>
        </w:tc>
        <w:tc>
          <w:tcPr>
            <w:tcW w:w="0" w:type="dxa"/>
            <w:vAlign w:val="bottom"/>
          </w:tcPr>
          <w:p>
            <w:pPr>
              <w:spacing w:after="0"/>
              <w:rPr>
                <w:sz w:val="1"/>
                <w:szCs w:val="1"/>
                <w:color w:val="auto"/>
              </w:rPr>
            </w:pPr>
          </w:p>
        </w:tc>
      </w:tr>
      <w:tr>
        <w:trPr>
          <w:trHeight w:val="139"/>
        </w:trPr>
        <w:tc>
          <w:tcPr>
            <w:tcW w:w="560" w:type="dxa"/>
            <w:vAlign w:val="bottom"/>
          </w:tcPr>
          <w:p>
            <w:pPr>
              <w:spacing w:after="0" w:line="139" w:lineRule="exact"/>
              <w:rPr>
                <w:sz w:val="20"/>
                <w:szCs w:val="20"/>
                <w:color w:val="auto"/>
              </w:rPr>
            </w:pPr>
            <w:r>
              <w:rPr>
                <w:rFonts w:ascii="Arial" w:cs="Arial" w:eastAsia="Arial" w:hAnsi="Arial"/>
                <w:sz w:val="14"/>
                <w:szCs w:val="14"/>
                <w:color w:val="435363"/>
              </w:rPr>
              <w:t>35</w:t>
            </w:r>
          </w:p>
        </w:tc>
        <w:tc>
          <w:tcPr>
            <w:tcW w:w="260" w:type="dxa"/>
            <w:vAlign w:val="bottom"/>
          </w:tcPr>
          <w:p>
            <w:pPr>
              <w:spacing w:after="0"/>
              <w:rPr>
                <w:sz w:val="12"/>
                <w:szCs w:val="12"/>
                <w:color w:val="auto"/>
              </w:rPr>
            </w:pPr>
          </w:p>
        </w:tc>
        <w:tc>
          <w:tcPr>
            <w:tcW w:w="2380" w:type="dxa"/>
            <w:vAlign w:val="bottom"/>
            <w:tcBorders>
              <w:bottom w:val="single" w:sz="8" w:color="0000EE"/>
            </w:tcBorders>
            <w:gridSpan w:val="17"/>
          </w:tcPr>
          <w:p>
            <w:pPr>
              <w:spacing w:after="0" w:line="126" w:lineRule="exact"/>
              <w:rPr>
                <w:sz w:val="20"/>
                <w:szCs w:val="20"/>
                <w:color w:val="auto"/>
              </w:rPr>
            </w:pPr>
            <w:r>
              <w:rPr>
                <w:rFonts w:ascii="Arial" w:cs="Arial" w:eastAsia="Arial" w:hAnsi="Arial"/>
                <w:sz w:val="14"/>
                <w:szCs w:val="14"/>
                <w:color w:val="0000EE"/>
                <w:w w:val="99"/>
              </w:rPr>
              <w:t>Supermajority Elimination Amendment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ind w:left="100"/>
              <w:spacing w:after="0" w:line="139" w:lineRule="exact"/>
              <w:rPr>
                <w:sz w:val="20"/>
                <w:szCs w:val="20"/>
                <w:color w:val="auto"/>
              </w:rPr>
            </w:pPr>
            <w:r>
              <w:rPr>
                <w:rFonts w:ascii="Arial" w:cs="Arial" w:eastAsia="Arial" w:hAnsi="Arial"/>
                <w:sz w:val="14"/>
                <w:szCs w:val="14"/>
                <w:color w:val="435363"/>
              </w:rPr>
              <w:t>A-1</w:t>
            </w:r>
          </w:p>
        </w:tc>
        <w:tc>
          <w:tcPr>
            <w:tcW w:w="0" w:type="dxa"/>
            <w:vAlign w:val="bottom"/>
          </w:tcPr>
          <w:p>
            <w:pPr>
              <w:spacing w:after="0"/>
              <w:rPr>
                <w:sz w:val="1"/>
                <w:szCs w:val="1"/>
                <w:color w:val="auto"/>
              </w:rPr>
            </w:pPr>
          </w:p>
        </w:tc>
      </w:tr>
      <w:tr>
        <w:trPr>
          <w:trHeight w:val="169"/>
        </w:trPr>
        <w:tc>
          <w:tcPr>
            <w:tcW w:w="560" w:type="dxa"/>
            <w:vAlign w:val="bottom"/>
          </w:tcPr>
          <w:p>
            <w:pPr>
              <w:spacing w:after="0"/>
              <w:rPr>
                <w:sz w:val="20"/>
                <w:szCs w:val="20"/>
                <w:color w:val="auto"/>
              </w:rPr>
            </w:pPr>
            <w:r>
              <w:rPr>
                <w:rFonts w:ascii="Arial" w:cs="Arial" w:eastAsia="Arial" w:hAnsi="Arial"/>
                <w:sz w:val="14"/>
                <w:szCs w:val="14"/>
                <w:color w:val="435363"/>
              </w:rPr>
              <w:t>35</w:t>
            </w:r>
          </w:p>
        </w:tc>
        <w:tc>
          <w:tcPr>
            <w:tcW w:w="2660" w:type="dxa"/>
            <w:vAlign w:val="bottom"/>
            <w:gridSpan w:val="19"/>
            <w:vMerge w:val="restart"/>
          </w:tcPr>
          <w:p>
            <w:pPr>
              <w:spacing w:after="0"/>
              <w:rPr>
                <w:sz w:val="20"/>
                <w:szCs w:val="20"/>
                <w:color w:val="auto"/>
              </w:rPr>
            </w:pPr>
            <w:r>
              <w:rPr>
                <w:rFonts w:ascii="Arial" w:cs="Arial" w:eastAsia="Arial" w:hAnsi="Arial"/>
                <w:sz w:val="14"/>
                <w:szCs w:val="14"/>
                <w:b w:val="1"/>
                <w:bCs w:val="1"/>
                <w:color w:val="0000EE"/>
              </w:rPr>
              <w:t xml:space="preserve">APPENDIX B                                     </w:t>
            </w:r>
          </w:p>
        </w:tc>
        <w:tc>
          <w:tcPr>
            <w:tcW w:w="1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0000EE"/>
                <w:w w:val="72"/>
              </w:rPr>
              <w:t> </w:t>
            </w:r>
          </w:p>
        </w:tc>
        <w:tc>
          <w:tcPr>
            <w:tcW w:w="40" w:type="dxa"/>
            <w:vAlign w:val="bottom"/>
          </w:tcPr>
          <w:p>
            <w:pPr>
              <w:spacing w:after="0"/>
              <w:rPr>
                <w:sz w:val="14"/>
                <w:szCs w:val="14"/>
                <w:color w:val="auto"/>
              </w:rPr>
            </w:pPr>
          </w:p>
        </w:tc>
        <w:tc>
          <w:tcPr>
            <w:tcW w:w="100" w:type="dxa"/>
            <w:vAlign w:val="bottom"/>
            <w:gridSpan w:val="2"/>
            <w:vMerge w:val="restart"/>
          </w:tcPr>
          <w:p>
            <w:pPr>
              <w:jc w:val="right"/>
              <w:ind w:right="12"/>
              <w:spacing w:after="0"/>
              <w:rPr>
                <w:sz w:val="20"/>
                <w:szCs w:val="20"/>
                <w:color w:val="auto"/>
              </w:rPr>
            </w:pPr>
            <w:r>
              <w:rPr>
                <w:rFonts w:ascii="Arial" w:cs="Arial" w:eastAsia="Arial" w:hAnsi="Arial"/>
                <w:sz w:val="2"/>
                <w:szCs w:val="2"/>
                <w:b w:val="1"/>
                <w:bCs w:val="1"/>
                <w:color w:val="0000EE"/>
                <w:w w:val="97"/>
              </w:rPr>
              <w:t> </w:t>
            </w:r>
          </w:p>
        </w:tc>
        <w:tc>
          <w:tcPr>
            <w:tcW w:w="1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0000EE"/>
                <w:w w:val="72"/>
              </w:rPr>
              <w:t> </w:t>
            </w:r>
          </w:p>
        </w:tc>
        <w:tc>
          <w:tcPr>
            <w:tcW w:w="4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1"/>
                <w:szCs w:val="11"/>
                <w:b w:val="1"/>
                <w:bCs w:val="1"/>
                <w:color w:val="0000EE"/>
                <w:w w:val="72"/>
              </w:rPr>
              <w:t> </w:t>
            </w:r>
          </w:p>
        </w:tc>
        <w:tc>
          <w:tcPr>
            <w:tcW w:w="1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0000EE"/>
                <w:w w:val="72"/>
              </w:rPr>
              <w:t> </w:t>
            </w:r>
          </w:p>
        </w:tc>
        <w:tc>
          <w:tcPr>
            <w:tcW w:w="140" w:type="dxa"/>
            <w:vAlign w:val="bottom"/>
            <w:vMerge w:val="restart"/>
          </w:tcPr>
          <w:p>
            <w:pPr>
              <w:ind w:left="40"/>
              <w:spacing w:after="0"/>
              <w:rPr>
                <w:sz w:val="20"/>
                <w:szCs w:val="20"/>
                <w:color w:val="auto"/>
              </w:rPr>
            </w:pPr>
            <w:r>
              <w:rPr>
                <w:rFonts w:ascii="Arial" w:cs="Arial" w:eastAsia="Arial" w:hAnsi="Arial"/>
                <w:sz w:val="8"/>
                <w:szCs w:val="8"/>
                <w:b w:val="1"/>
                <w:bCs w:val="1"/>
                <w:color w:val="0000EE"/>
                <w:w w:val="74"/>
              </w:rPr>
              <w:t> </w:t>
            </w:r>
          </w:p>
        </w:tc>
        <w:tc>
          <w:tcPr>
            <w:tcW w:w="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0000EE"/>
                <w:w w:val="71"/>
              </w:rPr>
              <w:t> </w:t>
            </w:r>
          </w:p>
        </w:tc>
        <w:tc>
          <w:tcPr>
            <w:tcW w:w="120" w:type="dxa"/>
            <w:vAlign w:val="bottom"/>
            <w:gridSpan w:val="2"/>
            <w:vMerge w:val="restart"/>
          </w:tcPr>
          <w:p>
            <w:pPr>
              <w:ind w:left="20"/>
              <w:spacing w:after="0"/>
              <w:rPr>
                <w:sz w:val="20"/>
                <w:szCs w:val="20"/>
                <w:color w:val="auto"/>
              </w:rPr>
            </w:pPr>
            <w:r>
              <w:rPr>
                <w:rFonts w:ascii="Arial" w:cs="Arial" w:eastAsia="Arial" w:hAnsi="Arial"/>
                <w:sz w:val="8"/>
                <w:szCs w:val="8"/>
                <w:b w:val="1"/>
                <w:bCs w:val="1"/>
                <w:color w:val="0000EE"/>
                <w:w w:val="74"/>
              </w:rPr>
              <w:t> </w:t>
            </w:r>
          </w:p>
        </w:tc>
        <w:tc>
          <w:tcPr>
            <w:tcW w:w="1060" w:type="dxa"/>
            <w:vAlign w:val="bottom"/>
            <w:gridSpan w:val="10"/>
            <w:vMerge w:val="restart"/>
          </w:tcPr>
          <w:p>
            <w:pPr>
              <w:jc w:val="right"/>
              <w:ind w:right="980"/>
              <w:spacing w:after="0"/>
              <w:rPr>
                <w:sz w:val="20"/>
                <w:szCs w:val="20"/>
                <w:color w:val="auto"/>
              </w:rPr>
            </w:pPr>
            <w:r>
              <w:rPr>
                <w:rFonts w:ascii="Arial" w:cs="Arial" w:eastAsia="Arial" w:hAnsi="Arial"/>
                <w:sz w:val="14"/>
                <w:szCs w:val="14"/>
                <w:b w:val="1"/>
                <w:bCs w:val="1"/>
                <w:color w:val="0000EE"/>
              </w:rPr>
              <w:t> </w:t>
            </w:r>
          </w:p>
        </w:tc>
        <w:tc>
          <w:tcPr>
            <w:tcW w:w="340" w:type="dxa"/>
            <w:vAlign w:val="bottom"/>
            <w:vMerge w:val="restart"/>
          </w:tcPr>
          <w:p>
            <w:pPr>
              <w:ind w:left="100"/>
              <w:spacing w:after="0"/>
              <w:rPr>
                <w:sz w:val="20"/>
                <w:szCs w:val="20"/>
                <w:color w:val="auto"/>
              </w:rPr>
            </w:pPr>
            <w:r>
              <w:rPr>
                <w:rFonts w:ascii="Arial" w:cs="Arial" w:eastAsia="Arial" w:hAnsi="Arial"/>
                <w:sz w:val="14"/>
                <w:szCs w:val="14"/>
                <w:b w:val="1"/>
                <w:bCs w:val="1"/>
                <w:color w:val="3575B3"/>
                <w:w w:val="97"/>
              </w:rPr>
              <w:t>B-1</w:t>
            </w:r>
          </w:p>
        </w:tc>
        <w:tc>
          <w:tcPr>
            <w:tcW w:w="0" w:type="dxa"/>
            <w:vAlign w:val="bottom"/>
          </w:tcPr>
          <w:p>
            <w:pPr>
              <w:spacing w:after="0"/>
              <w:rPr>
                <w:sz w:val="1"/>
                <w:szCs w:val="1"/>
                <w:color w:val="auto"/>
              </w:rPr>
            </w:pPr>
          </w:p>
        </w:tc>
      </w:tr>
      <w:tr>
        <w:trPr>
          <w:trHeight w:val="76"/>
        </w:trPr>
        <w:tc>
          <w:tcPr>
            <w:tcW w:w="560" w:type="dxa"/>
            <w:vAlign w:val="bottom"/>
            <w:vMerge w:val="restart"/>
          </w:tcPr>
          <w:p>
            <w:pPr>
              <w:spacing w:after="0"/>
              <w:rPr>
                <w:sz w:val="20"/>
                <w:szCs w:val="20"/>
                <w:color w:val="auto"/>
              </w:rPr>
            </w:pPr>
            <w:r>
              <w:rPr>
                <w:rFonts w:ascii="Arial" w:cs="Arial" w:eastAsia="Arial" w:hAnsi="Arial"/>
                <w:sz w:val="14"/>
                <w:szCs w:val="14"/>
                <w:color w:val="435363"/>
              </w:rPr>
              <w:t>36</w:t>
            </w:r>
          </w:p>
        </w:tc>
        <w:tc>
          <w:tcPr>
            <w:tcW w:w="2660" w:type="dxa"/>
            <w:vAlign w:val="bottom"/>
            <w:gridSpan w:val="19"/>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gridSpan w:val="2"/>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1060" w:type="dxa"/>
            <w:vAlign w:val="bottom"/>
            <w:gridSpan w:val="10"/>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580" w:type="dxa"/>
            <w:vAlign w:val="bottom"/>
            <w:gridSpan w:val="44"/>
            <w:vMerge w:val="restart"/>
          </w:tcPr>
          <w:p>
            <w:pPr>
              <w:spacing w:after="0" w:line="139" w:lineRule="exact"/>
              <w:rPr>
                <w:sz w:val="20"/>
                <w:szCs w:val="20"/>
                <w:color w:val="auto"/>
              </w:rPr>
            </w:pPr>
            <w:r>
              <w:rPr>
                <w:rFonts w:ascii="Arial" w:cs="Arial" w:eastAsia="Arial" w:hAnsi="Arial"/>
                <w:sz w:val="14"/>
                <w:szCs w:val="14"/>
                <w:color w:val="0000EE"/>
              </w:rPr>
              <w:t>Reconciliation of Certain GAAP to Non-GAAP Financial Information</w:t>
            </w:r>
          </w:p>
        </w:tc>
        <w:tc>
          <w:tcPr>
            <w:tcW w:w="340" w:type="dxa"/>
            <w:vAlign w:val="bottom"/>
            <w:vMerge w:val="restart"/>
          </w:tcPr>
          <w:p>
            <w:pPr>
              <w:ind w:left="100"/>
              <w:spacing w:after="0" w:line="139" w:lineRule="exact"/>
              <w:rPr>
                <w:sz w:val="20"/>
                <w:szCs w:val="20"/>
                <w:color w:val="auto"/>
              </w:rPr>
            </w:pPr>
            <w:r>
              <w:rPr>
                <w:rFonts w:ascii="Arial" w:cs="Arial" w:eastAsia="Arial" w:hAnsi="Arial"/>
                <w:sz w:val="14"/>
                <w:szCs w:val="14"/>
                <w:color w:val="435363"/>
              </w:rPr>
              <w:t>B-1</w:t>
            </w:r>
          </w:p>
        </w:tc>
        <w:tc>
          <w:tcPr>
            <w:tcW w:w="0" w:type="dxa"/>
            <w:vAlign w:val="bottom"/>
          </w:tcPr>
          <w:p>
            <w:pPr>
              <w:spacing w:after="0"/>
              <w:rPr>
                <w:sz w:val="1"/>
                <w:szCs w:val="1"/>
                <w:color w:val="auto"/>
              </w:rPr>
            </w:pPr>
          </w:p>
        </w:tc>
      </w:tr>
      <w:tr>
        <w:trPr>
          <w:trHeight w:val="49"/>
        </w:trPr>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580" w:type="dxa"/>
            <w:vAlign w:val="bottom"/>
            <w:gridSpan w:val="44"/>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-1864360</wp:posOffset>
            </wp:positionH>
            <wp:positionV relativeFrom="paragraph">
              <wp:posOffset>210185</wp:posOffset>
            </wp:positionV>
            <wp:extent cx="5177155" cy="168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180"/>
            <w:col w:w="5740"/>
          </w:cols>
          <w:pgMar w:left="320" w:top="477" w:right="65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0920"/>
          </w:cols>
          <w:pgMar w:left="320" w:top="477" w:right="6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200660</wp:posOffset>
            </wp:positionV>
            <wp:extent cx="6193790" cy="285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32"/>
          <w:szCs w:val="32"/>
          <w:color w:val="66AFDA"/>
        </w:rPr>
        <w:t>THE MEETING</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Purpose, Date and Time</w:t>
      </w:r>
    </w:p>
    <w:p>
      <w:pPr>
        <w:spacing w:after="0" w:line="90" w:lineRule="exact"/>
        <w:rPr>
          <w:sz w:val="20"/>
          <w:szCs w:val="20"/>
          <w:color w:val="auto"/>
        </w:rPr>
      </w:pPr>
    </w:p>
    <w:p>
      <w:pPr>
        <w:jc w:val="both"/>
        <w:ind w:left="220" w:right="200"/>
        <w:spacing w:after="0" w:line="258" w:lineRule="auto"/>
        <w:rPr>
          <w:sz w:val="20"/>
          <w:szCs w:val="20"/>
          <w:color w:val="auto"/>
        </w:rPr>
      </w:pPr>
      <w:r>
        <w:rPr>
          <w:rFonts w:ascii="Arial" w:cs="Arial" w:eastAsia="Arial" w:hAnsi="Arial"/>
          <w:sz w:val="16"/>
          <w:szCs w:val="16"/>
          <w:color w:val="435363"/>
        </w:rPr>
        <w:t>We are furnishing this Proxy Statement to our stockholders in connection with the solicitation by the Board of proxies to be voted at the Annual Meeting and any adjournments or postponements of that meeting. When used in this Proxy Statement, the terms “we,” “us,” “our,” “the Company” or “American” refer to American Airlines Group Inc. (“AAG”) and its consolidated subsidiaries.</w:t>
      </w:r>
    </w:p>
    <w:p>
      <w:pPr>
        <w:spacing w:after="0" w:line="68" w:lineRule="exact"/>
        <w:rPr>
          <w:sz w:val="20"/>
          <w:szCs w:val="20"/>
          <w:color w:val="auto"/>
        </w:rPr>
      </w:pPr>
    </w:p>
    <w:p>
      <w:pPr>
        <w:ind w:left="220" w:right="60"/>
        <w:spacing w:after="0" w:line="252" w:lineRule="auto"/>
        <w:rPr>
          <w:sz w:val="20"/>
          <w:szCs w:val="20"/>
          <w:color w:val="auto"/>
        </w:rPr>
      </w:pPr>
      <w:r>
        <w:rPr>
          <w:rFonts w:ascii="Arial" w:cs="Arial" w:eastAsia="Arial" w:hAnsi="Arial"/>
          <w:sz w:val="16"/>
          <w:szCs w:val="16"/>
          <w:color w:val="435363"/>
        </w:rPr>
        <w:t xml:space="preserve">The Annual Meeting will be held in a virtual format via live audio webcast on Wednesday, June 5, 2024, at 9:00 a.m., Central Time, for the purposes described in the accompanying Notice of Annual Meeting. Stockholders can register to attend the meeting via the Internet at </w:t>
      </w:r>
      <w:r>
        <w:rPr>
          <w:rFonts w:ascii="Arial" w:cs="Arial" w:eastAsia="Arial" w:hAnsi="Arial"/>
          <w:sz w:val="16"/>
          <w:szCs w:val="16"/>
          <w:i w:val="1"/>
          <w:iCs w:val="1"/>
          <w:color w:val="435363"/>
        </w:rPr>
        <w:t>www.proxydocs.com/AAL</w:t>
      </w:r>
      <w:r>
        <w:rPr>
          <w:rFonts w:ascii="Arial" w:cs="Arial" w:eastAsia="Arial" w:hAnsi="Arial"/>
          <w:sz w:val="16"/>
          <w:szCs w:val="16"/>
          <w:color w:val="435363"/>
        </w:rPr>
        <w:t xml:space="preserve"> by using the control number which appears on the Notice of Internet Availability of Proxy Materials, the proxy card (printed in the gray box), and the instructions that accompanied your proxy materials.</w:t>
      </w:r>
    </w:p>
    <w:p>
      <w:pPr>
        <w:spacing w:after="0" w:line="74" w:lineRule="exact"/>
        <w:rPr>
          <w:sz w:val="20"/>
          <w:szCs w:val="20"/>
          <w:color w:val="auto"/>
        </w:rPr>
      </w:pPr>
    </w:p>
    <w:p>
      <w:pPr>
        <w:ind w:left="220" w:right="500"/>
        <w:spacing w:after="0" w:line="275" w:lineRule="auto"/>
        <w:rPr>
          <w:sz w:val="20"/>
          <w:szCs w:val="20"/>
          <w:color w:val="auto"/>
        </w:rPr>
      </w:pPr>
      <w:r>
        <w:rPr>
          <w:rFonts w:ascii="Arial" w:cs="Arial" w:eastAsia="Arial" w:hAnsi="Arial"/>
          <w:sz w:val="16"/>
          <w:szCs w:val="16"/>
          <w:color w:val="435363"/>
        </w:rPr>
        <w:t xml:space="preserve">The approximate date we are first sending the Notice of Annual Meeting and accompanying proxy materials to stockholders, or sending a Notice of Internet Availability of Proxy Materials and posting the proxy materials at </w:t>
      </w:r>
      <w:r>
        <w:rPr>
          <w:rFonts w:ascii="Arial" w:cs="Arial" w:eastAsia="Arial" w:hAnsi="Arial"/>
          <w:sz w:val="16"/>
          <w:szCs w:val="16"/>
          <w:i w:val="1"/>
          <w:iCs w:val="1"/>
          <w:color w:val="435363"/>
        </w:rPr>
        <w:t>www.proxydocs.com/AAL</w:t>
      </w:r>
      <w:r>
        <w:rPr>
          <w:rFonts w:ascii="Arial" w:cs="Arial" w:eastAsia="Arial" w:hAnsi="Arial"/>
          <w:sz w:val="16"/>
          <w:szCs w:val="16"/>
          <w:color w:val="435363"/>
        </w:rPr>
        <w:t>, is April  , 2024.</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Record Date; Stockholders Entitled to Vote</w:t>
      </w:r>
    </w:p>
    <w:p>
      <w:pPr>
        <w:spacing w:after="0" w:line="77" w:lineRule="exact"/>
        <w:rPr>
          <w:sz w:val="20"/>
          <w:szCs w:val="20"/>
          <w:color w:val="auto"/>
        </w:rPr>
      </w:pPr>
    </w:p>
    <w:p>
      <w:pPr>
        <w:ind w:left="220"/>
        <w:spacing w:after="0" w:line="258" w:lineRule="auto"/>
        <w:rPr>
          <w:sz w:val="20"/>
          <w:szCs w:val="20"/>
          <w:color w:val="auto"/>
        </w:rPr>
      </w:pPr>
      <w:r>
        <w:rPr>
          <w:rFonts w:ascii="Arial" w:cs="Arial" w:eastAsia="Arial" w:hAnsi="Arial"/>
          <w:sz w:val="16"/>
          <w:szCs w:val="16"/>
          <w:color w:val="435363"/>
        </w:rPr>
        <w:t>Stockholders of record at the close of business on April 9, 2024 (the “Record Date”) are entitled to receive notice of and to vote at the Annual Meeting. On the Record Date, there were 656,045,635 shares of our Common Stock outstanding and eligible to be voted at the Annual Meeting. Each share of Common Stock entitles its owner to one vote on each matter submitted to the stockholders.</w:t>
      </w:r>
    </w:p>
    <w:p>
      <w:pPr>
        <w:spacing w:after="0" w:line="68" w:lineRule="exact"/>
        <w:rPr>
          <w:sz w:val="20"/>
          <w:szCs w:val="20"/>
          <w:color w:val="auto"/>
        </w:rPr>
      </w:pPr>
    </w:p>
    <w:p>
      <w:pPr>
        <w:jc w:val="both"/>
        <w:ind w:left="220" w:right="80"/>
        <w:spacing w:after="0" w:line="258" w:lineRule="auto"/>
        <w:rPr>
          <w:sz w:val="20"/>
          <w:szCs w:val="20"/>
          <w:color w:val="auto"/>
        </w:rPr>
      </w:pPr>
      <w:r>
        <w:rPr>
          <w:rFonts w:ascii="Arial" w:cs="Arial" w:eastAsia="Arial" w:hAnsi="Arial"/>
          <w:sz w:val="16"/>
          <w:szCs w:val="16"/>
          <w:color w:val="435363"/>
        </w:rPr>
        <w:t xml:space="preserve">A list of the names of stockholders entitled to vote at the Annual Meeting will be available to stockholders for ten days prior to the Annual Meeting for any purpose germane to the Annual Meeting. Please contact our Corporate Secretary at </w:t>
      </w:r>
      <w:r>
        <w:rPr>
          <w:rFonts w:ascii="Arial" w:cs="Arial" w:eastAsia="Arial" w:hAnsi="Arial"/>
          <w:sz w:val="16"/>
          <w:szCs w:val="16"/>
          <w:i w:val="1"/>
          <w:iCs w:val="1"/>
          <w:color w:val="435363"/>
        </w:rPr>
        <w:t>Corporate.Secretary@aa.com</w:t>
      </w:r>
      <w:r>
        <w:rPr>
          <w:rFonts w:ascii="Arial" w:cs="Arial" w:eastAsia="Arial" w:hAnsi="Arial"/>
          <w:sz w:val="16"/>
          <w:szCs w:val="16"/>
          <w:color w:val="435363"/>
        </w:rPr>
        <w:t xml:space="preserve"> if you wish to examine the list prior to the Annual Meeting. The stockholder list will also be available during the virtual Annual Meeting for examination by any stockholder.</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Your vote is very important. You are encouraged to vote as soon as possible.</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Virtual Stockholder Meeting</w:t>
      </w:r>
    </w:p>
    <w:p>
      <w:pPr>
        <w:spacing w:after="0" w:line="77"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color w:val="435363"/>
        </w:rPr>
        <w:t>The virtual meeting format enables stockholders to participate fully, and equally, from any location around the world, at little to no cost. We designed the format of our Annual Meeting to ensure that our stockholders who attend our Annual Meeting will be afforded the same rights and opportunities to participate as they would at an in-person meeting and to enhance stockholder access, participation and communication through online tools. Our directors will also attend the meeting.</w:t>
      </w:r>
    </w:p>
    <w:p>
      <w:pPr>
        <w:spacing w:after="0" w:line="74" w:lineRule="exact"/>
        <w:rPr>
          <w:sz w:val="20"/>
          <w:szCs w:val="20"/>
          <w:color w:val="auto"/>
        </w:rPr>
      </w:pPr>
    </w:p>
    <w:p>
      <w:pPr>
        <w:ind w:left="220" w:right="100"/>
        <w:spacing w:after="0" w:line="258" w:lineRule="auto"/>
        <w:rPr>
          <w:sz w:val="20"/>
          <w:szCs w:val="20"/>
          <w:color w:val="auto"/>
        </w:rPr>
      </w:pPr>
      <w:r>
        <w:rPr>
          <w:rFonts w:ascii="Arial" w:cs="Arial" w:eastAsia="Arial" w:hAnsi="Arial"/>
          <w:sz w:val="16"/>
          <w:szCs w:val="16"/>
          <w:b w:val="1"/>
          <w:bCs w:val="1"/>
          <w:color w:val="435363"/>
        </w:rPr>
        <w:t xml:space="preserve">Access to the Audio Webcast of the Annual Meeting. </w:t>
      </w:r>
      <w:r>
        <w:rPr>
          <w:rFonts w:ascii="Arial" w:cs="Arial" w:eastAsia="Arial" w:hAnsi="Arial"/>
          <w:sz w:val="16"/>
          <w:szCs w:val="16"/>
          <w:color w:val="435363"/>
        </w:rPr>
        <w:t>The live audio webcast of the Annual Meeting will begin promptly at 9:00 a.m., Central Time.</w:t>
      </w:r>
      <w:r>
        <w:rPr>
          <w:rFonts w:ascii="Arial" w:cs="Arial" w:eastAsia="Arial" w:hAnsi="Arial"/>
          <w:sz w:val="16"/>
          <w:szCs w:val="16"/>
          <w:b w:val="1"/>
          <w:bCs w:val="1"/>
          <w:color w:val="435363"/>
        </w:rPr>
        <w:t xml:space="preserve"> </w:t>
      </w:r>
      <w:r>
        <w:rPr>
          <w:rFonts w:ascii="Arial" w:cs="Arial" w:eastAsia="Arial" w:hAnsi="Arial"/>
          <w:sz w:val="16"/>
          <w:szCs w:val="16"/>
          <w:color w:val="435363"/>
        </w:rPr>
        <w:t>Online access to the audio webcast will open approximately 30 minutes prior to the start of the Annual Meeting to allow time for you to log in and test the computer audio system. We encourage our stockholders to access the meeting prior to the start time.</w:t>
      </w:r>
    </w:p>
    <w:p>
      <w:pPr>
        <w:spacing w:after="0" w:line="68" w:lineRule="exact"/>
        <w:rPr>
          <w:sz w:val="20"/>
          <w:szCs w:val="20"/>
          <w:color w:val="auto"/>
        </w:rPr>
      </w:pPr>
    </w:p>
    <w:p>
      <w:pPr>
        <w:ind w:left="220" w:right="140"/>
        <w:spacing w:after="0" w:line="250" w:lineRule="auto"/>
        <w:rPr>
          <w:sz w:val="20"/>
          <w:szCs w:val="20"/>
          <w:color w:val="auto"/>
        </w:rPr>
      </w:pPr>
      <w:r>
        <w:rPr>
          <w:rFonts w:ascii="Arial" w:cs="Arial" w:eastAsia="Arial" w:hAnsi="Arial"/>
          <w:sz w:val="16"/>
          <w:szCs w:val="16"/>
          <w:b w:val="1"/>
          <w:bCs w:val="1"/>
          <w:color w:val="435363"/>
        </w:rPr>
        <w:t xml:space="preserve">Log in Instructions. </w:t>
      </w:r>
      <w:r>
        <w:rPr>
          <w:rFonts w:ascii="Arial" w:cs="Arial" w:eastAsia="Arial" w:hAnsi="Arial"/>
          <w:sz w:val="16"/>
          <w:szCs w:val="16"/>
          <w:color w:val="435363"/>
        </w:rPr>
        <w:t>Stockholders can register to attend the virtual meeting at</w:t>
      </w:r>
      <w:r>
        <w:rPr>
          <w:rFonts w:ascii="Arial" w:cs="Arial" w:eastAsia="Arial" w:hAnsi="Arial"/>
          <w:sz w:val="16"/>
          <w:szCs w:val="16"/>
          <w:b w:val="1"/>
          <w:bCs w:val="1"/>
          <w:color w:val="435363"/>
        </w:rPr>
        <w:t xml:space="preserve"> </w:t>
      </w:r>
      <w:r>
        <w:rPr>
          <w:rFonts w:ascii="Arial" w:cs="Arial" w:eastAsia="Arial" w:hAnsi="Arial"/>
          <w:sz w:val="16"/>
          <w:szCs w:val="16"/>
          <w:i w:val="1"/>
          <w:iCs w:val="1"/>
          <w:color w:val="435363"/>
        </w:rPr>
        <w:t>www.proxydocs.com/AAL</w:t>
      </w:r>
      <w:r>
        <w:rPr>
          <w:rFonts w:ascii="Arial" w:cs="Arial" w:eastAsia="Arial" w:hAnsi="Arial"/>
          <w:sz w:val="16"/>
          <w:szCs w:val="16"/>
          <w:color w:val="435363"/>
        </w:rPr>
        <w:t>. Stockholders will need their control number</w:t>
      </w:r>
      <w:r>
        <w:rPr>
          <w:rFonts w:ascii="Arial" w:cs="Arial" w:eastAsia="Arial" w:hAnsi="Arial"/>
          <w:sz w:val="16"/>
          <w:szCs w:val="16"/>
          <w:b w:val="1"/>
          <w:bCs w:val="1"/>
          <w:color w:val="435363"/>
        </w:rPr>
        <w:t xml:space="preserve"> </w:t>
      </w:r>
      <w:r>
        <w:rPr>
          <w:rFonts w:ascii="Arial" w:cs="Arial" w:eastAsia="Arial" w:hAnsi="Arial"/>
          <w:sz w:val="16"/>
          <w:szCs w:val="16"/>
          <w:color w:val="435363"/>
        </w:rPr>
        <w:t>which appears on the Notice of Internet Availability of Proxy Materials, the proxy card (printed in the gray box), and the instructions that accompanied your proxy materials. In the event that you do not have a control number, please contact your broker, bank or other nominee as soon as possible and no later than Wednesday, May 29, 2024, so that you can be provided with a control number and gain access to the meeting. Once registered, stockholders will receive an e-mail with a unique link, and instructions on how to attend the meeting one hour prior to the start of the meeting.</w:t>
      </w:r>
    </w:p>
    <w:p>
      <w:pPr>
        <w:spacing w:after="0" w:line="74" w:lineRule="exact"/>
        <w:rPr>
          <w:sz w:val="20"/>
          <w:szCs w:val="20"/>
          <w:color w:val="auto"/>
        </w:rPr>
      </w:pPr>
    </w:p>
    <w:p>
      <w:pPr>
        <w:ind w:left="220" w:right="360"/>
        <w:spacing w:after="0" w:line="258" w:lineRule="auto"/>
        <w:rPr>
          <w:sz w:val="20"/>
          <w:szCs w:val="20"/>
          <w:color w:val="auto"/>
        </w:rPr>
      </w:pPr>
      <w:r>
        <w:rPr>
          <w:rFonts w:ascii="Arial" w:cs="Arial" w:eastAsia="Arial" w:hAnsi="Arial"/>
          <w:sz w:val="16"/>
          <w:szCs w:val="16"/>
          <w:b w:val="1"/>
          <w:bCs w:val="1"/>
          <w:color w:val="435363"/>
        </w:rPr>
        <w:t xml:space="preserve">Submitting questions at the virtual Annual Meeting. </w:t>
      </w:r>
      <w:r>
        <w:rPr>
          <w:rFonts w:ascii="Arial" w:cs="Arial" w:eastAsia="Arial" w:hAnsi="Arial"/>
          <w:sz w:val="16"/>
          <w:szCs w:val="16"/>
          <w:color w:val="435363"/>
        </w:rPr>
        <w:t>Our stockholders will be able to submit questions during the Annual Meeting by registering to</w:t>
      </w:r>
      <w:r>
        <w:rPr>
          <w:rFonts w:ascii="Arial" w:cs="Arial" w:eastAsia="Arial" w:hAnsi="Arial"/>
          <w:sz w:val="16"/>
          <w:szCs w:val="16"/>
          <w:b w:val="1"/>
          <w:bCs w:val="1"/>
          <w:color w:val="435363"/>
        </w:rPr>
        <w:t xml:space="preserve"> </w:t>
      </w:r>
      <w:r>
        <w:rPr>
          <w:rFonts w:ascii="Arial" w:cs="Arial" w:eastAsia="Arial" w:hAnsi="Arial"/>
          <w:sz w:val="16"/>
          <w:szCs w:val="16"/>
          <w:color w:val="435363"/>
        </w:rPr>
        <w:t xml:space="preserve">attend the virtual meeting at </w:t>
      </w:r>
      <w:r>
        <w:rPr>
          <w:rFonts w:ascii="Arial" w:cs="Arial" w:eastAsia="Arial" w:hAnsi="Arial"/>
          <w:sz w:val="16"/>
          <w:szCs w:val="16"/>
          <w:i w:val="1"/>
          <w:iCs w:val="1"/>
          <w:color w:val="435363"/>
        </w:rPr>
        <w:t>www.proxydocs.com/AAL</w:t>
      </w:r>
      <w:r>
        <w:rPr>
          <w:rFonts w:ascii="Arial" w:cs="Arial" w:eastAsia="Arial" w:hAnsi="Arial"/>
          <w:sz w:val="16"/>
          <w:szCs w:val="16"/>
          <w:color w:val="435363"/>
        </w:rPr>
        <w:t>. Stockholders will need their unique control number which appears on their Notice of Internet Availability of Proxy Materials, the proxy card (printed in the gray box), and the instructions that accompanied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102870</wp:posOffset>
            </wp:positionV>
            <wp:extent cx="5177155" cy="168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1</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435363"/>
        </w:rPr>
        <w:t xml:space="preserve">As part of the Annual Meeting, and as time permits, we will hold a live Q&amp;A session, during which we intend to answer questions submitted during the meeting in accordance with the Annual Meeting’s Rules of Conduct which are pertinent to the Company and the meeting matters. Answers to any such questions that are not addressed during the meeting will be published following the meeting on the Company’s website at </w:t>
      </w:r>
      <w:r>
        <w:rPr>
          <w:rFonts w:ascii="Arial" w:cs="Arial" w:eastAsia="Arial" w:hAnsi="Arial"/>
          <w:sz w:val="16"/>
          <w:szCs w:val="16"/>
          <w:i w:val="1"/>
          <w:iCs w:val="1"/>
          <w:color w:val="435363"/>
        </w:rPr>
        <w:t>www.aa.com</w:t>
      </w:r>
      <w:r>
        <w:rPr>
          <w:rFonts w:ascii="Arial" w:cs="Arial" w:eastAsia="Arial" w:hAnsi="Arial"/>
          <w:sz w:val="16"/>
          <w:szCs w:val="16"/>
          <w:color w:val="435363"/>
        </w:rPr>
        <w:t xml:space="preserve"> under the links “Investor Relations”—“Annual Shareholders Meeting”—“2024 Annual Meeting of Stockholders Q&amp;A.” Questions and answers will be grouped by topic and substantially similar questions will be grouped and answered once. In order to promote fairness, efficient use of the Company’s resources and to ensure all stockholders are responded to, we will respond to up to three questions from a single stockholder.</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 xml:space="preserve">The Annual Meeting’s Rules of Conduct will be posted on </w:t>
      </w:r>
      <w:r>
        <w:rPr>
          <w:rFonts w:ascii="Arial" w:cs="Arial" w:eastAsia="Arial" w:hAnsi="Arial"/>
          <w:sz w:val="16"/>
          <w:szCs w:val="16"/>
          <w:i w:val="1"/>
          <w:iCs w:val="1"/>
          <w:color w:val="435363"/>
        </w:rPr>
        <w:t>www.proxydocs.com/AAL</w:t>
      </w:r>
      <w:r>
        <w:rPr>
          <w:rFonts w:ascii="Arial" w:cs="Arial" w:eastAsia="Arial" w:hAnsi="Arial"/>
          <w:sz w:val="16"/>
          <w:szCs w:val="16"/>
          <w:color w:val="435363"/>
        </w:rPr>
        <w:t xml:space="preserve"> approximately two weeks prior to the Annual Meeting</w:t>
      </w:r>
      <w:r>
        <w:rPr>
          <w:rFonts w:ascii="Arial" w:cs="Arial" w:eastAsia="Arial" w:hAnsi="Arial"/>
          <w:sz w:val="16"/>
          <w:szCs w:val="16"/>
          <w:i w:val="1"/>
          <w:iCs w:val="1"/>
          <w:color w:val="435363"/>
        </w:rPr>
        <w:t>.</w:t>
      </w: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435363"/>
        </w:rPr>
        <w:t>Access to the Live Webcast of the Annual Meeting</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6"/>
          <w:szCs w:val="16"/>
          <w:color w:val="435363"/>
        </w:rPr>
        <w:t>The live audio webcast of the virtual Annual Meeting will be available to not only our stockholders, but also our team members and other constituents.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-115570</wp:posOffset>
            </wp:positionV>
            <wp:extent cx="6857365" cy="1101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7365" cy="110109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6"/>
          <w:szCs w:val="16"/>
          <w:color w:val="435363"/>
        </w:rPr>
        <w:t xml:space="preserve">In order to attend the virtual Annual Meeting, all stockholders and other guests will need to register at </w:t>
      </w:r>
      <w:r>
        <w:rPr>
          <w:rFonts w:ascii="Arial" w:cs="Arial" w:eastAsia="Arial" w:hAnsi="Arial"/>
          <w:sz w:val="16"/>
          <w:szCs w:val="16"/>
          <w:i w:val="1"/>
          <w:iCs w:val="1"/>
          <w:color w:val="435363"/>
        </w:rPr>
        <w:t>www.proxydocs.com/AAL</w:t>
      </w:r>
      <w:r>
        <w:rPr>
          <w:rFonts w:ascii="Arial" w:cs="Arial" w:eastAsia="Arial" w:hAnsi="Arial"/>
          <w:sz w:val="16"/>
          <w:szCs w:val="16"/>
          <w:color w:val="435363"/>
        </w:rPr>
        <w:t>.</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6"/>
          <w:szCs w:val="16"/>
          <w:color w:val="435363"/>
        </w:rPr>
        <w:t>A replay of the meeting will be made publicly available for two weeks after the meeting at the same website.</w:t>
      </w:r>
    </w:p>
    <w:p>
      <w:pPr>
        <w:spacing w:after="0" w:line="240" w:lineRule="exact"/>
        <w:rPr>
          <w:sz w:val="20"/>
          <w:szCs w:val="20"/>
          <w:color w:val="auto"/>
        </w:rPr>
      </w:pPr>
    </w:p>
    <w:p>
      <w:pPr>
        <w:ind w:left="400" w:right="80"/>
        <w:spacing w:after="0" w:line="258" w:lineRule="auto"/>
        <w:rPr>
          <w:sz w:val="20"/>
          <w:szCs w:val="20"/>
          <w:color w:val="auto"/>
        </w:rPr>
      </w:pPr>
      <w:r>
        <w:rPr>
          <w:rFonts w:ascii="Arial" w:cs="Arial" w:eastAsia="Arial" w:hAnsi="Arial"/>
          <w:sz w:val="16"/>
          <w:szCs w:val="16"/>
          <w:color w:val="435363"/>
        </w:rPr>
        <w:t>We will have technicians ready to assist you with any technical difficulties you may have accessing the virtual meeting. If you encounter any difficulties accessing the virtual meeting during check-in or the meeting, please call the technical support number that will be posted on the virtual meeting platform log-in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69215</wp:posOffset>
            </wp:positionV>
            <wp:extent cx="68573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28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Quorum</w:t>
      </w:r>
    </w:p>
    <w:p>
      <w:pPr>
        <w:spacing w:after="0" w:line="90" w:lineRule="exact"/>
        <w:rPr>
          <w:sz w:val="20"/>
          <w:szCs w:val="20"/>
          <w:color w:val="auto"/>
        </w:rPr>
      </w:pPr>
    </w:p>
    <w:p>
      <w:pPr>
        <w:ind w:left="220" w:right="160"/>
        <w:spacing w:after="0" w:line="258" w:lineRule="auto"/>
        <w:rPr>
          <w:sz w:val="20"/>
          <w:szCs w:val="20"/>
          <w:color w:val="auto"/>
        </w:rPr>
      </w:pPr>
      <w:r>
        <w:rPr>
          <w:rFonts w:ascii="Arial" w:cs="Arial" w:eastAsia="Arial" w:hAnsi="Arial"/>
          <w:sz w:val="16"/>
          <w:szCs w:val="16"/>
          <w:color w:val="435363"/>
        </w:rPr>
        <w:t>The presence, in person or by proxy, of the holders of a majority in voting power of the Common stock issued and outstanding and entitled to vote at a meeting of stockholders, is necessary to constitute a quorum at the Annual Meeting. Shares are considered present “in person” if voted by the holder of those shares or by proxy during the Annual Meeting.</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Vote Required to Approve Each Proposal</w:t>
      </w:r>
    </w:p>
    <w:p>
      <w:pPr>
        <w:spacing w:after="0" w:line="77" w:lineRule="exact"/>
        <w:rPr>
          <w:sz w:val="20"/>
          <w:szCs w:val="20"/>
          <w:color w:val="auto"/>
        </w:rPr>
      </w:pPr>
    </w:p>
    <w:p>
      <w:pPr>
        <w:ind w:left="220"/>
        <w:spacing w:after="0" w:line="245" w:lineRule="auto"/>
        <w:rPr>
          <w:sz w:val="20"/>
          <w:szCs w:val="20"/>
          <w:color w:val="auto"/>
        </w:rPr>
      </w:pPr>
      <w:r>
        <w:rPr>
          <w:rFonts w:ascii="Arial" w:cs="Arial" w:eastAsia="Arial" w:hAnsi="Arial"/>
          <w:sz w:val="16"/>
          <w:szCs w:val="16"/>
          <w:color w:val="435363"/>
        </w:rPr>
        <w:t>With respect to Proposal 1 (Election of Directors), each director must be elected by the affirmative vote of a majority of the votes cast with respect to such director by the shares present in person or represented by proxy and entitled to vote for the election of directors. A majority of the votes cast means that the number of votes cast “FOR” a nominee exceeds the number of votes cast “AGAINST” that nominee. We presently believe that brokers do not have discretionary authority to vote on this proposal. Abstentions and broker non-votes (as defined below under “How to Vote Your Shares”) are not considered votes cast “FOR” or “AGAINST” a nominee’s election and will have no effect in determining whether a nominee has received a majority of the votes cast. In this election, an incumbent director nominee who does not receive the required number of votes for reelection is expected to tender his or her resignation to the Board in accordance with our Corporate Governance Guidelines (the “Governance Guidelines”). Within approximately 90 days after certification of the election results of the stockholder vote, our CGPR Committee (or such other committee as directed by the Board) will make a recommendation to our Board and the Board will make a determination as to whether to accept or reject the tendered resignation. Following such determination, we will publicly disclose the decision regarding any tendered resignation in a Current Report on Form 8-K filed with the Securities and Exchange Commission (the “SEC”).</w:t>
      </w:r>
    </w:p>
    <w:p>
      <w:pPr>
        <w:spacing w:after="0" w:line="78"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435363"/>
        </w:rPr>
        <w:t>Approval of Proposal 2 (Ratification of Appointment of Independent Registered Public Accounting Firm), Proposal 3 (Advisory Vote to Approve Executive Compensation) and Proposal 6 (Advisory Vote on a Stockholder Proposal), will require the affirmative vote of the holders of a majority of the shares represented, in person or by proxy, and entitled to vote on the matter at the Annual Meeting, provided a quorum is present. Abstentions are considered in determining the number of votes required to obtain the necessary majority vote for the proposal and will have the same legal effect as voting against each proposal.</w:t>
      </w:r>
    </w:p>
    <w:p>
      <w:pPr>
        <w:spacing w:after="0" w:line="74" w:lineRule="exact"/>
        <w:rPr>
          <w:sz w:val="20"/>
          <w:szCs w:val="20"/>
          <w:color w:val="auto"/>
        </w:rPr>
      </w:pPr>
    </w:p>
    <w:p>
      <w:pPr>
        <w:ind w:left="220" w:right="80"/>
        <w:spacing w:after="0" w:line="252" w:lineRule="auto"/>
        <w:rPr>
          <w:sz w:val="20"/>
          <w:szCs w:val="20"/>
          <w:color w:val="auto"/>
        </w:rPr>
      </w:pPr>
      <w:r>
        <w:rPr>
          <w:rFonts w:ascii="Arial" w:cs="Arial" w:eastAsia="Arial" w:hAnsi="Arial"/>
          <w:sz w:val="16"/>
          <w:szCs w:val="16"/>
          <w:color w:val="435363"/>
        </w:rPr>
        <w:t>Approval of Proposal 4 (Amendment to our Certificate of Incorporation to Allow Our Bylaws to be Amended by our Stockholders by Simple Majority Vote) will require the affirmative vote of the holders of at least 80% of all shares outstanding and entitled to vote for the election of directors as of the Record Date. Abstentions are considered in determining the number of votes required to obtain the necessary majority vote for the proposal and will have the same legal effect as voting against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198755</wp:posOffset>
            </wp:positionV>
            <wp:extent cx="5177155" cy="168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5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2</w:t>
      </w:r>
    </w:p>
    <w:p>
      <w:pPr>
        <w:spacing w:after="0" w:line="3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00"/>
          </w:cols>
          <w:pgMar w:left="320" w:top="477" w:right="5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right="180"/>
        <w:spacing w:after="0" w:line="252" w:lineRule="auto"/>
        <w:rPr>
          <w:sz w:val="20"/>
          <w:szCs w:val="20"/>
          <w:color w:val="auto"/>
        </w:rPr>
      </w:pPr>
      <w:r>
        <w:rPr>
          <w:rFonts w:ascii="Arial" w:cs="Arial" w:eastAsia="Arial" w:hAnsi="Arial"/>
          <w:sz w:val="16"/>
          <w:szCs w:val="16"/>
          <w:color w:val="435363"/>
        </w:rPr>
        <w:t>Approval of Proposal 5 (Amendment to our Certificate of Incorporation to Allow all Other Provisions of the Certificate of Incorporation to be Amended by Simple Majority Vote) will require the affirmative vote of the holders of at least two-thirds of all shares outstanding and entitled to vote for the election of directors as of the Record Date. Abstentions are considered in determining the number of votes required to obtain the necessary majority vote for the proposal and will have the same legal effect as voting against Proposal 5.</w:t>
      </w:r>
    </w:p>
    <w:p>
      <w:pPr>
        <w:spacing w:after="0" w:line="74" w:lineRule="exact"/>
        <w:rPr>
          <w:sz w:val="20"/>
          <w:szCs w:val="20"/>
          <w:color w:val="auto"/>
        </w:rPr>
      </w:pPr>
    </w:p>
    <w:p>
      <w:pPr>
        <w:ind w:left="220" w:right="140"/>
        <w:spacing w:after="0" w:line="309" w:lineRule="auto"/>
        <w:rPr>
          <w:sz w:val="20"/>
          <w:szCs w:val="20"/>
          <w:color w:val="auto"/>
        </w:rPr>
      </w:pPr>
      <w:r>
        <w:rPr>
          <w:rFonts w:ascii="Arial" w:cs="Arial" w:eastAsia="Arial" w:hAnsi="Arial"/>
          <w:sz w:val="15"/>
          <w:szCs w:val="15"/>
          <w:color w:val="435363"/>
        </w:rPr>
        <w:t>Broker non-votes will have no effect on the outcome of Proposals 1, 3 and 6, and will have the same effect as a vote “AGAINST” Proposals 4 and 5. We presently believe that brokers will have discretionary authority to vote on Proposal 2 and, as such, broker non-votes are not expected on Proposal 2.</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How to Vote Your Shares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If you are a stockholder of record, you may vote your shares:</w:t>
      </w:r>
    </w:p>
    <w:p>
      <w:pPr>
        <w:spacing w:after="0" w:line="120" w:lineRule="exact"/>
        <w:rPr>
          <w:sz w:val="20"/>
          <w:szCs w:val="20"/>
          <w:color w:val="auto"/>
        </w:rPr>
      </w:pPr>
    </w:p>
    <w:p>
      <w:pPr>
        <w:ind w:left="760" w:right="40" w:hanging="324"/>
        <w:spacing w:after="0" w:line="275" w:lineRule="auto"/>
        <w:tabs>
          <w:tab w:leader="none" w:pos="760" w:val="left"/>
        </w:tabs>
        <w:numPr>
          <w:ilvl w:val="0"/>
          <w:numId w:val="13"/>
        </w:numPr>
        <w:rPr>
          <w:rFonts w:ascii="Arial" w:cs="Arial" w:eastAsia="Arial" w:hAnsi="Arial"/>
          <w:sz w:val="16"/>
          <w:szCs w:val="16"/>
          <w:color w:val="3575B3"/>
        </w:rPr>
      </w:pPr>
      <w:r>
        <w:rPr>
          <w:rFonts w:ascii="Arial" w:cs="Arial" w:eastAsia="Arial" w:hAnsi="Arial"/>
          <w:sz w:val="16"/>
          <w:szCs w:val="16"/>
          <w:color w:val="435363"/>
        </w:rPr>
        <w:t xml:space="preserve">over the Internet at </w:t>
      </w:r>
      <w:r>
        <w:rPr>
          <w:rFonts w:ascii="Arial" w:cs="Arial" w:eastAsia="Arial" w:hAnsi="Arial"/>
          <w:sz w:val="16"/>
          <w:szCs w:val="16"/>
          <w:i w:val="1"/>
          <w:iCs w:val="1"/>
          <w:color w:val="435363"/>
        </w:rPr>
        <w:t>www.proxydocs.com/AAL</w:t>
      </w:r>
      <w:r>
        <w:rPr>
          <w:rFonts w:ascii="Arial" w:cs="Arial" w:eastAsia="Arial" w:hAnsi="Arial"/>
          <w:sz w:val="16"/>
          <w:szCs w:val="16"/>
          <w:color w:val="435363"/>
        </w:rPr>
        <w:t xml:space="preserve"> prior to the day of the virtual Annual Meeting (and during the virtual Annual Meeting by registering at </w:t>
      </w:r>
      <w:r>
        <w:rPr>
          <w:rFonts w:ascii="Arial" w:cs="Arial" w:eastAsia="Arial" w:hAnsi="Arial"/>
          <w:sz w:val="16"/>
          <w:szCs w:val="16"/>
          <w:i w:val="1"/>
          <w:iCs w:val="1"/>
          <w:color w:val="435363"/>
        </w:rPr>
        <w:t>www.proxydocs.com/AAL</w:t>
      </w:r>
      <w:r>
        <w:rPr>
          <w:rFonts w:ascii="Arial" w:cs="Arial" w:eastAsia="Arial" w:hAnsi="Arial"/>
          <w:sz w:val="16"/>
          <w:szCs w:val="16"/>
          <w:color w:val="435363"/>
        </w:rPr>
        <w:t>); or</w:t>
      </w:r>
    </w:p>
    <w:p>
      <w:pPr>
        <w:spacing w:after="0" w:line="68" w:lineRule="exact"/>
        <w:rPr>
          <w:rFonts w:ascii="Arial" w:cs="Arial" w:eastAsia="Arial" w:hAnsi="Arial"/>
          <w:sz w:val="16"/>
          <w:szCs w:val="16"/>
          <w:color w:val="3575B3"/>
        </w:rPr>
      </w:pPr>
    </w:p>
    <w:p>
      <w:pPr>
        <w:ind w:left="760" w:hanging="324"/>
        <w:spacing w:after="0"/>
        <w:tabs>
          <w:tab w:leader="none" w:pos="760" w:val="left"/>
        </w:tabs>
        <w:numPr>
          <w:ilvl w:val="0"/>
          <w:numId w:val="13"/>
        </w:numPr>
        <w:rPr>
          <w:rFonts w:ascii="Arial" w:cs="Arial" w:eastAsia="Arial" w:hAnsi="Arial"/>
          <w:sz w:val="16"/>
          <w:szCs w:val="16"/>
          <w:color w:val="3575B3"/>
        </w:rPr>
      </w:pPr>
      <w:r>
        <w:rPr>
          <w:rFonts w:ascii="Arial" w:cs="Arial" w:eastAsia="Arial" w:hAnsi="Arial"/>
          <w:sz w:val="16"/>
          <w:szCs w:val="16"/>
          <w:color w:val="435363"/>
        </w:rPr>
        <w:t>by telephone using the toll-free number 1-866-570-3320 prior to the day of the virtual Annual Meeting; or</w:t>
      </w:r>
    </w:p>
    <w:p>
      <w:pPr>
        <w:spacing w:after="0" w:line="120" w:lineRule="exact"/>
        <w:rPr>
          <w:rFonts w:ascii="Arial" w:cs="Arial" w:eastAsia="Arial" w:hAnsi="Arial"/>
          <w:sz w:val="16"/>
          <w:szCs w:val="16"/>
          <w:color w:val="3575B3"/>
        </w:rPr>
      </w:pPr>
    </w:p>
    <w:p>
      <w:pPr>
        <w:ind w:left="760" w:hanging="324"/>
        <w:spacing w:after="0"/>
        <w:tabs>
          <w:tab w:leader="none" w:pos="760" w:val="left"/>
        </w:tabs>
        <w:numPr>
          <w:ilvl w:val="0"/>
          <w:numId w:val="13"/>
        </w:numPr>
        <w:rPr>
          <w:rFonts w:ascii="Arial" w:cs="Arial" w:eastAsia="Arial" w:hAnsi="Arial"/>
          <w:sz w:val="16"/>
          <w:szCs w:val="16"/>
          <w:color w:val="3575B3"/>
        </w:rPr>
      </w:pPr>
      <w:r>
        <w:rPr>
          <w:rFonts w:ascii="Arial" w:cs="Arial" w:eastAsia="Arial" w:hAnsi="Arial"/>
          <w:sz w:val="16"/>
          <w:szCs w:val="16"/>
          <w:color w:val="435363"/>
        </w:rPr>
        <w:t>by filling out, signing and dating your proxy card and mailing it in the prepaid envelope.</w:t>
      </w:r>
    </w:p>
    <w:p>
      <w:pPr>
        <w:spacing w:after="0" w:line="107" w:lineRule="exact"/>
        <w:rPr>
          <w:sz w:val="20"/>
          <w:szCs w:val="20"/>
          <w:color w:val="auto"/>
        </w:rPr>
      </w:pPr>
    </w:p>
    <w:p>
      <w:pPr>
        <w:ind w:left="220" w:right="260"/>
        <w:spacing w:after="0" w:line="309" w:lineRule="auto"/>
        <w:rPr>
          <w:sz w:val="20"/>
          <w:szCs w:val="20"/>
          <w:color w:val="auto"/>
        </w:rPr>
      </w:pPr>
      <w:r>
        <w:rPr>
          <w:rFonts w:ascii="Arial" w:cs="Arial" w:eastAsia="Arial" w:hAnsi="Arial"/>
          <w:sz w:val="15"/>
          <w:szCs w:val="15"/>
          <w:color w:val="435363"/>
        </w:rPr>
        <w:t>You will need to follow the instructions when using any of these methods to make sure your shares will be voted at the Annual Meeting. We encourage you to vote in advance by telephone, over the Internet or by mail by completing your proxy card, even if you plan to attend the virtual Annual Meeting.</w:t>
      </w:r>
    </w:p>
    <w:p>
      <w:pPr>
        <w:spacing w:after="0" w:line="32"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435363"/>
        </w:rPr>
        <w:t>If your shares are held in “street name” through a broker, bank or other nominee, you may instruct your broker, bank or other nominee to vote your shares by following the instructions that the broker, bank or other nominee provides to you with the proxy materials. If you do not provide the broker, bank or other nominee with specific voting instructions, the broker, bank or other nominee that holds your shares generally may vote on “routine” proposals but cannot vote on “non-discretionary” (non-routine) proposals. We presently believe that Proposal 2 is routine and that Proposals 1, 3, 4, 5 and 6 are non-discretionary.</w:t>
      </w:r>
    </w:p>
    <w:p>
      <w:pPr>
        <w:spacing w:after="0" w:line="74" w:lineRule="exact"/>
        <w:rPr>
          <w:sz w:val="20"/>
          <w:szCs w:val="20"/>
          <w:color w:val="auto"/>
        </w:rPr>
      </w:pPr>
    </w:p>
    <w:p>
      <w:pPr>
        <w:ind w:left="220" w:right="260"/>
        <w:spacing w:after="0" w:line="252" w:lineRule="auto"/>
        <w:rPr>
          <w:sz w:val="20"/>
          <w:szCs w:val="20"/>
          <w:color w:val="auto"/>
        </w:rPr>
      </w:pPr>
      <w:r>
        <w:rPr>
          <w:rFonts w:ascii="Arial" w:cs="Arial" w:eastAsia="Arial" w:hAnsi="Arial"/>
          <w:sz w:val="16"/>
          <w:szCs w:val="16"/>
          <w:color w:val="435363"/>
        </w:rPr>
        <w:t>Most brokers offer the ability for stockholders to submit voting instructions over the Internet, by telephone or by mail by completing a voting instruction card after you have read these proxy materials. If you hold shares through a broker, bank or other nominee and wish to vote your shares at the Annual Meeting, you will need your unique control number which appears on the instructions that accompanied the proxy materials. In any case, voting in advance over the Internet, by telephone or by mail will not prevent you from voting at the virtual Annual Meeting.</w:t>
      </w:r>
    </w:p>
    <w:p>
      <w:pPr>
        <w:spacing w:after="0" w:line="74"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435363"/>
        </w:rPr>
        <w:t>If the broker, bank or other nominee that holds your shares in “street name” returns a proxy card without voting on a non-discretionary proposal because it did not receive voting instructions from you on that proposal, this is referred to as a “broker non-vote.” “Broker non-votes” are considered in determining whether a quorum exists at the Annual Meeting. As noted in “Vote Required to Approve Each Proposal” above, broker non-votes will have no effect on the outcome of Proposals 1, 3 and 6, and will have the same effect as a vote “AGAINST” Proposals 4 and 5. We presently believe that brokers will have discretionary authority to vote on Proposal 2 and, as such, broker non-votes are not expected on Proposal 2.</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Revoking or Changing Your Vote</w:t>
      </w:r>
    </w:p>
    <w:p>
      <w:pPr>
        <w:spacing w:after="0" w:line="77" w:lineRule="exact"/>
        <w:rPr>
          <w:sz w:val="20"/>
          <w:szCs w:val="20"/>
          <w:color w:val="auto"/>
        </w:rPr>
      </w:pPr>
    </w:p>
    <w:p>
      <w:pPr>
        <w:ind w:left="220" w:right="40"/>
        <w:spacing w:after="0" w:line="275" w:lineRule="auto"/>
        <w:rPr>
          <w:sz w:val="20"/>
          <w:szCs w:val="20"/>
          <w:color w:val="auto"/>
        </w:rPr>
      </w:pPr>
      <w:r>
        <w:rPr>
          <w:rFonts w:ascii="Arial" w:cs="Arial" w:eastAsia="Arial" w:hAnsi="Arial"/>
          <w:sz w:val="16"/>
          <w:szCs w:val="16"/>
          <w:color w:val="435363"/>
        </w:rPr>
        <w:t>Stockholders may revoke or change their votes at any time before exercise at the Annual Meeting by the following methods (your last instruction received by us will be counted):</w:t>
      </w:r>
    </w:p>
    <w:p>
      <w:pPr>
        <w:spacing w:after="0" w:line="68" w:lineRule="exact"/>
        <w:rPr>
          <w:sz w:val="20"/>
          <w:szCs w:val="20"/>
          <w:color w:val="auto"/>
        </w:rPr>
      </w:pPr>
    </w:p>
    <w:p>
      <w:pPr>
        <w:ind w:left="760" w:right="140" w:hanging="324"/>
        <w:spacing w:after="0" w:line="275" w:lineRule="auto"/>
        <w:tabs>
          <w:tab w:leader="none" w:pos="760" w:val="left"/>
        </w:tabs>
        <w:numPr>
          <w:ilvl w:val="0"/>
          <w:numId w:val="14"/>
        </w:numPr>
        <w:rPr>
          <w:rFonts w:ascii="Arial" w:cs="Arial" w:eastAsia="Arial" w:hAnsi="Arial"/>
          <w:sz w:val="16"/>
          <w:szCs w:val="16"/>
          <w:color w:val="3575B3"/>
        </w:rPr>
      </w:pPr>
      <w:r>
        <w:rPr>
          <w:rFonts w:ascii="Arial" w:cs="Arial" w:eastAsia="Arial" w:hAnsi="Arial"/>
          <w:sz w:val="16"/>
          <w:szCs w:val="16"/>
          <w:color w:val="435363"/>
        </w:rPr>
        <w:t>giving notice of revocation to our Corporate Secretary, at American Airlines Group Inc., MD8B503, 1 Skyview Drive, Fort Worth, Texas 76155 (by mail or overnight delivery);</w:t>
      </w:r>
    </w:p>
    <w:p>
      <w:pPr>
        <w:spacing w:after="0" w:line="68" w:lineRule="exact"/>
        <w:rPr>
          <w:rFonts w:ascii="Arial" w:cs="Arial" w:eastAsia="Arial" w:hAnsi="Arial"/>
          <w:sz w:val="16"/>
          <w:szCs w:val="16"/>
          <w:color w:val="3575B3"/>
        </w:rPr>
      </w:pPr>
    </w:p>
    <w:p>
      <w:pPr>
        <w:ind w:left="760" w:hanging="324"/>
        <w:spacing w:after="0"/>
        <w:tabs>
          <w:tab w:leader="none" w:pos="760" w:val="left"/>
        </w:tabs>
        <w:numPr>
          <w:ilvl w:val="0"/>
          <w:numId w:val="14"/>
        </w:numPr>
        <w:rPr>
          <w:rFonts w:ascii="Arial" w:cs="Arial" w:eastAsia="Arial" w:hAnsi="Arial"/>
          <w:sz w:val="16"/>
          <w:szCs w:val="16"/>
          <w:color w:val="3575B3"/>
        </w:rPr>
      </w:pPr>
      <w:r>
        <w:rPr>
          <w:rFonts w:ascii="Arial" w:cs="Arial" w:eastAsia="Arial" w:hAnsi="Arial"/>
          <w:sz w:val="16"/>
          <w:szCs w:val="16"/>
          <w:color w:val="435363"/>
        </w:rPr>
        <w:t>executing and delivering to our Corporate Secretary, at the address noted above, a proxy card relating to the same shares bearing a later date;</w:t>
      </w:r>
    </w:p>
    <w:p>
      <w:pPr>
        <w:spacing w:after="0" w:line="120" w:lineRule="exact"/>
        <w:rPr>
          <w:rFonts w:ascii="Arial" w:cs="Arial" w:eastAsia="Arial" w:hAnsi="Arial"/>
          <w:sz w:val="16"/>
          <w:szCs w:val="16"/>
          <w:color w:val="3575B3"/>
        </w:rPr>
      </w:pPr>
    </w:p>
    <w:p>
      <w:pPr>
        <w:ind w:left="760" w:hanging="324"/>
        <w:spacing w:after="0"/>
        <w:tabs>
          <w:tab w:leader="none" w:pos="760" w:val="left"/>
        </w:tabs>
        <w:numPr>
          <w:ilvl w:val="0"/>
          <w:numId w:val="14"/>
        </w:numPr>
        <w:rPr>
          <w:rFonts w:ascii="Arial" w:cs="Arial" w:eastAsia="Arial" w:hAnsi="Arial"/>
          <w:sz w:val="16"/>
          <w:szCs w:val="16"/>
          <w:color w:val="3575B3"/>
        </w:rPr>
      </w:pPr>
      <w:r>
        <w:rPr>
          <w:rFonts w:ascii="Arial" w:cs="Arial" w:eastAsia="Arial" w:hAnsi="Arial"/>
          <w:sz w:val="16"/>
          <w:szCs w:val="16"/>
          <w:color w:val="435363"/>
        </w:rPr>
        <w:t>voting over the Internet or by telephone prior to the time the voting facilities close; or</w:t>
      </w:r>
    </w:p>
    <w:p>
      <w:pPr>
        <w:spacing w:after="0" w:line="120" w:lineRule="exact"/>
        <w:rPr>
          <w:rFonts w:ascii="Arial" w:cs="Arial" w:eastAsia="Arial" w:hAnsi="Arial"/>
          <w:sz w:val="16"/>
          <w:szCs w:val="16"/>
          <w:color w:val="3575B3"/>
        </w:rPr>
      </w:pPr>
    </w:p>
    <w:p>
      <w:pPr>
        <w:ind w:left="760" w:hanging="324"/>
        <w:spacing w:after="0"/>
        <w:tabs>
          <w:tab w:leader="none" w:pos="760" w:val="left"/>
        </w:tabs>
        <w:numPr>
          <w:ilvl w:val="0"/>
          <w:numId w:val="14"/>
        </w:numPr>
        <w:rPr>
          <w:rFonts w:ascii="Arial" w:cs="Arial" w:eastAsia="Arial" w:hAnsi="Arial"/>
          <w:sz w:val="16"/>
          <w:szCs w:val="16"/>
          <w:color w:val="3575B3"/>
        </w:rPr>
      </w:pPr>
      <w:r>
        <w:rPr>
          <w:rFonts w:ascii="Arial" w:cs="Arial" w:eastAsia="Arial" w:hAnsi="Arial"/>
          <w:sz w:val="16"/>
          <w:szCs w:val="16"/>
          <w:color w:val="435363"/>
        </w:rPr>
        <w:t>logging onto and voting at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127635</wp:posOffset>
            </wp:positionV>
            <wp:extent cx="5177155" cy="168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3</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right="220"/>
        <w:spacing w:after="0" w:line="275" w:lineRule="auto"/>
        <w:rPr>
          <w:sz w:val="20"/>
          <w:szCs w:val="20"/>
          <w:color w:val="auto"/>
        </w:rPr>
      </w:pPr>
      <w:r>
        <w:rPr>
          <w:rFonts w:ascii="Arial" w:cs="Arial" w:eastAsia="Arial" w:hAnsi="Arial"/>
          <w:sz w:val="16"/>
          <w:szCs w:val="16"/>
          <w:color w:val="435363"/>
        </w:rPr>
        <w:t>If your shares are held in “street name,” you must contact your broker, bank or other nominee to revoke or change your vote. The revocation or change must be made by the broker, bank or other nominee before the Annual Meeting.</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Authority of Proxies</w:t>
      </w:r>
    </w:p>
    <w:p>
      <w:pPr>
        <w:spacing w:after="0" w:line="90" w:lineRule="exact"/>
        <w:rPr>
          <w:sz w:val="20"/>
          <w:szCs w:val="20"/>
          <w:color w:val="auto"/>
        </w:rPr>
      </w:pPr>
    </w:p>
    <w:p>
      <w:pPr>
        <w:ind w:left="220" w:right="100"/>
        <w:spacing w:after="0" w:line="247" w:lineRule="auto"/>
        <w:rPr>
          <w:sz w:val="20"/>
          <w:szCs w:val="20"/>
          <w:color w:val="auto"/>
        </w:rPr>
      </w:pPr>
      <w:r>
        <w:rPr>
          <w:rFonts w:ascii="Arial" w:cs="Arial" w:eastAsia="Arial" w:hAnsi="Arial"/>
          <w:sz w:val="16"/>
          <w:szCs w:val="16"/>
          <w:color w:val="435363"/>
        </w:rPr>
        <w:t>All proper votes received by us by 11:59 p.m., Eastern Time, on Tuesday, June 4, 2024, and not revoked will be voted at the Annual Meeting in accordance with the directions noted. In the absence of instructions, shares represented by a signed and dated proxy card will be voted “FOR” the election of all director nominees, “FOR” the ratification of the appointment of the independent registered public accounting firm, “FOR” the approval, on a non-binding, advisory basis, of executive compensation as disclosed in this Proxy Statement, “FOR” the approval of an amendment to our Certificate of Incorporation to allow our Bylaws to be amended by our stockholders by simple majority vote, “FOR” the approval of an amendment to our Certificate of Incorporation to allow all other provisions of our Certificate of Incorporation to be amended by simple majority vote and “AGAINST” the stockholder proposal.</w:t>
      </w:r>
    </w:p>
    <w:p>
      <w:pPr>
        <w:spacing w:after="0" w:line="77" w:lineRule="exact"/>
        <w:rPr>
          <w:sz w:val="20"/>
          <w:szCs w:val="20"/>
          <w:color w:val="auto"/>
        </w:rPr>
      </w:pPr>
    </w:p>
    <w:p>
      <w:pPr>
        <w:jc w:val="both"/>
        <w:ind w:left="220" w:right="60"/>
        <w:spacing w:after="0" w:line="258" w:lineRule="auto"/>
        <w:rPr>
          <w:sz w:val="20"/>
          <w:szCs w:val="20"/>
          <w:color w:val="auto"/>
        </w:rPr>
      </w:pPr>
      <w:r>
        <w:rPr>
          <w:rFonts w:ascii="Arial" w:cs="Arial" w:eastAsia="Arial" w:hAnsi="Arial"/>
          <w:sz w:val="16"/>
          <w:szCs w:val="16"/>
          <w:color w:val="435363"/>
        </w:rPr>
        <w:t>If any other matters properly come before the Annual Meeting, the persons named as proxies on the proxy card will vote upon those matters according to their judgment. The Board knows of no other items of business that will be presented for consideration at the Annual Meeting other than those described in this Proxy Statement.</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Solicitation of Votes</w:t>
      </w:r>
    </w:p>
    <w:p>
      <w:pPr>
        <w:spacing w:after="0" w:line="77" w:lineRule="exact"/>
        <w:rPr>
          <w:sz w:val="20"/>
          <w:szCs w:val="20"/>
          <w:color w:val="auto"/>
        </w:rPr>
      </w:pPr>
    </w:p>
    <w:p>
      <w:pPr>
        <w:ind w:left="220" w:right="140"/>
        <w:spacing w:after="0" w:line="252" w:lineRule="auto"/>
        <w:rPr>
          <w:sz w:val="20"/>
          <w:szCs w:val="20"/>
          <w:color w:val="auto"/>
        </w:rPr>
      </w:pPr>
      <w:r>
        <w:rPr>
          <w:rFonts w:ascii="Arial" w:cs="Arial" w:eastAsia="Arial" w:hAnsi="Arial"/>
          <w:sz w:val="16"/>
          <w:szCs w:val="16"/>
          <w:color w:val="435363"/>
        </w:rPr>
        <w:t>In addition to soliciting votes through the mail, we may solicit votes through our directors, officers and employees in person and by e-mail, telephone or facsimile. We may also request brokerage firms, nominees, custodians and fiduciaries to forward proxy materials to the beneficial owners of shares held of record by them. We will pay all expenses incurred in connection with the solicitation of proxies. In addition, we have retained Innisfree M&amp;A Incorporated to assist in the solicitation for an anticipated fee of $25,000, plus expenses.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Inspector of Election</w:t>
      </w:r>
    </w:p>
    <w:p>
      <w:pPr>
        <w:spacing w:after="0" w:line="77" w:lineRule="exact"/>
        <w:rPr>
          <w:sz w:val="20"/>
          <w:szCs w:val="20"/>
          <w:color w:val="auto"/>
        </w:rPr>
      </w:pPr>
    </w:p>
    <w:p>
      <w:pPr>
        <w:ind w:left="220" w:right="20"/>
        <w:spacing w:after="0" w:line="275" w:lineRule="auto"/>
        <w:rPr>
          <w:sz w:val="20"/>
          <w:szCs w:val="20"/>
          <w:color w:val="auto"/>
        </w:rPr>
      </w:pPr>
      <w:r>
        <w:rPr>
          <w:rFonts w:ascii="Arial" w:cs="Arial" w:eastAsia="Arial" w:hAnsi="Arial"/>
          <w:sz w:val="16"/>
          <w:szCs w:val="16"/>
          <w:color w:val="435363"/>
        </w:rPr>
        <w:t>All votes at the Annual Meeting will be counted by Mediant, Inc., our inspector of election. The inspector of election will separately tabulate affirmative and negative votes, abstentions and broker non-votes.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Important Notice of Internet Availability of Proxy Materials for the Annual Meeting</w:t>
      </w:r>
    </w:p>
    <w:p>
      <w:pPr>
        <w:spacing w:after="0" w:line="90" w:lineRule="exact"/>
        <w:rPr>
          <w:sz w:val="20"/>
          <w:szCs w:val="20"/>
          <w:color w:val="auto"/>
        </w:rPr>
      </w:pPr>
    </w:p>
    <w:p>
      <w:pPr>
        <w:ind w:left="220" w:right="200"/>
        <w:spacing w:after="0" w:line="275" w:lineRule="auto"/>
        <w:rPr>
          <w:sz w:val="20"/>
          <w:szCs w:val="20"/>
          <w:color w:val="auto"/>
        </w:rPr>
      </w:pPr>
      <w:r>
        <w:rPr>
          <w:rFonts w:ascii="Arial" w:cs="Arial" w:eastAsia="Arial" w:hAnsi="Arial"/>
          <w:sz w:val="16"/>
          <w:szCs w:val="16"/>
          <w:color w:val="435363"/>
        </w:rPr>
        <w:t xml:space="preserve">The Notice of Annual Meeting, this Proxy Statement and our Annual Report on Form 10-K for the fiscal year ended December 31, 2023 are available at </w:t>
      </w:r>
      <w:r>
        <w:rPr>
          <w:rFonts w:ascii="Arial" w:cs="Arial" w:eastAsia="Arial" w:hAnsi="Arial"/>
          <w:sz w:val="16"/>
          <w:szCs w:val="16"/>
          <w:i w:val="1"/>
          <w:iCs w:val="1"/>
          <w:color w:val="435363"/>
        </w:rPr>
        <w:t xml:space="preserve">www.proxydocs.com/AAL </w:t>
      </w:r>
      <w:r>
        <w:rPr>
          <w:rFonts w:ascii="Arial" w:cs="Arial" w:eastAsia="Arial" w:hAnsi="Arial"/>
          <w:sz w:val="16"/>
          <w:szCs w:val="16"/>
          <w:color w:val="435363"/>
        </w:rPr>
        <w:t>prior to and during the Annual Meeting.</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Electronic Delivery of Proxy Materials</w:t>
      </w:r>
    </w:p>
    <w:p>
      <w:pPr>
        <w:spacing w:after="0" w:line="77" w:lineRule="exact"/>
        <w:rPr>
          <w:sz w:val="20"/>
          <w:szCs w:val="20"/>
          <w:color w:val="auto"/>
        </w:rPr>
      </w:pPr>
    </w:p>
    <w:p>
      <w:pPr>
        <w:ind w:left="220"/>
        <w:spacing w:after="0" w:line="245" w:lineRule="auto"/>
        <w:rPr>
          <w:sz w:val="20"/>
          <w:szCs w:val="20"/>
          <w:color w:val="auto"/>
        </w:rPr>
      </w:pPr>
      <w:r>
        <w:rPr>
          <w:rFonts w:ascii="Arial" w:cs="Arial" w:eastAsia="Arial" w:hAnsi="Arial"/>
          <w:sz w:val="16"/>
          <w:szCs w:val="16"/>
          <w:color w:val="435363"/>
        </w:rPr>
        <w:t xml:space="preserve">In order to eliminate the mailing of a paper notice and to speed your ability to access the proxy materials (including our Annual Report on Form 10-K for the year ended December 31, 2023), we encourage you to sign up for electronic delivery of the Notice of Internet Availability of Proxy Materials using the instructions described below. Stockholders can help us reduce costs and the impact on the environment by electing to receive and access future copies of our proxy statements, annual reports and other stockholder materials electronically by e-mail. If your shares are registered directly in your name with our stock registrar and transfer agent, Equiniti Trust Company, LLC, you can make this election by going to </w:t>
      </w:r>
      <w:r>
        <w:rPr>
          <w:rFonts w:ascii="Arial" w:cs="Arial" w:eastAsia="Arial" w:hAnsi="Arial"/>
          <w:sz w:val="16"/>
          <w:szCs w:val="16"/>
          <w:i w:val="1"/>
          <w:iCs w:val="1"/>
          <w:color w:val="435363"/>
        </w:rPr>
        <w:t>equiniti.com/us/ast-access</w:t>
      </w:r>
      <w:r>
        <w:rPr>
          <w:rFonts w:ascii="Arial" w:cs="Arial" w:eastAsia="Arial" w:hAnsi="Arial"/>
          <w:sz w:val="16"/>
          <w:szCs w:val="16"/>
          <w:color w:val="435363"/>
        </w:rPr>
        <w:t>, (1) clicking on “Login” under the heading “Individuals”, (2) clicking on Shareholder Central, (3) entering the information required to gain access to your account and (4) clicking e-Consent. You may also make this election by following the instructions provided when voting over the Internet. If you hold your shares in a brokerage account or otherwise through a third party in “street name,” please refer to the information provided by your broker, bank or other nominee for instructions on how to elect to receive and view future annual meeting materials electronically.</w:t>
      </w:r>
    </w:p>
    <w:p>
      <w:pPr>
        <w:spacing w:after="0" w:line="83" w:lineRule="exact"/>
        <w:rPr>
          <w:sz w:val="20"/>
          <w:szCs w:val="20"/>
          <w:color w:val="auto"/>
        </w:rPr>
      </w:pPr>
    </w:p>
    <w:p>
      <w:pPr>
        <w:ind w:left="220" w:right="240"/>
        <w:spacing w:after="0" w:line="252" w:lineRule="auto"/>
        <w:rPr>
          <w:sz w:val="20"/>
          <w:szCs w:val="20"/>
          <w:color w:val="auto"/>
        </w:rPr>
      </w:pPr>
      <w:r>
        <w:rPr>
          <w:rFonts w:ascii="Arial" w:cs="Arial" w:eastAsia="Arial" w:hAnsi="Arial"/>
          <w:sz w:val="16"/>
          <w:szCs w:val="16"/>
          <w:color w:val="435363"/>
        </w:rPr>
        <w:t>This year, we intend both to mail our proxy materials to certain stockholders and to use the “Notice and Access” method of providing proxy materials to certain stockholders. Under the Notice and Access method, if you have not opted to receive an e-mail notification, you will receive by mail a simple “Notice of Internet Availability of Proxy Materials,” which will direct you to a website where you may access proxy materials online. You will also be told how to request proxy materials (at no charge) via mail or e-mail, as you prefer.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198755</wp:posOffset>
            </wp:positionV>
            <wp:extent cx="5177155" cy="168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5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4</w:t>
      </w:r>
    </w:p>
    <w:p>
      <w:pPr>
        <w:spacing w:after="0" w:line="3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Householding of Proxy Materials</w:t>
      </w:r>
    </w:p>
    <w:p>
      <w:pPr>
        <w:spacing w:after="0" w:line="90" w:lineRule="exact"/>
        <w:rPr>
          <w:sz w:val="20"/>
          <w:szCs w:val="20"/>
          <w:color w:val="auto"/>
        </w:rPr>
      </w:pPr>
    </w:p>
    <w:p>
      <w:pPr>
        <w:ind w:left="220"/>
        <w:spacing w:after="0" w:line="245" w:lineRule="auto"/>
        <w:rPr>
          <w:sz w:val="20"/>
          <w:szCs w:val="20"/>
          <w:color w:val="auto"/>
        </w:rPr>
      </w:pPr>
      <w:r>
        <w:rPr>
          <w:rFonts w:ascii="Arial" w:cs="Arial" w:eastAsia="Arial" w:hAnsi="Arial"/>
          <w:sz w:val="16"/>
          <w:szCs w:val="16"/>
          <w:color w:val="435363"/>
        </w:rPr>
        <w:t>The SEC has adopted rules that permit companies and intermediaries (</w:t>
      </w:r>
      <w:r>
        <w:rPr>
          <w:rFonts w:ascii="Arial" w:cs="Arial" w:eastAsia="Arial" w:hAnsi="Arial"/>
          <w:sz w:val="16"/>
          <w:szCs w:val="16"/>
          <w:i w:val="1"/>
          <w:iCs w:val="1"/>
          <w:color w:val="435363"/>
        </w:rPr>
        <w:t>e.g.</w:t>
      </w:r>
      <w:r>
        <w:rPr>
          <w:rFonts w:ascii="Arial" w:cs="Arial" w:eastAsia="Arial" w:hAnsi="Arial"/>
          <w:sz w:val="16"/>
          <w:szCs w:val="16"/>
          <w:color w:val="435363"/>
        </w:rPr>
        <w:t>, brokers) to satisfy the delivery requirements for proxy statements and annual reports, or Notices of Internet Availability of Proxy Materials, with respect to two or more stockholders sharing the same address by delivering a single proxy statement and annual report, or Notice of Internet Availability of Proxy Materials, addressed to those stockholders. This process, which is commonly referred to as “householding,” potentially means extra convenience for stockholders and cost savings for companies. In accordance with these rules, only one proxy statement and annual report, or Notice of Internet Availability of Proxy Materials, will be delivered to multiple stockholders sharing an address unless we have received contrary instructions from one or more of the stockholders. Stockholders who currently receive multiple copies of the proxy statement and annual report, or Notice of Internet Availability of Proxy Materials, at their address and would like to request “householding” of their communications should contact their broker if they are beneficial owners or direct their request to our Corporate Secretary at the address provided on page 3 of this Proxy Statement if they are registered holders.</w:t>
      </w:r>
    </w:p>
    <w:p>
      <w:pPr>
        <w:spacing w:after="0" w:line="83" w:lineRule="exact"/>
        <w:rPr>
          <w:sz w:val="20"/>
          <w:szCs w:val="20"/>
          <w:color w:val="auto"/>
        </w:rPr>
      </w:pPr>
    </w:p>
    <w:p>
      <w:pPr>
        <w:jc w:val="both"/>
        <w:ind w:left="220" w:right="80"/>
        <w:spacing w:after="0" w:line="283" w:lineRule="auto"/>
        <w:rPr>
          <w:sz w:val="20"/>
          <w:szCs w:val="20"/>
          <w:color w:val="auto"/>
        </w:rPr>
      </w:pPr>
      <w:r>
        <w:rPr>
          <w:rFonts w:ascii="Arial" w:cs="Arial" w:eastAsia="Arial" w:hAnsi="Arial"/>
          <w:sz w:val="15"/>
          <w:szCs w:val="15"/>
          <w:color w:val="435363"/>
        </w:rPr>
        <w:t>If, at any time, you no longer wish to participate in “householding” and would prefer to receive a separate proxy statement and annual report, or Notice of Internet Availability of Proxy Materials, please notify your broker, if you are a beneficial owner or, if you are a registered holder, direct your written request to Broadridge Financial Solutions, Inc., Householding Department, 51 Mercedes Way, Edgewood, New York 11717 or call Broadridge at 1-866-540-7095.</w:t>
      </w:r>
    </w:p>
    <w:p>
      <w:pPr>
        <w:spacing w:after="0" w:line="52" w:lineRule="exact"/>
        <w:rPr>
          <w:sz w:val="20"/>
          <w:szCs w:val="20"/>
          <w:color w:val="auto"/>
        </w:rPr>
      </w:pPr>
    </w:p>
    <w:p>
      <w:pPr>
        <w:ind w:left="220" w:right="280"/>
        <w:spacing w:after="0" w:line="275" w:lineRule="auto"/>
        <w:rPr>
          <w:sz w:val="20"/>
          <w:szCs w:val="20"/>
          <w:color w:val="auto"/>
        </w:rPr>
      </w:pPr>
      <w:r>
        <w:rPr>
          <w:rFonts w:ascii="Arial" w:cs="Arial" w:eastAsia="Arial" w:hAnsi="Arial"/>
          <w:sz w:val="16"/>
          <w:szCs w:val="16"/>
          <w:color w:val="435363"/>
        </w:rPr>
        <w:t>If requested, we will also promptly deliver, upon oral or written request, a separate copy of the proxy statement and annual report, or Notice of Internet Availability of Proxy Materials to any stockholder residing at an address to which only one copy was mailed.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93980</wp:posOffset>
            </wp:positionV>
            <wp:extent cx="5177155" cy="168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5</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200660</wp:posOffset>
            </wp:positionV>
            <wp:extent cx="6193790" cy="285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32"/>
          <w:szCs w:val="32"/>
          <w:color w:val="66AFDA"/>
        </w:rPr>
        <w:t>PROPOSAL 1—ELECTION OF DIRECTORS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Election of Directors</w:t>
      </w:r>
    </w:p>
    <w:p>
      <w:pPr>
        <w:spacing w:after="0" w:line="90" w:lineRule="exact"/>
        <w:rPr>
          <w:sz w:val="20"/>
          <w:szCs w:val="20"/>
          <w:color w:val="auto"/>
        </w:rPr>
      </w:pPr>
    </w:p>
    <w:p>
      <w:pPr>
        <w:ind w:left="220" w:right="660"/>
        <w:spacing w:after="0" w:line="275" w:lineRule="auto"/>
        <w:rPr>
          <w:sz w:val="20"/>
          <w:szCs w:val="20"/>
          <w:color w:val="auto"/>
        </w:rPr>
      </w:pPr>
      <w:r>
        <w:rPr>
          <w:rFonts w:ascii="Arial" w:cs="Arial" w:eastAsia="Arial" w:hAnsi="Arial"/>
          <w:sz w:val="16"/>
          <w:szCs w:val="16"/>
          <w:color w:val="435363"/>
        </w:rPr>
        <w:t>Upon the recommendation of the CGPR Committee, the Board has nominated the 11 director candidates listed below under the section “Director Nominees.” Each nominee is currently a director of the Company.</w:t>
      </w:r>
    </w:p>
    <w:p>
      <w:pPr>
        <w:spacing w:after="0" w:line="55"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color w:val="435363"/>
        </w:rPr>
        <w:t>The authorized number of directors is currently set at 12 and the Board currently consists of 12 members. Mr. Benjamin will not stand for re-election at the Annual Meeting. The Board has approved reducing the authorized number of directors to 11 effective as of the Annual Meeting. If elected as a director at the Annual Meeting, each of the nominees will serve a one-year term expiring at the 2025 annual meeting of stockholders and until his or her successor has been duly elected and qualified.</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Each of the nominees has consented to serve as a director,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320675</wp:posOffset>
            </wp:positionV>
            <wp:extent cx="4471035" cy="907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471035" cy="90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320" w:right="300"/>
        <w:spacing w:after="0" w:line="256" w:lineRule="auto"/>
        <w:rPr>
          <w:sz w:val="20"/>
          <w:szCs w:val="20"/>
          <w:color w:val="auto"/>
        </w:rPr>
      </w:pPr>
      <w:r>
        <w:rPr>
          <w:rFonts w:ascii="Arial" w:cs="Arial" w:eastAsia="Arial" w:hAnsi="Arial"/>
          <w:sz w:val="16"/>
          <w:szCs w:val="16"/>
          <w:b w:val="1"/>
          <w:bCs w:val="1"/>
          <w:color w:val="3575B3"/>
        </w:rPr>
        <w:t>The Board unanimously recommends that the stockholders vote “FOR” the proposal to elect each director of the Company listed below under the section “Director Nominees” for a one-year term expiring at the 2025 annual meeting of stockholders and until his or her successor has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417830</wp:posOffset>
            </wp:positionV>
            <wp:extent cx="5177155" cy="168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6</w:t>
      </w:r>
    </w:p>
    <w:p>
      <w:pPr>
        <w:spacing w:after="0" w:line="3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Director Nominees</w:t>
      </w:r>
    </w:p>
    <w:p>
      <w:pPr>
        <w:spacing w:after="0" w:line="117" w:lineRule="exact"/>
        <w:rPr>
          <w:sz w:val="20"/>
          <w:szCs w:val="20"/>
          <w:color w:val="auto"/>
        </w:rPr>
      </w:pPr>
    </w:p>
    <w:p>
      <w:pPr>
        <w:ind w:left="220" w:right="100"/>
        <w:spacing w:after="0" w:line="275" w:lineRule="auto"/>
        <w:rPr>
          <w:sz w:val="20"/>
          <w:szCs w:val="20"/>
          <w:color w:val="auto"/>
        </w:rPr>
      </w:pPr>
      <w:r>
        <w:rPr>
          <w:rFonts w:ascii="Arial" w:cs="Arial" w:eastAsia="Arial" w:hAnsi="Arial"/>
          <w:sz w:val="16"/>
          <w:szCs w:val="16"/>
          <w:color w:val="435363"/>
        </w:rPr>
        <w:t>Information regarding our director nominees, including their qualifications and principal occupations, as well as the key experience and qualifications that led the Board to conclude each nominee should serve as a director, is provided below. The categories of key skills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127635</wp:posOffset>
            </wp:positionV>
            <wp:extent cx="4361815" cy="5969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61815" cy="59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There are no family relationships among the directors and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236855</wp:posOffset>
            </wp:positionV>
            <wp:extent cx="6857365" cy="12103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7365" cy="1210310"/>
                    </a:xfrm>
                    <a:prstGeom prst="rect">
                      <a:avLst/>
                    </a:prstGeom>
                    <a:noFill/>
                  </pic:spPr>
                </pic:pic>
              </a:graphicData>
            </a:graphic>
          </wp:anchor>
        </w:drawing>
      </w:r>
    </w:p>
    <w:p>
      <w:pPr>
        <w:sectPr>
          <w:pgSz w:w="11900" w:h="16838" w:orient="portrait"/>
          <w:cols w:equalWidth="0" w:num="1">
            <w:col w:w="11020"/>
          </w:cols>
          <w:pgMar w:left="320" w:top="477"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Independent</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Director Since: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2021</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Committees:</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Audit, Safety (Chair)</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Key Skills and Experience:</w:t>
      </w:r>
    </w:p>
    <w:p>
      <w:pPr>
        <w:spacing w:after="0" w:line="187" w:lineRule="exact"/>
        <w:rPr>
          <w:sz w:val="20"/>
          <w:szCs w:val="20"/>
          <w:color w:val="auto"/>
        </w:rPr>
      </w:pPr>
    </w:p>
    <w:p>
      <w:pPr>
        <w:ind w:left="240"/>
        <w:spacing w:after="0"/>
        <w:rPr>
          <w:sz w:val="20"/>
          <w:szCs w:val="20"/>
          <w:color w:val="auto"/>
        </w:rPr>
      </w:pPr>
      <w:r>
        <w:rPr>
          <w:sz w:val="1"/>
          <w:szCs w:val="1"/>
          <w:color w:val="auto"/>
        </w:rPr>
        <w:drawing>
          <wp:inline distT="0" distB="0" distL="0" distR="0">
            <wp:extent cx="269240" cy="11747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9240" cy="11747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34620" cy="13462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4620" cy="134620"/>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26365" cy="13462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6365" cy="134620"/>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42875" cy="16827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2875" cy="16827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42875" cy="14287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34620" cy="10096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4620" cy="10096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3575B3"/>
        </w:rPr>
        <w:t>Adriane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3199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9905"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17" w:lineRule="exact"/>
        <w:rPr>
          <w:sz w:val="20"/>
          <w:szCs w:val="20"/>
          <w:color w:val="auto"/>
        </w:rPr>
      </w:pPr>
    </w:p>
    <w:p>
      <w:pPr>
        <w:ind w:left="400" w:right="160" w:hanging="242"/>
        <w:spacing w:after="0" w:line="241"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 Managing Partner of Flying Fish Partners, a technology-based venture capital firm (2018-Present)</w:t>
      </w:r>
    </w:p>
    <w:p>
      <w:pPr>
        <w:spacing w:after="0" w:line="1" w:lineRule="exact"/>
        <w:rPr>
          <w:sz w:val="20"/>
          <w:szCs w:val="20"/>
          <w:color w:val="auto"/>
        </w:rPr>
      </w:pPr>
    </w:p>
    <w:p>
      <w:pPr>
        <w:ind w:left="400" w:right="80" w:hanging="242"/>
        <w:spacing w:after="0" w:line="241"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 President and Chief Operating Officer of Intellectual Ventures Management, LLC, a private</w:t>
      </w:r>
      <w:r>
        <w:rPr>
          <w:rFonts w:ascii="Arial" w:cs="Arial" w:eastAsia="Arial" w:hAnsi="Arial"/>
          <w:sz w:val="16"/>
          <w:szCs w:val="16"/>
          <w:color w:val="3575B3"/>
        </w:rPr>
        <w:t xml:space="preserve"> </w:t>
      </w:r>
      <w:r>
        <w:rPr>
          <w:rFonts w:ascii="Arial" w:cs="Arial" w:eastAsia="Arial" w:hAnsi="Arial"/>
          <w:sz w:val="16"/>
          <w:szCs w:val="16"/>
          <w:color w:val="435363"/>
        </w:rPr>
        <w:t>equity firm (2010-2017)</w:t>
      </w:r>
    </w:p>
    <w:p>
      <w:pPr>
        <w:spacing w:after="0" w:line="1" w:lineRule="exact"/>
        <w:rPr>
          <w:sz w:val="20"/>
          <w:szCs w:val="20"/>
          <w:color w:val="auto"/>
        </w:rPr>
      </w:pPr>
    </w:p>
    <w:p>
      <w:pPr>
        <w:ind w:left="400" w:right="100" w:hanging="242"/>
        <w:spacing w:after="0" w:line="257" w:lineRule="auto"/>
        <w:rPr>
          <w:sz w:val="20"/>
          <w:szCs w:val="20"/>
          <w:color w:val="auto"/>
        </w:rPr>
      </w:pPr>
      <w:r>
        <w:rPr>
          <w:rFonts w:ascii="Arial" w:cs="Arial" w:eastAsia="Arial" w:hAnsi="Arial"/>
          <w:sz w:val="15"/>
          <w:szCs w:val="15"/>
          <w:color w:val="3575B3"/>
        </w:rPr>
        <w:t>•</w:t>
      </w:r>
      <w:r>
        <w:rPr>
          <w:rFonts w:ascii="Arial" w:cs="Arial" w:eastAsia="Arial" w:hAnsi="Arial"/>
          <w:sz w:val="15"/>
          <w:szCs w:val="15"/>
          <w:color w:val="435363"/>
        </w:rPr>
        <w:t xml:space="preserve">   Various roles, including President and Chief Executive Officer of Honeywell Transportation</w:t>
      </w:r>
      <w:r>
        <w:rPr>
          <w:rFonts w:ascii="Arial" w:cs="Arial" w:eastAsia="Arial" w:hAnsi="Arial"/>
          <w:sz w:val="15"/>
          <w:szCs w:val="15"/>
          <w:color w:val="3575B3"/>
        </w:rPr>
        <w:t xml:space="preserve"> </w:t>
      </w:r>
      <w:r>
        <w:rPr>
          <w:rFonts w:ascii="Arial" w:cs="Arial" w:eastAsia="Arial" w:hAnsi="Arial"/>
          <w:sz w:val="15"/>
          <w:szCs w:val="15"/>
          <w:color w:val="435363"/>
        </w:rPr>
        <w:t>Systems, at Honeywell International Inc., a manufacturing company (1999-2010)</w:t>
      </w:r>
    </w:p>
    <w:p>
      <w:pPr>
        <w:spacing w:after="0" w:line="1" w:lineRule="exact"/>
        <w:rPr>
          <w:sz w:val="20"/>
          <w:szCs w:val="20"/>
          <w:color w:val="auto"/>
        </w:rPr>
      </w:pPr>
    </w:p>
    <w:p>
      <w:pPr>
        <w:ind w:left="400" w:right="500" w:hanging="242"/>
        <w:spacing w:after="0" w:line="287" w:lineRule="auto"/>
        <w:rPr>
          <w:sz w:val="20"/>
          <w:szCs w:val="20"/>
          <w:color w:val="auto"/>
        </w:rPr>
      </w:pPr>
      <w:r>
        <w:rPr>
          <w:rFonts w:ascii="Arial" w:cs="Arial" w:eastAsia="Arial" w:hAnsi="Arial"/>
          <w:sz w:val="15"/>
          <w:szCs w:val="15"/>
          <w:color w:val="3575B3"/>
        </w:rPr>
        <w:t>•</w:t>
      </w:r>
      <w:r>
        <w:rPr>
          <w:rFonts w:ascii="Arial" w:cs="Arial" w:eastAsia="Arial" w:hAnsi="Arial"/>
          <w:sz w:val="15"/>
          <w:szCs w:val="15"/>
          <w:color w:val="435363"/>
        </w:rPr>
        <w:t xml:space="preserve">   Various roles, most recently Vice President and General Manager of Environmental</w:t>
      </w:r>
      <w:r>
        <w:rPr>
          <w:rFonts w:ascii="Arial" w:cs="Arial" w:eastAsia="Arial" w:hAnsi="Arial"/>
          <w:sz w:val="15"/>
          <w:szCs w:val="15"/>
          <w:color w:val="3575B3"/>
        </w:rPr>
        <w:t xml:space="preserve"> </w:t>
      </w:r>
      <w:r>
        <w:rPr>
          <w:rFonts w:ascii="Arial" w:cs="Arial" w:eastAsia="Arial" w:hAnsi="Arial"/>
          <w:sz w:val="15"/>
          <w:szCs w:val="15"/>
          <w:color w:val="435363"/>
        </w:rPr>
        <w:t>Products, at Corning Incorporated, a materials manufacturing company (1980-1999)</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 KKR &amp; Co. Inc., a global investment company (2021-Present)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 Axon Enterprise, Inc., a law-enforcement technology company (2020-Present)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 eBay Inc., an e-commerce marketplace company (2017-Present)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 Allergan plc (2017-2020)</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 Raytheon Company (2018-2020)</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 Harman International (2013-2017)</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17" w:lineRule="exact"/>
        <w:rPr>
          <w:sz w:val="20"/>
          <w:szCs w:val="20"/>
          <w:color w:val="auto"/>
        </w:rPr>
      </w:pPr>
    </w:p>
    <w:p>
      <w:pPr>
        <w:ind w:right="320"/>
        <w:spacing w:after="0" w:line="254" w:lineRule="auto"/>
        <w:rPr>
          <w:sz w:val="20"/>
          <w:szCs w:val="20"/>
          <w:color w:val="auto"/>
        </w:rPr>
      </w:pPr>
      <w:r>
        <w:rPr>
          <w:rFonts w:ascii="Arial" w:cs="Arial" w:eastAsia="Arial" w:hAnsi="Arial"/>
          <w:sz w:val="16"/>
          <w:szCs w:val="16"/>
          <w:color w:val="435363"/>
        </w:rPr>
        <w:t>Member of the board of directors of the International Women’s Forum; former member of the board of directors of the Washington Research Foundation/WRF Capital.</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17" w:lineRule="exact"/>
        <w:rPr>
          <w:sz w:val="20"/>
          <w:szCs w:val="20"/>
          <w:color w:val="auto"/>
        </w:rPr>
      </w:pPr>
    </w:p>
    <w:p>
      <w:pPr>
        <w:ind w:right="100"/>
        <w:spacing w:after="0" w:line="272" w:lineRule="auto"/>
        <w:rPr>
          <w:sz w:val="20"/>
          <w:szCs w:val="20"/>
          <w:color w:val="auto"/>
        </w:rPr>
      </w:pPr>
      <w:r>
        <w:rPr>
          <w:rFonts w:ascii="Arial" w:cs="Arial" w:eastAsia="Arial" w:hAnsi="Arial"/>
          <w:sz w:val="15"/>
          <w:szCs w:val="15"/>
          <w:color w:val="435363"/>
        </w:rPr>
        <w:t>Financial expertise, risk management experience, extensive experience as a senior operating executive for segments of large global public companies, including industrial and manufacturing companies, investment experience in technologies and service as a public company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-1254760</wp:posOffset>
            </wp:positionH>
            <wp:positionV relativeFrom="paragraph">
              <wp:posOffset>970915</wp:posOffset>
            </wp:positionV>
            <wp:extent cx="5177155" cy="168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720"/>
            <w:col w:w="6800"/>
          </w:cols>
          <w:pgMar w:left="320" w:top="477"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7</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292735</wp:posOffset>
            </wp:positionV>
            <wp:extent cx="1210310" cy="12103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10310"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Independent</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Director Since: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2013</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Committees:</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Audit; Finance</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Key Skills and Experience:</w:t>
      </w:r>
    </w:p>
    <w:p>
      <w:pPr>
        <w:spacing w:after="0" w:line="95" w:lineRule="exact"/>
        <w:rPr>
          <w:sz w:val="20"/>
          <w:szCs w:val="20"/>
          <w:color w:val="auto"/>
        </w:rPr>
      </w:pPr>
    </w:p>
    <w:p>
      <w:pPr>
        <w:ind w:left="240"/>
        <w:spacing w:after="0"/>
        <w:rPr>
          <w:sz w:val="20"/>
          <w:szCs w:val="20"/>
          <w:color w:val="auto"/>
        </w:rPr>
      </w:pPr>
      <w:r>
        <w:rPr>
          <w:sz w:val="1"/>
          <w:szCs w:val="1"/>
          <w:color w:val="auto"/>
        </w:rPr>
        <w:drawing>
          <wp:inline distT="0" distB="0" distL="0" distR="0">
            <wp:extent cx="269240" cy="11747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9240" cy="11747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34620" cy="13462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4620" cy="134620"/>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34620" cy="13462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4620" cy="134620"/>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26365" cy="13462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6365" cy="134620"/>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42875" cy="14287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34620" cy="10096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4620" cy="10096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26365" cy="15113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6365" cy="151130"/>
                    </a:xfrm>
                    <a:prstGeom prst="rect">
                      <a:avLst/>
                    </a:prstGeom>
                    <a:noFill/>
                    <a:ln>
                      <a:noFill/>
                    </a:ln>
                  </pic:spPr>
                </pic:pic>
              </a:graphicData>
            </a:graphic>
          </wp:inline>
        </w:drawing>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12065</wp:posOffset>
            </wp:positionV>
            <wp:extent cx="142875" cy="168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2875"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3575B3"/>
        </w:rPr>
        <w:t>John Cahill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-815340</wp:posOffset>
            </wp:positionV>
            <wp:extent cx="7177405" cy="54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7405" cy="54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43199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9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43199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9905"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17" w:lineRule="exact"/>
        <w:rPr>
          <w:sz w:val="20"/>
          <w:szCs w:val="20"/>
          <w:color w:val="auto"/>
        </w:rPr>
      </w:pPr>
    </w:p>
    <w:p>
      <w:pPr>
        <w:ind w:left="400" w:hanging="242"/>
        <w:spacing w:after="0" w:line="241"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 Vice Chairman of The Kraft Heinz Company (“Kraft Heinz”), a food and beverage company</w:t>
      </w:r>
      <w:r>
        <w:rPr>
          <w:rFonts w:ascii="Arial" w:cs="Arial" w:eastAsia="Arial" w:hAnsi="Arial"/>
          <w:sz w:val="16"/>
          <w:szCs w:val="16"/>
          <w:color w:val="3575B3"/>
        </w:rPr>
        <w:t xml:space="preserve"> </w:t>
      </w:r>
      <w:r>
        <w:rPr>
          <w:rFonts w:ascii="Arial" w:cs="Arial" w:eastAsia="Arial" w:hAnsi="Arial"/>
          <w:sz w:val="16"/>
          <w:szCs w:val="16"/>
          <w:color w:val="435363"/>
        </w:rPr>
        <w:t>(2015-Present)</w:t>
      </w:r>
    </w:p>
    <w:p>
      <w:pPr>
        <w:spacing w:after="0" w:line="1" w:lineRule="exact"/>
        <w:rPr>
          <w:sz w:val="20"/>
          <w:szCs w:val="20"/>
          <w:color w:val="auto"/>
        </w:rPr>
      </w:pPr>
    </w:p>
    <w:p>
      <w:pPr>
        <w:ind w:left="400" w:right="220" w:hanging="242"/>
        <w:spacing w:after="0" w:line="241"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 Chairman and Chief Executive Officer of Kraft Foods Group, Inc. (“Kraft Foods Group”),</w:t>
      </w:r>
      <w:r>
        <w:rPr>
          <w:rFonts w:ascii="Arial" w:cs="Arial" w:eastAsia="Arial" w:hAnsi="Arial"/>
          <w:sz w:val="16"/>
          <w:szCs w:val="16"/>
          <w:color w:val="3575B3"/>
        </w:rPr>
        <w:t xml:space="preserve"> </w:t>
      </w:r>
      <w:r>
        <w:rPr>
          <w:rFonts w:ascii="Arial" w:cs="Arial" w:eastAsia="Arial" w:hAnsi="Arial"/>
          <w:sz w:val="16"/>
          <w:szCs w:val="16"/>
          <w:color w:val="435363"/>
        </w:rPr>
        <w:t>until its merger with H.J. Heinz Company (2014-2015)</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 Non-Executive Chairman of Kraft Foods Group (March 2014-December 2014)</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 Executive Chairman of Kraft Foods Group (2012-2014)</w:t>
      </w:r>
    </w:p>
    <w:p>
      <w:pPr>
        <w:spacing w:after="0" w:line="1" w:lineRule="exact"/>
        <w:rPr>
          <w:sz w:val="20"/>
          <w:szCs w:val="20"/>
          <w:color w:val="auto"/>
        </w:rPr>
      </w:pPr>
    </w:p>
    <w:p>
      <w:pPr>
        <w:ind w:left="400" w:right="280" w:hanging="242"/>
        <w:spacing w:after="0" w:line="254"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 Executive Chairman, North American Grocery of Kraft Foods, Inc., the former parent of</w:t>
      </w:r>
      <w:r>
        <w:rPr>
          <w:rFonts w:ascii="Arial" w:cs="Arial" w:eastAsia="Arial" w:hAnsi="Arial"/>
          <w:sz w:val="16"/>
          <w:szCs w:val="16"/>
          <w:color w:val="3575B3"/>
        </w:rPr>
        <w:t xml:space="preserve"> </w:t>
      </w:r>
      <w:r>
        <w:rPr>
          <w:rFonts w:ascii="Arial" w:cs="Arial" w:eastAsia="Arial" w:hAnsi="Arial"/>
          <w:sz w:val="16"/>
          <w:szCs w:val="16"/>
          <w:color w:val="435363"/>
        </w:rPr>
        <w:t>Kraft Foods Group (January 2012-December 2012)</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 Kraft Heinz, a food and beverage company (2015-Present)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 Colgate-Palmolive Company, a consumer products company (2005-Present)</w:t>
      </w:r>
    </w:p>
    <w:p>
      <w:pPr>
        <w:spacing w:after="0" w:line="104" w:lineRule="exact"/>
        <w:rPr>
          <w:sz w:val="20"/>
          <w:szCs w:val="20"/>
          <w:color w:val="auto"/>
        </w:rPr>
      </w:pPr>
    </w:p>
    <w:p>
      <w:pPr>
        <w:jc w:val="center"/>
        <w:ind w:right="4000"/>
        <w:spacing w:after="0"/>
        <w:rPr>
          <w:sz w:val="20"/>
          <w:szCs w:val="20"/>
          <w:color w:val="auto"/>
        </w:rPr>
      </w:pPr>
      <w:r>
        <w:rPr>
          <w:rFonts w:ascii="Arial" w:cs="Arial" w:eastAsia="Arial" w:hAnsi="Arial"/>
          <w:sz w:val="15"/>
          <w:szCs w:val="15"/>
          <w:b w:val="1"/>
          <w:bCs w:val="1"/>
          <w:color w:val="435363"/>
        </w:rPr>
        <w:t>Past Public Company Directorships:</w:t>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 Kraft Foods Group (2012-2015)</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 Legg Mason, Inc. (2009-2014)</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 The Pepsi Bottling Group, Inc. (1999-2007)</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 Frontier Holdings, Inc. (1984-1985)</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17"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435363"/>
        </w:rPr>
        <w:t>Former Industrial Partner at Ripplewood Holdings LLC; spent nine years with The Pepsi Bottling Group, Inc., culminating in the position of Chairman and Chief Executive Officer; and worked at PepsiCo, Inc. for nine years in a variety of leadership positions.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17" w:lineRule="exact"/>
        <w:rPr>
          <w:sz w:val="20"/>
          <w:szCs w:val="20"/>
          <w:color w:val="auto"/>
        </w:rPr>
      </w:pPr>
    </w:p>
    <w:p>
      <w:pPr>
        <w:spacing w:after="0" w:line="272" w:lineRule="auto"/>
        <w:rPr>
          <w:sz w:val="20"/>
          <w:szCs w:val="20"/>
          <w:color w:val="auto"/>
        </w:rPr>
      </w:pPr>
      <w:r>
        <w:rPr>
          <w:rFonts w:ascii="Arial" w:cs="Arial" w:eastAsia="Arial" w:hAnsi="Arial"/>
          <w:sz w:val="15"/>
          <w:szCs w:val="15"/>
          <w:color w:val="435363"/>
        </w:rPr>
        <w:t>Leadership and operations experience in executive leadership roles at global public companies, as well as airline experience, investment, accounting and financial expertise, experience in consumer products industries and public company board and corporate governance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685165</wp:posOffset>
            </wp:positionV>
            <wp:extent cx="5177155" cy="168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00"/>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2">
            <w:col w:w="3500" w:space="720"/>
            <w:col w:w="6740"/>
          </w:cols>
          <w:pgMar w:left="320" w:top="477" w:right="6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292735</wp:posOffset>
            </wp:positionV>
            <wp:extent cx="1210310" cy="12103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10310"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Independent</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Director Since: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2013</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Committees:</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Finance; Safety</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Key Skills and Experience:</w:t>
      </w:r>
    </w:p>
    <w:p>
      <w:pPr>
        <w:spacing w:after="0" w:line="135" w:lineRule="exact"/>
        <w:rPr>
          <w:sz w:val="20"/>
          <w:szCs w:val="20"/>
          <w:color w:val="auto"/>
        </w:rPr>
      </w:pPr>
    </w:p>
    <w:p>
      <w:pPr>
        <w:ind w:left="240"/>
        <w:spacing w:after="0"/>
        <w:rPr>
          <w:sz w:val="20"/>
          <w:szCs w:val="20"/>
          <w:color w:val="auto"/>
        </w:rPr>
      </w:pPr>
      <w:r>
        <w:rPr>
          <w:sz w:val="1"/>
          <w:szCs w:val="1"/>
          <w:color w:val="auto"/>
        </w:rPr>
        <w:drawing>
          <wp:inline distT="0" distB="0" distL="0" distR="0">
            <wp:extent cx="134620" cy="13462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4620" cy="134620"/>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26365" cy="13462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6365" cy="134620"/>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42875" cy="14287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42875" cy="16827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2875" cy="16827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34620" cy="14287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4620" cy="14287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34620" cy="10096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4620" cy="10096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68275" cy="15938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8275" cy="15938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3575B3"/>
        </w:rPr>
        <w:t>Mike Embler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-815340</wp:posOffset>
            </wp:positionV>
            <wp:extent cx="7177405" cy="54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7405" cy="54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43199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19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43199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9905"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17" w:lineRule="exact"/>
        <w:rPr>
          <w:sz w:val="20"/>
          <w:szCs w:val="20"/>
          <w:color w:val="auto"/>
        </w:rPr>
      </w:pPr>
    </w:p>
    <w:p>
      <w:pPr>
        <w:ind w:left="400" w:right="120" w:hanging="242"/>
        <w:spacing w:after="0" w:line="241"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 Chief Investment Officer of Franklin Mutual Advisers, LLC (“Franklin Mutual Advisers”), an</w:t>
      </w:r>
      <w:r>
        <w:rPr>
          <w:rFonts w:ascii="Arial" w:cs="Arial" w:eastAsia="Arial" w:hAnsi="Arial"/>
          <w:sz w:val="16"/>
          <w:szCs w:val="16"/>
          <w:color w:val="3575B3"/>
        </w:rPr>
        <w:t xml:space="preserve"> </w:t>
      </w:r>
      <w:r>
        <w:rPr>
          <w:rFonts w:ascii="Arial" w:cs="Arial" w:eastAsia="Arial" w:hAnsi="Arial"/>
          <w:sz w:val="16"/>
          <w:szCs w:val="16"/>
          <w:color w:val="435363"/>
        </w:rPr>
        <w:t>asset management company (2005-2009)</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 Head of Franklin Mutual Advisers’ Distressed Investment Group (2001-2005)</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 NMI Holdings, Inc., a mortgage insurance provider (2012-Present)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 Ventas, Inc., a healthcare REIT (2022- Present)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 Taubman Centers, Inc., a shopping mall REIT (2018-2020)</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 CIT Group Inc. (2009-2016)</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 Dynegy Inc. (2011-2012)</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 AboveNet Inc. (2003-2012)</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 Kindred Healthcare Inc. (2001-2008)</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17" w:lineRule="exact"/>
        <w:rPr>
          <w:sz w:val="20"/>
          <w:szCs w:val="20"/>
          <w:color w:val="auto"/>
        </w:rPr>
      </w:pPr>
    </w:p>
    <w:p>
      <w:pPr>
        <w:ind w:right="220"/>
        <w:spacing w:after="0" w:line="244" w:lineRule="auto"/>
        <w:rPr>
          <w:sz w:val="20"/>
          <w:szCs w:val="20"/>
          <w:color w:val="auto"/>
        </w:rPr>
      </w:pPr>
      <w:r>
        <w:rPr>
          <w:rFonts w:ascii="Arial" w:cs="Arial" w:eastAsia="Arial" w:hAnsi="Arial"/>
          <w:sz w:val="16"/>
          <w:szCs w:val="16"/>
          <w:color w:val="435363"/>
        </w:rPr>
        <w:t>Worked at Nomura Holding America Inc. for almost a decade in positions of increasing responsibility culminating in the position of Managing Director; former member of the board of trustees of The Mohonk Preserve; and holds certificates in Cyber Risk Oversight (National Association of Corporate Directors) and Environmental Conservation and Sustainability (Earth Institute Center for Environmental Sustainability).</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1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435363"/>
        </w:rPr>
        <w:t>Experience in finance, asset management and restructurings, capital markets and capital management, experience as a senior executive, perspective as an institutional investor, success as an investor and service as a director of global public and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-1254760</wp:posOffset>
            </wp:positionH>
            <wp:positionV relativeFrom="paragraph">
              <wp:posOffset>712470</wp:posOffset>
            </wp:positionV>
            <wp:extent cx="5177155" cy="168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9</w:t>
      </w:r>
    </w:p>
    <w:p>
      <w:pPr>
        <w:spacing w:after="0" w:line="244" w:lineRule="exact"/>
        <w:rPr>
          <w:sz w:val="20"/>
          <w:szCs w:val="20"/>
          <w:color w:val="auto"/>
        </w:rPr>
      </w:pPr>
    </w:p>
    <w:p>
      <w:pPr>
        <w:ind w:left="700"/>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2">
            <w:col w:w="3500" w:space="720"/>
            <w:col w:w="6800"/>
          </w:cols>
          <w:pgMar w:left="320" w:top="477" w:right="5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292735</wp:posOffset>
            </wp:positionV>
            <wp:extent cx="1210310" cy="12103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10310"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Independent</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Director Since: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2013</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Committees:</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Audit (Chair); Safety</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Key Skills and Experience:</w:t>
      </w:r>
    </w:p>
    <w:p>
      <w:pPr>
        <w:spacing w:after="0" w:line="95" w:lineRule="exact"/>
        <w:rPr>
          <w:sz w:val="20"/>
          <w:szCs w:val="20"/>
          <w:color w:val="auto"/>
        </w:rPr>
      </w:pPr>
    </w:p>
    <w:p>
      <w:pPr>
        <w:ind w:left="240" w:right="120"/>
        <w:spacing w:after="0" w:line="269" w:lineRule="auto"/>
        <w:rPr>
          <w:sz w:val="20"/>
          <w:szCs w:val="20"/>
          <w:color w:val="auto"/>
        </w:rPr>
      </w:pPr>
      <w:r>
        <w:rPr>
          <w:sz w:val="1"/>
          <w:szCs w:val="1"/>
          <w:color w:val="auto"/>
        </w:rPr>
        <w:drawing>
          <wp:inline distT="0" distB="0" distL="0" distR="0">
            <wp:extent cx="269240" cy="11747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9240" cy="117475"/>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34620" cy="13462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4620" cy="134620"/>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34620" cy="13462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4620" cy="134620"/>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26365" cy="13462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6365" cy="134620"/>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42875" cy="14287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34620" cy="14287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4620" cy="142875"/>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34620" cy="10096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4620" cy="100965"/>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42875" cy="16827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2875" cy="168275"/>
                    </a:xfrm>
                    <a:prstGeom prst="rect">
                      <a:avLst/>
                    </a:prstGeom>
                    <a:noFill/>
                    <a:ln>
                      <a:noFill/>
                    </a:ln>
                  </pic:spPr>
                </pic:pic>
              </a:graphicData>
            </a:graphic>
          </wp:inline>
        </w:drawing>
      </w:r>
      <w:r>
        <w:rPr>
          <w:rFonts w:ascii="Arial" w:cs="Arial" w:eastAsia="Arial" w:hAnsi="Arial"/>
          <w:sz w:val="21"/>
          <w:szCs w:val="2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3575B3"/>
        </w:rPr>
        <w:t>Matt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-815340</wp:posOffset>
            </wp:positionV>
            <wp:extent cx="7177405" cy="546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7405" cy="54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43199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9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43199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9905"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17" w:lineRule="exact"/>
        <w:rPr>
          <w:sz w:val="20"/>
          <w:szCs w:val="20"/>
          <w:color w:val="auto"/>
        </w:rPr>
      </w:pPr>
    </w:p>
    <w:p>
      <w:pPr>
        <w:ind w:left="400" w:right="500" w:hanging="242"/>
        <w:spacing w:after="0" w:line="241"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 President and Chief Operating Officer of Hilton Hotels Corporation (“Hilton”), a hotel</w:t>
      </w:r>
      <w:r>
        <w:rPr>
          <w:rFonts w:ascii="Arial" w:cs="Arial" w:eastAsia="Arial" w:hAnsi="Arial"/>
          <w:sz w:val="16"/>
          <w:szCs w:val="16"/>
          <w:color w:val="3575B3"/>
        </w:rPr>
        <w:t xml:space="preserve"> </w:t>
      </w:r>
      <w:r>
        <w:rPr>
          <w:rFonts w:ascii="Arial" w:cs="Arial" w:eastAsia="Arial" w:hAnsi="Arial"/>
          <w:sz w:val="16"/>
          <w:szCs w:val="16"/>
          <w:color w:val="435363"/>
        </w:rPr>
        <w:t>developer and operator, until its acquisition by a private equity firm (2004-2007)</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 Executive Vice President and Chief Financial Officer of Hilton (1996-2004)</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 AMH (formerly American Homes 4 Rent), a REIT (2012-Present)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 Air Lease Corporation, an aircraft leasing company (2010-Present)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 B. Riley Financial, Inc. (2009-2015)</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 US Airways Group, Inc. (2006-2013)</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 Kilroy Realty Corporation (1997-2008)</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 America West Holdings Corporation (2004-2005)</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17" w:lineRule="exact"/>
        <w:rPr>
          <w:sz w:val="20"/>
          <w:szCs w:val="20"/>
          <w:color w:val="auto"/>
        </w:rPr>
      </w:pPr>
    </w:p>
    <w:p>
      <w:pPr>
        <w:spacing w:after="0" w:line="245" w:lineRule="auto"/>
        <w:rPr>
          <w:sz w:val="20"/>
          <w:szCs w:val="20"/>
          <w:color w:val="auto"/>
        </w:rPr>
      </w:pPr>
      <w:r>
        <w:rPr>
          <w:rFonts w:ascii="Arial" w:cs="Arial" w:eastAsia="Arial" w:hAnsi="Arial"/>
          <w:sz w:val="16"/>
          <w:szCs w:val="16"/>
          <w:color w:val="435363"/>
        </w:rPr>
        <w:t>Former Senior Vice President and Treasurer of The Walt Disney Company; former Executive Vice President and Chief Financial Officer of Host Marriott Corp.; member of the Advisory Board of INTELITY, Inc.; and member of the board of directors of Heal the Bay and Conrad N. Hilton Foundation.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17"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color w:val="435363"/>
        </w:rPr>
        <w:t>Financial expertise, risk management experience, extensive experience as a senior operating and finance executive for large global public companies, including companies in the consumer travel industry, investment and mergers and acquisitions experience, service as a public company director and airline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1076325</wp:posOffset>
            </wp:positionV>
            <wp:extent cx="5177155" cy="168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00"/>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2">
            <w:col w:w="3500" w:space="720"/>
            <w:col w:w="6740"/>
          </w:cols>
          <w:pgMar w:left="320" w:top="477" w:right="6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200660</wp:posOffset>
            </wp:positionV>
            <wp:extent cx="1210310" cy="12103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10310"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Chief Executive Officer</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Director Since: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2022</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Key Skills and Experience:</w:t>
      </w:r>
    </w:p>
    <w:p>
      <w:pPr>
        <w:spacing w:after="0" w:line="214" w:lineRule="exact"/>
        <w:rPr>
          <w:sz w:val="20"/>
          <w:szCs w:val="20"/>
          <w:color w:val="auto"/>
        </w:rPr>
      </w:pPr>
    </w:p>
    <w:p>
      <w:pPr>
        <w:ind w:left="220" w:firstLine="7"/>
        <w:spacing w:after="0" w:line="273" w:lineRule="auto"/>
        <w:rPr>
          <w:sz w:val="20"/>
          <w:szCs w:val="20"/>
          <w:color w:val="auto"/>
        </w:rPr>
      </w:pPr>
      <w:r>
        <w:rPr>
          <w:sz w:val="1"/>
          <w:szCs w:val="1"/>
          <w:color w:val="auto"/>
        </w:rPr>
        <w:drawing>
          <wp:inline distT="0" distB="0" distL="0" distR="0">
            <wp:extent cx="269240" cy="11747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9240" cy="117475"/>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34620" cy="13462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4620" cy="134620"/>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34620" cy="13462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4620" cy="134620"/>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26365" cy="13462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6365" cy="134620"/>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42875" cy="14287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42875" cy="16827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2875" cy="168275"/>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34620" cy="10096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4620" cy="100965"/>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51130" cy="15113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51130" cy="151130"/>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26365" cy="15113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6365" cy="151130"/>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34620" cy="14287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4620" cy="14287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1539875</wp:posOffset>
            </wp:positionV>
            <wp:extent cx="1210310" cy="12103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10310"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Independent</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Director Since: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2015</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Committees:</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CGPR; Safety</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Key Skills and Experience:</w:t>
      </w:r>
    </w:p>
    <w:p>
      <w:pPr>
        <w:spacing w:after="0" w:line="214" w:lineRule="exact"/>
        <w:rPr>
          <w:sz w:val="20"/>
          <w:szCs w:val="20"/>
          <w:color w:val="auto"/>
        </w:rPr>
      </w:pPr>
    </w:p>
    <w:p>
      <w:pPr>
        <w:ind w:left="240"/>
        <w:spacing w:after="0"/>
        <w:rPr>
          <w:sz w:val="20"/>
          <w:szCs w:val="20"/>
          <w:color w:val="auto"/>
        </w:rPr>
      </w:pPr>
      <w:r>
        <w:rPr>
          <w:sz w:val="1"/>
          <w:szCs w:val="1"/>
          <w:color w:val="auto"/>
        </w:rPr>
        <w:drawing>
          <wp:inline distT="0" distB="0" distL="0" distR="0">
            <wp:extent cx="151130" cy="15113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1130" cy="151130"/>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34620" cy="13462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4620" cy="134620"/>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269240" cy="11747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9240" cy="117475"/>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26365" cy="13462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6365" cy="134620"/>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42875" cy="14287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34620" cy="13462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4620" cy="134620"/>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34620" cy="10096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4620" cy="10096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1"/>
          <w:szCs w:val="21"/>
          <w:b w:val="1"/>
          <w:bCs w:val="1"/>
          <w:color w:val="3575B3"/>
        </w:rPr>
        <w:t>Robert Isom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-2827655</wp:posOffset>
            </wp:positionH>
            <wp:positionV relativeFrom="paragraph">
              <wp:posOffset>-723265</wp:posOffset>
            </wp:positionV>
            <wp:extent cx="7177405" cy="546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7405" cy="546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41852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1852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15875</wp:posOffset>
            </wp:positionV>
            <wp:extent cx="41852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185285"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 Chief Executive Officer of AAG and American (2022-Present)</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 President of AAG and American (2016-Present)</w:t>
      </w:r>
    </w:p>
    <w:p>
      <w:pPr>
        <w:spacing w:after="0" w:line="1" w:lineRule="exact"/>
        <w:rPr>
          <w:sz w:val="20"/>
          <w:szCs w:val="20"/>
          <w:color w:val="auto"/>
        </w:rPr>
      </w:pPr>
    </w:p>
    <w:p>
      <w:pPr>
        <w:ind w:left="400" w:right="400" w:hanging="242"/>
        <w:spacing w:after="0" w:line="241"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 Executive Vice President and Chief Operating Officer of AAG and American (2013-2016)</w:t>
      </w:r>
    </w:p>
    <w:p>
      <w:pPr>
        <w:spacing w:after="0" w:line="1" w:lineRule="exact"/>
        <w:rPr>
          <w:sz w:val="20"/>
          <w:szCs w:val="20"/>
          <w:color w:val="auto"/>
        </w:rPr>
      </w:pPr>
    </w:p>
    <w:p>
      <w:pPr>
        <w:ind w:left="400" w:right="40" w:hanging="242"/>
        <w:spacing w:after="0" w:line="254"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 Executive Vice President and Chief Operating Officer of US Airways Group, Inc. and US</w:t>
      </w:r>
      <w:r>
        <w:rPr>
          <w:rFonts w:ascii="Arial" w:cs="Arial" w:eastAsia="Arial" w:hAnsi="Arial"/>
          <w:sz w:val="16"/>
          <w:szCs w:val="16"/>
          <w:color w:val="3575B3"/>
        </w:rPr>
        <w:t xml:space="preserve"> </w:t>
      </w:r>
      <w:r>
        <w:rPr>
          <w:rFonts w:ascii="Arial" w:cs="Arial" w:eastAsia="Arial" w:hAnsi="Arial"/>
          <w:sz w:val="16"/>
          <w:szCs w:val="16"/>
          <w:color w:val="435363"/>
        </w:rPr>
        <w:t>Airways, Inc. (2007-2013)</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 AAG (2022-Present)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 Pinnacle Airlines Corporation (2003-2005)</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17"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435363"/>
        </w:rPr>
        <w:t xml:space="preserve">Prior to joining US Airways, Mr. Isom held senior executive finance, commercial, operations, strategy and international roles at GMAC, LLC, Northwest Airlines and America West Airlines. He started his career at The Procter &amp; Gamble Company. Mr. Isom serves as a board member of Airlines for America and as a member of the </w:t>
      </w:r>
      <w:r>
        <w:rPr>
          <w:rFonts w:ascii="Arial" w:cs="Arial" w:eastAsia="Arial" w:hAnsi="Arial"/>
          <w:sz w:val="16"/>
          <w:szCs w:val="16"/>
          <w:b w:val="1"/>
          <w:bCs w:val="1"/>
          <w:color w:val="435363"/>
        </w:rPr>
        <w:t>one</w:t>
      </w:r>
      <w:r>
        <w:rPr>
          <w:rFonts w:ascii="Arial" w:cs="Arial" w:eastAsia="Arial" w:hAnsi="Arial"/>
          <w:sz w:val="16"/>
          <w:szCs w:val="16"/>
          <w:color w:val="435363"/>
        </w:rPr>
        <w:t>world Governing Board, as well as a member of the Fort Worth Economic Development Partnership Board and the Civic Committee of the Commercial Club of Chicago.</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1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435363"/>
        </w:rPr>
        <w:t>Financial, airline, marketing, human resources and labor relations experience, as well as nearly 30 years of experience in the airline industry; over 20 years of experience as an airline senior executive; and safety, sustainability and risk management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829945</wp:posOffset>
            </wp:positionV>
            <wp:extent cx="41852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185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b w:val="1"/>
          <w:bCs w:val="1"/>
          <w:color w:val="3575B3"/>
        </w:rPr>
        <w:t>Sue Kronick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41852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185285"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17" w:lineRule="exact"/>
        <w:rPr>
          <w:sz w:val="20"/>
          <w:szCs w:val="20"/>
          <w:color w:val="auto"/>
        </w:rPr>
      </w:pPr>
    </w:p>
    <w:p>
      <w:pPr>
        <w:ind w:left="400" w:right="160" w:hanging="242"/>
        <w:spacing w:after="0" w:line="241"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 Operating Partner at Marvin Traub Associates, a New York based retail consulting firm</w:t>
      </w:r>
      <w:r>
        <w:rPr>
          <w:rFonts w:ascii="Arial" w:cs="Arial" w:eastAsia="Arial" w:hAnsi="Arial"/>
          <w:sz w:val="16"/>
          <w:szCs w:val="16"/>
          <w:color w:val="3575B3"/>
        </w:rPr>
        <w:t xml:space="preserve"> </w:t>
      </w:r>
      <w:r>
        <w:rPr>
          <w:rFonts w:ascii="Arial" w:cs="Arial" w:eastAsia="Arial" w:hAnsi="Arial"/>
          <w:sz w:val="16"/>
          <w:szCs w:val="16"/>
          <w:color w:val="435363"/>
        </w:rPr>
        <w:t>(2012-2022)</w:t>
      </w:r>
    </w:p>
    <w:p>
      <w:pPr>
        <w:spacing w:after="0" w:line="1" w:lineRule="exact"/>
        <w:rPr>
          <w:sz w:val="20"/>
          <w:szCs w:val="20"/>
          <w:color w:val="auto"/>
        </w:rPr>
      </w:pPr>
    </w:p>
    <w:p>
      <w:pPr>
        <w:ind w:left="400" w:right="360" w:hanging="242"/>
        <w:spacing w:after="0" w:line="241"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 Vice Chairman of Macy’s, Inc. (“Macy’s”), owner of Macy’s and Bloomingdales retail</w:t>
      </w:r>
      <w:r>
        <w:rPr>
          <w:rFonts w:ascii="Arial" w:cs="Arial" w:eastAsia="Arial" w:hAnsi="Arial"/>
          <w:sz w:val="16"/>
          <w:szCs w:val="16"/>
          <w:color w:val="3575B3"/>
        </w:rPr>
        <w:t xml:space="preserve"> </w:t>
      </w:r>
      <w:r>
        <w:rPr>
          <w:rFonts w:ascii="Arial" w:cs="Arial" w:eastAsia="Arial" w:hAnsi="Arial"/>
          <w:sz w:val="16"/>
          <w:szCs w:val="16"/>
          <w:color w:val="435363"/>
        </w:rPr>
        <w:t>department stores (2003-2010)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 Group President, Regional Department Stores of Macy’s (2001-2003)</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 Chairman and Chief Executive Officer of Burdines/Macy’s Florida (1997-2001)</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 Hyatt Hotels Corporation, a hospitality company (2009-Present)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 The Pepsi Bottling Group, Inc. (1999-2010)</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17" w:lineRule="exact"/>
        <w:rPr>
          <w:sz w:val="20"/>
          <w:szCs w:val="20"/>
          <w:color w:val="auto"/>
        </w:rPr>
      </w:pPr>
    </w:p>
    <w:p>
      <w:pPr>
        <w:ind w:right="360"/>
        <w:spacing w:after="0" w:line="254" w:lineRule="auto"/>
        <w:rPr>
          <w:sz w:val="20"/>
          <w:szCs w:val="20"/>
          <w:color w:val="auto"/>
        </w:rPr>
      </w:pPr>
      <w:r>
        <w:rPr>
          <w:rFonts w:ascii="Arial" w:cs="Arial" w:eastAsia="Arial" w:hAnsi="Arial"/>
          <w:sz w:val="16"/>
          <w:szCs w:val="16"/>
          <w:color w:val="435363"/>
        </w:rPr>
        <w:t>Member of the board of directors of the John S. and James L. Knight Foundation and the Miami City Ballet.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17" w:lineRule="exact"/>
        <w:rPr>
          <w:sz w:val="20"/>
          <w:szCs w:val="20"/>
          <w:color w:val="auto"/>
        </w:rPr>
      </w:pPr>
    </w:p>
    <w:p>
      <w:pPr>
        <w:ind w:right="360"/>
        <w:spacing w:after="0" w:line="248" w:lineRule="auto"/>
        <w:rPr>
          <w:sz w:val="20"/>
          <w:szCs w:val="20"/>
          <w:color w:val="auto"/>
        </w:rPr>
      </w:pPr>
      <w:r>
        <w:rPr>
          <w:rFonts w:ascii="Arial" w:cs="Arial" w:eastAsia="Arial" w:hAnsi="Arial"/>
          <w:sz w:val="16"/>
          <w:szCs w:val="16"/>
          <w:color w:val="435363"/>
        </w:rPr>
        <w:t>Financial, marketing and operational expertise, as well as experience serving as a global public company director and building industry leading brands as a result of the various executive management positions held with Macy’s.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115570</wp:posOffset>
            </wp:positionV>
            <wp:extent cx="5177155" cy="168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11</w:t>
      </w:r>
    </w:p>
    <w:p>
      <w:pPr>
        <w:spacing w:after="0" w:line="244" w:lineRule="exact"/>
        <w:rPr>
          <w:sz w:val="20"/>
          <w:szCs w:val="20"/>
          <w:color w:val="auto"/>
        </w:rPr>
      </w:pPr>
    </w:p>
    <w:p>
      <w:pPr>
        <w:ind w:left="480"/>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2">
            <w:col w:w="3740" w:space="700"/>
            <w:col w:w="6580"/>
          </w:cols>
          <w:pgMar w:left="320" w:top="477" w:right="5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292735</wp:posOffset>
            </wp:positionV>
            <wp:extent cx="1210310" cy="12103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10310"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Independent</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Director Since: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2015</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Committees:</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Audit; CGPR (Chair)</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Key Skills and Experience:</w:t>
      </w:r>
    </w:p>
    <w:p>
      <w:pPr>
        <w:spacing w:after="0" w:line="174" w:lineRule="exact"/>
        <w:rPr>
          <w:sz w:val="20"/>
          <w:szCs w:val="20"/>
          <w:color w:val="auto"/>
        </w:rPr>
      </w:pPr>
    </w:p>
    <w:p>
      <w:pPr>
        <w:ind w:left="240"/>
        <w:spacing w:after="0"/>
        <w:rPr>
          <w:sz w:val="20"/>
          <w:szCs w:val="20"/>
          <w:color w:val="auto"/>
        </w:rPr>
      </w:pPr>
      <w:r>
        <w:rPr>
          <w:sz w:val="1"/>
          <w:szCs w:val="1"/>
          <w:color w:val="auto"/>
        </w:rPr>
        <w:drawing>
          <wp:inline distT="0" distB="0" distL="0" distR="0">
            <wp:extent cx="168275" cy="15938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8275" cy="15938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34620" cy="13462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4620" cy="134620"/>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26365" cy="13462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6365" cy="134620"/>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42875" cy="14287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42875" cy="16827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2875" cy="16827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34620" cy="10096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4620" cy="10096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269240" cy="11747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9240" cy="11747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726440</wp:posOffset>
            </wp:positionV>
            <wp:extent cx="1210310" cy="12103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10310"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Independent</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Director Since: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2013</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Committees:</w:t>
      </w:r>
    </w:p>
    <w:p>
      <w:pPr>
        <w:spacing w:after="0" w:line="17" w:lineRule="exact"/>
        <w:rPr>
          <w:sz w:val="20"/>
          <w:szCs w:val="20"/>
          <w:color w:val="auto"/>
        </w:rPr>
      </w:pPr>
    </w:p>
    <w:p>
      <w:pPr>
        <w:ind w:left="220" w:right="1060"/>
        <w:spacing w:after="0" w:line="408" w:lineRule="auto"/>
        <w:rPr>
          <w:sz w:val="20"/>
          <w:szCs w:val="20"/>
          <w:color w:val="auto"/>
        </w:rPr>
      </w:pPr>
      <w:r>
        <w:rPr>
          <w:rFonts w:ascii="Arial" w:cs="Arial" w:eastAsia="Arial" w:hAnsi="Arial"/>
          <w:sz w:val="15"/>
          <w:szCs w:val="15"/>
          <w:color w:val="435363"/>
        </w:rPr>
        <w:t xml:space="preserve">Compensation (Chair); Finance </w:t>
      </w:r>
      <w:r>
        <w:rPr>
          <w:rFonts w:ascii="Arial" w:cs="Arial" w:eastAsia="Arial" w:hAnsi="Arial"/>
          <w:sz w:val="15"/>
          <w:szCs w:val="15"/>
          <w:b w:val="1"/>
          <w:bCs w:val="1"/>
          <w:color w:val="435363"/>
        </w:rPr>
        <w:t>Key Skills and Experience:</w:t>
      </w:r>
    </w:p>
    <w:p>
      <w:pPr>
        <w:spacing w:after="0" w:line="60" w:lineRule="exact"/>
        <w:rPr>
          <w:sz w:val="20"/>
          <w:szCs w:val="20"/>
          <w:color w:val="auto"/>
        </w:rPr>
      </w:pPr>
    </w:p>
    <w:p>
      <w:pPr>
        <w:ind w:left="240"/>
        <w:spacing w:after="0"/>
        <w:rPr>
          <w:sz w:val="20"/>
          <w:szCs w:val="20"/>
          <w:color w:val="auto"/>
        </w:rPr>
      </w:pPr>
      <w:r>
        <w:rPr>
          <w:sz w:val="1"/>
          <w:szCs w:val="1"/>
          <w:color w:val="auto"/>
        </w:rPr>
        <w:drawing>
          <wp:inline distT="0" distB="0" distL="0" distR="0">
            <wp:extent cx="142875" cy="16827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2875" cy="168275"/>
                    </a:xfrm>
                    <a:prstGeom prst="rect">
                      <a:avLst/>
                    </a:prstGeom>
                    <a:noFill/>
                    <a:ln>
                      <a:noFill/>
                    </a:ln>
                  </pic:spPr>
                </pic:pic>
              </a:graphicData>
            </a:graphic>
          </wp:inline>
        </w:drawing>
      </w:r>
      <w:r>
        <w:rPr>
          <w:rFonts w:ascii="Arial" w:cs="Arial" w:eastAsia="Arial" w:hAnsi="Arial"/>
          <w:sz w:val="17"/>
          <w:szCs w:val="17"/>
          <w:color w:val="auto"/>
        </w:rPr>
        <w:t xml:space="preserve">   </w:t>
      </w:r>
      <w:r>
        <w:rPr>
          <w:sz w:val="1"/>
          <w:szCs w:val="1"/>
          <w:color w:val="auto"/>
        </w:rPr>
        <w:drawing>
          <wp:inline distT="0" distB="0" distL="0" distR="0">
            <wp:extent cx="134620" cy="13462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4620" cy="134620"/>
                    </a:xfrm>
                    <a:prstGeom prst="rect">
                      <a:avLst/>
                    </a:prstGeom>
                    <a:noFill/>
                    <a:ln>
                      <a:noFill/>
                    </a:ln>
                  </pic:spPr>
                </pic:pic>
              </a:graphicData>
            </a:graphic>
          </wp:inline>
        </w:drawing>
      </w:r>
      <w:r>
        <w:rPr>
          <w:rFonts w:ascii="Arial" w:cs="Arial" w:eastAsia="Arial" w:hAnsi="Arial"/>
          <w:sz w:val="17"/>
          <w:szCs w:val="17"/>
          <w:color w:val="auto"/>
        </w:rPr>
        <w:t xml:space="preserve">   </w:t>
      </w:r>
      <w:r>
        <w:rPr>
          <w:sz w:val="1"/>
          <w:szCs w:val="1"/>
          <w:color w:val="auto"/>
        </w:rPr>
        <w:drawing>
          <wp:inline distT="0" distB="0" distL="0" distR="0">
            <wp:extent cx="126365" cy="13462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6365" cy="134620"/>
                    </a:xfrm>
                    <a:prstGeom prst="rect">
                      <a:avLst/>
                    </a:prstGeom>
                    <a:noFill/>
                    <a:ln>
                      <a:noFill/>
                    </a:ln>
                  </pic:spPr>
                </pic:pic>
              </a:graphicData>
            </a:graphic>
          </wp:inline>
        </w:drawing>
      </w:r>
      <w:r>
        <w:rPr>
          <w:rFonts w:ascii="Arial" w:cs="Arial" w:eastAsia="Arial" w:hAnsi="Arial"/>
          <w:sz w:val="17"/>
          <w:szCs w:val="17"/>
          <w:color w:val="auto"/>
        </w:rPr>
        <w:t xml:space="preserve">   </w:t>
      </w:r>
      <w:r>
        <w:rPr>
          <w:sz w:val="1"/>
          <w:szCs w:val="1"/>
          <w:color w:val="auto"/>
        </w:rPr>
        <w:drawing>
          <wp:inline distT="0" distB="0" distL="0" distR="0">
            <wp:extent cx="151130" cy="15113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1130" cy="151130"/>
                    </a:xfrm>
                    <a:prstGeom prst="rect">
                      <a:avLst/>
                    </a:prstGeom>
                    <a:noFill/>
                    <a:ln>
                      <a:noFill/>
                    </a:ln>
                  </pic:spPr>
                </pic:pic>
              </a:graphicData>
            </a:graphic>
          </wp:inline>
        </w:drawing>
      </w:r>
      <w:r>
        <w:rPr>
          <w:rFonts w:ascii="Arial" w:cs="Arial" w:eastAsia="Arial" w:hAnsi="Arial"/>
          <w:sz w:val="17"/>
          <w:szCs w:val="17"/>
          <w:color w:val="auto"/>
        </w:rPr>
        <w:t xml:space="preserve">   </w:t>
      </w:r>
      <w:r>
        <w:rPr>
          <w:sz w:val="1"/>
          <w:szCs w:val="1"/>
          <w:color w:val="auto"/>
        </w:rPr>
        <w:drawing>
          <wp:inline distT="0" distB="0" distL="0" distR="0">
            <wp:extent cx="134620" cy="10096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4620" cy="100965"/>
                    </a:xfrm>
                    <a:prstGeom prst="rect">
                      <a:avLst/>
                    </a:prstGeom>
                    <a:noFill/>
                    <a:ln>
                      <a:noFill/>
                    </a:ln>
                  </pic:spPr>
                </pic:pic>
              </a:graphicData>
            </a:graphic>
          </wp:inline>
        </w:drawing>
      </w:r>
      <w:r>
        <w:rPr>
          <w:rFonts w:ascii="Arial" w:cs="Arial" w:eastAsia="Arial" w:hAnsi="Arial"/>
          <w:sz w:val="17"/>
          <w:szCs w:val="17"/>
          <w:color w:val="auto"/>
        </w:rPr>
        <w:t xml:space="preserve">   </w:t>
      </w:r>
      <w:r>
        <w:rPr>
          <w:sz w:val="1"/>
          <w:szCs w:val="1"/>
          <w:color w:val="auto"/>
        </w:rPr>
        <w:drawing>
          <wp:inline distT="0" distB="0" distL="0" distR="0">
            <wp:extent cx="134620" cy="14287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4620" cy="142875"/>
                    </a:xfrm>
                    <a:prstGeom prst="rect">
                      <a:avLst/>
                    </a:prstGeom>
                    <a:noFill/>
                    <a:ln>
                      <a:noFill/>
                    </a:ln>
                  </pic:spPr>
                </pic:pic>
              </a:graphicData>
            </a:graphic>
          </wp:inline>
        </w:drawing>
      </w:r>
      <w:r>
        <w:rPr>
          <w:rFonts w:ascii="Arial" w:cs="Arial" w:eastAsia="Arial" w:hAnsi="Arial"/>
          <w:sz w:val="17"/>
          <w:szCs w:val="17"/>
          <w:color w:val="auto"/>
        </w:rPr>
        <w:t xml:space="preserve">   </w:t>
      </w:r>
      <w:r>
        <w:rPr>
          <w:sz w:val="1"/>
          <w:szCs w:val="1"/>
          <w:color w:val="auto"/>
        </w:rPr>
        <w:drawing>
          <wp:inline distT="0" distB="0" distL="0" distR="0">
            <wp:extent cx="168275" cy="15938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68275" cy="159385"/>
                    </a:xfrm>
                    <a:prstGeom prst="rect">
                      <a:avLst/>
                    </a:prstGeom>
                    <a:noFill/>
                    <a:ln>
                      <a:noFill/>
                    </a:ln>
                  </pic:spPr>
                </pic:pic>
              </a:graphicData>
            </a:graphic>
          </wp:inline>
        </w:drawing>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10795</wp:posOffset>
            </wp:positionV>
            <wp:extent cx="269240" cy="1174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9240" cy="11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3575B3"/>
        </w:rPr>
        <w:t>Marty Nesbitt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-815340</wp:posOffset>
            </wp:positionV>
            <wp:extent cx="7177405" cy="546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7405" cy="54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43199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9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43199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9905"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17" w:lineRule="exact"/>
        <w:rPr>
          <w:sz w:val="20"/>
          <w:szCs w:val="20"/>
          <w:color w:val="auto"/>
        </w:rPr>
      </w:pPr>
    </w:p>
    <w:p>
      <w:pPr>
        <w:ind w:left="400" w:right="400" w:hanging="242"/>
        <w:spacing w:after="0" w:line="241"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 Co-Chief Executive Officer of The Vistria Group, LLC, a private-equity investment firm</w:t>
      </w:r>
      <w:r>
        <w:rPr>
          <w:rFonts w:ascii="Arial" w:cs="Arial" w:eastAsia="Arial" w:hAnsi="Arial"/>
          <w:sz w:val="16"/>
          <w:szCs w:val="16"/>
          <w:color w:val="3575B3"/>
        </w:rPr>
        <w:t xml:space="preserve"> </w:t>
      </w:r>
      <w:r>
        <w:rPr>
          <w:rFonts w:ascii="Arial" w:cs="Arial" w:eastAsia="Arial" w:hAnsi="Arial"/>
          <w:sz w:val="16"/>
          <w:szCs w:val="16"/>
          <w:color w:val="435363"/>
        </w:rPr>
        <w:t>(2013-Present)</w:t>
      </w:r>
    </w:p>
    <w:p>
      <w:pPr>
        <w:spacing w:after="0" w:line="1" w:lineRule="exact"/>
        <w:rPr>
          <w:sz w:val="20"/>
          <w:szCs w:val="20"/>
          <w:color w:val="auto"/>
        </w:rPr>
      </w:pPr>
    </w:p>
    <w:p>
      <w:pPr>
        <w:ind w:left="400" w:right="100" w:hanging="242"/>
        <w:spacing w:after="0" w:line="254"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 President and Chief Executive Officer of PRG Parking Management (PRG), an owner and</w:t>
      </w:r>
      <w:r>
        <w:rPr>
          <w:rFonts w:ascii="Arial" w:cs="Arial" w:eastAsia="Arial" w:hAnsi="Arial"/>
          <w:sz w:val="16"/>
          <w:szCs w:val="16"/>
          <w:color w:val="3575B3"/>
        </w:rPr>
        <w:t xml:space="preserve"> </w:t>
      </w:r>
      <w:r>
        <w:rPr>
          <w:rFonts w:ascii="Arial" w:cs="Arial" w:eastAsia="Arial" w:hAnsi="Arial"/>
          <w:sz w:val="16"/>
          <w:szCs w:val="16"/>
          <w:color w:val="435363"/>
        </w:rPr>
        <w:t>operator of off-airport parking facilities (1996-2012)</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 Chewy, Inc., an online retailer for pet needs (2020-Present)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 Center Point Energy, Inc., a public utility company (2018-Present)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 Jones Lang LaSalle Incorporated, a public commercial real estate company (2011-2021)</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 Pebblebrook Hotel Trust (2009-2010)</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 Norfolk Southern Corporation (2013-2018)</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17" w:lineRule="exact"/>
        <w:rPr>
          <w:sz w:val="20"/>
          <w:szCs w:val="20"/>
          <w:color w:val="auto"/>
        </w:rPr>
      </w:pPr>
    </w:p>
    <w:p>
      <w:pPr>
        <w:spacing w:after="0" w:line="245" w:lineRule="auto"/>
        <w:rPr>
          <w:sz w:val="20"/>
          <w:szCs w:val="20"/>
          <w:color w:val="auto"/>
        </w:rPr>
      </w:pPr>
      <w:r>
        <w:rPr>
          <w:rFonts w:ascii="Arial" w:cs="Arial" w:eastAsia="Arial" w:hAnsi="Arial"/>
          <w:sz w:val="16"/>
          <w:szCs w:val="16"/>
          <w:color w:val="435363"/>
        </w:rPr>
        <w:t>Former member of the board of directors of PRG; former officer of the Pritzker Realty Group, L.P.; former Vice President and Investment Manager at LaSalle Partners, one of the predecessor corporations of Jones Lang LaSalle Incorporated; Trustee of Chicago’s Museum of Contemporary Art; and Chairman of the Barack Obama Foundation.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17"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435363"/>
        </w:rPr>
        <w:t>Executive leadership, operational, financial and investment experience, as well as global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280670</wp:posOffset>
            </wp:positionV>
            <wp:extent cx="42525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5259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3575B3"/>
        </w:rPr>
        <w:t>Denise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15875</wp:posOffset>
            </wp:positionV>
            <wp:extent cx="42525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52595" cy="8255"/>
                    </a:xfrm>
                    <a:prstGeom prst="rect">
                      <a:avLst/>
                    </a:prstGeom>
                    <a:noFill/>
                  </pic:spPr>
                </pic:pic>
              </a:graphicData>
            </a:graphic>
          </wp:anchor>
        </w:drawing>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435363"/>
        </w:rPr>
        <w:t>Select Business Experience:</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 Private venture capital investor (1997-Present)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 Partner (1987-1996) and associate (1983-1987) at Menlo Ventures, a venture capital firm</w:t>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 Medtronic plc, a medical technology company (2000-Present)</w:t>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435363"/>
        </w:rPr>
        <w:t>Past Public Company Directorships:</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 Calpine Corporation (2009-2018)</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 US Airways Group, Inc. (2005-2013)</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 Chiron Corporation (2002-2006)</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 America West Holdings Corporation (1998-2005)</w:t>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17" w:lineRule="exact"/>
        <w:rPr>
          <w:sz w:val="20"/>
          <w:szCs w:val="20"/>
          <w:color w:val="auto"/>
        </w:rPr>
      </w:pPr>
    </w:p>
    <w:p>
      <w:pPr>
        <w:ind w:left="100" w:right="120"/>
        <w:spacing w:after="0" w:line="244" w:lineRule="auto"/>
        <w:rPr>
          <w:sz w:val="20"/>
          <w:szCs w:val="20"/>
          <w:color w:val="auto"/>
        </w:rPr>
      </w:pPr>
      <w:r>
        <w:rPr>
          <w:rFonts w:ascii="Arial" w:cs="Arial" w:eastAsia="Arial" w:hAnsi="Arial"/>
          <w:sz w:val="16"/>
          <w:szCs w:val="16"/>
          <w:color w:val="435363"/>
        </w:rPr>
        <w:t>Chair Emerita of the board of trustees of the University of Denver; member of the Board of Regents of the Smithsonian Institution; and former member of the boards of directors of the following private entities: International Environmental Standards, Galvanize, Inc., the Bonfils-Stanton Foundation, Lucile Packard Children’s Hospital, Stanford Hospital &amp; Clinics, Smithsonian National Board, the Denver Foundation, the Corporation for Supportive Housing, Connect for Health Colorado and the University of Colorado Hospital Authority.</w:t>
      </w:r>
    </w:p>
    <w:p>
      <w:pPr>
        <w:spacing w:after="0" w:line="9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17" w:lineRule="exact"/>
        <w:rPr>
          <w:sz w:val="20"/>
          <w:szCs w:val="20"/>
          <w:color w:val="auto"/>
        </w:rPr>
      </w:pPr>
    </w:p>
    <w:p>
      <w:pPr>
        <w:jc w:val="both"/>
        <w:ind w:left="100" w:right="160"/>
        <w:spacing w:after="0" w:line="248" w:lineRule="auto"/>
        <w:rPr>
          <w:sz w:val="20"/>
          <w:szCs w:val="20"/>
          <w:color w:val="auto"/>
        </w:rPr>
      </w:pPr>
      <w:r>
        <w:rPr>
          <w:rFonts w:ascii="Arial" w:cs="Arial" w:eastAsia="Arial" w:hAnsi="Arial"/>
          <w:sz w:val="16"/>
          <w:szCs w:val="16"/>
          <w:color w:val="435363"/>
        </w:rPr>
        <w:t>Executive leadership experience in the investment industry, financial expertise, experience in the oversight of risk management, human resources expertise, extensive service as a global public company director, success as an investor and airline industry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342900</wp:posOffset>
            </wp:positionV>
            <wp:extent cx="5177155" cy="168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00"/>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2">
            <w:col w:w="3500" w:space="720"/>
            <w:col w:w="6780"/>
          </w:cols>
          <w:pgMar w:left="320" w:top="477" w:right="5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292735</wp:posOffset>
            </wp:positionV>
            <wp:extent cx="1210310" cy="12103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10310"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Independent</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Director Since: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2022</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Committees:</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Compensation; CGPR</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Key Skills and Experience:</w:t>
      </w:r>
    </w:p>
    <w:p>
      <w:pPr>
        <w:spacing w:after="0" w:line="174" w:lineRule="exact"/>
        <w:rPr>
          <w:sz w:val="20"/>
          <w:szCs w:val="20"/>
          <w:color w:val="auto"/>
        </w:rPr>
      </w:pPr>
    </w:p>
    <w:p>
      <w:pPr>
        <w:ind w:left="240"/>
        <w:spacing w:after="0"/>
        <w:rPr>
          <w:sz w:val="20"/>
          <w:szCs w:val="20"/>
          <w:color w:val="auto"/>
        </w:rPr>
      </w:pPr>
      <w:r>
        <w:rPr>
          <w:sz w:val="1"/>
          <w:szCs w:val="1"/>
          <w:color w:val="auto"/>
        </w:rPr>
        <w:drawing>
          <wp:inline distT="0" distB="0" distL="0" distR="0">
            <wp:extent cx="126365" cy="15113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6365" cy="151130"/>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34620" cy="13462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4620" cy="134620"/>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34620" cy="13462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4620" cy="134620"/>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26365" cy="13462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6365" cy="134620"/>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42875" cy="14287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42875" cy="16827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2875" cy="16827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34620" cy="10096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4620" cy="10096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51130" cy="15113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1130" cy="151130"/>
                    </a:xfrm>
                    <a:prstGeom prst="rect">
                      <a:avLst/>
                    </a:prstGeom>
                    <a:noFill/>
                    <a:ln>
                      <a:noFill/>
                    </a:ln>
                  </pic:spPr>
                </pic:pic>
              </a:graphicData>
            </a:graphic>
          </wp:inline>
        </w:drawing>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12065</wp:posOffset>
            </wp:positionV>
            <wp:extent cx="269240" cy="1174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9240" cy="11747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1104900</wp:posOffset>
            </wp:positionV>
            <wp:extent cx="1210310" cy="12103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10310"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Independent Chairman of the Board</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Director Since: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2022</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Key Skills and Experience:</w:t>
      </w:r>
    </w:p>
    <w:p>
      <w:pPr>
        <w:spacing w:after="0" w:line="174" w:lineRule="exact"/>
        <w:rPr>
          <w:sz w:val="20"/>
          <w:szCs w:val="20"/>
          <w:color w:val="auto"/>
        </w:rPr>
      </w:pPr>
    </w:p>
    <w:p>
      <w:pPr>
        <w:ind w:left="240"/>
        <w:spacing w:after="0"/>
        <w:rPr>
          <w:sz w:val="20"/>
          <w:szCs w:val="20"/>
          <w:color w:val="auto"/>
        </w:rPr>
      </w:pPr>
      <w:r>
        <w:rPr>
          <w:sz w:val="1"/>
          <w:szCs w:val="1"/>
          <w:color w:val="auto"/>
        </w:rPr>
        <w:drawing>
          <wp:inline distT="0" distB="0" distL="0" distR="0">
            <wp:extent cx="168275" cy="15938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8275" cy="159385"/>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34620" cy="13462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4620" cy="134620"/>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26365" cy="13462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6365" cy="134620"/>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42875" cy="14287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34620" cy="10096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4620" cy="100965"/>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42875" cy="16827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2875" cy="168275"/>
                    </a:xfrm>
                    <a:prstGeom prst="rect">
                      <a:avLst/>
                    </a:prstGeom>
                    <a:noFill/>
                    <a:ln>
                      <a:noFill/>
                    </a:ln>
                  </pic:spPr>
                </pic:pic>
              </a:graphicData>
            </a:graphic>
          </wp:inline>
        </w:drawing>
      </w:r>
      <w:r>
        <w:rPr>
          <w:rFonts w:ascii="Arial" w:cs="Arial" w:eastAsia="Arial" w:hAnsi="Arial"/>
          <w:sz w:val="21"/>
          <w:szCs w:val="21"/>
          <w:color w:val="auto"/>
        </w:rPr>
        <w:t xml:space="preserve">   </w:t>
      </w:r>
      <w:r>
        <w:rPr>
          <w:sz w:val="1"/>
          <w:szCs w:val="1"/>
          <w:color w:val="auto"/>
        </w:rPr>
        <w:drawing>
          <wp:inline distT="0" distB="0" distL="0" distR="0">
            <wp:extent cx="134620" cy="14287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4620" cy="142875"/>
                    </a:xfrm>
                    <a:prstGeom prst="rect">
                      <a:avLst/>
                    </a:prstGeom>
                    <a:noFill/>
                    <a:ln>
                      <a:noFill/>
                    </a:ln>
                  </pic:spPr>
                </pic:pic>
              </a:graphicData>
            </a:graphic>
          </wp:inline>
        </w:drawing>
      </w:r>
      <w:r>
        <w:rPr>
          <w:rFonts w:ascii="Arial" w:cs="Arial" w:eastAsia="Arial" w:hAnsi="Arial"/>
          <w:sz w:val="21"/>
          <w:szCs w:val="2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5080</wp:posOffset>
            </wp:positionV>
            <wp:extent cx="269240" cy="1174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9240" cy="1174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3575B3"/>
        </w:rPr>
        <w:t>Vicente Reynal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-815340</wp:posOffset>
            </wp:positionV>
            <wp:extent cx="7177405" cy="546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7405" cy="5461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-160020</wp:posOffset>
            </wp:positionV>
            <wp:extent cx="42525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252595" cy="825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15875</wp:posOffset>
            </wp:positionV>
            <wp:extent cx="42525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252595" cy="8255"/>
                    </a:xfrm>
                    <a:prstGeom prst="rect">
                      <a:avLst/>
                    </a:prstGeom>
                    <a:noFill/>
                  </pic:spPr>
                </pic:pic>
              </a:graphicData>
            </a:graphic>
          </wp:anchor>
        </w:drawing>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435363"/>
        </w:rPr>
        <w:t>Select Business Experience:</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 Chairman of the board of directors of Ingersoll Rand Inc. (“Ingersoll”) (2021-Present)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 Chief Executive Officer and President of Ingersoll (2020-Present)</w:t>
      </w:r>
    </w:p>
    <w:p>
      <w:pPr>
        <w:spacing w:after="0" w:line="1" w:lineRule="exact"/>
        <w:rPr>
          <w:sz w:val="20"/>
          <w:szCs w:val="20"/>
          <w:color w:val="auto"/>
        </w:rPr>
      </w:pPr>
    </w:p>
    <w:p>
      <w:pPr>
        <w:ind w:left="500" w:right="120" w:hanging="242"/>
        <w:spacing w:after="0" w:line="241"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 Chief Executive Officer and President of Gardner Denver Inc. (“Gardner Denver”) (2017-2020)</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 President, Chief Executive Officer—Industrials Segment of Gardner Denver (2015-2016)</w:t>
      </w:r>
    </w:p>
    <w:p>
      <w:pPr>
        <w:spacing w:after="0" w:line="1" w:lineRule="exact"/>
        <w:rPr>
          <w:sz w:val="20"/>
          <w:szCs w:val="20"/>
          <w:color w:val="auto"/>
        </w:rPr>
      </w:pPr>
    </w:p>
    <w:p>
      <w:pPr>
        <w:ind w:left="500" w:right="780" w:hanging="242"/>
        <w:spacing w:after="0" w:line="241"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 Various roles, including Group President at Danaher Corporation, a design and</w:t>
      </w:r>
      <w:r>
        <w:rPr>
          <w:rFonts w:ascii="Arial" w:cs="Arial" w:eastAsia="Arial" w:hAnsi="Arial"/>
          <w:sz w:val="16"/>
          <w:szCs w:val="16"/>
          <w:color w:val="3575B3"/>
        </w:rPr>
        <w:t xml:space="preserve"> </w:t>
      </w:r>
      <w:r>
        <w:rPr>
          <w:rFonts w:ascii="Arial" w:cs="Arial" w:eastAsia="Arial" w:hAnsi="Arial"/>
          <w:sz w:val="16"/>
          <w:szCs w:val="16"/>
          <w:color w:val="435363"/>
        </w:rPr>
        <w:t>manufacturing company (2004-2015)</w:t>
      </w:r>
    </w:p>
    <w:p>
      <w:pPr>
        <w:spacing w:after="0" w:line="1" w:lineRule="exact"/>
        <w:rPr>
          <w:sz w:val="20"/>
          <w:szCs w:val="20"/>
          <w:color w:val="auto"/>
        </w:rPr>
      </w:pPr>
    </w:p>
    <w:p>
      <w:pPr>
        <w:ind w:left="500" w:right="260" w:hanging="242"/>
        <w:spacing w:after="0" w:line="241"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 Vice President Global Operations and Supply Chain at Thermo Fisher Scientific Inc., a</w:t>
      </w:r>
      <w:r>
        <w:rPr>
          <w:rFonts w:ascii="Arial" w:cs="Arial" w:eastAsia="Arial" w:hAnsi="Arial"/>
          <w:sz w:val="16"/>
          <w:szCs w:val="16"/>
          <w:color w:val="3575B3"/>
        </w:rPr>
        <w:t xml:space="preserve"> </w:t>
      </w:r>
      <w:r>
        <w:rPr>
          <w:rFonts w:ascii="Arial" w:cs="Arial" w:eastAsia="Arial" w:hAnsi="Arial"/>
          <w:sz w:val="16"/>
          <w:szCs w:val="16"/>
          <w:color w:val="435363"/>
        </w:rPr>
        <w:t>scientific instrumentation company (2002-2004)</w:t>
      </w:r>
    </w:p>
    <w:p>
      <w:pPr>
        <w:spacing w:after="0" w:line="1" w:lineRule="exact"/>
        <w:rPr>
          <w:sz w:val="20"/>
          <w:szCs w:val="20"/>
          <w:color w:val="auto"/>
        </w:rPr>
      </w:pPr>
    </w:p>
    <w:p>
      <w:pPr>
        <w:ind w:left="500" w:right="120" w:hanging="242"/>
        <w:spacing w:after="0" w:line="254"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 Business Unit Manager, Aerospace Aftermarket at Honeywell Transportation Systems, a</w:t>
      </w:r>
      <w:r>
        <w:rPr>
          <w:rFonts w:ascii="Arial" w:cs="Arial" w:eastAsia="Arial" w:hAnsi="Arial"/>
          <w:sz w:val="16"/>
          <w:szCs w:val="16"/>
          <w:color w:val="3575B3"/>
        </w:rPr>
        <w:t xml:space="preserve"> </w:t>
      </w:r>
      <w:r>
        <w:rPr>
          <w:rFonts w:ascii="Arial" w:cs="Arial" w:eastAsia="Arial" w:hAnsi="Arial"/>
          <w:sz w:val="16"/>
          <w:szCs w:val="16"/>
          <w:color w:val="435363"/>
        </w:rPr>
        <w:t>manufacturing company (1998-2002)</w:t>
      </w:r>
    </w:p>
    <w:p>
      <w:pPr>
        <w:spacing w:after="0" w:line="8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 Ingersoll Rand Inc., an industrial manufacturing company (2020-Present)</w:t>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435363"/>
        </w:rPr>
        <w:t>Past Public Company Directorships:</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 Gardner Denver Inc. (2017-2020)</w:t>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17" w:lineRule="exact"/>
        <w:rPr>
          <w:sz w:val="20"/>
          <w:szCs w:val="20"/>
          <w:color w:val="auto"/>
        </w:rPr>
      </w:pPr>
    </w:p>
    <w:p>
      <w:pPr>
        <w:ind w:left="100"/>
        <w:spacing w:after="0"/>
        <w:rPr>
          <w:sz w:val="20"/>
          <w:szCs w:val="20"/>
          <w:color w:val="auto"/>
        </w:rPr>
      </w:pPr>
      <w:r>
        <w:rPr>
          <w:rFonts w:ascii="Arial" w:cs="Arial" w:eastAsia="Arial" w:hAnsi="Arial"/>
          <w:sz w:val="16"/>
          <w:szCs w:val="16"/>
          <w:color w:val="435363"/>
        </w:rPr>
        <w:t>Member of the board of directors of Ownership Works.</w:t>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17" w:lineRule="exact"/>
        <w:rPr>
          <w:sz w:val="20"/>
          <w:szCs w:val="20"/>
          <w:color w:val="auto"/>
        </w:rPr>
      </w:pPr>
    </w:p>
    <w:p>
      <w:pPr>
        <w:ind w:left="100" w:right="40"/>
        <w:spacing w:after="0" w:line="248" w:lineRule="auto"/>
        <w:rPr>
          <w:sz w:val="20"/>
          <w:szCs w:val="20"/>
          <w:color w:val="auto"/>
        </w:rPr>
      </w:pPr>
      <w:r>
        <w:rPr>
          <w:rFonts w:ascii="Arial" w:cs="Arial" w:eastAsia="Arial" w:hAnsi="Arial"/>
          <w:sz w:val="16"/>
          <w:szCs w:val="16"/>
          <w:color w:val="435363"/>
        </w:rPr>
        <w:t>Executive leadership experience in the industrial, energy and medical industries, extensive strategic, operational and general management experience, as well as experience serving as a public company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43199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9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1"/>
          <w:szCs w:val="21"/>
          <w:b w:val="1"/>
          <w:bCs w:val="1"/>
          <w:color w:val="3575B3"/>
        </w:rPr>
        <w:t>Greg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43199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19905"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17" w:lineRule="exact"/>
        <w:rPr>
          <w:sz w:val="20"/>
          <w:szCs w:val="20"/>
          <w:color w:val="auto"/>
        </w:rPr>
      </w:pPr>
    </w:p>
    <w:p>
      <w:pPr>
        <w:ind w:left="400" w:right="100" w:hanging="242"/>
        <w:spacing w:after="0" w:line="257" w:lineRule="auto"/>
        <w:rPr>
          <w:sz w:val="20"/>
          <w:szCs w:val="20"/>
          <w:color w:val="auto"/>
        </w:rPr>
      </w:pPr>
      <w:r>
        <w:rPr>
          <w:rFonts w:ascii="Arial" w:cs="Arial" w:eastAsia="Arial" w:hAnsi="Arial"/>
          <w:sz w:val="15"/>
          <w:szCs w:val="15"/>
          <w:color w:val="3575B3"/>
        </w:rPr>
        <w:t>•</w:t>
      </w:r>
      <w:r>
        <w:rPr>
          <w:rFonts w:ascii="Arial" w:cs="Arial" w:eastAsia="Arial" w:hAnsi="Arial"/>
          <w:sz w:val="15"/>
          <w:szCs w:val="15"/>
          <w:color w:val="435363"/>
        </w:rPr>
        <w:t xml:space="preserve">   Chief Financial Officer and Executive Vice President of Enterprise Operations of The</w:t>
      </w:r>
      <w:r>
        <w:rPr>
          <w:rFonts w:ascii="Arial" w:cs="Arial" w:eastAsia="Arial" w:hAnsi="Arial"/>
          <w:sz w:val="15"/>
          <w:szCs w:val="15"/>
          <w:color w:val="3575B3"/>
        </w:rPr>
        <w:t xml:space="preserve"> </w:t>
      </w:r>
      <w:r>
        <w:rPr>
          <w:rFonts w:ascii="Arial" w:cs="Arial" w:eastAsia="Arial" w:hAnsi="Arial"/>
          <w:sz w:val="15"/>
          <w:szCs w:val="15"/>
          <w:color w:val="435363"/>
        </w:rPr>
        <w:t>Boeing Company (“Boeing”) (2020-2021; 2012-2021); Interim Chief Executive Officer of Boeing (2019-2020); Vice President of Finance and Corporate Controller of Boeing (2010-2012); and Vice President of Financial Planning and Analysis of Boeing (2008-2010)</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 Vice President of Investor Relations of Raytheon Company (2004-2008)</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 Intel Corporation, a technology company (2017-Present)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17" w:lineRule="exact"/>
        <w:rPr>
          <w:sz w:val="20"/>
          <w:szCs w:val="20"/>
          <w:color w:val="auto"/>
        </w:rPr>
      </w:pPr>
    </w:p>
    <w:p>
      <w:pPr>
        <w:ind w:right="340"/>
        <w:spacing w:after="0" w:line="254" w:lineRule="auto"/>
        <w:rPr>
          <w:sz w:val="20"/>
          <w:szCs w:val="20"/>
          <w:color w:val="auto"/>
        </w:rPr>
      </w:pPr>
      <w:r>
        <w:rPr>
          <w:rFonts w:ascii="Arial" w:cs="Arial" w:eastAsia="Arial" w:hAnsi="Arial"/>
          <w:sz w:val="16"/>
          <w:szCs w:val="16"/>
          <w:color w:val="435363"/>
        </w:rPr>
        <w:t>Member of the boards of directors of the Lurie Children’s Hospital Foundation, Northwestern Memorial Healthcare and Sierra Nevada Space.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17" w:lineRule="exact"/>
        <w:rPr>
          <w:sz w:val="20"/>
          <w:szCs w:val="20"/>
          <w:color w:val="auto"/>
        </w:rPr>
      </w:pPr>
    </w:p>
    <w:p>
      <w:pPr>
        <w:ind w:right="280"/>
        <w:spacing w:after="0" w:line="245" w:lineRule="auto"/>
        <w:rPr>
          <w:sz w:val="20"/>
          <w:szCs w:val="20"/>
          <w:color w:val="auto"/>
        </w:rPr>
      </w:pPr>
      <w:r>
        <w:rPr>
          <w:rFonts w:ascii="Arial" w:cs="Arial" w:eastAsia="Arial" w:hAnsi="Arial"/>
          <w:sz w:val="16"/>
          <w:szCs w:val="16"/>
          <w:color w:val="435363"/>
        </w:rPr>
        <w:t>Financial expertise and extensive experience as a senior executive for a large global public company, risk management experience, extensive industry experience as executive officer of airplane manufacturer, extensive experience as a global business leader, with experience in regulatory affairs, as well as experience serving as a public company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-1254760</wp:posOffset>
            </wp:positionH>
            <wp:positionV relativeFrom="paragraph">
              <wp:posOffset>252730</wp:posOffset>
            </wp:positionV>
            <wp:extent cx="5177155" cy="168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13</w:t>
      </w:r>
    </w:p>
    <w:p>
      <w:pPr>
        <w:spacing w:after="0" w:line="244" w:lineRule="exact"/>
        <w:rPr>
          <w:sz w:val="20"/>
          <w:szCs w:val="20"/>
          <w:color w:val="auto"/>
        </w:rPr>
      </w:pPr>
    </w:p>
    <w:p>
      <w:pPr>
        <w:ind w:left="700"/>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2">
            <w:col w:w="3620" w:space="600"/>
            <w:col w:w="6800"/>
          </w:cols>
          <w:pgMar w:left="320" w:top="477" w:right="5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292735</wp:posOffset>
            </wp:positionV>
            <wp:extent cx="1210310" cy="12103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10310" cy="121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Independent</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Director Since: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2020</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Committees:</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Compensation; Finance (Chair)</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Key Skills and Experience:</w:t>
      </w:r>
    </w:p>
    <w:p>
      <w:pPr>
        <w:spacing w:after="0" w:line="95" w:lineRule="exact"/>
        <w:rPr>
          <w:sz w:val="20"/>
          <w:szCs w:val="20"/>
          <w:color w:val="auto"/>
        </w:rPr>
      </w:pPr>
    </w:p>
    <w:p>
      <w:pPr>
        <w:ind w:left="240"/>
        <w:spacing w:after="0"/>
        <w:rPr>
          <w:sz w:val="20"/>
          <w:szCs w:val="20"/>
          <w:color w:val="auto"/>
        </w:rPr>
      </w:pPr>
      <w:r>
        <w:rPr>
          <w:sz w:val="1"/>
          <w:szCs w:val="1"/>
          <w:color w:val="auto"/>
        </w:rPr>
        <w:drawing>
          <wp:inline distT="0" distB="0" distL="0" distR="0">
            <wp:extent cx="269240" cy="11747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9240" cy="11747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34620" cy="13462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4620" cy="134620"/>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26365" cy="13462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6365" cy="134620"/>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42875" cy="14287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34620" cy="10096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4620" cy="10096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42875" cy="16827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2875" cy="168275"/>
                    </a:xfrm>
                    <a:prstGeom prst="rect">
                      <a:avLst/>
                    </a:prstGeom>
                    <a:noFill/>
                    <a:ln>
                      <a:noFill/>
                    </a:ln>
                  </pic:spPr>
                </pic:pic>
              </a:graphicData>
            </a:graphic>
          </wp:inline>
        </w:drawing>
      </w:r>
      <w:r>
        <w:rPr>
          <w:rFonts w:ascii="Arial" w:cs="Arial" w:eastAsia="Arial" w:hAnsi="Arial"/>
          <w:sz w:val="16"/>
          <w:szCs w:val="16"/>
          <w:color w:val="auto"/>
        </w:rPr>
        <w:t xml:space="preserve">   </w:t>
      </w:r>
      <w:r>
        <w:rPr>
          <w:sz w:val="1"/>
          <w:szCs w:val="1"/>
          <w:color w:val="auto"/>
        </w:rPr>
        <w:drawing>
          <wp:inline distT="0" distB="0" distL="0" distR="0">
            <wp:extent cx="126365" cy="15113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6365" cy="15113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3575B3"/>
        </w:rPr>
        <w:t>Doug Steenland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-815340</wp:posOffset>
            </wp:positionV>
            <wp:extent cx="7177405" cy="546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7405" cy="54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43199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9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43199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9905"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 Senior Advisor to The Blackstone Group L.P. (2009-Present)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 Chief Executive Officer of Northwest Airlines Corporation (2004-2008)</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 President of Northwest Airlines Corporation (2001-2004)</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 Senior Partner of law firm that is now DLA Piper LLP (1984-1991)</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 Hilton Worldwide Holdings, Inc., a hotel management company (2010-Present)</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 American International Group, Inc., an insurance company (2009-2023)</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 London Stock Exchange Group (2021-2023)</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 Performance Food Group (2012-2019)</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 Travelport LLC (2012-2019)</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1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435363"/>
        </w:rPr>
        <w:t>Member of the board of trustees of the Brookings Institute, board of directors of the Middle East Investment Initiative and board of visitors of the Duke University Fuqua Business School; former Chairman of the Air Transport Association.</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17"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435363"/>
        </w:rPr>
        <w:t>Former airline president and CEO, extensive experience as a global business leader, with experience in finance, safety, restructuring and regulatory affairs, as well as experience serving as a public company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208280</wp:posOffset>
            </wp:positionV>
            <wp:extent cx="5177155" cy="168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700"/>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2">
            <w:col w:w="3500" w:space="720"/>
            <w:col w:w="6740"/>
          </w:cols>
          <w:pgMar w:left="320" w:top="477" w:right="6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200660</wp:posOffset>
            </wp:positionV>
            <wp:extent cx="6193790" cy="2857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32"/>
          <w:szCs w:val="32"/>
          <w:color w:val="66AFDA"/>
        </w:rPr>
        <w:t>BOARD COMPOSITION</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How We Build a Board that is Right for American Airlines</w:t>
      </w:r>
    </w:p>
    <w:p>
      <w:pPr>
        <w:spacing w:after="0" w:line="90" w:lineRule="exact"/>
        <w:rPr>
          <w:sz w:val="20"/>
          <w:szCs w:val="20"/>
          <w:color w:val="auto"/>
        </w:rPr>
      </w:pPr>
    </w:p>
    <w:p>
      <w:pPr>
        <w:ind w:left="220" w:right="100"/>
        <w:spacing w:after="0" w:line="250" w:lineRule="auto"/>
        <w:rPr>
          <w:sz w:val="20"/>
          <w:szCs w:val="20"/>
          <w:color w:val="auto"/>
        </w:rPr>
      </w:pPr>
      <w:r>
        <w:rPr>
          <w:rFonts w:ascii="Arial" w:cs="Arial" w:eastAsia="Arial" w:hAnsi="Arial"/>
          <w:sz w:val="16"/>
          <w:szCs w:val="16"/>
          <w:color w:val="435363"/>
        </w:rPr>
        <w:t>Each of the 11 current nominees for director recommended for election at the Annual Meeting is a current member of the Board. The effectiveness of the Board and the recruitment of directors are overseen by the CGPR Committee. In evaluating candidates for director, the CGPR Committee considers the qualifications described below. Based on its evaluation of each of the current nominees’ qualifications and his or her prior performance as a director, the CGPR Committee determined to recommend each nominee for election. The CGPR Committee received no nominations from stockholders for the Annual Meeting.</w:t>
      </w:r>
    </w:p>
    <w:p>
      <w:pPr>
        <w:spacing w:after="0" w:line="74" w:lineRule="exact"/>
        <w:rPr>
          <w:sz w:val="20"/>
          <w:szCs w:val="20"/>
          <w:color w:val="auto"/>
        </w:rPr>
      </w:pPr>
    </w:p>
    <w:p>
      <w:pPr>
        <w:ind w:left="220" w:right="220"/>
        <w:spacing w:after="0" w:line="250" w:lineRule="auto"/>
        <w:rPr>
          <w:sz w:val="20"/>
          <w:szCs w:val="20"/>
          <w:color w:val="auto"/>
        </w:rPr>
      </w:pPr>
      <w:r>
        <w:rPr>
          <w:rFonts w:ascii="Arial" w:cs="Arial" w:eastAsia="Arial" w:hAnsi="Arial"/>
          <w:sz w:val="16"/>
          <w:szCs w:val="16"/>
          <w:color w:val="435363"/>
        </w:rPr>
        <w:t>Consistent with its charter, the CGPR Committee proposes for nomination of existing directors and new candidates who have the highest personal and professional integrity, have demonstrated exceptional judgment, have proven leadership skills, as well as the requisite skills necessary to advance our long-term strategic plan, are committed to our success and have the ability to work effectively with the Company’s Chief Executive Officer and other members of the Board. Also, a nominee must possess skills, experience and expertise appropriate to best serve the long-term financial interests of our stockholders.</w:t>
      </w:r>
    </w:p>
    <w:p>
      <w:pPr>
        <w:spacing w:after="0" w:line="74" w:lineRule="exact"/>
        <w:rPr>
          <w:sz w:val="20"/>
          <w:szCs w:val="20"/>
          <w:color w:val="auto"/>
        </w:rPr>
      </w:pPr>
    </w:p>
    <w:p>
      <w:pPr>
        <w:ind w:left="220" w:right="20"/>
        <w:spacing w:after="0" w:line="264" w:lineRule="auto"/>
        <w:rPr>
          <w:sz w:val="20"/>
          <w:szCs w:val="20"/>
          <w:color w:val="auto"/>
        </w:rPr>
      </w:pPr>
      <w:r>
        <w:rPr>
          <w:rFonts w:ascii="Arial" w:cs="Arial" w:eastAsia="Arial" w:hAnsi="Arial"/>
          <w:sz w:val="15"/>
          <w:szCs w:val="15"/>
          <w:color w:val="435363"/>
        </w:rPr>
        <w:t>The Governance Guidelines specify that it is the objective of the Board that it be composed of individuals who have, among other things, a diversity of skills, expertise and perspective, due to, among other things, age, gender, racial and ethnic diversity, appropriate for the business and operation of the Company. The Board currently includes a group of individuals who have demonstrated success and leadership in a variety of fields and endeavors, with a broad diversity of experience, opinions, perspectives, professions, skills, expertise, education, geographic representation and backgrounds. The CGPR Committee and the Board believe that the Board is, and should continue to be, comprised of persons who can contribute experience in public company board service and corporate governance and areas such as strategic planning, leadership of large, complex organizations, international and global operations, the airline, travel and transportation industry, finance, accounting, investment, risk management, customer service, marketing and consumer products, labor relations and human resources (including leadership assessment and diversity), safety, information technology, and sustainability. The CGPR Committee does not assign specific weight to particular criteria and no particular criterion is necessarily applicable to all prospective nominees.</w:t>
      </w:r>
    </w:p>
    <w:p>
      <w:pPr>
        <w:spacing w:after="0" w:line="66" w:lineRule="exact"/>
        <w:rPr>
          <w:sz w:val="20"/>
          <w:szCs w:val="20"/>
          <w:color w:val="auto"/>
        </w:rPr>
      </w:pPr>
    </w:p>
    <w:p>
      <w:pPr>
        <w:ind w:left="220" w:right="80"/>
        <w:spacing w:after="0" w:line="258" w:lineRule="auto"/>
        <w:rPr>
          <w:sz w:val="20"/>
          <w:szCs w:val="20"/>
          <w:color w:val="auto"/>
        </w:rPr>
      </w:pPr>
      <w:r>
        <w:rPr>
          <w:rFonts w:ascii="Arial" w:cs="Arial" w:eastAsia="Arial" w:hAnsi="Arial"/>
          <w:sz w:val="16"/>
          <w:szCs w:val="16"/>
          <w:color w:val="435363"/>
        </w:rPr>
        <w:t>The Governance Guidelines also require that any directors who also serve as chief executive officers of public companies should not serve on more than two boards of public companies other than the Company’s Board, and other directors should not serve on more than four boards of public companies, other than the Company’s Board.</w:t>
      </w:r>
    </w:p>
    <w:p>
      <w:pPr>
        <w:spacing w:after="0" w:line="68" w:lineRule="exact"/>
        <w:rPr>
          <w:sz w:val="20"/>
          <w:szCs w:val="20"/>
          <w:color w:val="auto"/>
        </w:rPr>
      </w:pPr>
    </w:p>
    <w:p>
      <w:pPr>
        <w:ind w:left="220" w:right="580"/>
        <w:spacing w:after="0" w:line="258" w:lineRule="auto"/>
        <w:rPr>
          <w:sz w:val="20"/>
          <w:szCs w:val="20"/>
          <w:color w:val="auto"/>
        </w:rPr>
      </w:pPr>
      <w:r>
        <w:rPr>
          <w:rFonts w:ascii="Arial" w:cs="Arial" w:eastAsia="Arial" w:hAnsi="Arial"/>
          <w:sz w:val="16"/>
          <w:szCs w:val="16"/>
          <w:color w:val="435363"/>
        </w:rPr>
        <w:t>In accordance with applicable listing standards of The Nasdaq Stock Market (“Nasdaq”), the Board confirms that at least a majority of the Board is independent in accordance with the Nasdaq definition of independence and that the members of the Board, as a group, maintain the requisite qualifications under applicable Nasdaq listing standards for service on the Audit, Compensation and CGPR Committees.</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Board Refreshment and Succession Planning</w:t>
      </w:r>
    </w:p>
    <w:p>
      <w:pPr>
        <w:spacing w:after="0" w:line="77" w:lineRule="exact"/>
        <w:rPr>
          <w:sz w:val="20"/>
          <w:szCs w:val="20"/>
          <w:color w:val="auto"/>
        </w:rPr>
      </w:pPr>
    </w:p>
    <w:p>
      <w:pPr>
        <w:ind w:left="220" w:right="40"/>
        <w:spacing w:after="0" w:line="246" w:lineRule="auto"/>
        <w:rPr>
          <w:sz w:val="20"/>
          <w:szCs w:val="20"/>
          <w:color w:val="auto"/>
        </w:rPr>
      </w:pPr>
      <w:r>
        <w:rPr>
          <w:rFonts w:ascii="Arial" w:cs="Arial" w:eastAsia="Arial" w:hAnsi="Arial"/>
          <w:sz w:val="16"/>
          <w:szCs w:val="16"/>
          <w:color w:val="435363"/>
        </w:rPr>
        <w:t>The Board believes that thoughtful refreshment of the members of the Board is important to ensure that the Board continues to meet the changing needs of the Company and that new viewpoints and perspectives are regularly considered. The Board and CGPR Committee regularly evaluate the composition of the Board and its committees in an effort to develop a long-term succession plan for the Board and its leadership. The Company’s Governance Guidelines do not provide for an absolute limit on the length of time that a director may serve, but the CGPR Committee and the Board consider the overall tenure of the Board during succession planning discussions and director nomination decisions. The Governance Guidelines also state that the retirement age for non-employee directors is 75. No individual is eligible for election to the Board after his or her 75th birthday. A special thank you to Jeffrey Benjamin, who will not be standing for re-election at the Annual Meeting, for his dedication to the Company and his extensive contributions during his service on our Board.</w:t>
      </w:r>
    </w:p>
    <w:p>
      <w:pPr>
        <w:spacing w:after="0" w:line="79"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color w:val="435363"/>
        </w:rPr>
        <w:t>The active work of our CGPR Committee to add engaged and dynamic leaders to our Board has resulted in four of our ten independent director nominees having joined our Board in or following 2020, representing 40% of our independent director nominees. With these additions, and the retirement of Mr. Benjamin, the average tenure of our director nominees is 6.1 years. Additional biographical information on each nominee is set out above beginning on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106680</wp:posOffset>
            </wp:positionV>
            <wp:extent cx="5177155" cy="168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15</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435363"/>
        </w:rPr>
        <w:t>In addition, as a culmination of the Board’s CEO succession planning over several years, in December 2021, we announced that Robert Isom would succeed Doug Parker as the CEO of the Company and be appointed as a member of our Board effective March 31, 2022. As part of this plan, the Board determined that it was important to retain Mr. Parker in the role of Chairman of the Board in order to ensure a successful transition in leadership. This allowed Mr. Isom to focus on executing on our strategy and operations, and Mr. Parker to devote his time and attention to matters of Board oversight and governance and providing continued advisory support to the management team throughout the transition.</w:t>
      </w:r>
    </w:p>
    <w:p>
      <w:pPr>
        <w:spacing w:after="0" w:line="74" w:lineRule="exact"/>
        <w:rPr>
          <w:sz w:val="20"/>
          <w:szCs w:val="20"/>
          <w:color w:val="auto"/>
        </w:rPr>
      </w:pPr>
    </w:p>
    <w:p>
      <w:pPr>
        <w:ind w:left="220" w:right="40"/>
        <w:spacing w:after="0" w:line="252" w:lineRule="auto"/>
        <w:rPr>
          <w:sz w:val="20"/>
          <w:szCs w:val="20"/>
          <w:color w:val="auto"/>
        </w:rPr>
      </w:pPr>
      <w:r>
        <w:rPr>
          <w:rFonts w:ascii="Arial" w:cs="Arial" w:eastAsia="Arial" w:hAnsi="Arial"/>
          <w:sz w:val="16"/>
          <w:szCs w:val="16"/>
          <w:color w:val="435363"/>
        </w:rPr>
        <w:t>In February 2023, following the successful transition of our CEO role, we announced that Mr. Parker would retire from our Board on April 30, 2023 and Greg Smith would serve as the Company’s Independent Chairman effective April 30, 2023. By separating the roles of Chairman and CEO, our CEO is able to continue to focus on executing on our strategy and operations, and our Independent Chairman can devote time and attention to matters of Board oversight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140335</wp:posOffset>
            </wp:positionV>
            <wp:extent cx="5042535" cy="25717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4253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Board Diversity and Tenure</w:t>
      </w:r>
    </w:p>
    <w:p>
      <w:pPr>
        <w:spacing w:after="0" w:line="90" w:lineRule="exact"/>
        <w:rPr>
          <w:sz w:val="20"/>
          <w:szCs w:val="20"/>
          <w:color w:val="auto"/>
        </w:rPr>
      </w:pPr>
    </w:p>
    <w:p>
      <w:pPr>
        <w:ind w:left="220" w:right="20"/>
        <w:spacing w:after="0" w:line="258" w:lineRule="auto"/>
        <w:rPr>
          <w:sz w:val="20"/>
          <w:szCs w:val="20"/>
          <w:color w:val="auto"/>
        </w:rPr>
      </w:pPr>
      <w:r>
        <w:rPr>
          <w:rFonts w:ascii="Arial" w:cs="Arial" w:eastAsia="Arial" w:hAnsi="Arial"/>
          <w:sz w:val="16"/>
          <w:szCs w:val="16"/>
          <w:color w:val="435363"/>
        </w:rPr>
        <w:t>The CGPR Committee recognizes the benefits of diversity in the boardroom, including better reflecting our diverse customer and employee base and the healthy debate that stems from different viewpoints that may result from diverse backgrounds. Accordingly, our Board is diverse in many ways, with differing geographic, business, gender and racial backgrounds. Over 45% of our Board nominees are diverse based on gender or 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195580</wp:posOffset>
            </wp:positionV>
            <wp:extent cx="5177155" cy="168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5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16</w:t>
      </w:r>
    </w:p>
    <w:p>
      <w:pPr>
        <w:spacing w:after="0" w:line="33"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0940"/>
          </w:cols>
          <w:pgMar w:left="320" w:top="477"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The demographic information presented below is as of the date of this Proxy Statement and is based on voluntary self-identification by each nominee.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Additional biographical information on each nominee is set out above beginning on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151130</wp:posOffset>
            </wp:positionV>
            <wp:extent cx="6857365" cy="4787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7365" cy="47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RACE/ETHNICITY</w:t>
      </w:r>
    </w:p>
    <w:p>
      <w:pPr>
        <w:spacing w:after="0" w:line="15" w:lineRule="exact"/>
        <w:rPr>
          <w:sz w:val="20"/>
          <w:szCs w:val="20"/>
          <w:color w:val="auto"/>
        </w:rPr>
      </w:pPr>
    </w:p>
    <w:tbl>
      <w:tblPr>
        <w:tblLayout w:type="fixed"/>
        <w:tblInd w:w="240" w:type="dxa"/>
        <w:tblCellMar>
          <w:top w:w="0" w:type="dxa"/>
          <w:left w:w="0" w:type="dxa"/>
          <w:bottom w:w="0" w:type="dxa"/>
          <w:right w:w="0" w:type="dxa"/>
        </w:tblCellMar>
      </w:tblPr>
      <w:tr>
        <w:trPr>
          <w:trHeight w:val="192"/>
        </w:trPr>
        <w:tc>
          <w:tcPr>
            <w:tcW w:w="4080" w:type="dxa"/>
            <w:vAlign w:val="bottom"/>
            <w:tcBorders>
              <w:top w:val="single" w:sz="8" w:color="BF0000"/>
            </w:tcBorders>
          </w:tcPr>
          <w:p>
            <w:pPr>
              <w:ind w:left="60"/>
              <w:spacing w:after="0"/>
              <w:rPr>
                <w:sz w:val="20"/>
                <w:szCs w:val="20"/>
                <w:color w:val="auto"/>
              </w:rPr>
            </w:pPr>
            <w:r>
              <w:rPr>
                <w:rFonts w:ascii="Arial" w:cs="Arial" w:eastAsia="Arial" w:hAnsi="Arial"/>
                <w:sz w:val="16"/>
                <w:szCs w:val="16"/>
                <w:color w:val="435363"/>
              </w:rPr>
              <w:t>African American or Black</w:t>
            </w:r>
          </w:p>
        </w:tc>
        <w:tc>
          <w:tcPr>
            <w:tcW w:w="2500" w:type="dxa"/>
            <w:vAlign w:val="bottom"/>
            <w:tcBorders>
              <w:top w:val="single" w:sz="8" w:color="BF0000"/>
            </w:tcBorders>
          </w:tcPr>
          <w:p>
            <w:pPr>
              <w:jc w:val="center"/>
              <w:ind w:left="2001"/>
              <w:spacing w:after="0"/>
              <w:rPr>
                <w:sz w:val="20"/>
                <w:szCs w:val="20"/>
                <w:color w:val="auto"/>
              </w:rPr>
            </w:pPr>
            <w:r>
              <w:rPr>
                <w:rFonts w:ascii="Times New Roman" w:cs="Times New Roman" w:eastAsia="Times New Roman" w:hAnsi="Times New Roman"/>
                <w:sz w:val="16"/>
                <w:szCs w:val="16"/>
                <w:color w:val="BF0000"/>
              </w:rPr>
              <w:t>●</w:t>
            </w:r>
          </w:p>
        </w:tc>
        <w:tc>
          <w:tcPr>
            <w:tcW w:w="440" w:type="dxa"/>
            <w:vAlign w:val="bottom"/>
            <w:tcBorders>
              <w:top w:val="single" w:sz="8" w:color="BF0000"/>
            </w:tcBorders>
          </w:tcPr>
          <w:p>
            <w:pPr>
              <w:spacing w:after="0"/>
              <w:rPr>
                <w:sz w:val="16"/>
                <w:szCs w:val="16"/>
                <w:color w:val="auto"/>
              </w:rPr>
            </w:pPr>
          </w:p>
        </w:tc>
        <w:tc>
          <w:tcPr>
            <w:tcW w:w="420" w:type="dxa"/>
            <w:vAlign w:val="bottom"/>
            <w:tcBorders>
              <w:top w:val="single" w:sz="8" w:color="BF0000"/>
            </w:tcBorders>
          </w:tcPr>
          <w:p>
            <w:pPr>
              <w:spacing w:after="0"/>
              <w:rPr>
                <w:sz w:val="16"/>
                <w:szCs w:val="16"/>
                <w:color w:val="auto"/>
              </w:rPr>
            </w:pPr>
          </w:p>
        </w:tc>
        <w:tc>
          <w:tcPr>
            <w:tcW w:w="420" w:type="dxa"/>
            <w:vAlign w:val="bottom"/>
            <w:tcBorders>
              <w:top w:val="single" w:sz="8" w:color="BF0000"/>
            </w:tcBorders>
          </w:tcPr>
          <w:p>
            <w:pPr>
              <w:spacing w:after="0"/>
              <w:rPr>
                <w:sz w:val="16"/>
                <w:szCs w:val="16"/>
                <w:color w:val="auto"/>
              </w:rPr>
            </w:pPr>
          </w:p>
        </w:tc>
        <w:tc>
          <w:tcPr>
            <w:tcW w:w="420" w:type="dxa"/>
            <w:vAlign w:val="bottom"/>
            <w:tcBorders>
              <w:top w:val="single" w:sz="8" w:color="BF0000"/>
            </w:tcBorders>
          </w:tcPr>
          <w:p>
            <w:pPr>
              <w:spacing w:after="0"/>
              <w:rPr>
                <w:sz w:val="16"/>
                <w:szCs w:val="16"/>
                <w:color w:val="auto"/>
              </w:rPr>
            </w:pPr>
          </w:p>
        </w:tc>
        <w:tc>
          <w:tcPr>
            <w:tcW w:w="420" w:type="dxa"/>
            <w:vAlign w:val="bottom"/>
            <w:tcBorders>
              <w:top w:val="single" w:sz="8" w:color="BF0000"/>
            </w:tcBorders>
          </w:tcPr>
          <w:p>
            <w:pPr>
              <w:spacing w:after="0"/>
              <w:rPr>
                <w:sz w:val="16"/>
                <w:szCs w:val="16"/>
                <w:color w:val="auto"/>
              </w:rPr>
            </w:pPr>
          </w:p>
        </w:tc>
        <w:tc>
          <w:tcPr>
            <w:tcW w:w="420" w:type="dxa"/>
            <w:vAlign w:val="bottom"/>
            <w:tcBorders>
              <w:top w:val="single" w:sz="8" w:color="BF0000"/>
            </w:tcBorders>
          </w:tcPr>
          <w:p>
            <w:pPr>
              <w:jc w:val="center"/>
              <w:spacing w:after="0"/>
              <w:rPr>
                <w:sz w:val="20"/>
                <w:szCs w:val="20"/>
                <w:color w:val="auto"/>
              </w:rPr>
            </w:pPr>
            <w:r>
              <w:rPr>
                <w:rFonts w:ascii="Times New Roman" w:cs="Times New Roman" w:eastAsia="Times New Roman" w:hAnsi="Times New Roman"/>
                <w:sz w:val="16"/>
                <w:szCs w:val="16"/>
                <w:color w:val="BF0000"/>
              </w:rPr>
              <w:t>●</w:t>
            </w:r>
          </w:p>
        </w:tc>
        <w:tc>
          <w:tcPr>
            <w:tcW w:w="440" w:type="dxa"/>
            <w:vAlign w:val="bottom"/>
            <w:tcBorders>
              <w:top w:val="single" w:sz="8" w:color="BF0000"/>
            </w:tcBorders>
          </w:tcPr>
          <w:p>
            <w:pPr>
              <w:spacing w:after="0"/>
              <w:rPr>
                <w:sz w:val="16"/>
                <w:szCs w:val="16"/>
                <w:color w:val="auto"/>
              </w:rPr>
            </w:pPr>
          </w:p>
        </w:tc>
        <w:tc>
          <w:tcPr>
            <w:tcW w:w="420" w:type="dxa"/>
            <w:vAlign w:val="bottom"/>
            <w:tcBorders>
              <w:top w:val="single" w:sz="8" w:color="BF0000"/>
            </w:tcBorders>
          </w:tcPr>
          <w:p>
            <w:pPr>
              <w:spacing w:after="0"/>
              <w:rPr>
                <w:sz w:val="16"/>
                <w:szCs w:val="16"/>
                <w:color w:val="auto"/>
              </w:rPr>
            </w:pPr>
          </w:p>
        </w:tc>
        <w:tc>
          <w:tcPr>
            <w:tcW w:w="420" w:type="dxa"/>
            <w:vAlign w:val="bottom"/>
            <w:tcBorders>
              <w:top w:val="single" w:sz="8" w:color="BF0000"/>
            </w:tcBorders>
          </w:tcPr>
          <w:p>
            <w:pPr>
              <w:spacing w:after="0"/>
              <w:rPr>
                <w:sz w:val="16"/>
                <w:szCs w:val="16"/>
                <w:color w:val="auto"/>
              </w:rPr>
            </w:pPr>
          </w:p>
        </w:tc>
        <w:tc>
          <w:tcPr>
            <w:tcW w:w="400" w:type="dxa"/>
            <w:vAlign w:val="bottom"/>
            <w:tcBorders>
              <w:top w:val="single" w:sz="8" w:color="BF0000"/>
            </w:tcBorders>
          </w:tcPr>
          <w:p>
            <w:pPr>
              <w:spacing w:after="0"/>
              <w:rPr>
                <w:sz w:val="16"/>
                <w:szCs w:val="16"/>
                <w:color w:val="auto"/>
              </w:rPr>
            </w:pPr>
          </w:p>
        </w:tc>
      </w:tr>
      <w:tr>
        <w:trPr>
          <w:trHeight w:val="199"/>
        </w:trPr>
        <w:tc>
          <w:tcPr>
            <w:tcW w:w="4080" w:type="dxa"/>
            <w:vAlign w:val="bottom"/>
            <w:shd w:val="clear" w:color="auto" w:fill="EDEDED"/>
          </w:tcPr>
          <w:p>
            <w:pPr>
              <w:ind w:left="60"/>
              <w:spacing w:after="0"/>
              <w:rPr>
                <w:sz w:val="20"/>
                <w:szCs w:val="20"/>
                <w:color w:val="auto"/>
              </w:rPr>
            </w:pPr>
            <w:r>
              <w:rPr>
                <w:rFonts w:ascii="Arial" w:cs="Arial" w:eastAsia="Arial" w:hAnsi="Arial"/>
                <w:sz w:val="16"/>
                <w:szCs w:val="16"/>
                <w:color w:val="435363"/>
              </w:rPr>
              <w:t>Hispanic or Latinx</w:t>
            </w:r>
          </w:p>
        </w:tc>
        <w:tc>
          <w:tcPr>
            <w:tcW w:w="2500" w:type="dxa"/>
            <w:vAlign w:val="bottom"/>
            <w:shd w:val="clear" w:color="auto" w:fill="EDEDED"/>
          </w:tcPr>
          <w:p>
            <w:pPr>
              <w:spacing w:after="0"/>
              <w:rPr>
                <w:sz w:val="17"/>
                <w:szCs w:val="17"/>
                <w:color w:val="auto"/>
              </w:rPr>
            </w:pPr>
          </w:p>
        </w:tc>
        <w:tc>
          <w:tcPr>
            <w:tcW w:w="440" w:type="dxa"/>
            <w:vAlign w:val="bottom"/>
            <w:shd w:val="clear" w:color="auto" w:fill="EDEDED"/>
          </w:tcPr>
          <w:p>
            <w:pPr>
              <w:spacing w:after="0"/>
              <w:rPr>
                <w:sz w:val="17"/>
                <w:szCs w:val="17"/>
                <w:color w:val="auto"/>
              </w:rPr>
            </w:pPr>
          </w:p>
        </w:tc>
        <w:tc>
          <w:tcPr>
            <w:tcW w:w="420" w:type="dxa"/>
            <w:vAlign w:val="bottom"/>
            <w:shd w:val="clear" w:color="auto" w:fill="EDEDED"/>
          </w:tcPr>
          <w:p>
            <w:pPr>
              <w:spacing w:after="0"/>
              <w:rPr>
                <w:sz w:val="17"/>
                <w:szCs w:val="17"/>
                <w:color w:val="auto"/>
              </w:rPr>
            </w:pPr>
          </w:p>
        </w:tc>
        <w:tc>
          <w:tcPr>
            <w:tcW w:w="420" w:type="dxa"/>
            <w:vAlign w:val="bottom"/>
            <w:shd w:val="clear" w:color="auto" w:fill="EDEDED"/>
          </w:tcPr>
          <w:p>
            <w:pPr>
              <w:spacing w:after="0"/>
              <w:rPr>
                <w:sz w:val="17"/>
                <w:szCs w:val="17"/>
                <w:color w:val="auto"/>
              </w:rPr>
            </w:pPr>
          </w:p>
        </w:tc>
        <w:tc>
          <w:tcPr>
            <w:tcW w:w="420" w:type="dxa"/>
            <w:vAlign w:val="bottom"/>
            <w:shd w:val="clear" w:color="auto" w:fill="EDEDED"/>
          </w:tcPr>
          <w:p>
            <w:pPr>
              <w:spacing w:after="0"/>
              <w:rPr>
                <w:sz w:val="17"/>
                <w:szCs w:val="17"/>
                <w:color w:val="auto"/>
              </w:rPr>
            </w:pPr>
          </w:p>
        </w:tc>
        <w:tc>
          <w:tcPr>
            <w:tcW w:w="420" w:type="dxa"/>
            <w:vAlign w:val="bottom"/>
            <w:shd w:val="clear" w:color="auto" w:fill="EDEDED"/>
          </w:tcPr>
          <w:p>
            <w:pPr>
              <w:spacing w:after="0"/>
              <w:rPr>
                <w:sz w:val="17"/>
                <w:szCs w:val="17"/>
                <w:color w:val="auto"/>
              </w:rPr>
            </w:pPr>
          </w:p>
        </w:tc>
        <w:tc>
          <w:tcPr>
            <w:tcW w:w="420" w:type="dxa"/>
            <w:vAlign w:val="bottom"/>
            <w:shd w:val="clear" w:color="auto" w:fill="EDEDED"/>
          </w:tcPr>
          <w:p>
            <w:pPr>
              <w:spacing w:after="0"/>
              <w:rPr>
                <w:sz w:val="17"/>
                <w:szCs w:val="17"/>
                <w:color w:val="auto"/>
              </w:rPr>
            </w:pPr>
          </w:p>
        </w:tc>
        <w:tc>
          <w:tcPr>
            <w:tcW w:w="440" w:type="dxa"/>
            <w:vAlign w:val="bottom"/>
            <w:shd w:val="clear" w:color="auto" w:fill="EDEDED"/>
          </w:tcPr>
          <w:p>
            <w:pPr>
              <w:spacing w:after="0"/>
              <w:rPr>
                <w:sz w:val="17"/>
                <w:szCs w:val="17"/>
                <w:color w:val="auto"/>
              </w:rPr>
            </w:pPr>
          </w:p>
        </w:tc>
        <w:tc>
          <w:tcPr>
            <w:tcW w:w="42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BF0000"/>
              </w:rPr>
              <w:t>●</w:t>
            </w:r>
          </w:p>
        </w:tc>
        <w:tc>
          <w:tcPr>
            <w:tcW w:w="420" w:type="dxa"/>
            <w:vAlign w:val="bottom"/>
            <w:shd w:val="clear" w:color="auto" w:fill="EDEDED"/>
          </w:tcPr>
          <w:p>
            <w:pPr>
              <w:spacing w:after="0"/>
              <w:rPr>
                <w:sz w:val="17"/>
                <w:szCs w:val="17"/>
                <w:color w:val="auto"/>
              </w:rPr>
            </w:pPr>
          </w:p>
        </w:tc>
        <w:tc>
          <w:tcPr>
            <w:tcW w:w="400" w:type="dxa"/>
            <w:vAlign w:val="bottom"/>
            <w:shd w:val="clear" w:color="auto" w:fill="EDEDED"/>
          </w:tcPr>
          <w:p>
            <w:pPr>
              <w:spacing w:after="0"/>
              <w:rPr>
                <w:sz w:val="17"/>
                <w:szCs w:val="17"/>
                <w:color w:val="auto"/>
              </w:rPr>
            </w:pPr>
          </w:p>
        </w:tc>
      </w:tr>
      <w:tr>
        <w:trPr>
          <w:trHeight w:val="184"/>
        </w:trPr>
        <w:tc>
          <w:tcPr>
            <w:tcW w:w="4080" w:type="dxa"/>
            <w:vAlign w:val="bottom"/>
          </w:tcPr>
          <w:p>
            <w:pPr>
              <w:ind w:left="60"/>
              <w:spacing w:after="0"/>
              <w:rPr>
                <w:sz w:val="20"/>
                <w:szCs w:val="20"/>
                <w:color w:val="auto"/>
              </w:rPr>
            </w:pPr>
            <w:r>
              <w:rPr>
                <w:rFonts w:ascii="Arial" w:cs="Arial" w:eastAsia="Arial" w:hAnsi="Arial"/>
                <w:sz w:val="16"/>
                <w:szCs w:val="16"/>
                <w:color w:val="435363"/>
              </w:rPr>
              <w:t>White</w:t>
            </w:r>
          </w:p>
        </w:tc>
        <w:tc>
          <w:tcPr>
            <w:tcW w:w="25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BF0000"/>
                <w:w w:val="82"/>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BF0000"/>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BF0000"/>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BF0000"/>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BF0000"/>
              </w:rPr>
              <w:t>●</w:t>
            </w:r>
          </w:p>
        </w:tc>
        <w:tc>
          <w:tcPr>
            <w:tcW w:w="42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BF0000"/>
                <w:w w:val="82"/>
              </w:rPr>
              <w:t>●</w:t>
            </w:r>
          </w:p>
        </w:tc>
        <w:tc>
          <w:tcPr>
            <w:tcW w:w="4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BF0000"/>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BF0000"/>
                <w:w w:val="82"/>
              </w:rPr>
              <w:t>●</w:t>
            </w:r>
          </w:p>
        </w:tc>
      </w:tr>
      <w:tr>
        <w:trPr>
          <w:trHeight w:val="199"/>
        </w:trPr>
        <w:tc>
          <w:tcPr>
            <w:tcW w:w="4080" w:type="dxa"/>
            <w:vAlign w:val="bottom"/>
            <w:tcBorders>
              <w:bottom w:val="single" w:sz="8" w:color="BF0000"/>
            </w:tcBorders>
          </w:tcPr>
          <w:p>
            <w:pPr>
              <w:ind w:left="60"/>
              <w:spacing w:after="0"/>
              <w:rPr>
                <w:sz w:val="20"/>
                <w:szCs w:val="20"/>
                <w:color w:val="auto"/>
              </w:rPr>
            </w:pPr>
            <w:r>
              <w:rPr>
                <w:rFonts w:ascii="Arial" w:cs="Arial" w:eastAsia="Arial" w:hAnsi="Arial"/>
                <w:sz w:val="16"/>
                <w:szCs w:val="16"/>
                <w:b w:val="1"/>
                <w:bCs w:val="1"/>
                <w:color w:val="435363"/>
              </w:rPr>
              <w:t>GENDER</w:t>
            </w:r>
          </w:p>
        </w:tc>
        <w:tc>
          <w:tcPr>
            <w:tcW w:w="2500" w:type="dxa"/>
            <w:vAlign w:val="bottom"/>
            <w:tcBorders>
              <w:bottom w:val="single" w:sz="8" w:color="BF0000"/>
            </w:tcBorders>
          </w:tcPr>
          <w:p>
            <w:pPr>
              <w:spacing w:after="0"/>
              <w:rPr>
                <w:sz w:val="17"/>
                <w:szCs w:val="17"/>
                <w:color w:val="auto"/>
              </w:rPr>
            </w:pPr>
          </w:p>
        </w:tc>
        <w:tc>
          <w:tcPr>
            <w:tcW w:w="440" w:type="dxa"/>
            <w:vAlign w:val="bottom"/>
            <w:tcBorders>
              <w:bottom w:val="single" w:sz="8" w:color="BF0000"/>
            </w:tcBorders>
          </w:tcPr>
          <w:p>
            <w:pPr>
              <w:spacing w:after="0"/>
              <w:rPr>
                <w:sz w:val="17"/>
                <w:szCs w:val="17"/>
                <w:color w:val="auto"/>
              </w:rPr>
            </w:pPr>
          </w:p>
        </w:tc>
        <w:tc>
          <w:tcPr>
            <w:tcW w:w="420" w:type="dxa"/>
            <w:vAlign w:val="bottom"/>
            <w:tcBorders>
              <w:bottom w:val="single" w:sz="8" w:color="BF0000"/>
            </w:tcBorders>
          </w:tcPr>
          <w:p>
            <w:pPr>
              <w:spacing w:after="0"/>
              <w:rPr>
                <w:sz w:val="17"/>
                <w:szCs w:val="17"/>
                <w:color w:val="auto"/>
              </w:rPr>
            </w:pPr>
          </w:p>
        </w:tc>
        <w:tc>
          <w:tcPr>
            <w:tcW w:w="420" w:type="dxa"/>
            <w:vAlign w:val="bottom"/>
            <w:tcBorders>
              <w:bottom w:val="single" w:sz="8" w:color="BF0000"/>
            </w:tcBorders>
          </w:tcPr>
          <w:p>
            <w:pPr>
              <w:spacing w:after="0"/>
              <w:rPr>
                <w:sz w:val="17"/>
                <w:szCs w:val="17"/>
                <w:color w:val="auto"/>
              </w:rPr>
            </w:pPr>
          </w:p>
        </w:tc>
        <w:tc>
          <w:tcPr>
            <w:tcW w:w="420" w:type="dxa"/>
            <w:vAlign w:val="bottom"/>
            <w:tcBorders>
              <w:bottom w:val="single" w:sz="8" w:color="BF0000"/>
            </w:tcBorders>
          </w:tcPr>
          <w:p>
            <w:pPr>
              <w:spacing w:after="0"/>
              <w:rPr>
                <w:sz w:val="17"/>
                <w:szCs w:val="17"/>
                <w:color w:val="auto"/>
              </w:rPr>
            </w:pPr>
          </w:p>
        </w:tc>
        <w:tc>
          <w:tcPr>
            <w:tcW w:w="420" w:type="dxa"/>
            <w:vAlign w:val="bottom"/>
            <w:tcBorders>
              <w:bottom w:val="single" w:sz="8" w:color="BF0000"/>
            </w:tcBorders>
          </w:tcPr>
          <w:p>
            <w:pPr>
              <w:spacing w:after="0"/>
              <w:rPr>
                <w:sz w:val="17"/>
                <w:szCs w:val="17"/>
                <w:color w:val="auto"/>
              </w:rPr>
            </w:pPr>
          </w:p>
        </w:tc>
        <w:tc>
          <w:tcPr>
            <w:tcW w:w="420" w:type="dxa"/>
            <w:vAlign w:val="bottom"/>
            <w:tcBorders>
              <w:bottom w:val="single" w:sz="8" w:color="BF0000"/>
            </w:tcBorders>
          </w:tcPr>
          <w:p>
            <w:pPr>
              <w:spacing w:after="0"/>
              <w:rPr>
                <w:sz w:val="17"/>
                <w:szCs w:val="17"/>
                <w:color w:val="auto"/>
              </w:rPr>
            </w:pPr>
          </w:p>
        </w:tc>
        <w:tc>
          <w:tcPr>
            <w:tcW w:w="440" w:type="dxa"/>
            <w:vAlign w:val="bottom"/>
            <w:tcBorders>
              <w:bottom w:val="single" w:sz="8" w:color="BF0000"/>
            </w:tcBorders>
          </w:tcPr>
          <w:p>
            <w:pPr>
              <w:spacing w:after="0"/>
              <w:rPr>
                <w:sz w:val="17"/>
                <w:szCs w:val="17"/>
                <w:color w:val="auto"/>
              </w:rPr>
            </w:pPr>
          </w:p>
        </w:tc>
        <w:tc>
          <w:tcPr>
            <w:tcW w:w="420" w:type="dxa"/>
            <w:vAlign w:val="bottom"/>
            <w:tcBorders>
              <w:bottom w:val="single" w:sz="8" w:color="BF0000"/>
            </w:tcBorders>
          </w:tcPr>
          <w:p>
            <w:pPr>
              <w:spacing w:after="0"/>
              <w:rPr>
                <w:sz w:val="17"/>
                <w:szCs w:val="17"/>
                <w:color w:val="auto"/>
              </w:rPr>
            </w:pPr>
          </w:p>
        </w:tc>
        <w:tc>
          <w:tcPr>
            <w:tcW w:w="420" w:type="dxa"/>
            <w:vAlign w:val="bottom"/>
            <w:tcBorders>
              <w:bottom w:val="single" w:sz="8" w:color="BF0000"/>
            </w:tcBorders>
          </w:tcPr>
          <w:p>
            <w:pPr>
              <w:spacing w:after="0"/>
              <w:rPr>
                <w:sz w:val="17"/>
                <w:szCs w:val="17"/>
                <w:color w:val="auto"/>
              </w:rPr>
            </w:pPr>
          </w:p>
        </w:tc>
        <w:tc>
          <w:tcPr>
            <w:tcW w:w="400" w:type="dxa"/>
            <w:vAlign w:val="bottom"/>
            <w:tcBorders>
              <w:bottom w:val="single" w:sz="8" w:color="BF0000"/>
            </w:tcBorders>
          </w:tcPr>
          <w:p>
            <w:pPr>
              <w:spacing w:after="0"/>
              <w:rPr>
                <w:sz w:val="17"/>
                <w:szCs w:val="17"/>
                <w:color w:val="auto"/>
              </w:rPr>
            </w:pPr>
          </w:p>
        </w:tc>
      </w:tr>
      <w:tr>
        <w:trPr>
          <w:trHeight w:val="192"/>
        </w:trPr>
        <w:tc>
          <w:tcPr>
            <w:tcW w:w="4080" w:type="dxa"/>
            <w:vAlign w:val="bottom"/>
          </w:tcPr>
          <w:p>
            <w:pPr>
              <w:ind w:left="60"/>
              <w:spacing w:after="0"/>
              <w:rPr>
                <w:sz w:val="20"/>
                <w:szCs w:val="20"/>
                <w:color w:val="auto"/>
              </w:rPr>
            </w:pPr>
            <w:r>
              <w:rPr>
                <w:rFonts w:ascii="Arial" w:cs="Arial" w:eastAsia="Arial" w:hAnsi="Arial"/>
                <w:sz w:val="16"/>
                <w:szCs w:val="16"/>
                <w:color w:val="435363"/>
              </w:rPr>
              <w:t>Male</w:t>
            </w:r>
          </w:p>
        </w:tc>
        <w:tc>
          <w:tcPr>
            <w:tcW w:w="2500" w:type="dxa"/>
            <w:vAlign w:val="bottom"/>
          </w:tcPr>
          <w:p>
            <w:pPr>
              <w:spacing w:after="0"/>
              <w:rPr>
                <w:sz w:val="16"/>
                <w:szCs w:val="16"/>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6"/>
                <w:szCs w:val="16"/>
                <w:color w:val="BF0000"/>
                <w:w w:val="82"/>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BF0000"/>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BF0000"/>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BF0000"/>
              </w:rPr>
              <w:t>●</w:t>
            </w:r>
          </w:p>
        </w:tc>
        <w:tc>
          <w:tcPr>
            <w:tcW w:w="4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BF0000"/>
              </w:rPr>
              <w:t>●</w:t>
            </w:r>
          </w:p>
        </w:tc>
        <w:tc>
          <w:tcPr>
            <w:tcW w:w="44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BF0000"/>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BF0000"/>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BF0000"/>
                <w:w w:val="82"/>
              </w:rPr>
              <w:t>●</w:t>
            </w:r>
          </w:p>
        </w:tc>
      </w:tr>
      <w:tr>
        <w:trPr>
          <w:trHeight w:val="199"/>
        </w:trPr>
        <w:tc>
          <w:tcPr>
            <w:tcW w:w="4080" w:type="dxa"/>
            <w:vAlign w:val="bottom"/>
            <w:shd w:val="clear" w:color="auto" w:fill="EDEDED"/>
          </w:tcPr>
          <w:p>
            <w:pPr>
              <w:ind w:left="60"/>
              <w:spacing w:after="0"/>
              <w:rPr>
                <w:sz w:val="20"/>
                <w:szCs w:val="20"/>
                <w:color w:val="auto"/>
              </w:rPr>
            </w:pPr>
            <w:r>
              <w:rPr>
                <w:rFonts w:ascii="Arial" w:cs="Arial" w:eastAsia="Arial" w:hAnsi="Arial"/>
                <w:sz w:val="16"/>
                <w:szCs w:val="16"/>
                <w:color w:val="435363"/>
              </w:rPr>
              <w:t>Female</w:t>
            </w:r>
          </w:p>
        </w:tc>
        <w:tc>
          <w:tcPr>
            <w:tcW w:w="2500" w:type="dxa"/>
            <w:vAlign w:val="bottom"/>
            <w:shd w:val="clear" w:color="auto" w:fill="EDEDED"/>
          </w:tcPr>
          <w:p>
            <w:pPr>
              <w:jc w:val="center"/>
              <w:ind w:left="2001"/>
              <w:spacing w:after="0"/>
              <w:rPr>
                <w:sz w:val="20"/>
                <w:szCs w:val="20"/>
                <w:color w:val="auto"/>
              </w:rPr>
            </w:pPr>
            <w:r>
              <w:rPr>
                <w:rFonts w:ascii="Times New Roman" w:cs="Times New Roman" w:eastAsia="Times New Roman" w:hAnsi="Times New Roman"/>
                <w:sz w:val="16"/>
                <w:szCs w:val="16"/>
                <w:color w:val="BF0000"/>
              </w:rPr>
              <w:t>●</w:t>
            </w:r>
          </w:p>
        </w:tc>
        <w:tc>
          <w:tcPr>
            <w:tcW w:w="440" w:type="dxa"/>
            <w:vAlign w:val="bottom"/>
            <w:shd w:val="clear" w:color="auto" w:fill="EDEDED"/>
          </w:tcPr>
          <w:p>
            <w:pPr>
              <w:spacing w:after="0"/>
              <w:rPr>
                <w:sz w:val="17"/>
                <w:szCs w:val="17"/>
                <w:color w:val="auto"/>
              </w:rPr>
            </w:pPr>
          </w:p>
        </w:tc>
        <w:tc>
          <w:tcPr>
            <w:tcW w:w="420" w:type="dxa"/>
            <w:vAlign w:val="bottom"/>
            <w:shd w:val="clear" w:color="auto" w:fill="EDEDED"/>
          </w:tcPr>
          <w:p>
            <w:pPr>
              <w:spacing w:after="0"/>
              <w:rPr>
                <w:sz w:val="17"/>
                <w:szCs w:val="17"/>
                <w:color w:val="auto"/>
              </w:rPr>
            </w:pPr>
          </w:p>
        </w:tc>
        <w:tc>
          <w:tcPr>
            <w:tcW w:w="420" w:type="dxa"/>
            <w:vAlign w:val="bottom"/>
            <w:shd w:val="clear" w:color="auto" w:fill="EDEDED"/>
          </w:tcPr>
          <w:p>
            <w:pPr>
              <w:spacing w:after="0"/>
              <w:rPr>
                <w:sz w:val="17"/>
                <w:szCs w:val="17"/>
                <w:color w:val="auto"/>
              </w:rPr>
            </w:pPr>
          </w:p>
        </w:tc>
        <w:tc>
          <w:tcPr>
            <w:tcW w:w="420" w:type="dxa"/>
            <w:vAlign w:val="bottom"/>
            <w:shd w:val="clear" w:color="auto" w:fill="EDEDED"/>
          </w:tcPr>
          <w:p>
            <w:pPr>
              <w:spacing w:after="0"/>
              <w:rPr>
                <w:sz w:val="17"/>
                <w:szCs w:val="17"/>
                <w:color w:val="auto"/>
              </w:rPr>
            </w:pPr>
          </w:p>
        </w:tc>
        <w:tc>
          <w:tcPr>
            <w:tcW w:w="42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BF0000"/>
              </w:rPr>
              <w:t>●</w:t>
            </w:r>
          </w:p>
        </w:tc>
        <w:tc>
          <w:tcPr>
            <w:tcW w:w="420" w:type="dxa"/>
            <w:vAlign w:val="bottom"/>
            <w:shd w:val="clear" w:color="auto" w:fill="EDEDED"/>
          </w:tcPr>
          <w:p>
            <w:pPr>
              <w:spacing w:after="0"/>
              <w:rPr>
                <w:sz w:val="17"/>
                <w:szCs w:val="17"/>
                <w:color w:val="auto"/>
              </w:rPr>
            </w:pPr>
          </w:p>
        </w:tc>
        <w:tc>
          <w:tcPr>
            <w:tcW w:w="44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16"/>
                <w:szCs w:val="16"/>
                <w:color w:val="BF0000"/>
                <w:w w:val="82"/>
              </w:rPr>
              <w:t>●</w:t>
            </w:r>
          </w:p>
        </w:tc>
        <w:tc>
          <w:tcPr>
            <w:tcW w:w="420" w:type="dxa"/>
            <w:vAlign w:val="bottom"/>
            <w:shd w:val="clear" w:color="auto" w:fill="EDEDED"/>
          </w:tcPr>
          <w:p>
            <w:pPr>
              <w:spacing w:after="0"/>
              <w:rPr>
                <w:sz w:val="17"/>
                <w:szCs w:val="17"/>
                <w:color w:val="auto"/>
              </w:rPr>
            </w:pPr>
          </w:p>
        </w:tc>
        <w:tc>
          <w:tcPr>
            <w:tcW w:w="420" w:type="dxa"/>
            <w:vAlign w:val="bottom"/>
            <w:shd w:val="clear" w:color="auto" w:fill="EDEDED"/>
          </w:tcPr>
          <w:p>
            <w:pPr>
              <w:spacing w:after="0"/>
              <w:rPr>
                <w:sz w:val="17"/>
                <w:szCs w:val="17"/>
                <w:color w:val="auto"/>
              </w:rPr>
            </w:pPr>
          </w:p>
        </w:tc>
        <w:tc>
          <w:tcPr>
            <w:tcW w:w="400" w:type="dxa"/>
            <w:vAlign w:val="bottom"/>
            <w:shd w:val="clear" w:color="auto" w:fill="EDEDED"/>
          </w:tcPr>
          <w:p>
            <w:pPr>
              <w:spacing w:after="0"/>
              <w:rPr>
                <w:sz w:val="17"/>
                <w:szCs w:val="17"/>
                <w:color w:val="auto"/>
              </w:rPr>
            </w:pPr>
          </w:p>
        </w:tc>
      </w:tr>
      <w:tr>
        <w:trPr>
          <w:trHeight w:val="185"/>
        </w:trPr>
        <w:tc>
          <w:tcPr>
            <w:tcW w:w="4080" w:type="dxa"/>
            <w:vAlign w:val="bottom"/>
            <w:tcBorders>
              <w:bottom w:val="single" w:sz="8" w:color="BF0000"/>
            </w:tcBorders>
          </w:tcPr>
          <w:p>
            <w:pPr>
              <w:ind w:left="60"/>
              <w:spacing w:after="0"/>
              <w:rPr>
                <w:sz w:val="20"/>
                <w:szCs w:val="20"/>
                <w:color w:val="auto"/>
              </w:rPr>
            </w:pPr>
            <w:r>
              <w:rPr>
                <w:rFonts w:ascii="Arial" w:cs="Arial" w:eastAsia="Arial" w:hAnsi="Arial"/>
                <w:sz w:val="16"/>
                <w:szCs w:val="16"/>
                <w:b w:val="1"/>
                <w:bCs w:val="1"/>
                <w:color w:val="435363"/>
              </w:rPr>
              <w:t>BOARD TENURE</w:t>
            </w:r>
          </w:p>
        </w:tc>
        <w:tc>
          <w:tcPr>
            <w:tcW w:w="2500" w:type="dxa"/>
            <w:vAlign w:val="bottom"/>
            <w:tcBorders>
              <w:bottom w:val="single" w:sz="8" w:color="BF0000"/>
            </w:tcBorders>
          </w:tcPr>
          <w:p>
            <w:pPr>
              <w:spacing w:after="0"/>
              <w:rPr>
                <w:sz w:val="16"/>
                <w:szCs w:val="16"/>
                <w:color w:val="auto"/>
              </w:rPr>
            </w:pPr>
          </w:p>
        </w:tc>
        <w:tc>
          <w:tcPr>
            <w:tcW w:w="440" w:type="dxa"/>
            <w:vAlign w:val="bottom"/>
            <w:tcBorders>
              <w:bottom w:val="single" w:sz="8" w:color="BF0000"/>
            </w:tcBorders>
          </w:tcPr>
          <w:p>
            <w:pPr>
              <w:spacing w:after="0"/>
              <w:rPr>
                <w:sz w:val="16"/>
                <w:szCs w:val="16"/>
                <w:color w:val="auto"/>
              </w:rPr>
            </w:pPr>
          </w:p>
        </w:tc>
        <w:tc>
          <w:tcPr>
            <w:tcW w:w="420" w:type="dxa"/>
            <w:vAlign w:val="bottom"/>
            <w:tcBorders>
              <w:bottom w:val="single" w:sz="8" w:color="BF0000"/>
            </w:tcBorders>
          </w:tcPr>
          <w:p>
            <w:pPr>
              <w:spacing w:after="0"/>
              <w:rPr>
                <w:sz w:val="16"/>
                <w:szCs w:val="16"/>
                <w:color w:val="auto"/>
              </w:rPr>
            </w:pPr>
          </w:p>
        </w:tc>
        <w:tc>
          <w:tcPr>
            <w:tcW w:w="420" w:type="dxa"/>
            <w:vAlign w:val="bottom"/>
            <w:tcBorders>
              <w:bottom w:val="single" w:sz="8" w:color="BF0000"/>
            </w:tcBorders>
          </w:tcPr>
          <w:p>
            <w:pPr>
              <w:spacing w:after="0"/>
              <w:rPr>
                <w:sz w:val="16"/>
                <w:szCs w:val="16"/>
                <w:color w:val="auto"/>
              </w:rPr>
            </w:pPr>
          </w:p>
        </w:tc>
        <w:tc>
          <w:tcPr>
            <w:tcW w:w="420" w:type="dxa"/>
            <w:vAlign w:val="bottom"/>
            <w:tcBorders>
              <w:bottom w:val="single" w:sz="8" w:color="BF0000"/>
            </w:tcBorders>
          </w:tcPr>
          <w:p>
            <w:pPr>
              <w:spacing w:after="0"/>
              <w:rPr>
                <w:sz w:val="16"/>
                <w:szCs w:val="16"/>
                <w:color w:val="auto"/>
              </w:rPr>
            </w:pPr>
          </w:p>
        </w:tc>
        <w:tc>
          <w:tcPr>
            <w:tcW w:w="420" w:type="dxa"/>
            <w:vAlign w:val="bottom"/>
            <w:tcBorders>
              <w:bottom w:val="single" w:sz="8" w:color="BF0000"/>
            </w:tcBorders>
          </w:tcPr>
          <w:p>
            <w:pPr>
              <w:spacing w:after="0"/>
              <w:rPr>
                <w:sz w:val="16"/>
                <w:szCs w:val="16"/>
                <w:color w:val="auto"/>
              </w:rPr>
            </w:pPr>
          </w:p>
        </w:tc>
        <w:tc>
          <w:tcPr>
            <w:tcW w:w="420" w:type="dxa"/>
            <w:vAlign w:val="bottom"/>
            <w:tcBorders>
              <w:bottom w:val="single" w:sz="8" w:color="BF0000"/>
            </w:tcBorders>
          </w:tcPr>
          <w:p>
            <w:pPr>
              <w:spacing w:after="0"/>
              <w:rPr>
                <w:sz w:val="16"/>
                <w:szCs w:val="16"/>
                <w:color w:val="auto"/>
              </w:rPr>
            </w:pPr>
          </w:p>
        </w:tc>
        <w:tc>
          <w:tcPr>
            <w:tcW w:w="440" w:type="dxa"/>
            <w:vAlign w:val="bottom"/>
            <w:tcBorders>
              <w:bottom w:val="single" w:sz="8" w:color="BF0000"/>
            </w:tcBorders>
          </w:tcPr>
          <w:p>
            <w:pPr>
              <w:spacing w:after="0"/>
              <w:rPr>
                <w:sz w:val="16"/>
                <w:szCs w:val="16"/>
                <w:color w:val="auto"/>
              </w:rPr>
            </w:pPr>
          </w:p>
        </w:tc>
        <w:tc>
          <w:tcPr>
            <w:tcW w:w="420" w:type="dxa"/>
            <w:vAlign w:val="bottom"/>
            <w:tcBorders>
              <w:bottom w:val="single" w:sz="8" w:color="BF0000"/>
            </w:tcBorders>
          </w:tcPr>
          <w:p>
            <w:pPr>
              <w:spacing w:after="0"/>
              <w:rPr>
                <w:sz w:val="16"/>
                <w:szCs w:val="16"/>
                <w:color w:val="auto"/>
              </w:rPr>
            </w:pPr>
          </w:p>
        </w:tc>
        <w:tc>
          <w:tcPr>
            <w:tcW w:w="420" w:type="dxa"/>
            <w:vAlign w:val="bottom"/>
            <w:tcBorders>
              <w:bottom w:val="single" w:sz="8" w:color="BF0000"/>
            </w:tcBorders>
          </w:tcPr>
          <w:p>
            <w:pPr>
              <w:spacing w:after="0"/>
              <w:rPr>
                <w:sz w:val="16"/>
                <w:szCs w:val="16"/>
                <w:color w:val="auto"/>
              </w:rPr>
            </w:pPr>
          </w:p>
        </w:tc>
        <w:tc>
          <w:tcPr>
            <w:tcW w:w="400" w:type="dxa"/>
            <w:vAlign w:val="bottom"/>
            <w:tcBorders>
              <w:bottom w:val="single" w:sz="8" w:color="BF0000"/>
            </w:tcBorders>
          </w:tcPr>
          <w:p>
            <w:pPr>
              <w:spacing w:after="0"/>
              <w:rPr>
                <w:sz w:val="16"/>
                <w:szCs w:val="16"/>
                <w:color w:val="auto"/>
              </w:rPr>
            </w:pPr>
          </w:p>
        </w:tc>
      </w:tr>
      <w:tr>
        <w:trPr>
          <w:trHeight w:val="179"/>
        </w:trPr>
        <w:tc>
          <w:tcPr>
            <w:tcW w:w="4080" w:type="dxa"/>
            <w:vAlign w:val="bottom"/>
          </w:tcPr>
          <w:p>
            <w:pPr>
              <w:ind w:left="60"/>
              <w:spacing w:after="0" w:line="178" w:lineRule="exact"/>
              <w:rPr>
                <w:sz w:val="20"/>
                <w:szCs w:val="20"/>
                <w:color w:val="auto"/>
              </w:rPr>
            </w:pPr>
            <w:r>
              <w:rPr>
                <w:rFonts w:ascii="Arial" w:cs="Arial" w:eastAsia="Arial" w:hAnsi="Arial"/>
                <w:sz w:val="16"/>
                <w:szCs w:val="16"/>
                <w:color w:val="435363"/>
              </w:rPr>
              <w:t>Years</w:t>
            </w:r>
          </w:p>
        </w:tc>
        <w:tc>
          <w:tcPr>
            <w:tcW w:w="2500" w:type="dxa"/>
            <w:vAlign w:val="bottom"/>
          </w:tcPr>
          <w:p>
            <w:pPr>
              <w:jc w:val="center"/>
              <w:ind w:left="2021"/>
              <w:spacing w:after="0" w:line="178" w:lineRule="exact"/>
              <w:rPr>
                <w:sz w:val="20"/>
                <w:szCs w:val="20"/>
                <w:color w:val="auto"/>
              </w:rPr>
            </w:pPr>
            <w:r>
              <w:rPr>
                <w:rFonts w:ascii="Arial" w:cs="Arial" w:eastAsia="Arial" w:hAnsi="Arial"/>
                <w:sz w:val="16"/>
                <w:szCs w:val="16"/>
                <w:color w:val="435363"/>
                <w:w w:val="89"/>
              </w:rPr>
              <w:t>3</w:t>
            </w:r>
          </w:p>
        </w:tc>
        <w:tc>
          <w:tcPr>
            <w:tcW w:w="440" w:type="dxa"/>
            <w:vAlign w:val="bottom"/>
          </w:tcPr>
          <w:p>
            <w:pPr>
              <w:jc w:val="center"/>
              <w:spacing w:after="0" w:line="178" w:lineRule="exact"/>
              <w:rPr>
                <w:sz w:val="20"/>
                <w:szCs w:val="20"/>
                <w:color w:val="auto"/>
              </w:rPr>
            </w:pPr>
            <w:r>
              <w:rPr>
                <w:rFonts w:ascii="Arial" w:cs="Arial" w:eastAsia="Arial" w:hAnsi="Arial"/>
                <w:sz w:val="16"/>
                <w:szCs w:val="16"/>
                <w:color w:val="435363"/>
                <w:w w:val="89"/>
              </w:rPr>
              <w:t>10</w:t>
            </w:r>
          </w:p>
        </w:tc>
        <w:tc>
          <w:tcPr>
            <w:tcW w:w="420" w:type="dxa"/>
            <w:vAlign w:val="bottom"/>
          </w:tcPr>
          <w:p>
            <w:pPr>
              <w:jc w:val="center"/>
              <w:spacing w:after="0" w:line="178" w:lineRule="exact"/>
              <w:rPr>
                <w:sz w:val="20"/>
                <w:szCs w:val="20"/>
                <w:color w:val="auto"/>
              </w:rPr>
            </w:pPr>
            <w:r>
              <w:rPr>
                <w:rFonts w:ascii="Arial" w:cs="Arial" w:eastAsia="Arial" w:hAnsi="Arial"/>
                <w:sz w:val="16"/>
                <w:szCs w:val="16"/>
                <w:color w:val="435363"/>
              </w:rPr>
              <w:t>10</w:t>
            </w:r>
          </w:p>
        </w:tc>
        <w:tc>
          <w:tcPr>
            <w:tcW w:w="420" w:type="dxa"/>
            <w:vAlign w:val="bottom"/>
          </w:tcPr>
          <w:p>
            <w:pPr>
              <w:jc w:val="center"/>
              <w:spacing w:after="0" w:line="178" w:lineRule="exact"/>
              <w:rPr>
                <w:sz w:val="20"/>
                <w:szCs w:val="20"/>
                <w:color w:val="auto"/>
              </w:rPr>
            </w:pPr>
            <w:r>
              <w:rPr>
                <w:rFonts w:ascii="Arial" w:cs="Arial" w:eastAsia="Arial" w:hAnsi="Arial"/>
                <w:sz w:val="16"/>
                <w:szCs w:val="16"/>
                <w:color w:val="435363"/>
              </w:rPr>
              <w:t>10</w:t>
            </w:r>
          </w:p>
        </w:tc>
        <w:tc>
          <w:tcPr>
            <w:tcW w:w="420" w:type="dxa"/>
            <w:vAlign w:val="bottom"/>
          </w:tcPr>
          <w:p>
            <w:pPr>
              <w:jc w:val="center"/>
              <w:spacing w:after="0" w:line="178" w:lineRule="exact"/>
              <w:rPr>
                <w:sz w:val="20"/>
                <w:szCs w:val="20"/>
                <w:color w:val="auto"/>
              </w:rPr>
            </w:pPr>
            <w:r>
              <w:rPr>
                <w:rFonts w:ascii="Arial" w:cs="Arial" w:eastAsia="Arial" w:hAnsi="Arial"/>
                <w:sz w:val="16"/>
                <w:szCs w:val="16"/>
                <w:color w:val="435363"/>
              </w:rPr>
              <w:t>2</w:t>
            </w:r>
          </w:p>
        </w:tc>
        <w:tc>
          <w:tcPr>
            <w:tcW w:w="420" w:type="dxa"/>
            <w:vAlign w:val="bottom"/>
          </w:tcPr>
          <w:p>
            <w:pPr>
              <w:jc w:val="center"/>
              <w:spacing w:after="0" w:line="178" w:lineRule="exact"/>
              <w:rPr>
                <w:sz w:val="20"/>
                <w:szCs w:val="20"/>
                <w:color w:val="auto"/>
              </w:rPr>
            </w:pPr>
            <w:r>
              <w:rPr>
                <w:rFonts w:ascii="Arial" w:cs="Arial" w:eastAsia="Arial" w:hAnsi="Arial"/>
                <w:sz w:val="16"/>
                <w:szCs w:val="16"/>
                <w:color w:val="435363"/>
              </w:rPr>
              <w:t>8</w:t>
            </w:r>
          </w:p>
        </w:tc>
        <w:tc>
          <w:tcPr>
            <w:tcW w:w="420" w:type="dxa"/>
            <w:vAlign w:val="bottom"/>
          </w:tcPr>
          <w:p>
            <w:pPr>
              <w:jc w:val="center"/>
              <w:spacing w:after="0" w:line="178" w:lineRule="exact"/>
              <w:rPr>
                <w:sz w:val="20"/>
                <w:szCs w:val="20"/>
                <w:color w:val="auto"/>
              </w:rPr>
            </w:pPr>
            <w:r>
              <w:rPr>
                <w:rFonts w:ascii="Arial" w:cs="Arial" w:eastAsia="Arial" w:hAnsi="Arial"/>
                <w:sz w:val="16"/>
                <w:szCs w:val="16"/>
                <w:color w:val="435363"/>
                <w:w w:val="89"/>
              </w:rPr>
              <w:t>8</w:t>
            </w:r>
          </w:p>
        </w:tc>
        <w:tc>
          <w:tcPr>
            <w:tcW w:w="440" w:type="dxa"/>
            <w:vAlign w:val="bottom"/>
          </w:tcPr>
          <w:p>
            <w:pPr>
              <w:jc w:val="center"/>
              <w:spacing w:after="0" w:line="178" w:lineRule="exact"/>
              <w:rPr>
                <w:sz w:val="20"/>
                <w:szCs w:val="20"/>
                <w:color w:val="auto"/>
              </w:rPr>
            </w:pPr>
            <w:r>
              <w:rPr>
                <w:rFonts w:ascii="Arial" w:cs="Arial" w:eastAsia="Arial" w:hAnsi="Arial"/>
                <w:sz w:val="16"/>
                <w:szCs w:val="16"/>
                <w:color w:val="435363"/>
                <w:w w:val="89"/>
              </w:rPr>
              <w:t>10</w:t>
            </w:r>
          </w:p>
        </w:tc>
        <w:tc>
          <w:tcPr>
            <w:tcW w:w="420" w:type="dxa"/>
            <w:vAlign w:val="bottom"/>
          </w:tcPr>
          <w:p>
            <w:pPr>
              <w:jc w:val="center"/>
              <w:spacing w:after="0" w:line="178" w:lineRule="exact"/>
              <w:rPr>
                <w:sz w:val="20"/>
                <w:szCs w:val="20"/>
                <w:color w:val="auto"/>
              </w:rPr>
            </w:pPr>
            <w:r>
              <w:rPr>
                <w:rFonts w:ascii="Arial" w:cs="Arial" w:eastAsia="Arial" w:hAnsi="Arial"/>
                <w:sz w:val="16"/>
                <w:szCs w:val="16"/>
                <w:color w:val="435363"/>
                <w:w w:val="89"/>
              </w:rPr>
              <w:t>1</w:t>
            </w:r>
          </w:p>
        </w:tc>
        <w:tc>
          <w:tcPr>
            <w:tcW w:w="420" w:type="dxa"/>
            <w:vAlign w:val="bottom"/>
          </w:tcPr>
          <w:p>
            <w:pPr>
              <w:jc w:val="center"/>
              <w:spacing w:after="0" w:line="178" w:lineRule="exact"/>
              <w:rPr>
                <w:sz w:val="20"/>
                <w:szCs w:val="20"/>
                <w:color w:val="auto"/>
              </w:rPr>
            </w:pPr>
            <w:r>
              <w:rPr>
                <w:rFonts w:ascii="Arial" w:cs="Arial" w:eastAsia="Arial" w:hAnsi="Arial"/>
                <w:sz w:val="16"/>
                <w:szCs w:val="16"/>
                <w:color w:val="435363"/>
              </w:rPr>
              <w:t>2</w:t>
            </w:r>
          </w:p>
        </w:tc>
        <w:tc>
          <w:tcPr>
            <w:tcW w:w="400" w:type="dxa"/>
            <w:vAlign w:val="bottom"/>
          </w:tcPr>
          <w:p>
            <w:pPr>
              <w:jc w:val="center"/>
              <w:spacing w:after="0" w:line="178" w:lineRule="exact"/>
              <w:rPr>
                <w:sz w:val="20"/>
                <w:szCs w:val="20"/>
                <w:color w:val="auto"/>
              </w:rPr>
            </w:pPr>
            <w:r>
              <w:rPr>
                <w:rFonts w:ascii="Arial" w:cs="Arial" w:eastAsia="Arial" w:hAnsi="Arial"/>
                <w:sz w:val="16"/>
                <w:szCs w:val="16"/>
                <w:color w:val="435363"/>
                <w:w w:val="89"/>
              </w:rPr>
              <w:t>3</w:t>
            </w:r>
          </w:p>
        </w:tc>
      </w:tr>
      <w:tr>
        <w:trPr>
          <w:trHeight w:val="185"/>
        </w:trPr>
        <w:tc>
          <w:tcPr>
            <w:tcW w:w="4080" w:type="dxa"/>
            <w:vAlign w:val="bottom"/>
            <w:shd w:val="clear" w:color="auto" w:fill="EDEDED"/>
          </w:tcPr>
          <w:p>
            <w:pPr>
              <w:ind w:left="60"/>
              <w:spacing w:after="0"/>
              <w:rPr>
                <w:sz w:val="20"/>
                <w:szCs w:val="20"/>
                <w:color w:val="auto"/>
              </w:rPr>
            </w:pPr>
            <w:r>
              <w:rPr>
                <w:rFonts w:ascii="Arial" w:cs="Arial" w:eastAsia="Arial" w:hAnsi="Arial"/>
                <w:sz w:val="16"/>
                <w:szCs w:val="16"/>
                <w:color w:val="435363"/>
              </w:rPr>
              <w:t>Age</w:t>
            </w:r>
          </w:p>
        </w:tc>
        <w:tc>
          <w:tcPr>
            <w:tcW w:w="2500" w:type="dxa"/>
            <w:vAlign w:val="bottom"/>
            <w:shd w:val="clear" w:color="auto" w:fill="EDEDED"/>
          </w:tcPr>
          <w:p>
            <w:pPr>
              <w:jc w:val="center"/>
              <w:ind w:left="2001"/>
              <w:spacing w:after="0"/>
              <w:rPr>
                <w:sz w:val="20"/>
                <w:szCs w:val="20"/>
                <w:color w:val="auto"/>
              </w:rPr>
            </w:pPr>
            <w:r>
              <w:rPr>
                <w:rFonts w:ascii="Arial" w:cs="Arial" w:eastAsia="Arial" w:hAnsi="Arial"/>
                <w:sz w:val="16"/>
                <w:szCs w:val="16"/>
                <w:color w:val="435363"/>
              </w:rPr>
              <w:t>65</w:t>
            </w:r>
          </w:p>
        </w:tc>
        <w:tc>
          <w:tcPr>
            <w:tcW w:w="440" w:type="dxa"/>
            <w:vAlign w:val="bottom"/>
            <w:shd w:val="clear" w:color="auto" w:fill="EDEDED"/>
          </w:tcPr>
          <w:p>
            <w:pPr>
              <w:jc w:val="center"/>
              <w:spacing w:after="0"/>
              <w:rPr>
                <w:sz w:val="20"/>
                <w:szCs w:val="20"/>
                <w:color w:val="auto"/>
              </w:rPr>
            </w:pPr>
            <w:r>
              <w:rPr>
                <w:rFonts w:ascii="Arial" w:cs="Arial" w:eastAsia="Arial" w:hAnsi="Arial"/>
                <w:sz w:val="16"/>
                <w:szCs w:val="16"/>
                <w:color w:val="435363"/>
                <w:w w:val="89"/>
              </w:rPr>
              <w:t>66</w:t>
            </w:r>
          </w:p>
        </w:tc>
        <w:tc>
          <w:tcPr>
            <w:tcW w:w="420" w:type="dxa"/>
            <w:vAlign w:val="bottom"/>
            <w:shd w:val="clear" w:color="auto" w:fill="EDEDED"/>
          </w:tcPr>
          <w:p>
            <w:pPr>
              <w:jc w:val="center"/>
              <w:spacing w:after="0"/>
              <w:rPr>
                <w:sz w:val="20"/>
                <w:szCs w:val="20"/>
                <w:color w:val="auto"/>
              </w:rPr>
            </w:pPr>
            <w:r>
              <w:rPr>
                <w:rFonts w:ascii="Arial" w:cs="Arial" w:eastAsia="Arial" w:hAnsi="Arial"/>
                <w:sz w:val="16"/>
                <w:szCs w:val="16"/>
                <w:color w:val="435363"/>
              </w:rPr>
              <w:t>60</w:t>
            </w:r>
          </w:p>
        </w:tc>
        <w:tc>
          <w:tcPr>
            <w:tcW w:w="420" w:type="dxa"/>
            <w:vAlign w:val="bottom"/>
            <w:shd w:val="clear" w:color="auto" w:fill="EDEDED"/>
          </w:tcPr>
          <w:p>
            <w:pPr>
              <w:jc w:val="center"/>
              <w:spacing w:after="0"/>
              <w:rPr>
                <w:sz w:val="20"/>
                <w:szCs w:val="20"/>
                <w:color w:val="auto"/>
              </w:rPr>
            </w:pPr>
            <w:r>
              <w:rPr>
                <w:rFonts w:ascii="Arial" w:cs="Arial" w:eastAsia="Arial" w:hAnsi="Arial"/>
                <w:sz w:val="16"/>
                <w:szCs w:val="16"/>
                <w:color w:val="435363"/>
              </w:rPr>
              <w:t>72</w:t>
            </w:r>
          </w:p>
        </w:tc>
        <w:tc>
          <w:tcPr>
            <w:tcW w:w="420" w:type="dxa"/>
            <w:vAlign w:val="bottom"/>
            <w:shd w:val="clear" w:color="auto" w:fill="EDEDED"/>
          </w:tcPr>
          <w:p>
            <w:pPr>
              <w:jc w:val="center"/>
              <w:spacing w:after="0"/>
              <w:rPr>
                <w:sz w:val="20"/>
                <w:szCs w:val="20"/>
                <w:color w:val="auto"/>
              </w:rPr>
            </w:pPr>
            <w:r>
              <w:rPr>
                <w:rFonts w:ascii="Arial" w:cs="Arial" w:eastAsia="Arial" w:hAnsi="Arial"/>
                <w:sz w:val="16"/>
                <w:szCs w:val="16"/>
                <w:color w:val="435363"/>
              </w:rPr>
              <w:t>60</w:t>
            </w:r>
          </w:p>
        </w:tc>
        <w:tc>
          <w:tcPr>
            <w:tcW w:w="420" w:type="dxa"/>
            <w:vAlign w:val="bottom"/>
            <w:shd w:val="clear" w:color="auto" w:fill="EDEDED"/>
          </w:tcPr>
          <w:p>
            <w:pPr>
              <w:jc w:val="center"/>
              <w:spacing w:after="0"/>
              <w:rPr>
                <w:sz w:val="20"/>
                <w:szCs w:val="20"/>
                <w:color w:val="auto"/>
              </w:rPr>
            </w:pPr>
            <w:r>
              <w:rPr>
                <w:rFonts w:ascii="Arial" w:cs="Arial" w:eastAsia="Arial" w:hAnsi="Arial"/>
                <w:sz w:val="16"/>
                <w:szCs w:val="16"/>
                <w:color w:val="435363"/>
              </w:rPr>
              <w:t>72</w:t>
            </w:r>
          </w:p>
        </w:tc>
        <w:tc>
          <w:tcPr>
            <w:tcW w:w="420" w:type="dxa"/>
            <w:vAlign w:val="bottom"/>
            <w:shd w:val="clear" w:color="auto" w:fill="EDEDED"/>
          </w:tcPr>
          <w:p>
            <w:pPr>
              <w:jc w:val="center"/>
              <w:spacing w:after="0"/>
              <w:rPr>
                <w:sz w:val="20"/>
                <w:szCs w:val="20"/>
                <w:color w:val="auto"/>
              </w:rPr>
            </w:pPr>
            <w:r>
              <w:rPr>
                <w:rFonts w:ascii="Arial" w:cs="Arial" w:eastAsia="Arial" w:hAnsi="Arial"/>
                <w:sz w:val="16"/>
                <w:szCs w:val="16"/>
                <w:color w:val="435363"/>
              </w:rPr>
              <w:t>61</w:t>
            </w:r>
          </w:p>
        </w:tc>
        <w:tc>
          <w:tcPr>
            <w:tcW w:w="440" w:type="dxa"/>
            <w:vAlign w:val="bottom"/>
            <w:shd w:val="clear" w:color="auto" w:fill="EDEDED"/>
          </w:tcPr>
          <w:p>
            <w:pPr>
              <w:jc w:val="center"/>
              <w:spacing w:after="0"/>
              <w:rPr>
                <w:sz w:val="20"/>
                <w:szCs w:val="20"/>
                <w:color w:val="auto"/>
              </w:rPr>
            </w:pPr>
            <w:r>
              <w:rPr>
                <w:rFonts w:ascii="Arial" w:cs="Arial" w:eastAsia="Arial" w:hAnsi="Arial"/>
                <w:sz w:val="16"/>
                <w:szCs w:val="16"/>
                <w:color w:val="435363"/>
                <w:w w:val="89"/>
              </w:rPr>
              <w:t>66</w:t>
            </w:r>
          </w:p>
        </w:tc>
        <w:tc>
          <w:tcPr>
            <w:tcW w:w="420" w:type="dxa"/>
            <w:vAlign w:val="bottom"/>
            <w:shd w:val="clear" w:color="auto" w:fill="EDEDED"/>
          </w:tcPr>
          <w:p>
            <w:pPr>
              <w:jc w:val="center"/>
              <w:spacing w:after="0"/>
              <w:rPr>
                <w:sz w:val="20"/>
                <w:szCs w:val="20"/>
                <w:color w:val="auto"/>
              </w:rPr>
            </w:pPr>
            <w:r>
              <w:rPr>
                <w:rFonts w:ascii="Arial" w:cs="Arial" w:eastAsia="Arial" w:hAnsi="Arial"/>
                <w:sz w:val="16"/>
                <w:szCs w:val="16"/>
                <w:color w:val="435363"/>
              </w:rPr>
              <w:t>49</w:t>
            </w:r>
          </w:p>
        </w:tc>
        <w:tc>
          <w:tcPr>
            <w:tcW w:w="420" w:type="dxa"/>
            <w:vAlign w:val="bottom"/>
            <w:shd w:val="clear" w:color="auto" w:fill="EDEDED"/>
          </w:tcPr>
          <w:p>
            <w:pPr>
              <w:jc w:val="center"/>
              <w:spacing w:after="0"/>
              <w:rPr>
                <w:sz w:val="20"/>
                <w:szCs w:val="20"/>
                <w:color w:val="auto"/>
              </w:rPr>
            </w:pPr>
            <w:r>
              <w:rPr>
                <w:rFonts w:ascii="Arial" w:cs="Arial" w:eastAsia="Arial" w:hAnsi="Arial"/>
                <w:sz w:val="16"/>
                <w:szCs w:val="16"/>
                <w:color w:val="435363"/>
              </w:rPr>
              <w:t>57</w:t>
            </w:r>
          </w:p>
        </w:tc>
        <w:tc>
          <w:tcPr>
            <w:tcW w:w="400" w:type="dxa"/>
            <w:vAlign w:val="bottom"/>
            <w:shd w:val="clear" w:color="auto" w:fill="EDEDED"/>
          </w:tcPr>
          <w:p>
            <w:pPr>
              <w:jc w:val="center"/>
              <w:spacing w:after="0"/>
              <w:rPr>
                <w:sz w:val="20"/>
                <w:szCs w:val="20"/>
                <w:color w:val="auto"/>
              </w:rPr>
            </w:pPr>
            <w:r>
              <w:rPr>
                <w:rFonts w:ascii="Arial" w:cs="Arial" w:eastAsia="Arial" w:hAnsi="Arial"/>
                <w:sz w:val="16"/>
                <w:szCs w:val="16"/>
                <w:color w:val="435363"/>
                <w:w w:val="89"/>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226695</wp:posOffset>
            </wp:positionV>
            <wp:extent cx="5395595" cy="18992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395595" cy="189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Stockholder Recommendations or Nominations of Director Candidates</w:t>
      </w:r>
    </w:p>
    <w:p>
      <w:pPr>
        <w:spacing w:after="0" w:line="90" w:lineRule="exact"/>
        <w:rPr>
          <w:sz w:val="20"/>
          <w:szCs w:val="20"/>
          <w:color w:val="auto"/>
        </w:rPr>
      </w:pPr>
    </w:p>
    <w:p>
      <w:pPr>
        <w:ind w:left="220" w:right="180"/>
        <w:spacing w:after="0" w:line="275" w:lineRule="auto"/>
        <w:rPr>
          <w:sz w:val="20"/>
          <w:szCs w:val="20"/>
          <w:color w:val="auto"/>
        </w:rPr>
      </w:pPr>
      <w:r>
        <w:rPr>
          <w:rFonts w:ascii="Arial" w:cs="Arial" w:eastAsia="Arial" w:hAnsi="Arial"/>
          <w:sz w:val="15"/>
          <w:szCs w:val="15"/>
          <w:color w:val="435363"/>
        </w:rPr>
        <w:t>The Board welcomes recommendations from its stockholders for director candidates that they believe meet the standards described above under “How We Build a Board that is Right for American Airlines.” We encourage stockholders with any such director candidate recommendations to contact us directly prior to going through the formal director nomination procedures described below. The CGPR Committee has a policy of considering candidates who are recommended by stockholders for membership to the Board in the same manner as candidates recommended by members of the Board.</w:t>
      </w:r>
    </w:p>
    <w:p>
      <w:pPr>
        <w:spacing w:after="0" w:line="56" w:lineRule="exact"/>
        <w:rPr>
          <w:sz w:val="20"/>
          <w:szCs w:val="20"/>
          <w:color w:val="auto"/>
        </w:rPr>
      </w:pPr>
    </w:p>
    <w:p>
      <w:pPr>
        <w:ind w:left="220" w:right="20"/>
        <w:spacing w:after="0" w:line="266" w:lineRule="auto"/>
        <w:rPr>
          <w:sz w:val="20"/>
          <w:szCs w:val="20"/>
          <w:color w:val="auto"/>
        </w:rPr>
      </w:pPr>
      <w:r>
        <w:rPr>
          <w:rFonts w:ascii="Arial" w:cs="Arial" w:eastAsia="Arial" w:hAnsi="Arial"/>
          <w:sz w:val="15"/>
          <w:szCs w:val="15"/>
          <w:color w:val="435363"/>
        </w:rPr>
        <w:t>Under our Bylaws, any stockholder wishing to nominate a director should submit in writing the candidate’s name, biographical information, business qualifications and other information required by the Bylaws, to Martin H. Nesbitt, Chair of the Corporate Governance and Public Responsibility Committee, American Airlines Group Inc., MD8B503, 1 Skyview Drive, Fort Worth, Texas 76155. All submissions must be accompanied by the written consent of the proposed nominee to be named as a nominee and to serve as a director, if elected, and must otherwise be in compliance with our Bylaws. The Bylaws require that written nominations be received by the Company no sooner than 120 days and no later than 90 days prior to the first anniversary of the preceding year’s annual meeting of stockholders. For the 2025 annual meeting of stockholders, notice must be delivered no sooner than February 5, 2025 and no later than March 7, 2025. All qualified submissions will be reviewed by the CGPR Committee at the next appropriate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100330</wp:posOffset>
            </wp:positionV>
            <wp:extent cx="5177155" cy="168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64"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435363"/>
        </w:rPr>
        <w:t>17</w:t>
      </w: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right="40"/>
        <w:spacing w:after="0" w:line="248" w:lineRule="auto"/>
        <w:rPr>
          <w:sz w:val="20"/>
          <w:szCs w:val="20"/>
          <w:color w:val="auto"/>
        </w:rPr>
      </w:pPr>
      <w:r>
        <w:rPr>
          <w:rFonts w:ascii="Arial" w:cs="Arial" w:eastAsia="Arial" w:hAnsi="Arial"/>
          <w:sz w:val="16"/>
          <w:szCs w:val="16"/>
          <w:color w:val="435363"/>
        </w:rPr>
        <w:t>In addition, our Bylaws permit certain of our stockholders who have beneficially owned 3% or more of our outstanding Common Stock continuously for at least three years to submit nominations to be included in the Company’s proxy materials for up to 20% of the total number of directors then serving. Notice of proxy access director nominations for the 2025 annual meeting of stockholders must be delivered to our Corporate Secretary at our principal executive offices no earlier than November   , 2024 and no later than the close of business on December   , 2024. The notice must set forth the information required by our Bylaws with respect to each proxy access director nomination that eligible stockholder or stockholders intend to present at the 2025 annual meeting of stockholders and must otherwise be in compliance with our Bylaws.</w:t>
      </w:r>
    </w:p>
    <w:p>
      <w:pPr>
        <w:spacing w:after="0" w:line="77" w:lineRule="exact"/>
        <w:rPr>
          <w:sz w:val="20"/>
          <w:szCs w:val="20"/>
          <w:color w:val="auto"/>
        </w:rPr>
      </w:pPr>
    </w:p>
    <w:p>
      <w:pPr>
        <w:jc w:val="both"/>
        <w:ind w:left="220"/>
        <w:spacing w:after="0" w:line="258" w:lineRule="auto"/>
        <w:rPr>
          <w:sz w:val="20"/>
          <w:szCs w:val="20"/>
          <w:color w:val="auto"/>
        </w:rPr>
      </w:pPr>
      <w:r>
        <w:rPr>
          <w:rFonts w:ascii="Arial" w:cs="Arial" w:eastAsia="Arial" w:hAnsi="Arial"/>
          <w:sz w:val="16"/>
          <w:szCs w:val="16"/>
          <w:color w:val="435363"/>
        </w:rPr>
        <w:t>Any notice of director nomination other than through proxy access must include the additional information required by Rule 14a-19(b) under the Exchange Act and otherwise comply with our Bylaws. In connection with the 2025 annual meeting of stockholders, we intend to file a proxy statement and a WHITE proxy card with the SEC in connection with our solicitation of proxies for that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195580</wp:posOffset>
            </wp:positionV>
            <wp:extent cx="5177155" cy="168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5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18</w:t>
      </w:r>
    </w:p>
    <w:p>
      <w:pPr>
        <w:spacing w:after="0" w:line="3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200660</wp:posOffset>
            </wp:positionV>
            <wp:extent cx="6193790" cy="2857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right="520"/>
        <w:spacing w:after="0" w:line="276" w:lineRule="auto"/>
        <w:rPr>
          <w:sz w:val="20"/>
          <w:szCs w:val="20"/>
          <w:color w:val="auto"/>
        </w:rPr>
      </w:pPr>
      <w:r>
        <w:rPr>
          <w:rFonts w:ascii="Arial" w:cs="Arial" w:eastAsia="Arial" w:hAnsi="Arial"/>
          <w:sz w:val="32"/>
          <w:szCs w:val="32"/>
          <w:color w:val="66AFDA"/>
        </w:rPr>
        <w:t>PROPOSAL 2—RATIFICATION OF APPOINTMENT OF INDEPENDENT REGISTERED PUBLIC ACCOUNTING FIRM</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Ratification of Independent Registered Public Accounting Firm</w:t>
      </w:r>
    </w:p>
    <w:p>
      <w:pPr>
        <w:spacing w:after="0" w:line="90" w:lineRule="exact"/>
        <w:rPr>
          <w:sz w:val="20"/>
          <w:szCs w:val="20"/>
          <w:color w:val="auto"/>
        </w:rPr>
      </w:pPr>
    </w:p>
    <w:p>
      <w:pPr>
        <w:ind w:left="220" w:right="180"/>
        <w:spacing w:after="0" w:line="250" w:lineRule="auto"/>
        <w:rPr>
          <w:sz w:val="20"/>
          <w:szCs w:val="20"/>
          <w:color w:val="auto"/>
        </w:rPr>
      </w:pPr>
      <w:r>
        <w:rPr>
          <w:rFonts w:ascii="Arial" w:cs="Arial" w:eastAsia="Arial" w:hAnsi="Arial"/>
          <w:sz w:val="16"/>
          <w:szCs w:val="16"/>
          <w:color w:val="435363"/>
        </w:rPr>
        <w:t>Our Audit Committee is directly responsible for the appointment, compensation, retention and oversight of our independent registered public accounting firm. Our Audit Committee annually reviews the independent registered public accounting firm’s qualifications, performance, fees and independence. Following its review, our Audit Committee has selected KPMG LLP (“KPMG”) to serve as our independent registered public accounting firm for the fiscal year ending December 31, 2024, and our Board has directed that KPMG’s appointment be submitted to our stockholders for ratification at the Annual Meeting.</w:t>
      </w:r>
    </w:p>
    <w:p>
      <w:pPr>
        <w:spacing w:after="0" w:line="74" w:lineRule="exact"/>
        <w:rPr>
          <w:sz w:val="20"/>
          <w:szCs w:val="20"/>
          <w:color w:val="auto"/>
        </w:rPr>
      </w:pPr>
    </w:p>
    <w:p>
      <w:pPr>
        <w:ind w:left="220" w:right="180"/>
        <w:spacing w:after="0" w:line="250" w:lineRule="auto"/>
        <w:rPr>
          <w:sz w:val="20"/>
          <w:szCs w:val="20"/>
          <w:color w:val="auto"/>
        </w:rPr>
      </w:pPr>
      <w:r>
        <w:rPr>
          <w:rFonts w:ascii="Arial" w:cs="Arial" w:eastAsia="Arial" w:hAnsi="Arial"/>
          <w:sz w:val="16"/>
          <w:szCs w:val="16"/>
          <w:color w:val="435363"/>
        </w:rPr>
        <w:t>KPMG has served as our independent registered public accounting firm since 2014. The Audit Committee believes it is important for the independent registered public accounting firm to maintain its objectivity and independence. In accordance with SEC rules and KPMG policies, the firm’s lead engagement partner rotates every five years. The Audit Committee and its Chair are directly involved in the selection of KPMG’s new lead engagement partner. Furthermore, in order to assure continuing auditor independence, the Audit Committee periodically considers whether there should be a regular rotation of the independent registered public accounting firm.</w:t>
      </w:r>
    </w:p>
    <w:p>
      <w:pPr>
        <w:spacing w:after="0" w:line="74" w:lineRule="exact"/>
        <w:rPr>
          <w:sz w:val="20"/>
          <w:szCs w:val="20"/>
          <w:color w:val="auto"/>
        </w:rPr>
      </w:pPr>
    </w:p>
    <w:p>
      <w:pPr>
        <w:ind w:left="220" w:right="220"/>
        <w:spacing w:after="0" w:line="252" w:lineRule="auto"/>
        <w:rPr>
          <w:sz w:val="20"/>
          <w:szCs w:val="20"/>
          <w:color w:val="auto"/>
        </w:rPr>
      </w:pPr>
      <w:r>
        <w:rPr>
          <w:rFonts w:ascii="Arial" w:cs="Arial" w:eastAsia="Arial" w:hAnsi="Arial"/>
          <w:sz w:val="16"/>
          <w:szCs w:val="16"/>
          <w:color w:val="435363"/>
        </w:rPr>
        <w:t>The Board has directed that KPMG’s appointment for the fiscal year ending December 31, 2024 be submitted to our stockholders for ratification at the Annual Meeting. The Audit Committee and the Board believe that the continued retention of KPMG to serve as the Company’s independent external auditor is in the best interests of the Company and its stockholders. If the stockholders do not ratify the appointment of KPMG, the Audit Committee will reconsider the appointment.</w:t>
      </w:r>
    </w:p>
    <w:p>
      <w:pPr>
        <w:spacing w:after="0" w:line="74" w:lineRule="exact"/>
        <w:rPr>
          <w:sz w:val="20"/>
          <w:szCs w:val="20"/>
          <w:color w:val="auto"/>
        </w:rPr>
      </w:pPr>
    </w:p>
    <w:p>
      <w:pPr>
        <w:ind w:left="220" w:right="140"/>
        <w:spacing w:after="0" w:line="275" w:lineRule="auto"/>
        <w:rPr>
          <w:sz w:val="20"/>
          <w:szCs w:val="20"/>
          <w:color w:val="auto"/>
        </w:rPr>
      </w:pPr>
      <w:r>
        <w:rPr>
          <w:rFonts w:ascii="Arial" w:cs="Arial" w:eastAsia="Arial" w:hAnsi="Arial"/>
          <w:sz w:val="16"/>
          <w:szCs w:val="16"/>
          <w:color w:val="435363"/>
        </w:rPr>
        <w:t>A representative of KPMG is expected to be present at the Annual Meeting. The representative will have an opportunity to make a statement if he or she desires to do so, and the representative is also expected to be available to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287655</wp:posOffset>
            </wp:positionV>
            <wp:extent cx="4471035" cy="789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471035" cy="78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320" w:right="400"/>
        <w:spacing w:after="0" w:line="289" w:lineRule="auto"/>
        <w:rPr>
          <w:sz w:val="20"/>
          <w:szCs w:val="20"/>
          <w:color w:val="auto"/>
        </w:rPr>
      </w:pPr>
      <w:r>
        <w:rPr>
          <w:rFonts w:ascii="Arial" w:cs="Arial" w:eastAsia="Arial" w:hAnsi="Arial"/>
          <w:sz w:val="15"/>
          <w:szCs w:val="15"/>
          <w:b w:val="1"/>
          <w:bCs w:val="1"/>
          <w:color w:val="3575B3"/>
        </w:rPr>
        <w:t>The Audit Committee and the Board unanimously recommend that the stockholders vote “FOR” the proposal to ratify the appointment of KPMG as our independent registered public accounting firm for the fiscal year ending December 31, 2024.</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Independent Registered Public Accounting Firm Fees</w:t>
      </w:r>
    </w:p>
    <w:p>
      <w:pPr>
        <w:spacing w:after="0" w:line="77" w:lineRule="exact"/>
        <w:rPr>
          <w:sz w:val="20"/>
          <w:szCs w:val="20"/>
          <w:color w:val="auto"/>
        </w:rPr>
      </w:pPr>
    </w:p>
    <w:p>
      <w:pPr>
        <w:jc w:val="both"/>
        <w:ind w:left="220" w:right="40"/>
        <w:spacing w:after="0" w:line="258" w:lineRule="auto"/>
        <w:rPr>
          <w:sz w:val="20"/>
          <w:szCs w:val="20"/>
          <w:color w:val="auto"/>
        </w:rPr>
      </w:pPr>
      <w:r>
        <w:rPr>
          <w:rFonts w:ascii="Arial" w:cs="Arial" w:eastAsia="Arial" w:hAnsi="Arial"/>
          <w:sz w:val="16"/>
          <w:szCs w:val="16"/>
          <w:color w:val="435363"/>
        </w:rPr>
        <w:t>The following table presents fees billed for professional services rendered by KPMG, AAG’s independent registered public accounting firm for the audit of the financial statements of AAG and its subsidiaries as of and for the fiscal years ended December 31, 2023 and 2022, as well as fees billed in this period for other services rendered by KPMG.</w:t>
      </w:r>
    </w:p>
    <w:p>
      <w:pPr>
        <w:spacing w:after="0" w:line="82"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4180" w:type="dxa"/>
            <w:vAlign w:val="bottom"/>
          </w:tcPr>
          <w:p>
            <w:pPr>
              <w:jc w:val="right"/>
              <w:ind w:right="741"/>
              <w:spacing w:after="0"/>
              <w:rPr>
                <w:sz w:val="20"/>
                <w:szCs w:val="20"/>
                <w:color w:val="auto"/>
              </w:rPr>
            </w:pPr>
            <w:r>
              <w:rPr>
                <w:rFonts w:ascii="Arial" w:cs="Arial" w:eastAsia="Arial" w:hAnsi="Arial"/>
                <w:sz w:val="16"/>
                <w:szCs w:val="16"/>
                <w:b w:val="1"/>
                <w:bCs w:val="1"/>
                <w:color w:val="3575B3"/>
              </w:rPr>
              <w:t>Fiscal Year 2023</w:t>
            </w:r>
          </w:p>
        </w:tc>
        <w:tc>
          <w:tcPr>
            <w:tcW w:w="3060" w:type="dxa"/>
            <w:vAlign w:val="bottom"/>
          </w:tcPr>
          <w:p>
            <w:pPr>
              <w:jc w:val="right"/>
              <w:ind w:right="921"/>
              <w:spacing w:after="0"/>
              <w:rPr>
                <w:sz w:val="20"/>
                <w:szCs w:val="20"/>
                <w:color w:val="auto"/>
              </w:rPr>
            </w:pPr>
            <w:r>
              <w:rPr>
                <w:rFonts w:ascii="Arial" w:cs="Arial" w:eastAsia="Arial" w:hAnsi="Arial"/>
                <w:sz w:val="16"/>
                <w:szCs w:val="16"/>
                <w:b w:val="1"/>
                <w:bCs w:val="1"/>
                <w:color w:val="3575B3"/>
              </w:rPr>
              <w:t>Fiscal Year 2022</w:t>
            </w:r>
          </w:p>
        </w:tc>
      </w:tr>
      <w:tr>
        <w:trPr>
          <w:trHeight w:val="213"/>
        </w:trPr>
        <w:tc>
          <w:tcPr>
            <w:tcW w:w="3560" w:type="dxa"/>
            <w:vAlign w:val="bottom"/>
            <w:tcBorders>
              <w:bottom w:val="single" w:sz="8" w:color="BF0000"/>
            </w:tcBorders>
          </w:tcPr>
          <w:p>
            <w:pPr>
              <w:spacing w:after="0"/>
              <w:rPr>
                <w:sz w:val="18"/>
                <w:szCs w:val="18"/>
                <w:color w:val="auto"/>
              </w:rPr>
            </w:pPr>
          </w:p>
        </w:tc>
        <w:tc>
          <w:tcPr>
            <w:tcW w:w="4180" w:type="dxa"/>
            <w:vAlign w:val="bottom"/>
            <w:tcBorders>
              <w:bottom w:val="single" w:sz="8" w:color="BF0000"/>
            </w:tcBorders>
          </w:tcPr>
          <w:p>
            <w:pPr>
              <w:jc w:val="right"/>
              <w:ind w:right="1261"/>
              <w:spacing w:after="0"/>
              <w:rPr>
                <w:sz w:val="20"/>
                <w:szCs w:val="20"/>
                <w:color w:val="auto"/>
              </w:rPr>
            </w:pPr>
            <w:r>
              <w:rPr>
                <w:rFonts w:ascii="Arial" w:cs="Arial" w:eastAsia="Arial" w:hAnsi="Arial"/>
                <w:sz w:val="16"/>
                <w:szCs w:val="16"/>
                <w:b w:val="1"/>
                <w:bCs w:val="1"/>
                <w:color w:val="3575B3"/>
              </w:rPr>
              <w:t>($)</w:t>
            </w:r>
          </w:p>
        </w:tc>
        <w:tc>
          <w:tcPr>
            <w:tcW w:w="3060" w:type="dxa"/>
            <w:vAlign w:val="bottom"/>
            <w:tcBorders>
              <w:bottom w:val="single" w:sz="8" w:color="BF0000"/>
            </w:tcBorders>
          </w:tcPr>
          <w:p>
            <w:pPr>
              <w:jc w:val="right"/>
              <w:ind w:right="1441"/>
              <w:spacing w:after="0"/>
              <w:rPr>
                <w:sz w:val="20"/>
                <w:szCs w:val="20"/>
                <w:color w:val="auto"/>
              </w:rPr>
            </w:pPr>
            <w:r>
              <w:rPr>
                <w:rFonts w:ascii="Arial" w:cs="Arial" w:eastAsia="Arial" w:hAnsi="Arial"/>
                <w:sz w:val="16"/>
                <w:szCs w:val="16"/>
                <w:b w:val="1"/>
                <w:bCs w:val="1"/>
                <w:color w:val="3575B3"/>
              </w:rPr>
              <w:t>($)</w:t>
            </w:r>
          </w:p>
        </w:tc>
      </w:tr>
      <w:tr>
        <w:trPr>
          <w:trHeight w:val="215"/>
        </w:trPr>
        <w:tc>
          <w:tcPr>
            <w:tcW w:w="3560" w:type="dxa"/>
            <w:vAlign w:val="bottom"/>
          </w:tcPr>
          <w:p>
            <w:pPr>
              <w:ind w:left="60"/>
              <w:spacing w:after="0"/>
              <w:rPr>
                <w:sz w:val="20"/>
                <w:szCs w:val="20"/>
                <w:color w:val="auto"/>
              </w:rPr>
            </w:pPr>
            <w:r>
              <w:rPr>
                <w:rFonts w:ascii="Arial" w:cs="Arial" w:eastAsia="Arial" w:hAnsi="Arial"/>
                <w:sz w:val="16"/>
                <w:szCs w:val="16"/>
                <w:color w:val="435363"/>
              </w:rPr>
              <w:t>Audit Fees</w:t>
            </w:r>
          </w:p>
        </w:tc>
        <w:tc>
          <w:tcPr>
            <w:tcW w:w="4180" w:type="dxa"/>
            <w:vAlign w:val="bottom"/>
          </w:tcPr>
          <w:p>
            <w:pPr>
              <w:jc w:val="right"/>
              <w:ind w:right="961"/>
              <w:spacing w:after="0"/>
              <w:rPr>
                <w:sz w:val="20"/>
                <w:szCs w:val="20"/>
                <w:color w:val="auto"/>
              </w:rPr>
            </w:pPr>
            <w:r>
              <w:rPr>
                <w:rFonts w:ascii="Arial" w:cs="Arial" w:eastAsia="Arial" w:hAnsi="Arial"/>
                <w:sz w:val="16"/>
                <w:szCs w:val="16"/>
                <w:color w:val="435363"/>
              </w:rPr>
              <w:t>4,525,000</w:t>
            </w:r>
          </w:p>
        </w:tc>
        <w:tc>
          <w:tcPr>
            <w:tcW w:w="3060" w:type="dxa"/>
            <w:vAlign w:val="bottom"/>
          </w:tcPr>
          <w:p>
            <w:pPr>
              <w:jc w:val="right"/>
              <w:ind w:right="1161"/>
              <w:spacing w:after="0"/>
              <w:rPr>
                <w:sz w:val="20"/>
                <w:szCs w:val="20"/>
                <w:color w:val="auto"/>
              </w:rPr>
            </w:pPr>
            <w:r>
              <w:rPr>
                <w:rFonts w:ascii="Arial" w:cs="Arial" w:eastAsia="Arial" w:hAnsi="Arial"/>
                <w:sz w:val="16"/>
                <w:szCs w:val="16"/>
                <w:color w:val="435363"/>
              </w:rPr>
              <w:t>4,300,000</w:t>
            </w:r>
          </w:p>
        </w:tc>
      </w:tr>
      <w:tr>
        <w:trPr>
          <w:trHeight w:val="29"/>
        </w:trPr>
        <w:tc>
          <w:tcPr>
            <w:tcW w:w="35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31"/>
        </w:trPr>
        <w:tc>
          <w:tcPr>
            <w:tcW w:w="35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435363"/>
              </w:rPr>
              <w:t>Audit-Related Fees</w:t>
            </w:r>
          </w:p>
        </w:tc>
        <w:tc>
          <w:tcPr>
            <w:tcW w:w="4180" w:type="dxa"/>
            <w:vAlign w:val="bottom"/>
            <w:tcBorders>
              <w:bottom w:val="single" w:sz="8" w:color="EDEDED"/>
            </w:tcBorders>
            <w:shd w:val="clear" w:color="auto" w:fill="EDEDED"/>
          </w:tcPr>
          <w:p>
            <w:pPr>
              <w:jc w:val="right"/>
              <w:ind w:right="961"/>
              <w:spacing w:after="0"/>
              <w:rPr>
                <w:sz w:val="20"/>
                <w:szCs w:val="20"/>
                <w:color w:val="auto"/>
              </w:rPr>
            </w:pPr>
            <w:r>
              <w:rPr>
                <w:rFonts w:ascii="Arial" w:cs="Arial" w:eastAsia="Arial" w:hAnsi="Arial"/>
                <w:sz w:val="16"/>
                <w:szCs w:val="16"/>
                <w:color w:val="435363"/>
              </w:rPr>
              <w:t>1,605,000</w:t>
            </w:r>
          </w:p>
        </w:tc>
        <w:tc>
          <w:tcPr>
            <w:tcW w:w="3060" w:type="dxa"/>
            <w:vAlign w:val="bottom"/>
            <w:tcBorders>
              <w:bottom w:val="single" w:sz="8" w:color="EDEDED"/>
            </w:tcBorders>
            <w:shd w:val="clear" w:color="auto" w:fill="EDEDED"/>
          </w:tcPr>
          <w:p>
            <w:pPr>
              <w:jc w:val="right"/>
              <w:ind w:right="1161"/>
              <w:spacing w:after="0"/>
              <w:rPr>
                <w:sz w:val="20"/>
                <w:szCs w:val="20"/>
                <w:color w:val="auto"/>
              </w:rPr>
            </w:pPr>
            <w:r>
              <w:rPr>
                <w:rFonts w:ascii="Arial" w:cs="Arial" w:eastAsia="Arial" w:hAnsi="Arial"/>
                <w:sz w:val="16"/>
                <w:szCs w:val="16"/>
                <w:color w:val="435363"/>
              </w:rPr>
              <w:t>1,220,000</w:t>
            </w:r>
          </w:p>
        </w:tc>
      </w:tr>
      <w:tr>
        <w:trPr>
          <w:trHeight w:val="222"/>
        </w:trPr>
        <w:tc>
          <w:tcPr>
            <w:tcW w:w="3560" w:type="dxa"/>
            <w:vAlign w:val="bottom"/>
          </w:tcPr>
          <w:p>
            <w:pPr>
              <w:ind w:left="60"/>
              <w:spacing w:after="0"/>
              <w:rPr>
                <w:sz w:val="20"/>
                <w:szCs w:val="20"/>
                <w:color w:val="auto"/>
              </w:rPr>
            </w:pPr>
            <w:r>
              <w:rPr>
                <w:rFonts w:ascii="Arial" w:cs="Arial" w:eastAsia="Arial" w:hAnsi="Arial"/>
                <w:sz w:val="16"/>
                <w:szCs w:val="16"/>
                <w:color w:val="435363"/>
              </w:rPr>
              <w:t>Tax Fees</w:t>
            </w:r>
          </w:p>
        </w:tc>
        <w:tc>
          <w:tcPr>
            <w:tcW w:w="4180" w:type="dxa"/>
            <w:vAlign w:val="bottom"/>
          </w:tcPr>
          <w:p>
            <w:pPr>
              <w:jc w:val="right"/>
              <w:ind w:right="961"/>
              <w:spacing w:after="0"/>
              <w:rPr>
                <w:sz w:val="20"/>
                <w:szCs w:val="20"/>
                <w:color w:val="auto"/>
              </w:rPr>
            </w:pPr>
            <w:r>
              <w:rPr>
                <w:rFonts w:ascii="Arial" w:cs="Arial" w:eastAsia="Arial" w:hAnsi="Arial"/>
                <w:sz w:val="16"/>
                <w:szCs w:val="16"/>
                <w:color w:val="435363"/>
              </w:rPr>
              <w:t>-</w:t>
            </w:r>
          </w:p>
        </w:tc>
        <w:tc>
          <w:tcPr>
            <w:tcW w:w="3060" w:type="dxa"/>
            <w:vAlign w:val="bottom"/>
          </w:tcPr>
          <w:p>
            <w:pPr>
              <w:jc w:val="right"/>
              <w:ind w:right="1161"/>
              <w:spacing w:after="0"/>
              <w:rPr>
                <w:sz w:val="20"/>
                <w:szCs w:val="20"/>
                <w:color w:val="auto"/>
              </w:rPr>
            </w:pPr>
            <w:r>
              <w:rPr>
                <w:rFonts w:ascii="Arial" w:cs="Arial" w:eastAsia="Arial" w:hAnsi="Arial"/>
                <w:sz w:val="16"/>
                <w:szCs w:val="16"/>
                <w:color w:val="435363"/>
              </w:rPr>
              <w:t>32,000</w:t>
            </w:r>
          </w:p>
        </w:tc>
      </w:tr>
      <w:tr>
        <w:trPr>
          <w:trHeight w:val="29"/>
        </w:trPr>
        <w:tc>
          <w:tcPr>
            <w:tcW w:w="35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56"/>
        </w:trPr>
        <w:tc>
          <w:tcPr>
            <w:tcW w:w="35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435363"/>
              </w:rPr>
              <w:t>All Other Fees</w:t>
            </w:r>
          </w:p>
        </w:tc>
        <w:tc>
          <w:tcPr>
            <w:tcW w:w="4180" w:type="dxa"/>
            <w:vAlign w:val="bottom"/>
            <w:tcBorders>
              <w:bottom w:val="single" w:sz="8" w:color="EDEDED"/>
            </w:tcBorders>
            <w:shd w:val="clear" w:color="auto" w:fill="EDEDED"/>
          </w:tcPr>
          <w:p>
            <w:pPr>
              <w:jc w:val="right"/>
              <w:ind w:right="961"/>
              <w:spacing w:after="0"/>
              <w:rPr>
                <w:sz w:val="20"/>
                <w:szCs w:val="20"/>
                <w:color w:val="auto"/>
              </w:rPr>
            </w:pPr>
            <w:r>
              <w:rPr>
                <w:rFonts w:ascii="Arial" w:cs="Arial" w:eastAsia="Arial" w:hAnsi="Arial"/>
                <w:sz w:val="16"/>
                <w:szCs w:val="16"/>
                <w:color w:val="435363"/>
              </w:rPr>
              <w:t>-</w:t>
            </w:r>
          </w:p>
        </w:tc>
        <w:tc>
          <w:tcPr>
            <w:tcW w:w="3060" w:type="dxa"/>
            <w:vAlign w:val="bottom"/>
            <w:tcBorders>
              <w:bottom w:val="single" w:sz="8" w:color="EDEDED"/>
            </w:tcBorders>
            <w:shd w:val="clear" w:color="auto" w:fill="EDEDED"/>
          </w:tcPr>
          <w:p>
            <w:pPr>
              <w:jc w:val="right"/>
              <w:ind w:right="1161"/>
              <w:spacing w:after="0"/>
              <w:rPr>
                <w:sz w:val="20"/>
                <w:szCs w:val="20"/>
                <w:color w:val="auto"/>
              </w:rPr>
            </w:pPr>
            <w:r>
              <w:rPr>
                <w:rFonts w:ascii="Arial" w:cs="Arial" w:eastAsia="Arial" w:hAnsi="Arial"/>
                <w:sz w:val="16"/>
                <w:szCs w:val="16"/>
                <w:color w:val="435363"/>
              </w:rPr>
              <w:t>23,000</w:t>
            </w:r>
          </w:p>
        </w:tc>
      </w:tr>
      <w:tr>
        <w:trPr>
          <w:trHeight w:val="223"/>
        </w:trPr>
        <w:tc>
          <w:tcPr>
            <w:tcW w:w="3560" w:type="dxa"/>
            <w:vAlign w:val="bottom"/>
            <w:tcBorders>
              <w:top w:val="single" w:sz="8" w:color="BF0000"/>
            </w:tcBorders>
          </w:tcPr>
          <w:p>
            <w:pPr>
              <w:ind w:left="60"/>
              <w:spacing w:after="0"/>
              <w:rPr>
                <w:sz w:val="20"/>
                <w:szCs w:val="20"/>
                <w:color w:val="auto"/>
              </w:rPr>
            </w:pPr>
            <w:r>
              <w:rPr>
                <w:rFonts w:ascii="Arial" w:cs="Arial" w:eastAsia="Arial" w:hAnsi="Arial"/>
                <w:sz w:val="16"/>
                <w:szCs w:val="16"/>
                <w:b w:val="1"/>
                <w:bCs w:val="1"/>
                <w:color w:val="435363"/>
              </w:rPr>
              <w:t>Total</w:t>
            </w:r>
          </w:p>
        </w:tc>
        <w:tc>
          <w:tcPr>
            <w:tcW w:w="4180" w:type="dxa"/>
            <w:vAlign w:val="bottom"/>
            <w:tcBorders>
              <w:top w:val="single" w:sz="8" w:color="BF0000"/>
            </w:tcBorders>
          </w:tcPr>
          <w:p>
            <w:pPr>
              <w:jc w:val="right"/>
              <w:ind w:right="961"/>
              <w:spacing w:after="0"/>
              <w:rPr>
                <w:sz w:val="20"/>
                <w:szCs w:val="20"/>
                <w:color w:val="auto"/>
              </w:rPr>
            </w:pPr>
            <w:r>
              <w:rPr>
                <w:rFonts w:ascii="Arial" w:cs="Arial" w:eastAsia="Arial" w:hAnsi="Arial"/>
                <w:sz w:val="16"/>
                <w:szCs w:val="16"/>
                <w:b w:val="1"/>
                <w:bCs w:val="1"/>
                <w:color w:val="435363"/>
              </w:rPr>
              <w:t>6,130,000</w:t>
            </w:r>
          </w:p>
        </w:tc>
        <w:tc>
          <w:tcPr>
            <w:tcW w:w="3060" w:type="dxa"/>
            <w:vAlign w:val="bottom"/>
            <w:tcBorders>
              <w:top w:val="single" w:sz="8" w:color="BF0000"/>
            </w:tcBorders>
          </w:tcPr>
          <w:p>
            <w:pPr>
              <w:jc w:val="right"/>
              <w:ind w:right="1161"/>
              <w:spacing w:after="0"/>
              <w:rPr>
                <w:sz w:val="20"/>
                <w:szCs w:val="20"/>
                <w:color w:val="auto"/>
              </w:rPr>
            </w:pPr>
            <w:r>
              <w:rPr>
                <w:rFonts w:ascii="Arial" w:cs="Arial" w:eastAsia="Arial" w:hAnsi="Arial"/>
                <w:sz w:val="16"/>
                <w:szCs w:val="16"/>
                <w:b w:val="1"/>
                <w:bCs w:val="1"/>
                <w:color w:val="435363"/>
              </w:rPr>
              <w:t>5,575,000</w:t>
            </w:r>
          </w:p>
        </w:tc>
      </w:tr>
      <w:tr>
        <w:trPr>
          <w:trHeight w:val="21"/>
        </w:trPr>
        <w:tc>
          <w:tcPr>
            <w:tcW w:w="3560" w:type="dxa"/>
            <w:vAlign w:val="bottom"/>
            <w:tcBorders>
              <w:bottom w:val="single" w:sz="8" w:color="435363"/>
            </w:tcBorders>
          </w:tcPr>
          <w:p>
            <w:pPr>
              <w:spacing w:after="0" w:line="20" w:lineRule="exact"/>
              <w:rPr>
                <w:sz w:val="1"/>
                <w:szCs w:val="1"/>
                <w:color w:val="auto"/>
              </w:rPr>
            </w:pPr>
          </w:p>
        </w:tc>
        <w:tc>
          <w:tcPr>
            <w:tcW w:w="4180" w:type="dxa"/>
            <w:vAlign w:val="bottom"/>
            <w:tcBorders>
              <w:bottom w:val="single" w:sz="8" w:color="435363"/>
            </w:tcBorders>
          </w:tcPr>
          <w:p>
            <w:pPr>
              <w:spacing w:after="0" w:line="20" w:lineRule="exact"/>
              <w:rPr>
                <w:sz w:val="1"/>
                <w:szCs w:val="1"/>
                <w:color w:val="auto"/>
              </w:rPr>
            </w:pPr>
          </w:p>
        </w:tc>
        <w:tc>
          <w:tcPr>
            <w:tcW w:w="3060" w:type="dxa"/>
            <w:vAlign w:val="bottom"/>
            <w:tcBorders>
              <w:bottom w:val="single" w:sz="8" w:color="435363"/>
            </w:tcBorders>
          </w:tcPr>
          <w:p>
            <w:pPr>
              <w:spacing w:after="0" w:line="20" w:lineRule="exact"/>
              <w:rPr>
                <w:sz w:val="1"/>
                <w:szCs w:val="1"/>
                <w:color w:val="auto"/>
              </w:rPr>
            </w:pPr>
          </w:p>
        </w:tc>
      </w:tr>
    </w:tbl>
    <w:p>
      <w:pPr>
        <w:spacing w:after="0" w:line="211" w:lineRule="exact"/>
        <w:rPr>
          <w:sz w:val="20"/>
          <w:szCs w:val="20"/>
          <w:color w:val="auto"/>
        </w:rPr>
      </w:pPr>
    </w:p>
    <w:p>
      <w:pPr>
        <w:ind w:left="10840"/>
        <w:spacing w:after="0"/>
        <w:rPr>
          <w:sz w:val="20"/>
          <w:szCs w:val="20"/>
          <w:color w:val="auto"/>
        </w:rPr>
      </w:pPr>
      <w:r>
        <w:rPr>
          <w:rFonts w:ascii="Arial" w:cs="Arial" w:eastAsia="Arial" w:hAnsi="Arial"/>
          <w:sz w:val="16"/>
          <w:szCs w:val="16"/>
          <w:b w:val="1"/>
          <w:bCs w:val="1"/>
          <w:color w:val="435363"/>
        </w:rPr>
        <w:t>19</w:t>
      </w:r>
    </w:p>
    <w:p>
      <w:pPr>
        <w:spacing w:after="0" w:line="244" w:lineRule="exact"/>
        <w:rPr>
          <w:sz w:val="20"/>
          <w:szCs w:val="20"/>
          <w:color w:val="auto"/>
        </w:rPr>
      </w:pPr>
    </w:p>
    <w:p>
      <w:pPr>
        <w:ind w:left="4920"/>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spacing w:after="0" w:line="258" w:lineRule="auto"/>
        <w:rPr>
          <w:sz w:val="20"/>
          <w:szCs w:val="20"/>
          <w:color w:val="auto"/>
        </w:rPr>
      </w:pPr>
      <w:r>
        <w:rPr>
          <w:rFonts w:ascii="Arial" w:cs="Arial" w:eastAsia="Arial" w:hAnsi="Arial"/>
          <w:sz w:val="16"/>
          <w:szCs w:val="16"/>
          <w:color w:val="435363"/>
        </w:rPr>
        <w:t>“Audit Fees” are for professional services rendered for the audits of the annual financial statements included in our Annual Report on Form 10-K (including fees for the audits of internal control over financial reporting as required by Section 404 of the Sarbanes-Oxley Act of 2002, as amended) and quarterly reviews of the financial statements included in our quarterly reports on Form 10-Q.</w:t>
      </w:r>
    </w:p>
    <w:p>
      <w:pPr>
        <w:spacing w:after="0" w:line="68" w:lineRule="exact"/>
        <w:rPr>
          <w:sz w:val="20"/>
          <w:szCs w:val="20"/>
          <w:color w:val="auto"/>
        </w:rPr>
      </w:pPr>
    </w:p>
    <w:p>
      <w:pPr>
        <w:ind w:left="220" w:right="260"/>
        <w:spacing w:after="0" w:line="275" w:lineRule="auto"/>
        <w:rPr>
          <w:sz w:val="20"/>
          <w:szCs w:val="20"/>
          <w:color w:val="auto"/>
        </w:rPr>
      </w:pPr>
      <w:r>
        <w:rPr>
          <w:rFonts w:ascii="Arial" w:cs="Arial" w:eastAsia="Arial" w:hAnsi="Arial"/>
          <w:sz w:val="16"/>
          <w:szCs w:val="16"/>
          <w:color w:val="435363"/>
        </w:rPr>
        <w:t>“Audit-Related Fees” are for professional services rendered in connection with securities offerings and other SEC filings, significant auditing work on transactions and consultations concerning financial accounting and reporting standards and attestation services.</w:t>
      </w:r>
    </w:p>
    <w:p>
      <w:pPr>
        <w:spacing w:after="0" w:line="55" w:lineRule="exact"/>
        <w:rPr>
          <w:sz w:val="20"/>
          <w:szCs w:val="20"/>
          <w:color w:val="auto"/>
        </w:rPr>
      </w:pPr>
    </w:p>
    <w:p>
      <w:pPr>
        <w:ind w:left="220" w:right="320"/>
        <w:spacing w:after="0" w:line="275" w:lineRule="auto"/>
        <w:rPr>
          <w:sz w:val="20"/>
          <w:szCs w:val="20"/>
          <w:color w:val="auto"/>
        </w:rPr>
      </w:pPr>
      <w:r>
        <w:rPr>
          <w:rFonts w:ascii="Arial" w:cs="Arial" w:eastAsia="Arial" w:hAnsi="Arial"/>
          <w:sz w:val="16"/>
          <w:szCs w:val="16"/>
          <w:color w:val="435363"/>
        </w:rPr>
        <w:t>“Tax Fees” for the fiscal year ended December 31, 2022 primarily include fees for professional services rendered in connection with tax compliance services. There were no fees that fall into the classification of “Tax Fees” for the fiscal year ended December 31, 2023.</w:t>
      </w:r>
    </w:p>
    <w:p>
      <w:pPr>
        <w:spacing w:after="0" w:line="55" w:lineRule="exact"/>
        <w:rPr>
          <w:sz w:val="20"/>
          <w:szCs w:val="20"/>
          <w:color w:val="auto"/>
        </w:rPr>
      </w:pPr>
    </w:p>
    <w:p>
      <w:pPr>
        <w:ind w:left="220"/>
        <w:spacing w:after="0" w:line="275" w:lineRule="auto"/>
        <w:rPr>
          <w:sz w:val="20"/>
          <w:szCs w:val="20"/>
          <w:color w:val="auto"/>
        </w:rPr>
      </w:pPr>
      <w:r>
        <w:rPr>
          <w:rFonts w:ascii="Arial" w:cs="Arial" w:eastAsia="Arial" w:hAnsi="Arial"/>
          <w:sz w:val="16"/>
          <w:szCs w:val="16"/>
          <w:color w:val="435363"/>
        </w:rPr>
        <w:t>“All Other Fees” for the fiscal year ended December 31, 2022 included conference registration fees. There were no fees that fall into the classification of “All Other Fees” for the fiscal year ended December 31, 2023.</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Policy on Audit Committee Pre-Approval</w:t>
      </w:r>
    </w:p>
    <w:p>
      <w:pPr>
        <w:spacing w:after="0" w:line="90" w:lineRule="exact"/>
        <w:rPr>
          <w:sz w:val="20"/>
          <w:szCs w:val="20"/>
          <w:color w:val="auto"/>
        </w:rPr>
      </w:pPr>
    </w:p>
    <w:p>
      <w:pPr>
        <w:ind w:left="220" w:right="80"/>
        <w:spacing w:after="0" w:line="250" w:lineRule="auto"/>
        <w:rPr>
          <w:sz w:val="20"/>
          <w:szCs w:val="20"/>
          <w:color w:val="auto"/>
        </w:rPr>
      </w:pPr>
      <w:r>
        <w:rPr>
          <w:rFonts w:ascii="Arial" w:cs="Arial" w:eastAsia="Arial" w:hAnsi="Arial"/>
          <w:sz w:val="16"/>
          <w:szCs w:val="16"/>
          <w:color w:val="435363"/>
        </w:rPr>
        <w:t>The Audit Committee is responsible for appointing, setting compensation for and overseeing the work of the independent registered public accounting firm. The Audit Committee pre-approves all audit and permissible non-audit services provided by our independent registered public accounting firm, including audit services, audit-related services, tax services and other services. The Audit Committee has delegated pre-approval authority to its Chair. Under this delegation, the Chair must report any pre-approval decision he or she makes to the Audit Committee at its next meeting following such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198755</wp:posOffset>
            </wp:positionV>
            <wp:extent cx="5177155" cy="168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5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20</w:t>
      </w:r>
    </w:p>
    <w:p>
      <w:pPr>
        <w:spacing w:after="0" w:line="33"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0860"/>
          </w:cols>
          <w:pgMar w:left="320" w:top="477" w:right="7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200660</wp:posOffset>
            </wp:positionV>
            <wp:extent cx="6193790" cy="2857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right="1840"/>
        <w:spacing w:after="0" w:line="276" w:lineRule="auto"/>
        <w:rPr>
          <w:sz w:val="20"/>
          <w:szCs w:val="20"/>
          <w:color w:val="auto"/>
        </w:rPr>
      </w:pPr>
      <w:r>
        <w:rPr>
          <w:rFonts w:ascii="Arial" w:cs="Arial" w:eastAsia="Arial" w:hAnsi="Arial"/>
          <w:sz w:val="32"/>
          <w:szCs w:val="32"/>
          <w:color w:val="66AFDA"/>
        </w:rPr>
        <w:t>PROPOSAL 3—ADVISORY VOTE TO APPROVE EXECUTIVE COMPENSATION (SAY-ON-PAY)</w:t>
      </w:r>
    </w:p>
    <w:p>
      <w:pPr>
        <w:spacing w:after="0" w:line="121" w:lineRule="exact"/>
        <w:rPr>
          <w:sz w:val="20"/>
          <w:szCs w:val="20"/>
          <w:color w:val="auto"/>
        </w:rPr>
      </w:pPr>
    </w:p>
    <w:p>
      <w:pPr>
        <w:ind w:left="220" w:right="140"/>
        <w:spacing w:after="0" w:line="250" w:lineRule="auto"/>
        <w:rPr>
          <w:sz w:val="20"/>
          <w:szCs w:val="20"/>
          <w:color w:val="auto"/>
        </w:rPr>
      </w:pPr>
      <w:r>
        <w:rPr>
          <w:rFonts w:ascii="Arial" w:cs="Arial" w:eastAsia="Arial" w:hAnsi="Arial"/>
          <w:sz w:val="16"/>
          <w:szCs w:val="16"/>
          <w:color w:val="435363"/>
        </w:rPr>
        <w:t>Section 14A of the Securities Exchange Act of 1934, as amended (the “Exchange Act”), allows our stockholders to vote to approve, on a non-binding, advisory basis, the compensation of our named executive officers as disclosed in this Proxy Statement pursuant to the compensation disclosure rules of the SEC, commonly known as a “say-on-pay” vote. The Board has adopted a policy providing for an annual say-on-pay advisory vote. Unless the Board modifies its policy on the frequency of future say-on-pay advisory votes, we will bring these proposals to our stockholders annually and the next say-on-pay advisory vote will be held at the 2025 annual meeting of stockholders.</w:t>
      </w:r>
    </w:p>
    <w:p>
      <w:pPr>
        <w:spacing w:after="0" w:line="74" w:lineRule="exact"/>
        <w:rPr>
          <w:sz w:val="20"/>
          <w:szCs w:val="20"/>
          <w:color w:val="auto"/>
        </w:rPr>
      </w:pPr>
    </w:p>
    <w:p>
      <w:pPr>
        <w:ind w:left="220" w:right="100"/>
        <w:spacing w:after="0" w:line="248" w:lineRule="auto"/>
        <w:rPr>
          <w:sz w:val="20"/>
          <w:szCs w:val="20"/>
          <w:color w:val="auto"/>
        </w:rPr>
      </w:pPr>
      <w:r>
        <w:rPr>
          <w:rFonts w:ascii="Arial" w:cs="Arial" w:eastAsia="Arial" w:hAnsi="Arial"/>
          <w:sz w:val="16"/>
          <w:szCs w:val="16"/>
          <w:color w:val="435363"/>
        </w:rPr>
        <w:t>Our Compensation Committee and the Board believe that our compensation practices align our executive compensation structure with stockholders’ interests and current market practices. Our compensation strategy is designed to provide a total compensation package that will attract and retain high-caliber executives and align their objectives, incentives and contributions with our corporate objectives and stockholder interests, as well as to be flexible and complementary to meet our compensation objectives. At the 2023 annual meeting of stockholders, our stockholders approved the compensation of our named executive officers with an approval representing approximately 96% of the shares represented in person or by proxy at the meeting and entitled to vote on the proposal.</w:t>
      </w:r>
    </w:p>
    <w:p>
      <w:pPr>
        <w:spacing w:after="0" w:line="77" w:lineRule="exact"/>
        <w:rPr>
          <w:sz w:val="20"/>
          <w:szCs w:val="20"/>
          <w:color w:val="auto"/>
        </w:rPr>
      </w:pPr>
    </w:p>
    <w:p>
      <w:pPr>
        <w:ind w:left="220" w:right="20"/>
        <w:spacing w:after="0" w:line="245" w:lineRule="auto"/>
        <w:rPr>
          <w:sz w:val="20"/>
          <w:szCs w:val="20"/>
          <w:color w:val="auto"/>
        </w:rPr>
      </w:pPr>
      <w:r>
        <w:rPr>
          <w:rFonts w:ascii="Arial" w:cs="Arial" w:eastAsia="Arial" w:hAnsi="Arial"/>
          <w:sz w:val="16"/>
          <w:szCs w:val="16"/>
          <w:color w:val="435363"/>
        </w:rPr>
        <w:t>Our executive compensation program is heavily performance-based and directly linked with our established goals of delivering record operational results, continuing to close our margin gap with our largest competitors, and reducing total debt by $15 billion by the end of 2025. Our 2023 LTIP incorporated both performance- and time-vesting components, with half of the target value consisting of the performance-vesting component. The performance-vesting component is tied to attainment of total debt reduction (50% weighting) and relative pre-tax income margin improvement versus our industry peers (50% weighting). The performance-vesting component of the 2023 LTIP will be earned, if at all, following the completion of a three-year performance period. The 2023 performance-based STIP was designed to align management with our goals to run a reliable operation and to return to profitability as we emerged from the COVID-19 pandemic while building on our momentum on diversity, equity and inclusion. As more fully described under the “Compensation Discussion and Analysis” section, in making 2023 compensation decisions, the Compensation Committee continued to consider concerns related to the need to retain and create appropriate incentives for our management team against the backdrop of significant reductions in compensation during the pandemic.</w:t>
      </w:r>
    </w:p>
    <w:p>
      <w:pPr>
        <w:spacing w:after="0" w:line="81" w:lineRule="exact"/>
        <w:rPr>
          <w:sz w:val="20"/>
          <w:szCs w:val="20"/>
          <w:color w:val="auto"/>
        </w:rPr>
      </w:pPr>
    </w:p>
    <w:p>
      <w:pPr>
        <w:ind w:left="220" w:right="60"/>
        <w:spacing w:after="0" w:line="258" w:lineRule="auto"/>
        <w:rPr>
          <w:sz w:val="20"/>
          <w:szCs w:val="20"/>
          <w:color w:val="auto"/>
        </w:rPr>
      </w:pPr>
      <w:r>
        <w:rPr>
          <w:rFonts w:ascii="Arial" w:cs="Arial" w:eastAsia="Arial" w:hAnsi="Arial"/>
          <w:sz w:val="16"/>
          <w:szCs w:val="16"/>
          <w:b w:val="1"/>
          <w:bCs w:val="1"/>
          <w:color w:val="435363"/>
        </w:rPr>
        <w:t xml:space="preserve">A Continued Commitment to Good Compensation Governance Practices. </w:t>
      </w:r>
      <w:r>
        <w:rPr>
          <w:rFonts w:ascii="Arial" w:cs="Arial" w:eastAsia="Arial" w:hAnsi="Arial"/>
          <w:sz w:val="16"/>
          <w:szCs w:val="16"/>
          <w:color w:val="435363"/>
        </w:rPr>
        <w:t>Compensation packages for our executive officers are (i) established by</w:t>
      </w:r>
      <w:r>
        <w:rPr>
          <w:rFonts w:ascii="Arial" w:cs="Arial" w:eastAsia="Arial" w:hAnsi="Arial"/>
          <w:sz w:val="16"/>
          <w:szCs w:val="16"/>
          <w:b w:val="1"/>
          <w:bCs w:val="1"/>
          <w:color w:val="435363"/>
        </w:rPr>
        <w:t xml:space="preserve"> </w:t>
      </w:r>
      <w:r>
        <w:rPr>
          <w:rFonts w:ascii="Arial" w:cs="Arial" w:eastAsia="Arial" w:hAnsi="Arial"/>
          <w:sz w:val="16"/>
          <w:szCs w:val="16"/>
          <w:color w:val="435363"/>
        </w:rPr>
        <w:t>our Compensation Committee that consists solely of independent directors, (ii) consistent with market and industry practice, and (iii) reasonable in light of our corporate and each individual executive’s performance.</w:t>
      </w:r>
    </w:p>
    <w:p>
      <w:pPr>
        <w:spacing w:after="0" w:line="68" w:lineRule="exact"/>
        <w:rPr>
          <w:sz w:val="20"/>
          <w:szCs w:val="20"/>
          <w:color w:val="auto"/>
        </w:rPr>
      </w:pPr>
    </w:p>
    <w:p>
      <w:pPr>
        <w:ind w:left="220" w:right="140"/>
        <w:spacing w:after="0" w:line="252" w:lineRule="auto"/>
        <w:rPr>
          <w:sz w:val="20"/>
          <w:szCs w:val="20"/>
          <w:color w:val="auto"/>
        </w:rPr>
      </w:pPr>
      <w:r>
        <w:rPr>
          <w:rFonts w:ascii="Arial" w:cs="Arial" w:eastAsia="Arial" w:hAnsi="Arial"/>
          <w:sz w:val="16"/>
          <w:szCs w:val="16"/>
          <w:b w:val="1"/>
          <w:bCs w:val="1"/>
          <w:color w:val="435363"/>
        </w:rPr>
        <w:t xml:space="preserve">Clawback Provisions. </w:t>
      </w:r>
      <w:r>
        <w:rPr>
          <w:rFonts w:ascii="Arial" w:cs="Arial" w:eastAsia="Arial" w:hAnsi="Arial"/>
          <w:sz w:val="16"/>
          <w:szCs w:val="16"/>
          <w:color w:val="435363"/>
        </w:rPr>
        <w:t>The Company’s clawback policy requires the recoupment of incentive compensation determined to be erroneously awarded to</w:t>
      </w:r>
      <w:r>
        <w:rPr>
          <w:rFonts w:ascii="Arial" w:cs="Arial" w:eastAsia="Arial" w:hAnsi="Arial"/>
          <w:sz w:val="16"/>
          <w:szCs w:val="16"/>
          <w:b w:val="1"/>
          <w:bCs w:val="1"/>
          <w:color w:val="435363"/>
        </w:rPr>
        <w:t xml:space="preserve"> </w:t>
      </w:r>
      <w:r>
        <w:rPr>
          <w:rFonts w:ascii="Arial" w:cs="Arial" w:eastAsia="Arial" w:hAnsi="Arial"/>
          <w:sz w:val="16"/>
          <w:szCs w:val="16"/>
          <w:color w:val="435363"/>
        </w:rPr>
        <w:t>executive officers in the event of an accounting restatement but also continues to provide the Compensation Committee with broad discretion as to what actions may be taken based on the circumstances, including recovery of compensation paid under the Company’s STIP, LTIP and other equity incentive awards.</w:t>
      </w:r>
    </w:p>
    <w:p>
      <w:pPr>
        <w:spacing w:after="0" w:line="74" w:lineRule="exact"/>
        <w:rPr>
          <w:sz w:val="20"/>
          <w:szCs w:val="20"/>
          <w:color w:val="auto"/>
        </w:rPr>
      </w:pPr>
    </w:p>
    <w:p>
      <w:pPr>
        <w:ind w:left="220" w:right="280"/>
        <w:spacing w:after="0" w:line="275" w:lineRule="auto"/>
        <w:rPr>
          <w:sz w:val="20"/>
          <w:szCs w:val="20"/>
          <w:color w:val="auto"/>
        </w:rPr>
      </w:pPr>
      <w:r>
        <w:rPr>
          <w:rFonts w:ascii="Arial" w:cs="Arial" w:eastAsia="Arial" w:hAnsi="Arial"/>
          <w:sz w:val="16"/>
          <w:szCs w:val="16"/>
          <w:b w:val="1"/>
          <w:bCs w:val="1"/>
          <w:color w:val="435363"/>
        </w:rPr>
        <w:t xml:space="preserve">Robust Stock Ownership Guidelines. </w:t>
      </w:r>
      <w:r>
        <w:rPr>
          <w:rFonts w:ascii="Arial" w:cs="Arial" w:eastAsia="Arial" w:hAnsi="Arial"/>
          <w:sz w:val="16"/>
          <w:szCs w:val="16"/>
          <w:color w:val="435363"/>
        </w:rPr>
        <w:t>We maintain stock ownership guidelines that further align our executives’ long-term interests with those of our</w:t>
      </w:r>
      <w:r>
        <w:rPr>
          <w:rFonts w:ascii="Arial" w:cs="Arial" w:eastAsia="Arial" w:hAnsi="Arial"/>
          <w:sz w:val="16"/>
          <w:szCs w:val="16"/>
          <w:b w:val="1"/>
          <w:bCs w:val="1"/>
          <w:color w:val="435363"/>
        </w:rPr>
        <w:t xml:space="preserve"> </w:t>
      </w:r>
      <w:r>
        <w:rPr>
          <w:rFonts w:ascii="Arial" w:cs="Arial" w:eastAsia="Arial" w:hAnsi="Arial"/>
          <w:sz w:val="16"/>
          <w:szCs w:val="16"/>
          <w:color w:val="435363"/>
        </w:rPr>
        <w:t>stockholders.</w:t>
      </w:r>
    </w:p>
    <w:p>
      <w:pPr>
        <w:spacing w:after="0" w:line="55" w:lineRule="exact"/>
        <w:rPr>
          <w:sz w:val="20"/>
          <w:szCs w:val="20"/>
          <w:color w:val="auto"/>
        </w:rPr>
      </w:pPr>
    </w:p>
    <w:p>
      <w:pPr>
        <w:ind w:left="220" w:right="20"/>
        <w:spacing w:after="0" w:line="258" w:lineRule="auto"/>
        <w:rPr>
          <w:sz w:val="20"/>
          <w:szCs w:val="20"/>
          <w:color w:val="auto"/>
        </w:rPr>
      </w:pPr>
      <w:r>
        <w:rPr>
          <w:rFonts w:ascii="Arial" w:cs="Arial" w:eastAsia="Arial" w:hAnsi="Arial"/>
          <w:sz w:val="16"/>
          <w:szCs w:val="16"/>
          <w:b w:val="1"/>
          <w:bCs w:val="1"/>
          <w:color w:val="435363"/>
        </w:rPr>
        <w:t xml:space="preserve">Mitigating Compensation Risk. </w:t>
      </w:r>
      <w:r>
        <w:rPr>
          <w:rFonts w:ascii="Arial" w:cs="Arial" w:eastAsia="Arial" w:hAnsi="Arial"/>
          <w:sz w:val="16"/>
          <w:szCs w:val="16"/>
          <w:color w:val="435363"/>
        </w:rPr>
        <w:t>We mitigate compensation risk by providing a compensation package that focuses on both short- and long-term goals</w:t>
      </w:r>
      <w:r>
        <w:rPr>
          <w:rFonts w:ascii="Arial" w:cs="Arial" w:eastAsia="Arial" w:hAnsi="Arial"/>
          <w:sz w:val="16"/>
          <w:szCs w:val="16"/>
          <w:b w:val="1"/>
          <w:bCs w:val="1"/>
          <w:color w:val="435363"/>
        </w:rPr>
        <w:t xml:space="preserve"> </w:t>
      </w:r>
      <w:r>
        <w:rPr>
          <w:rFonts w:ascii="Arial" w:cs="Arial" w:eastAsia="Arial" w:hAnsi="Arial"/>
          <w:sz w:val="16"/>
          <w:szCs w:val="16"/>
          <w:color w:val="435363"/>
        </w:rPr>
        <w:t>and requires a substantial stock ownership commitment, which encourages our executives to focus on the Company’s success both during the immediate fiscal year and for the future.</w:t>
      </w:r>
    </w:p>
    <w:p>
      <w:pPr>
        <w:spacing w:after="0" w:line="68" w:lineRule="exact"/>
        <w:rPr>
          <w:sz w:val="20"/>
          <w:szCs w:val="20"/>
          <w:color w:val="auto"/>
        </w:rPr>
      </w:pPr>
    </w:p>
    <w:p>
      <w:pPr>
        <w:ind w:left="220" w:right="200"/>
        <w:spacing w:after="0" w:line="275" w:lineRule="auto"/>
        <w:rPr>
          <w:sz w:val="20"/>
          <w:szCs w:val="20"/>
          <w:color w:val="auto"/>
        </w:rPr>
      </w:pPr>
      <w:r>
        <w:rPr>
          <w:rFonts w:ascii="Arial" w:cs="Arial" w:eastAsia="Arial" w:hAnsi="Arial"/>
          <w:sz w:val="16"/>
          <w:szCs w:val="16"/>
          <w:color w:val="435363"/>
        </w:rPr>
        <w:t>For more information about our compensation practices and philosophy, see the section entitled “Compensation Discussion and Analysis” beginning on page 48.</w:t>
      </w:r>
    </w:p>
    <w:p>
      <w:pPr>
        <w:spacing w:after="0" w:line="55" w:lineRule="exact"/>
        <w:rPr>
          <w:sz w:val="20"/>
          <w:szCs w:val="20"/>
          <w:color w:val="auto"/>
        </w:rPr>
      </w:pPr>
    </w:p>
    <w:p>
      <w:pPr>
        <w:ind w:left="220" w:right="160"/>
        <w:spacing w:after="0" w:line="250" w:lineRule="auto"/>
        <w:rPr>
          <w:sz w:val="20"/>
          <w:szCs w:val="20"/>
          <w:color w:val="auto"/>
        </w:rPr>
      </w:pPr>
      <w:r>
        <w:rPr>
          <w:rFonts w:ascii="Arial" w:cs="Arial" w:eastAsia="Arial" w:hAnsi="Arial"/>
          <w:sz w:val="16"/>
          <w:szCs w:val="16"/>
          <w:color w:val="435363"/>
        </w:rPr>
        <w:t>We are asking our stockholders to indicate their support for our named executive officer compensation as described in this Proxy Statement pursuant to the compensation disclosure rules of the SEC. This vote gives stockholders the opportunity to express their views on the named executive officers’ compensation. This vote is not intended to address any specific item of compensation, but rather the overall compensation of our executive officers and our philosophy, policies and practices described in this Proxy Statement. Accordingly, we are asking our stockholders to vote “FOR” the following resolution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106680</wp:posOffset>
            </wp:positionV>
            <wp:extent cx="5177155" cy="168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21</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jc w:val="both"/>
        <w:ind w:left="440"/>
        <w:spacing w:after="0" w:line="258" w:lineRule="auto"/>
        <w:rPr>
          <w:sz w:val="20"/>
          <w:szCs w:val="20"/>
          <w:color w:val="auto"/>
        </w:rPr>
      </w:pPr>
      <w:r>
        <w:rPr>
          <w:rFonts w:ascii="Arial" w:cs="Arial" w:eastAsia="Arial" w:hAnsi="Arial"/>
          <w:sz w:val="16"/>
          <w:szCs w:val="16"/>
          <w:color w:val="435363"/>
        </w:rPr>
        <w:t>“RESOLVED, that AAG’s stockholders approve, on a non-binding, advisory basis, the compensation of AAG’s named executive officers, as disclosed pursuant to the compensation disclosure rules of the SEC in the Compensation Discussion and Analysis section, the compensation tables, narrative discussion and any related material disclosed in this Proxy Statement for the Annual Meeting.”</w:t>
      </w:r>
    </w:p>
    <w:p>
      <w:pPr>
        <w:spacing w:after="0" w:line="68" w:lineRule="exact"/>
        <w:rPr>
          <w:sz w:val="20"/>
          <w:szCs w:val="20"/>
          <w:color w:val="auto"/>
        </w:rPr>
      </w:pPr>
    </w:p>
    <w:p>
      <w:pPr>
        <w:ind w:left="220" w:right="160"/>
        <w:spacing w:after="0" w:line="258" w:lineRule="auto"/>
        <w:rPr>
          <w:sz w:val="20"/>
          <w:szCs w:val="20"/>
          <w:color w:val="auto"/>
        </w:rPr>
      </w:pPr>
      <w:r>
        <w:rPr>
          <w:rFonts w:ascii="Arial" w:cs="Arial" w:eastAsia="Arial" w:hAnsi="Arial"/>
          <w:sz w:val="16"/>
          <w:szCs w:val="16"/>
          <w:color w:val="435363"/>
        </w:rPr>
        <w:t>The say-on-pay vote is advisory, and therefore not binding on us, our Compensation Committee or the Board. However, the Board and Compensation Committee value the opinions of our stockholders and will consider the outcome of this advisory vote when making future decisions about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295910</wp:posOffset>
            </wp:positionV>
            <wp:extent cx="4471035" cy="672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471035" cy="67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320" w:right="180"/>
        <w:spacing w:after="0" w:line="285" w:lineRule="auto"/>
        <w:rPr>
          <w:sz w:val="20"/>
          <w:szCs w:val="20"/>
          <w:color w:val="auto"/>
        </w:rPr>
      </w:pPr>
      <w:r>
        <w:rPr>
          <w:rFonts w:ascii="Arial" w:cs="Arial" w:eastAsia="Arial" w:hAnsi="Arial"/>
          <w:sz w:val="16"/>
          <w:szCs w:val="16"/>
          <w:b w:val="1"/>
          <w:bCs w:val="1"/>
          <w:color w:val="3575B3"/>
        </w:rPr>
        <w:t>The Board unanimously recommends that the stockholders vote “FOR” the approval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403860</wp:posOffset>
            </wp:positionV>
            <wp:extent cx="5177155" cy="1682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22</w:t>
      </w:r>
    </w:p>
    <w:p>
      <w:pPr>
        <w:spacing w:after="0" w:line="33"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0880"/>
          </w:cols>
          <w:pgMar w:left="320" w:top="477" w:right="6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200660</wp:posOffset>
            </wp:positionV>
            <wp:extent cx="6193790" cy="2857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220" w:right="280"/>
        <w:spacing w:after="0" w:line="259" w:lineRule="auto"/>
        <w:rPr>
          <w:sz w:val="20"/>
          <w:szCs w:val="20"/>
          <w:color w:val="auto"/>
        </w:rPr>
      </w:pPr>
      <w:r>
        <w:rPr>
          <w:rFonts w:ascii="Arial" w:cs="Arial" w:eastAsia="Arial" w:hAnsi="Arial"/>
          <w:sz w:val="32"/>
          <w:szCs w:val="32"/>
          <w:color w:val="66AFDA"/>
        </w:rPr>
        <w:t>PROPOSAL 4—APPROVE AN AMENDMENT TO OUR CERTIFICATE OF INCORPORATION TO ALLOW OUR BYLAWS TO BE AMENDED IN THE FUTURE BY SIMPLE MAJORITY VOTE</w:t>
      </w:r>
    </w:p>
    <w:p>
      <w:pPr>
        <w:spacing w:after="0" w:line="252" w:lineRule="exact"/>
        <w:rPr>
          <w:sz w:val="20"/>
          <w:szCs w:val="20"/>
          <w:color w:val="auto"/>
        </w:rPr>
      </w:pPr>
    </w:p>
    <w:p>
      <w:pPr>
        <w:ind w:left="220" w:right="100"/>
        <w:spacing w:after="0" w:line="258" w:lineRule="auto"/>
        <w:rPr>
          <w:sz w:val="20"/>
          <w:szCs w:val="20"/>
          <w:color w:val="auto"/>
        </w:rPr>
      </w:pPr>
      <w:r>
        <w:rPr>
          <w:rFonts w:ascii="Arial" w:cs="Arial" w:eastAsia="Arial" w:hAnsi="Arial"/>
          <w:sz w:val="16"/>
          <w:szCs w:val="16"/>
          <w:color w:val="435363"/>
        </w:rPr>
        <w:t>At our 2023 annual meeting of stockholders, the stockholders voted on a stockholder-sponsored proposal requesting that the Board take the steps necessary to eliminate each stockholder voting requirement in our Certificate of Incorporation or Bylaws that calls for a greater than simple majority vote. The proposal passed with the support of a majority of the votes cast at the meeting.</w:t>
      </w:r>
    </w:p>
    <w:p>
      <w:pPr>
        <w:spacing w:after="0" w:line="68" w:lineRule="exact"/>
        <w:rPr>
          <w:sz w:val="20"/>
          <w:szCs w:val="20"/>
          <w:color w:val="auto"/>
        </w:rPr>
      </w:pPr>
    </w:p>
    <w:p>
      <w:pPr>
        <w:ind w:left="220" w:right="80"/>
        <w:spacing w:after="0" w:line="246" w:lineRule="auto"/>
        <w:rPr>
          <w:sz w:val="20"/>
          <w:szCs w:val="20"/>
          <w:color w:val="auto"/>
        </w:rPr>
      </w:pPr>
      <w:r>
        <w:rPr>
          <w:rFonts w:ascii="Arial" w:cs="Arial" w:eastAsia="Arial" w:hAnsi="Arial"/>
          <w:sz w:val="16"/>
          <w:szCs w:val="16"/>
          <w:color w:val="435363"/>
        </w:rPr>
        <w:t>The Board has carefully considered the advantages and disadvantages of maintaining the supermajority voting provisions in our Certificate of Incorporation, including the provision requiring the affirmative vote of the holders of at least 80% of the voting power of the shares outstanding and entitled to vote for the election of directors in order for our stockholders to amend our Bylaws. While this provision is designed to ensure that the interests of all stockholders are fully protected by requiring any amendments to our Bylaws to be supported by a significant portion of our stockholders, the Board recognizes that there are different perspectives on this matter and, after weighing these considerations, has determined that it is in the best interests of the Company and its stockholders to amend our Certificate of Incorporation to eliminate the supermajority voting requirement for amendments to the Bylaws by our stockholders (the “Bylaw Voting Threshold Amendment”). The Board recommends that stockholders approve the Bylaw Voting Threshold Amendment.</w:t>
      </w:r>
    </w:p>
    <w:p>
      <w:pPr>
        <w:spacing w:after="0" w:line="79" w:lineRule="exact"/>
        <w:rPr>
          <w:sz w:val="20"/>
          <w:szCs w:val="20"/>
          <w:color w:val="auto"/>
        </w:rPr>
      </w:pPr>
    </w:p>
    <w:p>
      <w:pPr>
        <w:ind w:left="220" w:right="480"/>
        <w:spacing w:after="0" w:line="275" w:lineRule="auto"/>
        <w:rPr>
          <w:sz w:val="20"/>
          <w:szCs w:val="20"/>
          <w:color w:val="auto"/>
        </w:rPr>
      </w:pPr>
      <w:r>
        <w:rPr>
          <w:rFonts w:ascii="Arial" w:cs="Arial" w:eastAsia="Arial" w:hAnsi="Arial"/>
          <w:sz w:val="16"/>
          <w:szCs w:val="16"/>
          <w:color w:val="435363"/>
        </w:rPr>
        <w:t>This proposal is separate and independent from the Supermajority Elimination Amendment in Proposal 5 because the vote required to approve this proposal is different than that required to approve Proposal 5.</w:t>
      </w:r>
    </w:p>
    <w:p>
      <w:pPr>
        <w:spacing w:after="0" w:line="55" w:lineRule="exact"/>
        <w:rPr>
          <w:sz w:val="20"/>
          <w:szCs w:val="20"/>
          <w:color w:val="auto"/>
        </w:rPr>
      </w:pPr>
    </w:p>
    <w:p>
      <w:pPr>
        <w:ind w:left="220" w:right="120"/>
        <w:spacing w:after="0" w:line="252" w:lineRule="auto"/>
        <w:rPr>
          <w:sz w:val="20"/>
          <w:szCs w:val="20"/>
          <w:color w:val="auto"/>
        </w:rPr>
      </w:pPr>
      <w:r>
        <w:rPr>
          <w:rFonts w:ascii="Arial" w:cs="Arial" w:eastAsia="Arial" w:hAnsi="Arial"/>
          <w:sz w:val="16"/>
          <w:szCs w:val="16"/>
          <w:color w:val="435363"/>
        </w:rPr>
        <w:t>An affirmative vote of the holders of at least 80% of the voting power of the shares outstanding and entitled to vote for the election of directors as of the Record Date is required to adopt Proposal 4. If approved, this proposal would become effective upon the filing of a certificate of amendment setting forth the Bylaw Voting Threshold Amendment with the Secretary of State of Delaware, which we intend to do if, and promptly after, the required stockholder approval is obtained.</w:t>
      </w:r>
    </w:p>
    <w:p>
      <w:pPr>
        <w:spacing w:after="0" w:line="74" w:lineRule="exact"/>
        <w:rPr>
          <w:sz w:val="20"/>
          <w:szCs w:val="20"/>
          <w:color w:val="auto"/>
        </w:rPr>
      </w:pPr>
    </w:p>
    <w:p>
      <w:pPr>
        <w:ind w:left="220" w:right="100"/>
        <w:spacing w:after="0" w:line="252" w:lineRule="auto"/>
        <w:rPr>
          <w:sz w:val="20"/>
          <w:szCs w:val="20"/>
          <w:color w:val="auto"/>
        </w:rPr>
      </w:pPr>
      <w:r>
        <w:rPr>
          <w:rFonts w:ascii="Arial" w:cs="Arial" w:eastAsia="Arial" w:hAnsi="Arial"/>
          <w:sz w:val="16"/>
          <w:szCs w:val="16"/>
          <w:color w:val="435363"/>
        </w:rPr>
        <w:t>The Board has also approved an amendment to the Bylaws to remove the corresponding supermajority amendment threshold from the Bylaws, the effectiveness of which is subject to stockholder approval of the Bylaw Voting Threshold Amendment at the 2024 Annual Meeting of Stockholders and the filing of the certificate of amendment setting forth the Bylaw Voting Threshold Amendment. If the foregoing events occur, such amendment to the Bylaws will be effective immediately following the filing of the Bylaw Voting Threshold Amendment with the Secretary of State of Delaware.</w:t>
      </w:r>
    </w:p>
    <w:p>
      <w:pPr>
        <w:spacing w:after="0" w:line="74" w:lineRule="exact"/>
        <w:rPr>
          <w:sz w:val="20"/>
          <w:szCs w:val="20"/>
          <w:color w:val="auto"/>
        </w:rPr>
      </w:pPr>
    </w:p>
    <w:p>
      <w:pPr>
        <w:jc w:val="both"/>
        <w:ind w:left="220" w:right="640"/>
        <w:spacing w:after="0" w:line="258" w:lineRule="auto"/>
        <w:rPr>
          <w:sz w:val="20"/>
          <w:szCs w:val="20"/>
          <w:color w:val="auto"/>
        </w:rPr>
      </w:pPr>
      <w:r>
        <w:rPr>
          <w:rFonts w:ascii="Arial" w:cs="Arial" w:eastAsia="Arial" w:hAnsi="Arial"/>
          <w:sz w:val="16"/>
          <w:szCs w:val="16"/>
          <w:color w:val="435363"/>
        </w:rPr>
        <w:t>The description in this Proposal of the Bylaw Voting Threshold Amendment to eliminate the supermajority voting requirement in the Certificate of Incorporation with respect to amendments to the Bylaws by our stockholders is qualified in its entirety by reference to the text of the Bylaw Voting Threshold Amendment, which is attached to this Proxy Statement as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295910</wp:posOffset>
            </wp:positionV>
            <wp:extent cx="4471035" cy="789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471035" cy="78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320" w:right="320"/>
        <w:spacing w:after="0" w:line="263" w:lineRule="auto"/>
        <w:rPr>
          <w:sz w:val="20"/>
          <w:szCs w:val="20"/>
          <w:color w:val="auto"/>
        </w:rPr>
      </w:pPr>
      <w:r>
        <w:rPr>
          <w:rFonts w:ascii="Arial" w:cs="Arial" w:eastAsia="Arial" w:hAnsi="Arial"/>
          <w:sz w:val="16"/>
          <w:szCs w:val="16"/>
          <w:b w:val="1"/>
          <w:bCs w:val="1"/>
          <w:color w:val="3575B3"/>
        </w:rPr>
        <w:t>The Board unanimously recommends that the stockholders vote “FOR” the approval of the proposal to amend our Certificate of Incorporation to allow our Bylaws to be amended by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322580</wp:posOffset>
            </wp:positionV>
            <wp:extent cx="5177155" cy="168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23</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200660</wp:posOffset>
            </wp:positionV>
            <wp:extent cx="6193790" cy="2857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right="260"/>
        <w:spacing w:after="0" w:line="253" w:lineRule="auto"/>
        <w:rPr>
          <w:sz w:val="20"/>
          <w:szCs w:val="20"/>
          <w:color w:val="auto"/>
        </w:rPr>
      </w:pPr>
      <w:r>
        <w:rPr>
          <w:rFonts w:ascii="Arial" w:cs="Arial" w:eastAsia="Arial" w:hAnsi="Arial"/>
          <w:sz w:val="32"/>
          <w:szCs w:val="32"/>
          <w:color w:val="66AFDA"/>
        </w:rPr>
        <w:t>PROPOSAL 5—APPROVE AN AMENDMENT TO OUR CERTIFICATE OF INCORPORATION TO ALLOW ALL OTHER PROVISIONS OF THE CERTIFICATE OF INCORPORATION TO BE AMENDED BY SIMPLE MAJORITY VOTE</w:t>
      </w:r>
    </w:p>
    <w:p>
      <w:pPr>
        <w:spacing w:after="0" w:line="196" w:lineRule="exact"/>
        <w:rPr>
          <w:sz w:val="20"/>
          <w:szCs w:val="20"/>
          <w:color w:val="auto"/>
        </w:rPr>
      </w:pPr>
    </w:p>
    <w:p>
      <w:pPr>
        <w:ind w:left="220" w:right="80"/>
        <w:spacing w:after="0" w:line="258" w:lineRule="auto"/>
        <w:rPr>
          <w:sz w:val="20"/>
          <w:szCs w:val="20"/>
          <w:color w:val="auto"/>
        </w:rPr>
      </w:pPr>
      <w:r>
        <w:rPr>
          <w:rFonts w:ascii="Arial" w:cs="Arial" w:eastAsia="Arial" w:hAnsi="Arial"/>
          <w:sz w:val="16"/>
          <w:szCs w:val="16"/>
          <w:color w:val="435363"/>
        </w:rPr>
        <w:t>At our 2023 annual meeting of stockholders, the stockholders voted on a stockholder-sponsored proposal requesting that the Board take the steps necessary to eliminate each stockholder voting requirement in our Certificate of Incorporation or Bylaws that calls for a greater than simple majority vote. The proposal passed with the support of a majority of the votes cast at the meeting.</w:t>
      </w:r>
    </w:p>
    <w:p>
      <w:pPr>
        <w:spacing w:after="0" w:line="68" w:lineRule="exact"/>
        <w:rPr>
          <w:sz w:val="20"/>
          <w:szCs w:val="20"/>
          <w:color w:val="auto"/>
        </w:rPr>
      </w:pPr>
    </w:p>
    <w:p>
      <w:pPr>
        <w:ind w:left="220" w:right="80"/>
        <w:spacing w:after="0" w:line="264" w:lineRule="auto"/>
        <w:rPr>
          <w:sz w:val="20"/>
          <w:szCs w:val="20"/>
          <w:color w:val="auto"/>
        </w:rPr>
      </w:pPr>
      <w:r>
        <w:rPr>
          <w:rFonts w:ascii="Arial" w:cs="Arial" w:eastAsia="Arial" w:hAnsi="Arial"/>
          <w:sz w:val="15"/>
          <w:szCs w:val="15"/>
          <w:color w:val="435363"/>
        </w:rPr>
        <w:t>The Board has carefully considered the advantages and disadvantages of maintaining the supermajority voting provisions in our Certificate of Incorporation, including the provisions requiring the affirmative vote of the holders of at least two-thirds of the voting power of the shares outstanding and entitled to vote for the election of directors in order for our stockholders to amend certain provisions of our Certificate of Incorporation (including, among other things, provisions related to the size and terms of our Board, vacancies on the Board, stockholder consents, special meetings of stockholders and the requirements to amend the Certificate of Incorporation). While the supermajority voting provisions are designed to ensure that the interests of all stockholders are fully protected by requiring any amendments to our Certificate of Incorporation to be supported by a significant portion of our stockholders, the Board recognizes that there are different perspectives on this matter and, after weighing these considerations, has determined that it is in the best interests of the Company and its stockholders to amend our Certificate of Incorporation to eliminate the supermajority voting provisions (the “Supermajority Elimination Amendment”). The Board recommends that stockholders approve the Supermajority Elimination Amendment.</w:t>
      </w:r>
    </w:p>
    <w:p>
      <w:pPr>
        <w:spacing w:after="0" w:line="66" w:lineRule="exact"/>
        <w:rPr>
          <w:sz w:val="20"/>
          <w:szCs w:val="20"/>
          <w:color w:val="auto"/>
        </w:rPr>
      </w:pPr>
    </w:p>
    <w:p>
      <w:pPr>
        <w:ind w:left="220" w:right="600"/>
        <w:spacing w:after="0" w:line="275" w:lineRule="auto"/>
        <w:rPr>
          <w:sz w:val="20"/>
          <w:szCs w:val="20"/>
          <w:color w:val="auto"/>
        </w:rPr>
      </w:pPr>
      <w:r>
        <w:rPr>
          <w:rFonts w:ascii="Arial" w:cs="Arial" w:eastAsia="Arial" w:hAnsi="Arial"/>
          <w:sz w:val="16"/>
          <w:szCs w:val="16"/>
          <w:color w:val="435363"/>
        </w:rPr>
        <w:t>This proposal is separate and independent from the Bylaw Voting Threshold Amendment in Proposal 4 because the vote required to approve this proposal is different than that required to approve Proposal 4.</w:t>
      </w:r>
    </w:p>
    <w:p>
      <w:pPr>
        <w:spacing w:after="0" w:line="55" w:lineRule="exact"/>
        <w:rPr>
          <w:sz w:val="20"/>
          <w:szCs w:val="20"/>
          <w:color w:val="auto"/>
        </w:rPr>
      </w:pPr>
    </w:p>
    <w:p>
      <w:pPr>
        <w:ind w:left="220" w:right="80"/>
        <w:spacing w:after="0" w:line="252" w:lineRule="auto"/>
        <w:rPr>
          <w:sz w:val="20"/>
          <w:szCs w:val="20"/>
          <w:color w:val="auto"/>
        </w:rPr>
      </w:pPr>
      <w:r>
        <w:rPr>
          <w:rFonts w:ascii="Arial" w:cs="Arial" w:eastAsia="Arial" w:hAnsi="Arial"/>
          <w:sz w:val="16"/>
          <w:szCs w:val="16"/>
          <w:color w:val="435363"/>
        </w:rPr>
        <w:t>An affirmative vote of the holders of at least two-thirds of the voting power of the shares outstanding and entitled to vote for the election of directors as of the Record Date is required to adopt Proposal 5. If approved, this proposal would become effective upon the filing of a certificate of amendment setting forth the Supermajority Elimination Amendment with the Secretary of State of Delaware, which we intend to do if, and promptly, after the required stockholder approval is obtained.</w:t>
      </w:r>
    </w:p>
    <w:p>
      <w:pPr>
        <w:spacing w:after="0" w:line="74" w:lineRule="exact"/>
        <w:rPr>
          <w:sz w:val="20"/>
          <w:szCs w:val="20"/>
          <w:color w:val="auto"/>
        </w:rPr>
      </w:pPr>
    </w:p>
    <w:p>
      <w:pPr>
        <w:ind w:left="220"/>
        <w:spacing w:after="0" w:line="275" w:lineRule="auto"/>
        <w:rPr>
          <w:sz w:val="20"/>
          <w:szCs w:val="20"/>
          <w:color w:val="auto"/>
        </w:rPr>
      </w:pPr>
      <w:r>
        <w:rPr>
          <w:rFonts w:ascii="Arial" w:cs="Arial" w:eastAsia="Arial" w:hAnsi="Arial"/>
          <w:sz w:val="16"/>
          <w:szCs w:val="16"/>
          <w:color w:val="435363"/>
        </w:rPr>
        <w:t>The description in this Proposal of the Supermajority Elimination Amendment to eliminate the supermajority provisions in the Certificate of Incorporation is qualified in its entirety by reference to the text of the Supermajority Elimination Amendment, which is attached to this Proxy Statement as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287655</wp:posOffset>
            </wp:positionV>
            <wp:extent cx="4471035" cy="789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471035" cy="78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4320" w:right="260"/>
        <w:spacing w:after="0" w:line="289" w:lineRule="auto"/>
        <w:rPr>
          <w:sz w:val="20"/>
          <w:szCs w:val="20"/>
          <w:color w:val="auto"/>
        </w:rPr>
      </w:pPr>
      <w:r>
        <w:rPr>
          <w:rFonts w:ascii="Arial" w:cs="Arial" w:eastAsia="Arial" w:hAnsi="Arial"/>
          <w:sz w:val="15"/>
          <w:szCs w:val="15"/>
          <w:b w:val="1"/>
          <w:bCs w:val="1"/>
          <w:color w:val="3575B3"/>
        </w:rPr>
        <w:t>The Board unanimously recommends that the stockholders vote “FOR” the approval of the proposal to amend our Certificate of Incorporation to allow all other provisions of the Certificate of Incorporation to be amended by 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403225</wp:posOffset>
            </wp:positionV>
            <wp:extent cx="5177155" cy="1682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24</w:t>
      </w:r>
    </w:p>
    <w:p>
      <w:pPr>
        <w:spacing w:after="0" w:line="3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00"/>
          </w:cols>
          <w:pgMar w:left="320" w:top="477" w:right="5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200660</wp:posOffset>
            </wp:positionV>
            <wp:extent cx="6193790" cy="2857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32"/>
          <w:szCs w:val="32"/>
          <w:color w:val="66AFDA"/>
        </w:rPr>
        <w:t>PROPOSAL 6—ADVISORY VOTE ON A STOCKHOLDER PROPOSAL</w:t>
      </w:r>
    </w:p>
    <w:p>
      <w:pPr>
        <w:spacing w:after="0" w:line="268"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435363"/>
        </w:rPr>
        <w:t>The Treasurer for the State of Illinois, as Trustee of the Bright Start College Savings Trust, has informed the Company of their intention to present the proposal set forth below at our Annual Meeting. The address of the stockholder and the number of the Company’s securities that the stockholder owns will be provided to stockholders promptly upon request. If the stockholder (or their “qualified representative”) is present at the Annual Meeting and properly submits the proposal for a vote, then the stockholder proposal will be voted upon at the Annual Meeting. In accordance with the federal securities laws, the stockholder proposal is presented below as submitted by the stockholder and is quoted verbatim. The Company disclaims all responsibility for the content of the proposal and the supporting statement, including other sources referenced in the supporting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301625</wp:posOffset>
            </wp:positionV>
            <wp:extent cx="4471035" cy="789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471035" cy="78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320" w:right="240"/>
        <w:spacing w:after="0" w:line="263" w:lineRule="auto"/>
        <w:rPr>
          <w:sz w:val="20"/>
          <w:szCs w:val="20"/>
          <w:color w:val="auto"/>
        </w:rPr>
      </w:pPr>
      <w:r>
        <w:rPr>
          <w:rFonts w:ascii="Arial" w:cs="Arial" w:eastAsia="Arial" w:hAnsi="Arial"/>
          <w:sz w:val="16"/>
          <w:szCs w:val="16"/>
          <w:b w:val="1"/>
          <w:bCs w:val="1"/>
          <w:color w:val="3575B3"/>
        </w:rPr>
        <w:t>For the reasons stated in the Board’s Statement in Opposition, which follows the stockholder proposal, the Board unanimously urges stockholders to vote “AGAINST” the stockholder proposal.</w:t>
      </w: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Stockholder Proposal</w:t>
      </w:r>
    </w:p>
    <w:p>
      <w:pPr>
        <w:spacing w:after="0" w:line="77"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b w:val="1"/>
          <w:bCs w:val="1"/>
          <w:color w:val="435363"/>
        </w:rPr>
        <w:t>Resolved</w:t>
      </w:r>
      <w:r>
        <w:rPr>
          <w:rFonts w:ascii="Arial" w:cs="Arial" w:eastAsia="Arial" w:hAnsi="Arial"/>
          <w:sz w:val="16"/>
          <w:szCs w:val="16"/>
          <w:color w:val="435363"/>
        </w:rPr>
        <w:t>: Shareholders of American Airlines Group Inc. (“American” or the “Company”) ask the Board of Directors to commission an independent, third-party audit of how effectively American is implementing its various environmental and social commitments, including its commitment to reduce greenhouse gas (“GHG”) emissions, and compliance with American’s Safety Policy and Human Rights Statement. The audit should identify whether there are areas of misalignment between those commitments and American’s actions and provide recommendations for promoting greater alignment. A report on the audit, prepared at reasonable cost and omitting confidential and proprietary information, should be made available on American’s website.</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6"/>
          <w:szCs w:val="16"/>
          <w:b w:val="1"/>
          <w:bCs w:val="1"/>
          <w:u w:val="single" w:color="auto"/>
          <w:color w:val="435363"/>
        </w:rPr>
        <w:t>Supporting Statement</w:t>
      </w:r>
    </w:p>
    <w:p>
      <w:pPr>
        <w:spacing w:after="0" w:line="81" w:lineRule="exact"/>
        <w:rPr>
          <w:sz w:val="20"/>
          <w:szCs w:val="20"/>
          <w:color w:val="auto"/>
        </w:rPr>
      </w:pPr>
    </w:p>
    <w:p>
      <w:pPr>
        <w:jc w:val="both"/>
        <w:ind w:left="220" w:right="200"/>
        <w:spacing w:after="0" w:line="258" w:lineRule="auto"/>
        <w:rPr>
          <w:sz w:val="20"/>
          <w:szCs w:val="20"/>
          <w:color w:val="auto"/>
        </w:rPr>
      </w:pPr>
      <w:r>
        <w:rPr>
          <w:rFonts w:ascii="Arial" w:cs="Arial" w:eastAsia="Arial" w:hAnsi="Arial"/>
          <w:sz w:val="16"/>
          <w:szCs w:val="16"/>
          <w:color w:val="435363"/>
        </w:rPr>
        <w:t>American’s operations have meaningful environmental and social impacts that present potentially material risks to investors. Accordingly, American has made several commitments designed to manage such impacts and mitigate exposures to associated financial, regulatory, reputational, and legal risks. While these commitments are important, evidence suggests there is a gap between policy creation and policy implementation.</w:t>
      </w:r>
    </w:p>
    <w:p>
      <w:pPr>
        <w:spacing w:after="0" w:line="68" w:lineRule="exact"/>
        <w:rPr>
          <w:sz w:val="20"/>
          <w:szCs w:val="20"/>
          <w:color w:val="auto"/>
        </w:rPr>
      </w:pPr>
    </w:p>
    <w:p>
      <w:pPr>
        <w:ind w:left="220" w:right="20"/>
        <w:spacing w:after="0" w:line="181" w:lineRule="auto"/>
        <w:rPr>
          <w:sz w:val="20"/>
          <w:szCs w:val="20"/>
          <w:color w:val="auto"/>
        </w:rPr>
      </w:pPr>
      <w:r>
        <w:rPr>
          <w:rFonts w:ascii="Arial" w:cs="Arial" w:eastAsia="Arial" w:hAnsi="Arial"/>
          <w:sz w:val="16"/>
          <w:szCs w:val="16"/>
          <w:color w:val="435363"/>
        </w:rPr>
        <w:t>For example, the Sustainability Accounting Standards Board (“SASB”) identifies GHG emissions as a material risk for airlines.</w:t>
      </w:r>
      <w:r>
        <w:rPr>
          <w:rFonts w:ascii="Arial" w:cs="Arial" w:eastAsia="Arial" w:hAnsi="Arial"/>
          <w:sz w:val="23"/>
          <w:szCs w:val="23"/>
          <w:color w:val="435363"/>
          <w:vertAlign w:val="superscript"/>
        </w:rPr>
        <w:t>1</w:t>
      </w:r>
      <w:r>
        <w:rPr>
          <w:rFonts w:ascii="Arial" w:cs="Arial" w:eastAsia="Arial" w:hAnsi="Arial"/>
          <w:sz w:val="16"/>
          <w:szCs w:val="16"/>
          <w:color w:val="435363"/>
        </w:rPr>
        <w:t xml:space="preserve"> While American has stated its commitment to the goals of the Paris Agreement and aims to reach net zero GHG emissions by 2050,</w:t>
      </w:r>
      <w:r>
        <w:rPr>
          <w:rFonts w:ascii="Arial" w:cs="Arial" w:eastAsia="Arial" w:hAnsi="Arial"/>
          <w:sz w:val="23"/>
          <w:szCs w:val="23"/>
          <w:color w:val="435363"/>
          <w:vertAlign w:val="superscript"/>
        </w:rPr>
        <w:t>2</w:t>
      </w:r>
      <w:r>
        <w:rPr>
          <w:rFonts w:ascii="Arial" w:cs="Arial" w:eastAsia="Arial" w:hAnsi="Arial"/>
          <w:sz w:val="16"/>
          <w:szCs w:val="16"/>
          <w:color w:val="435363"/>
        </w:rPr>
        <w:t xml:space="preserve"> there are concerns about American’s net zero plan. Fifteen percent of American’s net zero pathway involves the use of carbon offsets,</w:t>
      </w:r>
      <w:r>
        <w:rPr>
          <w:rFonts w:ascii="Arial" w:cs="Arial" w:eastAsia="Arial" w:hAnsi="Arial"/>
          <w:sz w:val="23"/>
          <w:szCs w:val="23"/>
          <w:color w:val="435363"/>
          <w:vertAlign w:val="superscript"/>
        </w:rPr>
        <w:t>3</w:t>
      </w:r>
      <w:r>
        <w:rPr>
          <w:rFonts w:ascii="Arial" w:cs="Arial" w:eastAsia="Arial" w:hAnsi="Arial"/>
          <w:sz w:val="16"/>
          <w:szCs w:val="16"/>
          <w:color w:val="435363"/>
        </w:rPr>
        <w:t xml:space="preserve"> which are plagued by findings of overstated benefits,</w:t>
      </w:r>
      <w:r>
        <w:rPr>
          <w:rFonts w:ascii="Arial" w:cs="Arial" w:eastAsia="Arial" w:hAnsi="Arial"/>
          <w:sz w:val="23"/>
          <w:szCs w:val="23"/>
          <w:color w:val="435363"/>
          <w:vertAlign w:val="superscript"/>
        </w:rPr>
        <w:t>4</w:t>
      </w:r>
      <w:r>
        <w:rPr>
          <w:rFonts w:ascii="Arial" w:cs="Arial" w:eastAsia="Arial" w:hAnsi="Arial"/>
          <w:sz w:val="16"/>
          <w:szCs w:val="16"/>
          <w:color w:val="435363"/>
        </w:rPr>
        <w:t xml:space="preserve"> lack of standardization, and conflicted third-party verifiers.</w:t>
      </w:r>
      <w:r>
        <w:rPr>
          <w:rFonts w:ascii="Arial" w:cs="Arial" w:eastAsia="Arial" w:hAnsi="Arial"/>
          <w:sz w:val="23"/>
          <w:szCs w:val="23"/>
          <w:color w:val="435363"/>
          <w:vertAlign w:val="superscript"/>
        </w:rPr>
        <w:t>5</w:t>
      </w:r>
      <w:r>
        <w:rPr>
          <w:rFonts w:ascii="Arial" w:cs="Arial" w:eastAsia="Arial" w:hAnsi="Arial"/>
          <w:sz w:val="16"/>
          <w:szCs w:val="16"/>
          <w:color w:val="435363"/>
        </w:rPr>
        <w:t xml:space="preserve"> American also committed to align its lobbying activities with Paris goals and to report on the lobbying alignment of its trade associations.</w:t>
      </w:r>
      <w:r>
        <w:rPr>
          <w:rFonts w:ascii="Arial" w:cs="Arial" w:eastAsia="Arial" w:hAnsi="Arial"/>
          <w:sz w:val="23"/>
          <w:szCs w:val="23"/>
          <w:color w:val="435363"/>
          <w:vertAlign w:val="superscript"/>
        </w:rPr>
        <w:t>6</w:t>
      </w:r>
      <w:r>
        <w:rPr>
          <w:rFonts w:ascii="Arial" w:cs="Arial" w:eastAsia="Arial" w:hAnsi="Arial"/>
          <w:sz w:val="16"/>
          <w:szCs w:val="16"/>
          <w:color w:val="435363"/>
        </w:rPr>
        <w:t xml:space="preserve"> No such assessment has yet been disclosed, making it difficult to assess how American is implementing its net zero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77470</wp:posOffset>
            </wp:positionV>
            <wp:extent cx="7480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48030" cy="8255"/>
                    </a:xfrm>
                    <a:prstGeom prst="rect">
                      <a:avLst/>
                    </a:prstGeom>
                    <a:noFill/>
                  </pic:spPr>
                </pic:pic>
              </a:graphicData>
            </a:graphic>
          </wp:anchor>
        </w:drawing>
      </w:r>
    </w:p>
    <w:p>
      <w:pPr>
        <w:spacing w:after="0" w:line="63" w:lineRule="exact"/>
        <w:rPr>
          <w:sz w:val="20"/>
          <w:szCs w:val="20"/>
          <w:color w:val="auto"/>
        </w:rPr>
      </w:pPr>
    </w:p>
    <w:p>
      <w:pPr>
        <w:ind w:left="640" w:hanging="416"/>
        <w:spacing w:after="0"/>
        <w:tabs>
          <w:tab w:leader="none" w:pos="640" w:val="left"/>
        </w:tabs>
        <w:numPr>
          <w:ilvl w:val="0"/>
          <w:numId w:val="15"/>
        </w:numPr>
        <w:rPr>
          <w:rFonts w:ascii="Arial" w:cs="Arial" w:eastAsia="Arial" w:hAnsi="Arial"/>
          <w:sz w:val="19"/>
          <w:szCs w:val="19"/>
          <w:color w:val="435363"/>
          <w:vertAlign w:val="superscript"/>
        </w:rPr>
      </w:pPr>
      <w:r>
        <w:rPr>
          <w:rFonts w:ascii="Arial" w:cs="Arial" w:eastAsia="Arial" w:hAnsi="Arial"/>
          <w:sz w:val="12"/>
          <w:szCs w:val="12"/>
          <w:color w:val="435363"/>
        </w:rPr>
        <w:t>https://sasb.org/standards/materiality-finder/find/?industry%5B0%5D=TR-AL</w:t>
      </w:r>
    </w:p>
    <w:p>
      <w:pPr>
        <w:ind w:left="640" w:hanging="416"/>
        <w:spacing w:after="0" w:line="184" w:lineRule="auto"/>
        <w:tabs>
          <w:tab w:leader="none" w:pos="640" w:val="left"/>
        </w:tabs>
        <w:numPr>
          <w:ilvl w:val="0"/>
          <w:numId w:val="16"/>
        </w:numPr>
        <w:rPr>
          <w:rFonts w:ascii="Arial" w:cs="Arial" w:eastAsia="Arial" w:hAnsi="Arial"/>
          <w:sz w:val="15"/>
          <w:szCs w:val="15"/>
          <w:color w:val="435363"/>
          <w:vertAlign w:val="superscript"/>
        </w:rPr>
      </w:pPr>
      <w:r>
        <w:rPr>
          <w:rFonts w:ascii="Arial" w:cs="Arial" w:eastAsia="Arial" w:hAnsi="Arial"/>
          <w:sz w:val="11"/>
          <w:szCs w:val="11"/>
          <w:color w:val="435363"/>
        </w:rPr>
        <w:t>https://www.aa.com/content/images/customer-service/about-us/corporate-governance/esg/aag-esg-report-2021.pdf at 7.</w:t>
      </w:r>
    </w:p>
    <w:p>
      <w:pPr>
        <w:ind w:left="640" w:hanging="416"/>
        <w:spacing w:after="0" w:line="184" w:lineRule="auto"/>
        <w:tabs>
          <w:tab w:leader="none" w:pos="640" w:val="left"/>
        </w:tabs>
        <w:numPr>
          <w:ilvl w:val="0"/>
          <w:numId w:val="17"/>
        </w:numPr>
        <w:rPr>
          <w:rFonts w:ascii="Arial" w:cs="Arial" w:eastAsia="Arial" w:hAnsi="Arial"/>
          <w:sz w:val="15"/>
          <w:szCs w:val="15"/>
          <w:color w:val="435363"/>
          <w:vertAlign w:val="superscript"/>
        </w:rPr>
      </w:pPr>
      <w:r>
        <w:rPr>
          <w:rFonts w:ascii="Arial" w:cs="Arial" w:eastAsia="Arial" w:hAnsi="Arial"/>
          <w:sz w:val="11"/>
          <w:szCs w:val="11"/>
          <w:color w:val="435363"/>
        </w:rPr>
        <w:t>https://s202.q4cdn.com/986123435/files/images/esg/aa-sustainability-report-2022.pdf#page=12&amp;zoom=100,60,514</w:t>
      </w:r>
    </w:p>
    <w:p>
      <w:pPr>
        <w:ind w:left="640" w:hanging="416"/>
        <w:spacing w:after="0" w:line="184" w:lineRule="auto"/>
        <w:tabs>
          <w:tab w:leader="none" w:pos="640" w:val="left"/>
        </w:tabs>
        <w:numPr>
          <w:ilvl w:val="0"/>
          <w:numId w:val="18"/>
        </w:numPr>
        <w:rPr>
          <w:rFonts w:ascii="Arial" w:cs="Arial" w:eastAsia="Arial" w:hAnsi="Arial"/>
          <w:sz w:val="15"/>
          <w:szCs w:val="15"/>
          <w:color w:val="435363"/>
          <w:vertAlign w:val="superscript"/>
        </w:rPr>
      </w:pPr>
      <w:r>
        <w:rPr>
          <w:rFonts w:ascii="Arial" w:cs="Arial" w:eastAsia="Arial" w:hAnsi="Arial"/>
          <w:sz w:val="11"/>
          <w:szCs w:val="11"/>
          <w:color w:val="435363"/>
        </w:rPr>
        <w:t>https://www.science.org/doi/10.1126/science.ade3535; https://www.source-material.org/vercompanies-carbon-offsetting-claims-inflated-methodologies-flawed/</w:t>
      </w:r>
    </w:p>
    <w:p>
      <w:pPr>
        <w:ind w:left="640" w:hanging="416"/>
        <w:spacing w:after="0" w:line="184" w:lineRule="auto"/>
        <w:tabs>
          <w:tab w:leader="none" w:pos="640" w:val="left"/>
        </w:tabs>
        <w:numPr>
          <w:ilvl w:val="0"/>
          <w:numId w:val="19"/>
        </w:numPr>
        <w:rPr>
          <w:rFonts w:ascii="Arial" w:cs="Arial" w:eastAsia="Arial" w:hAnsi="Arial"/>
          <w:sz w:val="15"/>
          <w:szCs w:val="15"/>
          <w:color w:val="435363"/>
          <w:vertAlign w:val="superscript"/>
        </w:rPr>
      </w:pPr>
      <w:r>
        <w:rPr>
          <w:rFonts w:ascii="Arial" w:cs="Arial" w:eastAsia="Arial" w:hAnsi="Arial"/>
          <w:sz w:val="11"/>
          <w:szCs w:val="11"/>
          <w:color w:val="435363"/>
        </w:rPr>
        <w:t>https://www.courthousenews.com/wp-content/uploads/2023/05/berrin-vs-delta.pdf</w:t>
      </w:r>
    </w:p>
    <w:p>
      <w:pPr>
        <w:ind w:left="640" w:hanging="416"/>
        <w:spacing w:after="0" w:line="186" w:lineRule="auto"/>
        <w:tabs>
          <w:tab w:leader="none" w:pos="640" w:val="left"/>
        </w:tabs>
        <w:numPr>
          <w:ilvl w:val="0"/>
          <w:numId w:val="20"/>
        </w:numPr>
        <w:rPr>
          <w:rFonts w:ascii="Arial" w:cs="Arial" w:eastAsia="Arial" w:hAnsi="Arial"/>
          <w:sz w:val="17"/>
          <w:szCs w:val="17"/>
          <w:color w:val="435363"/>
          <w:vertAlign w:val="superscript"/>
        </w:rPr>
      </w:pPr>
      <w:r>
        <w:rPr>
          <w:rFonts w:ascii="Arial" w:cs="Arial" w:eastAsia="Arial" w:hAnsi="Arial"/>
          <w:sz w:val="12"/>
          <w:szCs w:val="12"/>
          <w:color w:val="435363"/>
        </w:rPr>
        <w:t>American Airlines - 2021 ESG Report (aa.com)</w:t>
      </w:r>
    </w:p>
    <w:p>
      <w:pPr>
        <w:spacing w:after="0" w:line="138" w:lineRule="exact"/>
        <w:rPr>
          <w:rFonts w:ascii="Arial" w:cs="Arial" w:eastAsia="Arial" w:hAnsi="Arial"/>
          <w:sz w:val="17"/>
          <w:szCs w:val="17"/>
          <w:color w:val="435363"/>
          <w:vertAlign w:val="superscript"/>
        </w:rPr>
      </w:pPr>
    </w:p>
    <w:p>
      <w:pPr>
        <w:ind w:left="2240"/>
        <w:spacing w:after="0"/>
        <w:rPr>
          <w:rFonts w:ascii="Arial" w:cs="Arial" w:eastAsia="Arial" w:hAnsi="Arial"/>
          <w:sz w:val="17"/>
          <w:szCs w:val="17"/>
          <w:color w:val="435363"/>
          <w:vertAlign w:val="superscript"/>
        </w:rPr>
      </w:pPr>
      <w:r>
        <w:rPr>
          <w:rFonts w:ascii="Arial" w:cs="Arial" w:eastAsia="Arial" w:hAnsi="Arial"/>
          <w:sz w:val="1"/>
          <w:szCs w:val="1"/>
          <w:color w:val="435363"/>
          <w:vertAlign w:val="superscript"/>
        </w:rPr>
        <w:drawing>
          <wp:inline distT="0" distB="0" distL="0" distR="0">
            <wp:extent cx="5177155" cy="16827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77155" cy="168275"/>
                    </a:xfrm>
                    <a:prstGeom prst="rect">
                      <a:avLst/>
                    </a:prstGeom>
                    <a:noFill/>
                    <a:ln>
                      <a:noFill/>
                    </a:ln>
                  </pic:spPr>
                </pic:pic>
              </a:graphicData>
            </a:graphic>
          </wp:inline>
        </w:drawing>
      </w:r>
      <w:r>
        <w:rPr>
          <w:rFonts w:ascii="Arial" w:cs="Arial" w:eastAsia="Arial" w:hAnsi="Arial"/>
          <w:sz w:val="16"/>
          <w:szCs w:val="16"/>
          <w:b w:val="1"/>
          <w:bCs w:val="1"/>
          <w:color w:val="435363"/>
        </w:rPr>
        <w:t xml:space="preserve">     25</w:t>
      </w:r>
    </w:p>
    <w:p>
      <w:pPr>
        <w:spacing w:after="0" w:line="18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right="540"/>
        <w:spacing w:after="0" w:line="231" w:lineRule="auto"/>
        <w:rPr>
          <w:sz w:val="20"/>
          <w:szCs w:val="20"/>
          <w:color w:val="auto"/>
        </w:rPr>
      </w:pPr>
      <w:r>
        <w:rPr>
          <w:rFonts w:ascii="Arial" w:cs="Arial" w:eastAsia="Arial" w:hAnsi="Arial"/>
          <w:sz w:val="15"/>
          <w:szCs w:val="15"/>
          <w:color w:val="435363"/>
        </w:rPr>
        <w:t>SASB also identifies labor practices as a material issue for airlines.</w:t>
      </w:r>
      <w:r>
        <w:rPr>
          <w:rFonts w:ascii="Arial" w:cs="Arial" w:eastAsia="Arial" w:hAnsi="Arial"/>
          <w:sz w:val="22"/>
          <w:szCs w:val="22"/>
          <w:color w:val="435363"/>
          <w:vertAlign w:val="superscript"/>
        </w:rPr>
        <w:t>7</w:t>
      </w:r>
      <w:r>
        <w:rPr>
          <w:rFonts w:ascii="Arial" w:cs="Arial" w:eastAsia="Arial" w:hAnsi="Arial"/>
          <w:sz w:val="15"/>
          <w:szCs w:val="15"/>
          <w:color w:val="435363"/>
        </w:rPr>
        <w:t xml:space="preserve"> American’s Safety Policy states the objective is to “provide a safe and secure environment for our customers and our team members.”</w:t>
      </w:r>
      <w:r>
        <w:rPr>
          <w:rFonts w:ascii="Arial" w:cs="Arial" w:eastAsia="Arial" w:hAnsi="Arial"/>
          <w:sz w:val="22"/>
          <w:szCs w:val="22"/>
          <w:color w:val="435363"/>
          <w:vertAlign w:val="superscript"/>
        </w:rPr>
        <w:t>8</w:t>
      </w:r>
      <w:r>
        <w:rPr>
          <w:rFonts w:ascii="Arial" w:cs="Arial" w:eastAsia="Arial" w:hAnsi="Arial"/>
          <w:sz w:val="15"/>
          <w:szCs w:val="15"/>
          <w:color w:val="435363"/>
        </w:rPr>
        <w:t xml:space="preserve"> However, there are concerns about mounting workplace health and safety issues.</w:t>
      </w:r>
    </w:p>
    <w:p>
      <w:pPr>
        <w:spacing w:after="0" w:line="2" w:lineRule="exact"/>
        <w:rPr>
          <w:sz w:val="20"/>
          <w:szCs w:val="20"/>
          <w:color w:val="auto"/>
        </w:rPr>
      </w:pPr>
    </w:p>
    <w:p>
      <w:pPr>
        <w:ind w:left="220" w:right="260"/>
        <w:spacing w:after="0" w:line="216" w:lineRule="auto"/>
        <w:rPr>
          <w:sz w:val="20"/>
          <w:szCs w:val="20"/>
          <w:color w:val="auto"/>
        </w:rPr>
      </w:pPr>
      <w:r>
        <w:rPr>
          <w:rFonts w:ascii="Arial" w:cs="Arial" w:eastAsia="Arial" w:hAnsi="Arial"/>
          <w:sz w:val="16"/>
          <w:szCs w:val="16"/>
          <w:color w:val="435363"/>
        </w:rPr>
        <w:t>American reported that workplace injury rates rose by 22% from 2020 to 2022</w:t>
      </w:r>
      <w:r>
        <w:rPr>
          <w:rFonts w:ascii="Arial" w:cs="Arial" w:eastAsia="Arial" w:hAnsi="Arial"/>
          <w:sz w:val="23"/>
          <w:szCs w:val="23"/>
          <w:color w:val="435363"/>
          <w:vertAlign w:val="superscript"/>
        </w:rPr>
        <w:t>9</w:t>
      </w:r>
      <w:r>
        <w:rPr>
          <w:rFonts w:ascii="Arial" w:cs="Arial" w:eastAsia="Arial" w:hAnsi="Arial"/>
          <w:sz w:val="16"/>
          <w:szCs w:val="16"/>
          <w:color w:val="435363"/>
        </w:rPr>
        <w:t xml:space="preserve"> without a credible explanation, amid numerous recent reports of safety incidents.</w:t>
      </w:r>
      <w:r>
        <w:rPr>
          <w:rFonts w:ascii="Arial" w:cs="Arial" w:eastAsia="Arial" w:hAnsi="Arial"/>
          <w:sz w:val="23"/>
          <w:szCs w:val="23"/>
          <w:color w:val="435363"/>
          <w:vertAlign w:val="superscript"/>
        </w:rPr>
        <w:t>10</w:t>
      </w:r>
    </w:p>
    <w:p>
      <w:pPr>
        <w:jc w:val="both"/>
        <w:ind w:left="220"/>
        <w:spacing w:after="0" w:line="224" w:lineRule="auto"/>
        <w:rPr>
          <w:sz w:val="20"/>
          <w:szCs w:val="20"/>
          <w:color w:val="auto"/>
        </w:rPr>
      </w:pPr>
      <w:r>
        <w:rPr>
          <w:rFonts w:ascii="Arial" w:cs="Arial" w:eastAsia="Arial" w:hAnsi="Arial"/>
          <w:sz w:val="16"/>
          <w:szCs w:val="16"/>
          <w:color w:val="435363"/>
        </w:rPr>
        <w:t>According to the Safety Policy, “[b]eing accountable to each other means reporting hazards, threats, safety concerns, risks, and incidents immediately.”</w:t>
      </w:r>
      <w:r>
        <w:rPr>
          <w:rFonts w:ascii="Arial" w:cs="Arial" w:eastAsia="Arial" w:hAnsi="Arial"/>
          <w:sz w:val="23"/>
          <w:szCs w:val="23"/>
          <w:color w:val="435363"/>
          <w:vertAlign w:val="superscript"/>
        </w:rPr>
        <w:t>11</w:t>
      </w:r>
      <w:r>
        <w:rPr>
          <w:rFonts w:ascii="Arial" w:cs="Arial" w:eastAsia="Arial" w:hAnsi="Arial"/>
          <w:sz w:val="16"/>
          <w:szCs w:val="16"/>
          <w:color w:val="435363"/>
        </w:rPr>
        <w:t xml:space="preserve"> However, a 2023 OSHA whistleblower investigation found that American retaliated against flight attendants who reported that fuel fumes in aircraft cabins were causing illness.</w:t>
      </w:r>
      <w:r>
        <w:rPr>
          <w:rFonts w:ascii="Arial" w:cs="Arial" w:eastAsia="Arial" w:hAnsi="Arial"/>
          <w:sz w:val="23"/>
          <w:szCs w:val="23"/>
          <w:color w:val="435363"/>
          <w:vertAlign w:val="superscript"/>
        </w:rPr>
        <w:t>12</w:t>
      </w:r>
    </w:p>
    <w:p>
      <w:pPr>
        <w:ind w:left="220"/>
        <w:spacing w:after="0" w:line="222" w:lineRule="auto"/>
        <w:rPr>
          <w:sz w:val="20"/>
          <w:szCs w:val="20"/>
          <w:color w:val="auto"/>
        </w:rPr>
      </w:pPr>
      <w:r>
        <w:rPr>
          <w:rFonts w:ascii="Arial" w:cs="Arial" w:eastAsia="Arial" w:hAnsi="Arial"/>
          <w:sz w:val="16"/>
          <w:szCs w:val="16"/>
          <w:color w:val="435363"/>
        </w:rPr>
        <w:t>Finally, American’s Human Rights Statement commits the Company to respect the International Labour Organization’s core conventions and fundamental principles,</w:t>
      </w:r>
      <w:r>
        <w:rPr>
          <w:rFonts w:ascii="Arial" w:cs="Arial" w:eastAsia="Arial" w:hAnsi="Arial"/>
          <w:sz w:val="23"/>
          <w:szCs w:val="23"/>
          <w:color w:val="435363"/>
          <w:vertAlign w:val="superscript"/>
        </w:rPr>
        <w:t>13</w:t>
      </w:r>
      <w:r>
        <w:rPr>
          <w:rFonts w:ascii="Arial" w:cs="Arial" w:eastAsia="Arial" w:hAnsi="Arial"/>
          <w:sz w:val="16"/>
          <w:szCs w:val="16"/>
          <w:color w:val="435363"/>
        </w:rPr>
        <w:t xml:space="preserve"> which include freedom of association and the right to bargain collectively. Yet American recently threatened to discipline flight attendants for wearing shirts bearing union logos, prompting a union grievance.</w:t>
      </w:r>
      <w:r>
        <w:rPr>
          <w:rFonts w:ascii="Arial" w:cs="Arial" w:eastAsia="Arial" w:hAnsi="Arial"/>
          <w:sz w:val="23"/>
          <w:szCs w:val="23"/>
          <w:color w:val="435363"/>
          <w:vertAlign w:val="superscript"/>
        </w:rPr>
        <w:t>14</w:t>
      </w:r>
    </w:p>
    <w:p>
      <w:pPr>
        <w:spacing w:after="0" w:line="2" w:lineRule="exact"/>
        <w:rPr>
          <w:sz w:val="20"/>
          <w:szCs w:val="20"/>
          <w:color w:val="auto"/>
        </w:rPr>
      </w:pPr>
    </w:p>
    <w:p>
      <w:pPr>
        <w:ind w:left="220" w:right="100"/>
        <w:spacing w:after="0" w:line="248" w:lineRule="auto"/>
        <w:rPr>
          <w:sz w:val="20"/>
          <w:szCs w:val="20"/>
          <w:color w:val="auto"/>
        </w:rPr>
      </w:pPr>
      <w:r>
        <w:rPr>
          <w:rFonts w:ascii="Arial" w:cs="Arial" w:eastAsia="Arial" w:hAnsi="Arial"/>
          <w:sz w:val="16"/>
          <w:szCs w:val="16"/>
          <w:color w:val="435363"/>
        </w:rPr>
        <w:t>Although American’s environmental and social commitments are laudable, evidence suggests implementation of various commitments is uneven, undermining risk management. An independent audit would allow the Company and shareholders to better evaluate compliance with stated policies and management of potential risks.</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The Board’s Statement in Opposition</w:t>
      </w:r>
    </w:p>
    <w:p>
      <w:pPr>
        <w:spacing w:after="0" w:line="90" w:lineRule="exact"/>
        <w:rPr>
          <w:sz w:val="20"/>
          <w:szCs w:val="20"/>
          <w:color w:val="auto"/>
        </w:rPr>
      </w:pPr>
    </w:p>
    <w:p>
      <w:pPr>
        <w:ind w:left="220" w:right="120"/>
        <w:spacing w:after="0" w:line="250" w:lineRule="auto"/>
        <w:rPr>
          <w:sz w:val="20"/>
          <w:szCs w:val="20"/>
          <w:color w:val="auto"/>
        </w:rPr>
      </w:pPr>
      <w:r>
        <w:rPr>
          <w:rFonts w:ascii="Arial" w:cs="Arial" w:eastAsia="Arial" w:hAnsi="Arial"/>
          <w:sz w:val="16"/>
          <w:szCs w:val="16"/>
          <w:color w:val="435363"/>
        </w:rPr>
        <w:t xml:space="preserve">The Board has considered this proposal and concluded that its adoption is unnecessary in light of American’s existing environmental and social disclosures, recent internal and external audits of those disclosures and robust oversight of our environmental and social practices and initiatives. We believe that it is not in the best interests of our stockholders to conduct a third-party audit, as requested by the proposal, that will divert limited corporate resources and potentially undermine our existing safety assurance programs. Accordingly, the Board unanimously recommends a vote </w:t>
      </w:r>
      <w:r>
        <w:rPr>
          <w:rFonts w:ascii="Arial" w:cs="Arial" w:eastAsia="Arial" w:hAnsi="Arial"/>
          <w:sz w:val="16"/>
          <w:szCs w:val="16"/>
          <w:b w:val="1"/>
          <w:bCs w:val="1"/>
          <w:color w:val="435363"/>
        </w:rPr>
        <w:t>AGAINST</w:t>
      </w:r>
      <w:r>
        <w:rPr>
          <w:rFonts w:ascii="Arial" w:cs="Arial" w:eastAsia="Arial" w:hAnsi="Arial"/>
          <w:sz w:val="16"/>
          <w:szCs w:val="16"/>
          <w:color w:val="435363"/>
        </w:rPr>
        <w:t xml:space="preserve"> this proposal for the following reasons.</w:t>
      </w:r>
    </w:p>
    <w:p>
      <w:pPr>
        <w:spacing w:after="0" w:line="182" w:lineRule="exact"/>
        <w:rPr>
          <w:sz w:val="20"/>
          <w:szCs w:val="20"/>
          <w:color w:val="auto"/>
        </w:rPr>
      </w:pPr>
    </w:p>
    <w:p>
      <w:pPr>
        <w:ind w:left="220" w:right="520"/>
        <w:spacing w:after="0" w:line="283" w:lineRule="auto"/>
        <w:rPr>
          <w:sz w:val="20"/>
          <w:szCs w:val="20"/>
          <w:color w:val="auto"/>
        </w:rPr>
      </w:pPr>
      <w:r>
        <w:rPr>
          <w:rFonts w:ascii="Arial" w:cs="Arial" w:eastAsia="Arial" w:hAnsi="Arial"/>
          <w:sz w:val="16"/>
          <w:szCs w:val="16"/>
          <w:b w:val="1"/>
          <w:bCs w:val="1"/>
          <w:i w:val="1"/>
          <w:iCs w:val="1"/>
          <w:color w:val="435363"/>
        </w:rPr>
        <w:t>Our annual Sustainability Report provides regular, measurable information regarding our environmental and safety efforts that holds us accountable for the success of this work.</w:t>
      </w:r>
    </w:p>
    <w:p>
      <w:pPr>
        <w:spacing w:after="0" w:line="1" w:lineRule="exact"/>
        <w:rPr>
          <w:sz w:val="20"/>
          <w:szCs w:val="20"/>
          <w:color w:val="auto"/>
        </w:rPr>
      </w:pPr>
    </w:p>
    <w:p>
      <w:pPr>
        <w:ind w:left="220" w:right="40"/>
        <w:spacing w:after="0" w:line="245" w:lineRule="auto"/>
        <w:rPr>
          <w:sz w:val="20"/>
          <w:szCs w:val="20"/>
          <w:color w:val="auto"/>
        </w:rPr>
      </w:pPr>
      <w:r>
        <w:rPr>
          <w:rFonts w:ascii="Arial" w:cs="Arial" w:eastAsia="Arial" w:hAnsi="Arial"/>
          <w:sz w:val="15"/>
          <w:szCs w:val="15"/>
          <w:color w:val="435363"/>
        </w:rPr>
        <w:t>We are committed to providing regular and transparent information to our stockholders about our sustainability initiatives, including our strategies, oversight mechanisms and results of our sustainability efforts. We release an annual Sustainability Report, available on our website</w:t>
      </w:r>
      <w:r>
        <w:rPr>
          <w:rFonts w:ascii="Arial" w:cs="Arial" w:eastAsia="Arial" w:hAnsi="Arial"/>
          <w:sz w:val="22"/>
          <w:szCs w:val="22"/>
          <w:color w:val="435363"/>
          <w:vertAlign w:val="superscript"/>
        </w:rPr>
        <w:t>1</w:t>
      </w:r>
      <w:r>
        <w:rPr>
          <w:rFonts w:ascii="Arial" w:cs="Arial" w:eastAsia="Arial" w:hAnsi="Arial"/>
          <w:sz w:val="15"/>
          <w:szCs w:val="15"/>
          <w:color w:val="435363"/>
        </w:rPr>
        <w:t>, in which we describe, among other things, our coordinated approach to addressing climate change and meeting our goal of net zero greenhouse gas (“GHG”) emissions by 2050. Our Sustainability Report annually states our goals and reports on our progress towards meeting those goals. In 2023, we took the additional step of engaging our independent accountant, KPMG LLP, to provide assurance on certain 2022 greenhouse gas emissions data, as disclosed in our 2022 Sustainability Report. We believe this annual public disclosure ensures public accountability as we work to address climate-related risks.</w:t>
      </w:r>
    </w:p>
    <w:p>
      <w:pPr>
        <w:spacing w:after="0" w:line="79"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435363"/>
        </w:rPr>
        <w:t>We are also committed to the safety and security of our customers and team members. Our annual Sustainability Report provides extensive disclosure regarding our Safety Management System (“SMS”), an organization-wide approach to identifying and managing risk that emphasizes safety management as a fundamental business process across our Company. Core to our SMS is maintaining and strengthening a culture where all team members and contractors are encouraged to ask questions and report safety hazards, concerns and incidents without fear of retaliation. The annual Sustainability Report also includes the disclosure of safety metrics, including the number of safety incidents, that allow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81280</wp:posOffset>
            </wp:positionV>
            <wp:extent cx="74803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48030" cy="8255"/>
                    </a:xfrm>
                    <a:prstGeom prst="rect">
                      <a:avLst/>
                    </a:prstGeom>
                    <a:noFill/>
                  </pic:spPr>
                </pic:pic>
              </a:graphicData>
            </a:graphic>
          </wp:anchor>
        </w:drawing>
      </w:r>
    </w:p>
    <w:p>
      <w:pPr>
        <w:spacing w:after="0" w:line="56" w:lineRule="exact"/>
        <w:rPr>
          <w:sz w:val="20"/>
          <w:szCs w:val="20"/>
          <w:color w:val="auto"/>
        </w:rPr>
      </w:pPr>
    </w:p>
    <w:p>
      <w:pPr>
        <w:ind w:left="640" w:hanging="416"/>
        <w:spacing w:after="0"/>
        <w:tabs>
          <w:tab w:leader="none" w:pos="640" w:val="left"/>
        </w:tabs>
        <w:numPr>
          <w:ilvl w:val="0"/>
          <w:numId w:val="21"/>
        </w:numPr>
        <w:rPr>
          <w:rFonts w:ascii="Arial" w:cs="Arial" w:eastAsia="Arial" w:hAnsi="Arial"/>
          <w:sz w:val="19"/>
          <w:szCs w:val="19"/>
          <w:color w:val="435363"/>
          <w:vertAlign w:val="superscript"/>
        </w:rPr>
      </w:pPr>
      <w:r>
        <w:rPr>
          <w:rFonts w:ascii="Arial" w:cs="Arial" w:eastAsia="Arial" w:hAnsi="Arial"/>
          <w:sz w:val="12"/>
          <w:szCs w:val="12"/>
          <w:color w:val="435363"/>
        </w:rPr>
        <w:t>https://sasb.org/standards/materiality-finder/find/?industry%5B0%5D=TR-AL</w:t>
      </w:r>
    </w:p>
    <w:p>
      <w:pPr>
        <w:ind w:left="640" w:hanging="416"/>
        <w:spacing w:after="0" w:line="184" w:lineRule="auto"/>
        <w:tabs>
          <w:tab w:leader="none" w:pos="640" w:val="left"/>
        </w:tabs>
        <w:numPr>
          <w:ilvl w:val="0"/>
          <w:numId w:val="22"/>
        </w:numPr>
        <w:rPr>
          <w:rFonts w:ascii="Arial" w:cs="Arial" w:eastAsia="Arial" w:hAnsi="Arial"/>
          <w:sz w:val="15"/>
          <w:szCs w:val="15"/>
          <w:color w:val="435363"/>
          <w:vertAlign w:val="superscript"/>
        </w:rPr>
      </w:pPr>
      <w:r>
        <w:rPr>
          <w:rFonts w:ascii="Arial" w:cs="Arial" w:eastAsia="Arial" w:hAnsi="Arial"/>
          <w:sz w:val="11"/>
          <w:szCs w:val="11"/>
          <w:color w:val="435363"/>
        </w:rPr>
        <w:t>https://www.aa.com/content/images/customer-service/about-us/corporate-governance/aag-commitment-to-safety.pdf</w:t>
      </w:r>
    </w:p>
    <w:p>
      <w:pPr>
        <w:ind w:left="640" w:hanging="416"/>
        <w:spacing w:after="0" w:line="184" w:lineRule="auto"/>
        <w:tabs>
          <w:tab w:leader="none" w:pos="640" w:val="left"/>
        </w:tabs>
        <w:numPr>
          <w:ilvl w:val="0"/>
          <w:numId w:val="23"/>
        </w:numPr>
        <w:rPr>
          <w:rFonts w:ascii="Arial" w:cs="Arial" w:eastAsia="Arial" w:hAnsi="Arial"/>
          <w:sz w:val="15"/>
          <w:szCs w:val="15"/>
          <w:color w:val="435363"/>
          <w:vertAlign w:val="superscript"/>
        </w:rPr>
      </w:pPr>
      <w:r>
        <w:rPr>
          <w:rFonts w:ascii="Arial" w:cs="Arial" w:eastAsia="Arial" w:hAnsi="Arial"/>
          <w:sz w:val="11"/>
          <w:szCs w:val="11"/>
          <w:color w:val="435363"/>
        </w:rPr>
        <w:t>https://s202.q4cdn.com/986123435/files/images/esg/aa-sustainability-report-2022.pdf</w:t>
      </w:r>
    </w:p>
    <w:p>
      <w:pPr>
        <w:ind w:left="640" w:right="460" w:hanging="424"/>
        <w:spacing w:after="0" w:line="230" w:lineRule="auto"/>
        <w:rPr>
          <w:rFonts w:ascii="Arial" w:cs="Arial" w:eastAsia="Arial" w:hAnsi="Arial"/>
          <w:sz w:val="15"/>
          <w:szCs w:val="15"/>
          <w:color w:val="435363"/>
          <w:vertAlign w:val="superscript"/>
        </w:rPr>
      </w:pPr>
      <w:r>
        <w:rPr>
          <w:rFonts w:ascii="Arial" w:cs="Arial" w:eastAsia="Arial" w:hAnsi="Arial"/>
          <w:sz w:val="18"/>
          <w:szCs w:val="18"/>
          <w:color w:val="435363"/>
          <w:vertAlign w:val="superscript"/>
        </w:rPr>
        <w:t>10</w:t>
      </w:r>
      <w:r>
        <w:rPr>
          <w:rFonts w:ascii="Arial" w:cs="Arial" w:eastAsia="Arial" w:hAnsi="Arial"/>
          <w:sz w:val="12"/>
          <w:szCs w:val="12"/>
          <w:color w:val="435363"/>
        </w:rPr>
        <w:t>https://www.nytimes.com/2023/10/05/health/heat-exposure-workers-osha.html; https://www.foxbusiness.com/economy/osha-fines-american-airlines-subsidiary-15k-after-worker-sucked-plane-engine-dies; https://www.washingtonpost.com/travel/2023/11/02/flight-attendants-toxic-uniforms-verdict/; https://www.politico.com/news/2023/09/05/sweltering-plane-cabins-are-travelers-newest-misery-00113720</w:t>
      </w:r>
    </w:p>
    <w:p>
      <w:pPr>
        <w:ind w:left="640" w:hanging="416"/>
        <w:spacing w:after="0" w:line="184" w:lineRule="auto"/>
        <w:tabs>
          <w:tab w:leader="none" w:pos="640" w:val="left"/>
        </w:tabs>
        <w:numPr>
          <w:ilvl w:val="0"/>
          <w:numId w:val="24"/>
        </w:numPr>
        <w:rPr>
          <w:rFonts w:ascii="Arial" w:cs="Arial" w:eastAsia="Arial" w:hAnsi="Arial"/>
          <w:sz w:val="15"/>
          <w:szCs w:val="15"/>
          <w:color w:val="435363"/>
          <w:vertAlign w:val="superscript"/>
        </w:rPr>
      </w:pPr>
      <w:r>
        <w:rPr>
          <w:rFonts w:ascii="Arial" w:cs="Arial" w:eastAsia="Arial" w:hAnsi="Arial"/>
          <w:sz w:val="11"/>
          <w:szCs w:val="11"/>
          <w:color w:val="435363"/>
        </w:rPr>
        <w:t>https://www.aa.com/content/images/customer-service/about-us/corporate-governance/aag-commitment-to-safety.pdf</w:t>
      </w:r>
    </w:p>
    <w:p>
      <w:pPr>
        <w:ind w:left="640" w:hanging="416"/>
        <w:spacing w:after="0" w:line="184" w:lineRule="auto"/>
        <w:tabs>
          <w:tab w:leader="none" w:pos="640" w:val="left"/>
        </w:tabs>
        <w:numPr>
          <w:ilvl w:val="0"/>
          <w:numId w:val="24"/>
        </w:numPr>
        <w:rPr>
          <w:rFonts w:ascii="Arial" w:cs="Arial" w:eastAsia="Arial" w:hAnsi="Arial"/>
          <w:sz w:val="15"/>
          <w:szCs w:val="15"/>
          <w:color w:val="435363"/>
          <w:vertAlign w:val="superscript"/>
        </w:rPr>
      </w:pPr>
      <w:r>
        <w:rPr>
          <w:rFonts w:ascii="Arial" w:cs="Arial" w:eastAsia="Arial" w:hAnsi="Arial"/>
          <w:sz w:val="11"/>
          <w:szCs w:val="11"/>
          <w:color w:val="435363"/>
        </w:rPr>
        <w:t>https://www.dol.gov/newsroom/releases/osha/osha20230104-1</w:t>
      </w:r>
    </w:p>
    <w:p>
      <w:pPr>
        <w:ind w:left="640" w:hanging="416"/>
        <w:spacing w:after="0" w:line="184" w:lineRule="auto"/>
        <w:tabs>
          <w:tab w:leader="none" w:pos="640" w:val="left"/>
        </w:tabs>
        <w:numPr>
          <w:ilvl w:val="0"/>
          <w:numId w:val="24"/>
        </w:numPr>
        <w:rPr>
          <w:rFonts w:ascii="Arial" w:cs="Arial" w:eastAsia="Arial" w:hAnsi="Arial"/>
          <w:sz w:val="15"/>
          <w:szCs w:val="15"/>
          <w:color w:val="435363"/>
          <w:vertAlign w:val="superscript"/>
        </w:rPr>
      </w:pPr>
      <w:r>
        <w:rPr>
          <w:rFonts w:ascii="Arial" w:cs="Arial" w:eastAsia="Arial" w:hAnsi="Arial"/>
          <w:sz w:val="11"/>
          <w:szCs w:val="11"/>
          <w:color w:val="435363"/>
        </w:rPr>
        <w:t>https://www.aa.com/i18n/customer-service/about-us/human-rights-statement.jsp</w:t>
      </w:r>
    </w:p>
    <w:p>
      <w:pPr>
        <w:ind w:left="640" w:hanging="416"/>
        <w:spacing w:after="0" w:line="184" w:lineRule="auto"/>
        <w:tabs>
          <w:tab w:leader="none" w:pos="640" w:val="left"/>
        </w:tabs>
        <w:numPr>
          <w:ilvl w:val="0"/>
          <w:numId w:val="24"/>
        </w:numPr>
        <w:rPr>
          <w:rFonts w:ascii="Arial" w:cs="Arial" w:eastAsia="Arial" w:hAnsi="Arial"/>
          <w:sz w:val="15"/>
          <w:szCs w:val="15"/>
          <w:color w:val="435363"/>
          <w:vertAlign w:val="superscript"/>
        </w:rPr>
      </w:pPr>
      <w:r>
        <w:rPr>
          <w:rFonts w:ascii="Arial" w:cs="Arial" w:eastAsia="Arial" w:hAnsi="Arial"/>
          <w:sz w:val="11"/>
          <w:szCs w:val="11"/>
          <w:color w:val="435363"/>
        </w:rPr>
        <w:t>https://www.paddleyourownkanoo.com/2023/10/18/lawyer-representing-american-airlines-flight-attendants-serves-company-with-cease-and-desist-and-threatens-to-sue-airline/</w:t>
      </w:r>
    </w:p>
    <w:p>
      <w:pPr>
        <w:ind w:left="220"/>
        <w:spacing w:after="0"/>
        <w:rPr>
          <w:rFonts w:ascii="Arial" w:cs="Arial" w:eastAsia="Arial" w:hAnsi="Arial"/>
          <w:sz w:val="15"/>
          <w:szCs w:val="15"/>
          <w:color w:val="435363"/>
          <w:vertAlign w:val="superscript"/>
        </w:rPr>
      </w:pPr>
      <w:r>
        <w:rPr>
          <w:rFonts w:ascii="Arial" w:cs="Arial" w:eastAsia="Arial" w:hAnsi="Arial"/>
          <w:sz w:val="18"/>
          <w:szCs w:val="18"/>
          <w:color w:val="435363"/>
          <w:vertAlign w:val="superscript"/>
        </w:rPr>
        <w:t>1</w:t>
      </w:r>
      <w:r>
        <w:rPr>
          <w:rFonts w:ascii="Arial" w:cs="Arial" w:eastAsia="Arial" w:hAnsi="Arial"/>
          <w:sz w:val="12"/>
          <w:szCs w:val="12"/>
          <w:color w:val="435363"/>
        </w:rPr>
        <w:t>https://news.aa.com/esg/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166370</wp:posOffset>
            </wp:positionV>
            <wp:extent cx="5177155" cy="1682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0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26</w:t>
      </w:r>
    </w:p>
    <w:p>
      <w:pPr>
        <w:spacing w:after="0" w:line="3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0980"/>
          </w:cols>
          <w:pgMar w:left="320" w:top="477" w:right="5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jc w:val="both"/>
        <w:ind w:left="220" w:right="60"/>
        <w:spacing w:after="0" w:line="258" w:lineRule="auto"/>
        <w:rPr>
          <w:sz w:val="20"/>
          <w:szCs w:val="20"/>
          <w:color w:val="auto"/>
        </w:rPr>
      </w:pPr>
      <w:r>
        <w:rPr>
          <w:rFonts w:ascii="Arial" w:cs="Arial" w:eastAsia="Arial" w:hAnsi="Arial"/>
          <w:sz w:val="16"/>
          <w:szCs w:val="16"/>
          <w:color w:val="435363"/>
        </w:rPr>
        <w:t>stockholders to track our progress and hold the Company accountable for our efforts. In 2022, we engaged our internal audit function to review the safety and other non-financial metrics disclosed in our Sustainability Report. That internal review resulted in a set of new, documented controls that are in place today.</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435363"/>
        </w:rPr>
        <w:t>Our governance is designed to ensure accountability for our management of environmental and safety risks and commitments.</w:t>
      </w:r>
    </w:p>
    <w:p>
      <w:pPr>
        <w:spacing w:after="0" w:line="79" w:lineRule="exact"/>
        <w:rPr>
          <w:sz w:val="20"/>
          <w:szCs w:val="20"/>
          <w:color w:val="auto"/>
        </w:rPr>
      </w:pPr>
    </w:p>
    <w:p>
      <w:pPr>
        <w:ind w:left="220" w:right="100"/>
        <w:spacing w:after="0" w:line="248" w:lineRule="auto"/>
        <w:rPr>
          <w:sz w:val="20"/>
          <w:szCs w:val="20"/>
          <w:color w:val="auto"/>
        </w:rPr>
      </w:pPr>
      <w:r>
        <w:rPr>
          <w:rFonts w:ascii="Arial" w:cs="Arial" w:eastAsia="Arial" w:hAnsi="Arial"/>
          <w:sz w:val="16"/>
          <w:szCs w:val="16"/>
          <w:color w:val="435363"/>
        </w:rPr>
        <w:t>The Board is responsible for the oversight of the Company’s ongoing assessment and management of material risks impacting our business. The CGPR Committee has primary responsibility for overseeing our environmental sustainability efforts, including our efforts to address climate change, and dedicates significant time to evaluating climate risks and opportunities. The CGPR Committee is also responsible for oversight of the Company’s implementation of our Human Rights Policy. At the management level, our CEO formally oversees our climate change strategy and works with our dedicated Vice President for Sustainability, as well as other team members, to direct the implementation of our climate change and related sustainability goals.</w:t>
      </w:r>
    </w:p>
    <w:p>
      <w:pPr>
        <w:spacing w:after="0" w:line="77" w:lineRule="exact"/>
        <w:rPr>
          <w:sz w:val="20"/>
          <w:szCs w:val="20"/>
          <w:color w:val="auto"/>
        </w:rPr>
      </w:pPr>
    </w:p>
    <w:p>
      <w:pPr>
        <w:ind w:left="220" w:right="20"/>
        <w:spacing w:after="0" w:line="252" w:lineRule="auto"/>
        <w:rPr>
          <w:sz w:val="20"/>
          <w:szCs w:val="20"/>
          <w:color w:val="auto"/>
        </w:rPr>
      </w:pPr>
      <w:r>
        <w:rPr>
          <w:rFonts w:ascii="Arial" w:cs="Arial" w:eastAsia="Arial" w:hAnsi="Arial"/>
          <w:sz w:val="16"/>
          <w:szCs w:val="16"/>
          <w:color w:val="435363"/>
        </w:rPr>
        <w:t>The Board’s Safety Committee oversees implementation of, and compliance with, our Safety Policies, as well as the Company’s culture related to safety. The Safety Committee is also charged with reviewing the Company’s safety management systems, including our approach to handling and response to safety incidents. The Safety Committee works with our CEO, Chief Operating Officer and Vice President for Safety to set safety expectations and oversee compliance with our Safety Policies.</w:t>
      </w:r>
    </w:p>
    <w:p>
      <w:pPr>
        <w:spacing w:after="0" w:line="74" w:lineRule="exact"/>
        <w:rPr>
          <w:sz w:val="20"/>
          <w:szCs w:val="20"/>
          <w:color w:val="auto"/>
        </w:rPr>
      </w:pPr>
    </w:p>
    <w:p>
      <w:pPr>
        <w:ind w:left="220" w:right="320"/>
        <w:spacing w:after="0" w:line="258" w:lineRule="auto"/>
        <w:rPr>
          <w:sz w:val="20"/>
          <w:szCs w:val="20"/>
          <w:color w:val="auto"/>
        </w:rPr>
      </w:pPr>
      <w:r>
        <w:rPr>
          <w:rFonts w:ascii="Arial" w:cs="Arial" w:eastAsia="Arial" w:hAnsi="Arial"/>
          <w:sz w:val="16"/>
          <w:szCs w:val="16"/>
          <w:color w:val="435363"/>
        </w:rPr>
        <w:t>Of particular relevance to the stockholder proposal, the Audit Committee of the Board reviewed the results of both the 2022 internal audit of the Company’s environmental and social disclosures and work by our independent accountant, KPMG LLP, in 2023 to provide assurance on certain 2022 GHG emissions.</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435363"/>
        </w:rPr>
        <w:t>We conduct regular audits and are audited by third parties with the goal of ensuring compliance with our safety standards.</w:t>
      </w:r>
    </w:p>
    <w:p>
      <w:pPr>
        <w:spacing w:after="0" w:line="65" w:lineRule="exact"/>
        <w:rPr>
          <w:sz w:val="20"/>
          <w:szCs w:val="20"/>
          <w:color w:val="auto"/>
        </w:rPr>
      </w:pPr>
    </w:p>
    <w:p>
      <w:pPr>
        <w:ind w:left="220" w:right="160"/>
        <w:spacing w:after="0" w:line="258" w:lineRule="auto"/>
        <w:rPr>
          <w:sz w:val="20"/>
          <w:szCs w:val="20"/>
          <w:color w:val="auto"/>
        </w:rPr>
      </w:pPr>
      <w:r>
        <w:rPr>
          <w:rFonts w:ascii="Arial" w:cs="Arial" w:eastAsia="Arial" w:hAnsi="Arial"/>
          <w:sz w:val="16"/>
          <w:szCs w:val="16"/>
          <w:color w:val="435363"/>
        </w:rPr>
        <w:t>On a regular and ongoing basis, we perform safety audits of our own operations and those of our contractors against the safety standards in our SMS. Our regular safety audits are based on the risk level inherent to the activities of each group, and we perform out-of-cycle audits when an incident occurs or we otherwise have evidence that there may be a gap in a specific activity leading to a possible safety concern.</w:t>
      </w:r>
    </w:p>
    <w:p>
      <w:pPr>
        <w:spacing w:after="0" w:line="68"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435363"/>
        </w:rPr>
        <w:t>Since launching our continuous Pilot Line Operations Safety Audit (“LOSA”) program in 2017, we have been sending highly trained pilot observers onto the flight deck to better understand how pilot practice reflects our expectations. We are also the only U.S. airline to implement a Cabin LOSA program, designed to help us keep the cabin safe for crew members and passengers. Observing our frontline team members in action and gathering safety-related data on environmental conditions, operational complexities and crew performance in real time provides us with valuable insights for enhancing safety and resilience.</w:t>
      </w:r>
    </w:p>
    <w:p>
      <w:pPr>
        <w:spacing w:after="0" w:line="74" w:lineRule="exact"/>
        <w:rPr>
          <w:sz w:val="20"/>
          <w:szCs w:val="20"/>
          <w:color w:val="auto"/>
        </w:rPr>
      </w:pPr>
    </w:p>
    <w:p>
      <w:pPr>
        <w:ind w:left="220" w:right="120"/>
        <w:spacing w:after="0" w:line="275" w:lineRule="auto"/>
        <w:rPr>
          <w:sz w:val="20"/>
          <w:szCs w:val="20"/>
          <w:color w:val="auto"/>
        </w:rPr>
      </w:pPr>
      <w:r>
        <w:rPr>
          <w:rFonts w:ascii="Arial" w:cs="Arial" w:eastAsia="Arial" w:hAnsi="Arial"/>
          <w:sz w:val="15"/>
          <w:szCs w:val="15"/>
          <w:color w:val="435363"/>
        </w:rPr>
        <w:t>The FAA oversees American’s safety program, including the wide range of audits we perform. They do this through ongoing surveillance and by participation in our regularly scheduled safety meeting. Also, on a biannual basis, American undergoes the International Air Transport Association’s Operational Safety Audit, which is an internationally recognized evaluation system designed to assess the operational management and control systems of an airline. And as a contractor for the U.S. Department of Defense (“DoD”), American is also subject to the DoD’s biannual operational safety audit.</w:t>
      </w:r>
    </w:p>
    <w:p>
      <w:pPr>
        <w:spacing w:after="0" w:line="56" w:lineRule="exact"/>
        <w:rPr>
          <w:sz w:val="20"/>
          <w:szCs w:val="20"/>
          <w:color w:val="auto"/>
        </w:rPr>
      </w:pPr>
    </w:p>
    <w:p>
      <w:pPr>
        <w:ind w:left="220" w:right="240"/>
        <w:spacing w:after="0" w:line="258" w:lineRule="auto"/>
        <w:rPr>
          <w:sz w:val="20"/>
          <w:szCs w:val="20"/>
          <w:color w:val="auto"/>
        </w:rPr>
      </w:pPr>
      <w:r>
        <w:rPr>
          <w:rFonts w:ascii="Arial" w:cs="Arial" w:eastAsia="Arial" w:hAnsi="Arial"/>
          <w:sz w:val="16"/>
          <w:szCs w:val="16"/>
          <w:color w:val="435363"/>
        </w:rPr>
        <w:t>We believe this interlocking and continuous system of audits, reviews of audit findings and development of mitigation plans is effective in detecting and reducing safety risks. Layering in an additional audit, as the proponent suggests, we believe is likely to cause confusion and introduce an ill-advised distraction from the vigilance that we exercise every day which is designed to oversee, assess and mitigate the risk in our operations.</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435363"/>
        </w:rPr>
        <w:t>We stand by our Human Rights Statement and respect the freedom of association of all employees.</w:t>
      </w:r>
    </w:p>
    <w:p>
      <w:pPr>
        <w:spacing w:after="0" w:line="105" w:lineRule="exact"/>
        <w:rPr>
          <w:sz w:val="20"/>
          <w:szCs w:val="20"/>
          <w:color w:val="auto"/>
        </w:rPr>
      </w:pPr>
    </w:p>
    <w:p>
      <w:pPr>
        <w:ind w:left="220" w:right="420"/>
        <w:spacing w:after="0" w:line="220" w:lineRule="auto"/>
        <w:rPr>
          <w:sz w:val="20"/>
          <w:szCs w:val="20"/>
          <w:color w:val="auto"/>
        </w:rPr>
      </w:pPr>
      <w:r>
        <w:rPr>
          <w:rFonts w:ascii="Arial" w:cs="Arial" w:eastAsia="Arial" w:hAnsi="Arial"/>
          <w:sz w:val="16"/>
          <w:szCs w:val="16"/>
          <w:color w:val="435363"/>
        </w:rPr>
        <w:t>We pride ourselves on conducting business in a socially responsible and ethical manner that is consistent with human rights principles. Our comprehensive Human Rights Statement, which is available on our website</w:t>
      </w:r>
      <w:r>
        <w:rPr>
          <w:rFonts w:ascii="Arial" w:cs="Arial" w:eastAsia="Arial" w:hAnsi="Arial"/>
          <w:sz w:val="23"/>
          <w:szCs w:val="23"/>
          <w:color w:val="435363"/>
          <w:vertAlign w:val="superscript"/>
        </w:rPr>
        <w:t>2</w:t>
      </w:r>
      <w:r>
        <w:rPr>
          <w:rFonts w:ascii="Arial" w:cs="Arial" w:eastAsia="Arial" w:hAnsi="Arial"/>
          <w:sz w:val="16"/>
          <w:szCs w:val="16"/>
          <w:color w:val="435363"/>
        </w:rPr>
        <w:t>, applies to all team members and contractors, employees of our wholly owned carriers and our suppliers and other business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86360</wp:posOffset>
            </wp:positionV>
            <wp:extent cx="7480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48030" cy="8255"/>
                    </a:xfrm>
                    <a:prstGeom prst="rect">
                      <a:avLst/>
                    </a:prstGeom>
                    <a:noFill/>
                  </pic:spPr>
                </pic:pic>
              </a:graphicData>
            </a:graphic>
          </wp:anchor>
        </w:drawing>
      </w:r>
    </w:p>
    <w:p>
      <w:pPr>
        <w:spacing w:after="0" w:line="75" w:lineRule="exact"/>
        <w:rPr>
          <w:sz w:val="20"/>
          <w:szCs w:val="20"/>
          <w:color w:val="auto"/>
        </w:rPr>
      </w:pPr>
    </w:p>
    <w:p>
      <w:pPr>
        <w:ind w:left="640" w:hanging="416"/>
        <w:spacing w:after="0"/>
        <w:tabs>
          <w:tab w:leader="none" w:pos="640" w:val="left"/>
        </w:tabs>
        <w:numPr>
          <w:ilvl w:val="0"/>
          <w:numId w:val="25"/>
        </w:numPr>
        <w:rPr>
          <w:rFonts w:ascii="Arial" w:cs="Arial" w:eastAsia="Arial" w:hAnsi="Arial"/>
          <w:sz w:val="24"/>
          <w:szCs w:val="24"/>
          <w:color w:val="435363"/>
          <w:vertAlign w:val="superscript"/>
        </w:rPr>
      </w:pPr>
      <w:r>
        <w:rPr>
          <w:rFonts w:ascii="Arial" w:cs="Arial" w:eastAsia="Arial" w:hAnsi="Arial"/>
          <w:sz w:val="16"/>
          <w:szCs w:val="16"/>
          <w:color w:val="435363"/>
        </w:rPr>
        <w:t>https://www.aa.com/i18n/customer-service/about-us/human-rights-statement.jsp</w:t>
      </w:r>
    </w:p>
    <w:p>
      <w:pPr>
        <w:spacing w:after="0" w:line="141" w:lineRule="exact"/>
        <w:rPr>
          <w:rFonts w:ascii="Arial" w:cs="Arial" w:eastAsia="Arial" w:hAnsi="Arial"/>
          <w:sz w:val="24"/>
          <w:szCs w:val="24"/>
          <w:color w:val="435363"/>
          <w:vertAlign w:val="superscript"/>
        </w:rPr>
      </w:pPr>
    </w:p>
    <w:p>
      <w:pPr>
        <w:ind w:left="2240"/>
        <w:spacing w:after="0"/>
        <w:rPr>
          <w:rFonts w:ascii="Arial" w:cs="Arial" w:eastAsia="Arial" w:hAnsi="Arial"/>
          <w:sz w:val="24"/>
          <w:szCs w:val="24"/>
          <w:color w:val="435363"/>
          <w:vertAlign w:val="superscript"/>
        </w:rPr>
      </w:pPr>
      <w:r>
        <w:rPr>
          <w:rFonts w:ascii="Arial" w:cs="Arial" w:eastAsia="Arial" w:hAnsi="Arial"/>
          <w:sz w:val="1"/>
          <w:szCs w:val="1"/>
          <w:color w:val="435363"/>
          <w:vertAlign w:val="superscript"/>
        </w:rPr>
        <w:drawing>
          <wp:inline distT="0" distB="0" distL="0" distR="0">
            <wp:extent cx="5177155" cy="16827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77155" cy="168275"/>
                    </a:xfrm>
                    <a:prstGeom prst="rect">
                      <a:avLst/>
                    </a:prstGeom>
                    <a:noFill/>
                    <a:ln>
                      <a:noFill/>
                    </a:ln>
                  </pic:spPr>
                </pic:pic>
              </a:graphicData>
            </a:graphic>
          </wp:inline>
        </w:drawing>
      </w:r>
      <w:r>
        <w:rPr>
          <w:rFonts w:ascii="Arial" w:cs="Arial" w:eastAsia="Arial" w:hAnsi="Arial"/>
          <w:sz w:val="16"/>
          <w:szCs w:val="16"/>
          <w:b w:val="1"/>
          <w:bCs w:val="1"/>
          <w:color w:val="435363"/>
        </w:rPr>
        <w:t xml:space="preserve">     27</w:t>
      </w:r>
    </w:p>
    <w:p>
      <w:pPr>
        <w:spacing w:after="0" w:line="18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right="80"/>
        <w:spacing w:after="0" w:line="275" w:lineRule="auto"/>
        <w:rPr>
          <w:sz w:val="20"/>
          <w:szCs w:val="20"/>
          <w:color w:val="auto"/>
        </w:rPr>
      </w:pPr>
      <w:r>
        <w:rPr>
          <w:rFonts w:ascii="Arial" w:cs="Arial" w:eastAsia="Arial" w:hAnsi="Arial"/>
          <w:sz w:val="16"/>
          <w:szCs w:val="16"/>
          <w:color w:val="435363"/>
        </w:rPr>
        <w:t>We continuously evaluate our operations and supply chain to identify, assess and address human rights risks and to engage key stakeholders. We are steadfast in our commitment to running every aspect of our business in a manner that respects fundamental human rights.</w:t>
      </w:r>
    </w:p>
    <w:p>
      <w:pPr>
        <w:spacing w:after="0" w:line="55" w:lineRule="exact"/>
        <w:rPr>
          <w:sz w:val="20"/>
          <w:szCs w:val="20"/>
          <w:color w:val="auto"/>
        </w:rPr>
      </w:pPr>
    </w:p>
    <w:p>
      <w:pPr>
        <w:ind w:left="220"/>
        <w:spacing w:after="0" w:line="258" w:lineRule="auto"/>
        <w:rPr>
          <w:sz w:val="20"/>
          <w:szCs w:val="20"/>
          <w:color w:val="auto"/>
        </w:rPr>
      </w:pPr>
      <w:r>
        <w:rPr>
          <w:rFonts w:ascii="Arial" w:cs="Arial" w:eastAsia="Arial" w:hAnsi="Arial"/>
          <w:sz w:val="16"/>
          <w:szCs w:val="16"/>
          <w:color w:val="435363"/>
        </w:rPr>
        <w:t>In light of our existing public commitment to sustainability, safety and human rights and our transparent and robust oversight of, and reporting on, our progress, our Board has determined that conducting a third-party audit is unnecessary, will only serve to divert time and resources away from furthering our goals, and is not in the best interests of the Company or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295910</wp:posOffset>
            </wp:positionV>
            <wp:extent cx="4471035" cy="672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471035" cy="67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320" w:right="300"/>
        <w:spacing w:after="0" w:line="285" w:lineRule="auto"/>
        <w:rPr>
          <w:sz w:val="20"/>
          <w:szCs w:val="20"/>
          <w:color w:val="auto"/>
        </w:rPr>
      </w:pPr>
      <w:r>
        <w:rPr>
          <w:rFonts w:ascii="Arial" w:cs="Arial" w:eastAsia="Arial" w:hAnsi="Arial"/>
          <w:sz w:val="16"/>
          <w:szCs w:val="16"/>
          <w:b w:val="1"/>
          <w:bCs w:val="1"/>
          <w:color w:val="3575B3"/>
        </w:rPr>
        <w:t>For these reasons, the Board of Directors unanimously urges stockholders to vote “AGAINST” the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403860</wp:posOffset>
            </wp:positionV>
            <wp:extent cx="5177155" cy="1682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28</w:t>
      </w:r>
    </w:p>
    <w:p>
      <w:pPr>
        <w:spacing w:after="0" w:line="33"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0840"/>
          </w:cols>
          <w:pgMar w:left="320" w:top="477" w:right="7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200660</wp:posOffset>
            </wp:positionV>
            <wp:extent cx="6193790" cy="2857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right="960"/>
        <w:spacing w:after="0" w:line="276" w:lineRule="auto"/>
        <w:rPr>
          <w:sz w:val="20"/>
          <w:szCs w:val="20"/>
          <w:color w:val="auto"/>
        </w:rPr>
      </w:pPr>
      <w:r>
        <w:rPr>
          <w:rFonts w:ascii="Arial" w:cs="Arial" w:eastAsia="Arial" w:hAnsi="Arial"/>
          <w:sz w:val="32"/>
          <w:szCs w:val="32"/>
          <w:color w:val="66AFDA"/>
        </w:rPr>
        <w:t>SECURITY OWNERSHIP OF CERTAIN BENEFICIAL OWNERS AND MANAGEMENT</w:t>
      </w:r>
    </w:p>
    <w:p>
      <w:pPr>
        <w:spacing w:after="0" w:line="121" w:lineRule="exact"/>
        <w:rPr>
          <w:sz w:val="20"/>
          <w:szCs w:val="20"/>
          <w:color w:val="auto"/>
        </w:rPr>
      </w:pPr>
    </w:p>
    <w:p>
      <w:pPr>
        <w:ind w:left="220" w:right="140"/>
        <w:spacing w:after="0" w:line="250" w:lineRule="auto"/>
        <w:rPr>
          <w:sz w:val="20"/>
          <w:szCs w:val="20"/>
          <w:color w:val="auto"/>
        </w:rPr>
      </w:pPr>
      <w:r>
        <w:rPr>
          <w:rFonts w:ascii="Arial" w:cs="Arial" w:eastAsia="Arial" w:hAnsi="Arial"/>
          <w:sz w:val="16"/>
          <w:szCs w:val="16"/>
          <w:color w:val="435363"/>
        </w:rPr>
        <w:t>The following table provides information regarding the beneficial ownership of our Common Stock as of April 9, 2024, by (1) each of our directors and nominees for director, (2) each of the individuals named in the section entitled “Executive Compensation—Summary Compensation Table” beginning on page 68 and (3) all of our directors and executive officers as a group, based in each case on information furnished to us by these persons. We believe that each of the named individuals and each director and executive officer included in the group has sole voting and investment power with regard to the shares shown, except that certain individuals may share voting and investment power with their spouses and except as otherwise noted.</w:t>
      </w:r>
    </w:p>
    <w:p>
      <w:pPr>
        <w:spacing w:after="0" w:line="191"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6280" w:type="dxa"/>
            <w:vAlign w:val="bottom"/>
          </w:tcPr>
          <w:p>
            <w:pPr>
              <w:spacing w:after="0"/>
              <w:rPr>
                <w:sz w:val="21"/>
                <w:szCs w:val="21"/>
                <w:color w:val="auto"/>
              </w:rPr>
            </w:pPr>
          </w:p>
        </w:tc>
        <w:tc>
          <w:tcPr>
            <w:tcW w:w="3820" w:type="dxa"/>
            <w:vAlign w:val="bottom"/>
            <w:tcBorders>
              <w:bottom w:val="single" w:sz="8" w:color="BF0000"/>
            </w:tcBorders>
            <w:gridSpan w:val="2"/>
          </w:tcPr>
          <w:p>
            <w:pPr>
              <w:ind w:left="800"/>
              <w:spacing w:after="0"/>
              <w:rPr>
                <w:sz w:val="20"/>
                <w:szCs w:val="20"/>
                <w:color w:val="auto"/>
              </w:rPr>
            </w:pPr>
            <w:r>
              <w:rPr>
                <w:rFonts w:ascii="Arial" w:cs="Arial" w:eastAsia="Arial" w:hAnsi="Arial"/>
                <w:sz w:val="14"/>
                <w:szCs w:val="14"/>
                <w:b w:val="1"/>
                <w:bCs w:val="1"/>
                <w:color w:val="3575B3"/>
              </w:rPr>
              <w:t>AAG Common Stock Beneficially Owned</w:t>
            </w:r>
            <w:r>
              <w:rPr>
                <w:rFonts w:ascii="Arial" w:cs="Arial" w:eastAsia="Arial" w:hAnsi="Arial"/>
                <w:sz w:val="21"/>
                <w:szCs w:val="21"/>
                <w:b w:val="1"/>
                <w:bCs w:val="1"/>
                <w:color w:val="3575B3"/>
                <w:vertAlign w:val="superscript"/>
              </w:rPr>
              <w:t>(1)</w:t>
            </w:r>
          </w:p>
        </w:tc>
        <w:tc>
          <w:tcPr>
            <w:tcW w:w="140" w:type="dxa"/>
            <w:vAlign w:val="bottom"/>
            <w:tcBorders>
              <w:bottom w:val="single" w:sz="8" w:color="BF0000"/>
            </w:tcBorders>
          </w:tcPr>
          <w:p>
            <w:pPr>
              <w:spacing w:after="0"/>
              <w:rPr>
                <w:sz w:val="21"/>
                <w:szCs w:val="21"/>
                <w:color w:val="auto"/>
              </w:rPr>
            </w:pPr>
          </w:p>
        </w:tc>
        <w:tc>
          <w:tcPr>
            <w:tcW w:w="140" w:type="dxa"/>
            <w:vAlign w:val="bottom"/>
            <w:tcBorders>
              <w:bottom w:val="single" w:sz="8" w:color="BF0000"/>
            </w:tcBorders>
          </w:tcPr>
          <w:p>
            <w:pPr>
              <w:spacing w:after="0"/>
              <w:rPr>
                <w:sz w:val="21"/>
                <w:szCs w:val="21"/>
                <w:color w:val="auto"/>
              </w:rPr>
            </w:pPr>
          </w:p>
        </w:tc>
        <w:tc>
          <w:tcPr>
            <w:tcW w:w="140" w:type="dxa"/>
            <w:vAlign w:val="bottom"/>
            <w:tcBorders>
              <w:bottom w:val="single" w:sz="8" w:color="BF0000"/>
            </w:tcBorders>
          </w:tcPr>
          <w:p>
            <w:pPr>
              <w:spacing w:after="0"/>
              <w:rPr>
                <w:sz w:val="21"/>
                <w:szCs w:val="21"/>
                <w:color w:val="auto"/>
              </w:rPr>
            </w:pPr>
          </w:p>
        </w:tc>
        <w:tc>
          <w:tcPr>
            <w:tcW w:w="220" w:type="dxa"/>
            <w:vAlign w:val="bottom"/>
            <w:tcBorders>
              <w:bottom w:val="single" w:sz="8" w:color="BF0000"/>
            </w:tcBorders>
          </w:tcPr>
          <w:p>
            <w:pPr>
              <w:spacing w:after="0"/>
              <w:rPr>
                <w:sz w:val="21"/>
                <w:szCs w:val="21"/>
                <w:color w:val="auto"/>
              </w:rPr>
            </w:pPr>
          </w:p>
        </w:tc>
      </w:tr>
      <w:tr>
        <w:trPr>
          <w:trHeight w:val="182"/>
        </w:trPr>
        <w:tc>
          <w:tcPr>
            <w:tcW w:w="6280" w:type="dxa"/>
            <w:vAlign w:val="bottom"/>
          </w:tcPr>
          <w:p>
            <w:pPr>
              <w:spacing w:after="0"/>
              <w:rPr>
                <w:sz w:val="15"/>
                <w:szCs w:val="15"/>
                <w:color w:val="auto"/>
              </w:rPr>
            </w:pPr>
          </w:p>
        </w:tc>
        <w:tc>
          <w:tcPr>
            <w:tcW w:w="2580" w:type="dxa"/>
            <w:vAlign w:val="bottom"/>
          </w:tcPr>
          <w:p>
            <w:pPr>
              <w:jc w:val="center"/>
              <w:ind w:right="169"/>
              <w:spacing w:after="0"/>
              <w:rPr>
                <w:sz w:val="20"/>
                <w:szCs w:val="20"/>
                <w:color w:val="auto"/>
              </w:rPr>
            </w:pPr>
            <w:r>
              <w:rPr>
                <w:rFonts w:ascii="Arial" w:cs="Arial" w:eastAsia="Arial" w:hAnsi="Arial"/>
                <w:sz w:val="14"/>
                <w:szCs w:val="14"/>
                <w:b w:val="1"/>
                <w:bCs w:val="1"/>
                <w:color w:val="3575B3"/>
              </w:rPr>
              <w:t>Amount and Nature</w:t>
            </w:r>
          </w:p>
        </w:tc>
        <w:tc>
          <w:tcPr>
            <w:tcW w:w="1240" w:type="dxa"/>
            <w:vAlign w:val="bottom"/>
          </w:tcPr>
          <w:p>
            <w:pPr>
              <w:ind w:left="620"/>
              <w:spacing w:after="0"/>
              <w:rPr>
                <w:sz w:val="20"/>
                <w:szCs w:val="20"/>
                <w:color w:val="auto"/>
              </w:rPr>
            </w:pPr>
            <w:r>
              <w:rPr>
                <w:rFonts w:ascii="Arial" w:cs="Arial" w:eastAsia="Arial" w:hAnsi="Arial"/>
                <w:sz w:val="14"/>
                <w:szCs w:val="14"/>
                <w:b w:val="1"/>
                <w:bCs w:val="1"/>
                <w:color w:val="3575B3"/>
                <w:w w:val="91"/>
              </w:rPr>
              <w:t>Percent </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3575B3"/>
                <w:w w:val="72"/>
              </w:rPr>
              <w:t> </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3575B3"/>
                <w:w w:val="72"/>
              </w:rPr>
              <w:t> </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3575B3"/>
                <w:w w:val="72"/>
              </w:rPr>
              <w:t> </w:t>
            </w:r>
          </w:p>
        </w:tc>
        <w:tc>
          <w:tcPr>
            <w:tcW w:w="220" w:type="dxa"/>
            <w:vAlign w:val="bottom"/>
          </w:tcPr>
          <w:p>
            <w:pPr>
              <w:ind w:left="40"/>
              <w:spacing w:after="0"/>
              <w:rPr>
                <w:sz w:val="20"/>
                <w:szCs w:val="20"/>
                <w:color w:val="auto"/>
              </w:rPr>
            </w:pPr>
            <w:r>
              <w:rPr>
                <w:rFonts w:ascii="Arial" w:cs="Arial" w:eastAsia="Arial" w:hAnsi="Arial"/>
                <w:sz w:val="14"/>
                <w:szCs w:val="14"/>
                <w:b w:val="1"/>
                <w:bCs w:val="1"/>
                <w:color w:val="3575B3"/>
              </w:rPr>
              <w:t> </w:t>
            </w:r>
          </w:p>
        </w:tc>
      </w:tr>
      <w:tr>
        <w:trPr>
          <w:trHeight w:val="207"/>
        </w:trPr>
        <w:tc>
          <w:tcPr>
            <w:tcW w:w="6280" w:type="dxa"/>
            <w:vAlign w:val="bottom"/>
          </w:tcPr>
          <w:p>
            <w:pPr>
              <w:spacing w:after="0"/>
              <w:rPr>
                <w:sz w:val="20"/>
                <w:szCs w:val="20"/>
                <w:color w:val="auto"/>
              </w:rPr>
            </w:pPr>
            <w:r>
              <w:rPr>
                <w:rFonts w:ascii="Arial" w:cs="Arial" w:eastAsia="Arial" w:hAnsi="Arial"/>
                <w:sz w:val="14"/>
                <w:szCs w:val="14"/>
                <w:b w:val="1"/>
                <w:bCs w:val="1"/>
                <w:color w:val="3575B3"/>
              </w:rPr>
              <w:t>Name of Beneficial Owner and Relationship to Company</w:t>
            </w:r>
          </w:p>
        </w:tc>
        <w:tc>
          <w:tcPr>
            <w:tcW w:w="2580" w:type="dxa"/>
            <w:vAlign w:val="bottom"/>
          </w:tcPr>
          <w:p>
            <w:pPr>
              <w:jc w:val="center"/>
              <w:ind w:right="149"/>
              <w:spacing w:after="0"/>
              <w:rPr>
                <w:sz w:val="20"/>
                <w:szCs w:val="20"/>
                <w:color w:val="auto"/>
              </w:rPr>
            </w:pPr>
            <w:r>
              <w:rPr>
                <w:rFonts w:ascii="Arial" w:cs="Arial" w:eastAsia="Arial" w:hAnsi="Arial"/>
                <w:sz w:val="14"/>
                <w:szCs w:val="14"/>
                <w:b w:val="1"/>
                <w:bCs w:val="1"/>
                <w:color w:val="3575B3"/>
              </w:rPr>
              <w:t>of Beneficial Ownership</w:t>
            </w:r>
          </w:p>
        </w:tc>
        <w:tc>
          <w:tcPr>
            <w:tcW w:w="1240" w:type="dxa"/>
            <w:vAlign w:val="bottom"/>
          </w:tcPr>
          <w:p>
            <w:pPr>
              <w:ind w:left="600"/>
              <w:spacing w:after="0"/>
              <w:rPr>
                <w:sz w:val="20"/>
                <w:szCs w:val="20"/>
                <w:color w:val="auto"/>
              </w:rPr>
            </w:pPr>
            <w:r>
              <w:rPr>
                <w:rFonts w:ascii="Arial" w:cs="Arial" w:eastAsia="Arial" w:hAnsi="Arial"/>
                <w:sz w:val="14"/>
                <w:szCs w:val="14"/>
                <w:b w:val="1"/>
                <w:bCs w:val="1"/>
                <w:color w:val="3575B3"/>
                <w:w w:val="90"/>
              </w:rPr>
              <w:t>of Class </w:t>
            </w:r>
          </w:p>
        </w:tc>
        <w:tc>
          <w:tcPr>
            <w:tcW w:w="140" w:type="dxa"/>
            <w:vAlign w:val="bottom"/>
          </w:tcPr>
          <w:p>
            <w:pPr>
              <w:ind w:left="60"/>
              <w:spacing w:after="0"/>
              <w:rPr>
                <w:sz w:val="20"/>
                <w:szCs w:val="20"/>
                <w:color w:val="auto"/>
              </w:rPr>
            </w:pPr>
            <w:r>
              <w:rPr>
                <w:rFonts w:ascii="Arial" w:cs="Arial" w:eastAsia="Arial" w:hAnsi="Arial"/>
                <w:sz w:val="8"/>
                <w:szCs w:val="8"/>
                <w:b w:val="1"/>
                <w:bCs w:val="1"/>
                <w:color w:val="3575B3"/>
                <w:w w:val="74"/>
              </w:rPr>
              <w:t> </w:t>
            </w:r>
          </w:p>
        </w:tc>
        <w:tc>
          <w:tcPr>
            <w:tcW w:w="140" w:type="dxa"/>
            <w:vAlign w:val="bottom"/>
          </w:tcPr>
          <w:p>
            <w:pPr>
              <w:ind w:left="60"/>
              <w:spacing w:after="0"/>
              <w:rPr>
                <w:sz w:val="20"/>
                <w:szCs w:val="20"/>
                <w:color w:val="auto"/>
              </w:rPr>
            </w:pPr>
            <w:r>
              <w:rPr>
                <w:rFonts w:ascii="Arial" w:cs="Arial" w:eastAsia="Arial" w:hAnsi="Arial"/>
                <w:sz w:val="8"/>
                <w:szCs w:val="8"/>
                <w:b w:val="1"/>
                <w:bCs w:val="1"/>
                <w:color w:val="3575B3"/>
                <w:w w:val="74"/>
              </w:rPr>
              <w:t> </w:t>
            </w:r>
          </w:p>
        </w:tc>
        <w:tc>
          <w:tcPr>
            <w:tcW w:w="140" w:type="dxa"/>
            <w:vAlign w:val="bottom"/>
          </w:tcPr>
          <w:p>
            <w:pPr>
              <w:ind w:left="60"/>
              <w:spacing w:after="0"/>
              <w:rPr>
                <w:sz w:val="20"/>
                <w:szCs w:val="20"/>
                <w:color w:val="auto"/>
              </w:rPr>
            </w:pPr>
            <w:r>
              <w:rPr>
                <w:rFonts w:ascii="Arial" w:cs="Arial" w:eastAsia="Arial" w:hAnsi="Arial"/>
                <w:sz w:val="8"/>
                <w:szCs w:val="8"/>
                <w:b w:val="1"/>
                <w:bCs w:val="1"/>
                <w:color w:val="3575B3"/>
                <w:w w:val="74"/>
              </w:rPr>
              <w:t> </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3575B3"/>
                <w:w w:val="99"/>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34290</wp:posOffset>
            </wp:positionV>
            <wp:extent cx="68573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ectPr>
          <w:pgSz w:w="11900" w:h="16838" w:orient="portrait"/>
          <w:cols w:equalWidth="0" w:num="1">
            <w:col w:w="11040"/>
          </w:cols>
          <w:pgMar w:left="320" w:top="477" w:right="539" w:bottom="1440" w:gutter="0" w:footer="0" w:header="0"/>
        </w:sectPr>
      </w:pPr>
    </w:p>
    <w:p>
      <w:pPr>
        <w:spacing w:after="0" w:line="10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Robert Isom</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24765</wp:posOffset>
            </wp:positionV>
            <wp:extent cx="3655695" cy="3022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655695" cy="302260"/>
                    </a:xfrm>
                    <a:prstGeom prst="rect">
                      <a:avLst/>
                    </a:prstGeom>
                    <a:noFill/>
                  </pic:spPr>
                </pic:pic>
              </a:graphicData>
            </a:graphic>
          </wp:anchor>
        </w:drawing>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Steve Johnson</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Vice Chair and Chief Strategy Officer</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Priya Aiyar</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24765</wp:posOffset>
            </wp:positionV>
            <wp:extent cx="3655695" cy="3022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655695" cy="302260"/>
                    </a:xfrm>
                    <a:prstGeom prst="rect">
                      <a:avLst/>
                    </a:prstGeom>
                    <a:noFill/>
                  </pic:spPr>
                </pic:pic>
              </a:graphicData>
            </a:graphic>
          </wp:anchor>
        </w:drawing>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Devon May</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Chief Financial Officer</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Vasu Raja</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Chief Commercial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24765</wp:posOffset>
            </wp:positionV>
            <wp:extent cx="3655695" cy="3022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655695" cy="302260"/>
                    </a:xfrm>
                    <a:prstGeom prst="rect">
                      <a:avLst/>
                    </a:prstGeom>
                    <a:noFill/>
                  </pic:spPr>
                </pic:pic>
              </a:graphicData>
            </a:graphic>
          </wp:anchor>
        </w:drawing>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Jeff Benjamin</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Director</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Adriane Brown</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24765</wp:posOffset>
            </wp:positionV>
            <wp:extent cx="3655695" cy="3022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655695" cy="302260"/>
                    </a:xfrm>
                    <a:prstGeom prst="rect">
                      <a:avLst/>
                    </a:prstGeom>
                    <a:noFill/>
                  </pic:spPr>
                </pic:pic>
              </a:graphicData>
            </a:graphic>
          </wp:anchor>
        </w:drawing>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John Cahill</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Director</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Mike Embler</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24765</wp:posOffset>
            </wp:positionV>
            <wp:extent cx="3655695" cy="3022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655695" cy="302260"/>
                    </a:xfrm>
                    <a:prstGeom prst="rect">
                      <a:avLst/>
                    </a:prstGeom>
                    <a:noFill/>
                  </pic:spPr>
                </pic:pic>
              </a:graphicData>
            </a:graphic>
          </wp:anchor>
        </w:drawing>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Matt Hart</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Director</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Sue Kronick</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24765</wp:posOffset>
            </wp:positionV>
            <wp:extent cx="3655695" cy="3022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655695" cy="302260"/>
                    </a:xfrm>
                    <a:prstGeom prst="rect">
                      <a:avLst/>
                    </a:prstGeom>
                    <a:noFill/>
                  </pic:spPr>
                </pic:pic>
              </a:graphicData>
            </a:graphic>
          </wp:anchor>
        </w:drawing>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Marty Nesbitt</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Director</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Denise O’Leary</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24765</wp:posOffset>
            </wp:positionV>
            <wp:extent cx="3655695" cy="3022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655695" cy="302260"/>
                    </a:xfrm>
                    <a:prstGeom prst="rect">
                      <a:avLst/>
                    </a:prstGeom>
                    <a:noFill/>
                  </pic:spPr>
                </pic:pic>
              </a:graphicData>
            </a:graphic>
          </wp:anchor>
        </w:drawing>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Vicente Reynal</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Director</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Greg Smith</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Independent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24765</wp:posOffset>
            </wp:positionV>
            <wp:extent cx="3655695" cy="3022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655695" cy="302260"/>
                    </a:xfrm>
                    <a:prstGeom prst="rect">
                      <a:avLst/>
                    </a:prstGeom>
                    <a:noFill/>
                  </pic:spPr>
                </pic:pic>
              </a:graphicData>
            </a:graphic>
          </wp:anchor>
        </w:drawing>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Doug Steenland</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Director</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435363"/>
        </w:rPr>
        <w:t>All directors and executive officers as a group (17 persons)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3340" w:type="dxa"/>
            <w:vAlign w:val="bottom"/>
          </w:tcPr>
          <w:p>
            <w:pPr>
              <w:jc w:val="right"/>
              <w:ind w:right="961"/>
              <w:spacing w:after="0"/>
              <w:rPr>
                <w:sz w:val="20"/>
                <w:szCs w:val="20"/>
                <w:color w:val="auto"/>
              </w:rPr>
            </w:pPr>
            <w:r>
              <w:rPr>
                <w:rFonts w:ascii="Arial" w:cs="Arial" w:eastAsia="Arial" w:hAnsi="Arial"/>
                <w:sz w:val="16"/>
                <w:szCs w:val="16"/>
                <w:color w:val="435363"/>
              </w:rPr>
              <w:t>912,782</w:t>
            </w:r>
            <w:r>
              <w:rPr>
                <w:rFonts w:ascii="Arial" w:cs="Arial" w:eastAsia="Arial" w:hAnsi="Arial"/>
                <w:sz w:val="23"/>
                <w:szCs w:val="23"/>
                <w:color w:val="435363"/>
                <w:vertAlign w:val="superscript"/>
              </w:rPr>
              <w:t>(2)</w:t>
            </w:r>
          </w:p>
        </w:tc>
        <w:tc>
          <w:tcPr>
            <w:tcW w:w="1720" w:type="dxa"/>
            <w:vAlign w:val="bottom"/>
          </w:tcPr>
          <w:p>
            <w:pPr>
              <w:jc w:val="right"/>
              <w:ind w:right="621"/>
              <w:spacing w:after="0"/>
              <w:rPr>
                <w:sz w:val="20"/>
                <w:szCs w:val="20"/>
                <w:color w:val="auto"/>
              </w:rPr>
            </w:pPr>
            <w:r>
              <w:rPr>
                <w:rFonts w:ascii="Arial" w:cs="Arial" w:eastAsia="Arial" w:hAnsi="Arial"/>
                <w:sz w:val="16"/>
                <w:szCs w:val="16"/>
                <w:color w:val="435363"/>
              </w:rPr>
              <w:t>*</w:t>
            </w:r>
          </w:p>
        </w:tc>
      </w:tr>
      <w:tr>
        <w:trPr>
          <w:trHeight w:val="476"/>
        </w:trPr>
        <w:tc>
          <w:tcPr>
            <w:tcW w:w="3340" w:type="dxa"/>
            <w:vAlign w:val="bottom"/>
            <w:shd w:val="clear" w:color="auto" w:fill="EDEDED"/>
          </w:tcPr>
          <w:p>
            <w:pPr>
              <w:jc w:val="right"/>
              <w:ind w:right="961"/>
              <w:spacing w:after="0"/>
              <w:rPr>
                <w:sz w:val="20"/>
                <w:szCs w:val="20"/>
                <w:color w:val="auto"/>
              </w:rPr>
            </w:pPr>
            <w:r>
              <w:rPr>
                <w:rFonts w:ascii="Arial" w:cs="Arial" w:eastAsia="Arial" w:hAnsi="Arial"/>
                <w:sz w:val="16"/>
                <w:szCs w:val="16"/>
                <w:color w:val="435363"/>
              </w:rPr>
              <w:t>754,777</w:t>
            </w:r>
            <w:r>
              <w:rPr>
                <w:rFonts w:ascii="Arial" w:cs="Arial" w:eastAsia="Arial" w:hAnsi="Arial"/>
                <w:sz w:val="23"/>
                <w:szCs w:val="23"/>
                <w:color w:val="435363"/>
                <w:vertAlign w:val="superscript"/>
              </w:rPr>
              <w:t>(3)</w:t>
            </w:r>
          </w:p>
        </w:tc>
        <w:tc>
          <w:tcPr>
            <w:tcW w:w="1720" w:type="dxa"/>
            <w:vAlign w:val="bottom"/>
            <w:shd w:val="clear" w:color="auto" w:fill="EDEDED"/>
          </w:tcPr>
          <w:p>
            <w:pPr>
              <w:jc w:val="right"/>
              <w:ind w:right="621"/>
              <w:spacing w:after="0"/>
              <w:rPr>
                <w:sz w:val="20"/>
                <w:szCs w:val="20"/>
                <w:color w:val="auto"/>
              </w:rPr>
            </w:pPr>
            <w:r>
              <w:rPr>
                <w:rFonts w:ascii="Arial" w:cs="Arial" w:eastAsia="Arial" w:hAnsi="Arial"/>
                <w:sz w:val="16"/>
                <w:szCs w:val="16"/>
                <w:color w:val="435363"/>
              </w:rPr>
              <w:t>*</w:t>
            </w:r>
          </w:p>
        </w:tc>
      </w:tr>
      <w:tr>
        <w:trPr>
          <w:trHeight w:val="476"/>
        </w:trPr>
        <w:tc>
          <w:tcPr>
            <w:tcW w:w="3340" w:type="dxa"/>
            <w:vAlign w:val="bottom"/>
          </w:tcPr>
          <w:p>
            <w:pPr>
              <w:jc w:val="right"/>
              <w:ind w:right="961"/>
              <w:spacing w:after="0"/>
              <w:rPr>
                <w:sz w:val="20"/>
                <w:szCs w:val="20"/>
                <w:color w:val="auto"/>
              </w:rPr>
            </w:pPr>
            <w:r>
              <w:rPr>
                <w:rFonts w:ascii="Arial" w:cs="Arial" w:eastAsia="Arial" w:hAnsi="Arial"/>
                <w:sz w:val="16"/>
                <w:szCs w:val="16"/>
                <w:color w:val="435363"/>
              </w:rPr>
              <w:t>264,039</w:t>
            </w:r>
            <w:r>
              <w:rPr>
                <w:rFonts w:ascii="Arial" w:cs="Arial" w:eastAsia="Arial" w:hAnsi="Arial"/>
                <w:sz w:val="23"/>
                <w:szCs w:val="23"/>
                <w:color w:val="435363"/>
                <w:vertAlign w:val="superscript"/>
              </w:rPr>
              <w:t>(4)</w:t>
            </w:r>
          </w:p>
        </w:tc>
        <w:tc>
          <w:tcPr>
            <w:tcW w:w="1720" w:type="dxa"/>
            <w:vAlign w:val="bottom"/>
          </w:tcPr>
          <w:p>
            <w:pPr>
              <w:jc w:val="right"/>
              <w:ind w:right="621"/>
              <w:spacing w:after="0"/>
              <w:rPr>
                <w:sz w:val="20"/>
                <w:szCs w:val="20"/>
                <w:color w:val="auto"/>
              </w:rPr>
            </w:pPr>
            <w:r>
              <w:rPr>
                <w:rFonts w:ascii="Arial" w:cs="Arial" w:eastAsia="Arial" w:hAnsi="Arial"/>
                <w:sz w:val="16"/>
                <w:szCs w:val="16"/>
                <w:color w:val="435363"/>
              </w:rPr>
              <w:t>*</w:t>
            </w:r>
          </w:p>
        </w:tc>
      </w:tr>
      <w:tr>
        <w:trPr>
          <w:trHeight w:val="476"/>
        </w:trPr>
        <w:tc>
          <w:tcPr>
            <w:tcW w:w="3340" w:type="dxa"/>
            <w:vAlign w:val="bottom"/>
            <w:shd w:val="clear" w:color="auto" w:fill="EDEDED"/>
          </w:tcPr>
          <w:p>
            <w:pPr>
              <w:jc w:val="right"/>
              <w:ind w:right="961"/>
              <w:spacing w:after="0"/>
              <w:rPr>
                <w:sz w:val="20"/>
                <w:szCs w:val="20"/>
                <w:color w:val="auto"/>
              </w:rPr>
            </w:pPr>
            <w:r>
              <w:rPr>
                <w:rFonts w:ascii="Arial" w:cs="Arial" w:eastAsia="Arial" w:hAnsi="Arial"/>
                <w:sz w:val="16"/>
                <w:szCs w:val="16"/>
                <w:color w:val="435363"/>
              </w:rPr>
              <w:t>151,153</w:t>
            </w:r>
            <w:r>
              <w:rPr>
                <w:rFonts w:ascii="Arial" w:cs="Arial" w:eastAsia="Arial" w:hAnsi="Arial"/>
                <w:sz w:val="23"/>
                <w:szCs w:val="23"/>
                <w:color w:val="435363"/>
                <w:vertAlign w:val="superscript"/>
              </w:rPr>
              <w:t>(5)</w:t>
            </w:r>
          </w:p>
        </w:tc>
        <w:tc>
          <w:tcPr>
            <w:tcW w:w="1720" w:type="dxa"/>
            <w:vAlign w:val="bottom"/>
            <w:shd w:val="clear" w:color="auto" w:fill="EDEDED"/>
          </w:tcPr>
          <w:p>
            <w:pPr>
              <w:jc w:val="right"/>
              <w:ind w:right="621"/>
              <w:spacing w:after="0"/>
              <w:rPr>
                <w:sz w:val="20"/>
                <w:szCs w:val="20"/>
                <w:color w:val="auto"/>
              </w:rPr>
            </w:pPr>
            <w:r>
              <w:rPr>
                <w:rFonts w:ascii="Arial" w:cs="Arial" w:eastAsia="Arial" w:hAnsi="Arial"/>
                <w:sz w:val="16"/>
                <w:szCs w:val="16"/>
                <w:color w:val="435363"/>
              </w:rPr>
              <w:t>*</w:t>
            </w:r>
          </w:p>
        </w:tc>
      </w:tr>
      <w:tr>
        <w:trPr>
          <w:trHeight w:val="476"/>
        </w:trPr>
        <w:tc>
          <w:tcPr>
            <w:tcW w:w="3340" w:type="dxa"/>
            <w:vAlign w:val="bottom"/>
          </w:tcPr>
          <w:p>
            <w:pPr>
              <w:jc w:val="right"/>
              <w:ind w:right="961"/>
              <w:spacing w:after="0"/>
              <w:rPr>
                <w:sz w:val="20"/>
                <w:szCs w:val="20"/>
                <w:color w:val="auto"/>
              </w:rPr>
            </w:pPr>
            <w:r>
              <w:rPr>
                <w:rFonts w:ascii="Arial" w:cs="Arial" w:eastAsia="Arial" w:hAnsi="Arial"/>
                <w:sz w:val="16"/>
                <w:szCs w:val="16"/>
                <w:color w:val="435363"/>
              </w:rPr>
              <w:t>83,510</w:t>
            </w:r>
            <w:r>
              <w:rPr>
                <w:rFonts w:ascii="Arial" w:cs="Arial" w:eastAsia="Arial" w:hAnsi="Arial"/>
                <w:sz w:val="23"/>
                <w:szCs w:val="23"/>
                <w:color w:val="435363"/>
                <w:vertAlign w:val="superscript"/>
              </w:rPr>
              <w:t>(6)</w:t>
            </w:r>
          </w:p>
        </w:tc>
        <w:tc>
          <w:tcPr>
            <w:tcW w:w="1720" w:type="dxa"/>
            <w:vAlign w:val="bottom"/>
          </w:tcPr>
          <w:p>
            <w:pPr>
              <w:jc w:val="right"/>
              <w:ind w:right="621"/>
              <w:spacing w:after="0"/>
              <w:rPr>
                <w:sz w:val="20"/>
                <w:szCs w:val="20"/>
                <w:color w:val="auto"/>
              </w:rPr>
            </w:pPr>
            <w:r>
              <w:rPr>
                <w:rFonts w:ascii="Arial" w:cs="Arial" w:eastAsia="Arial" w:hAnsi="Arial"/>
                <w:sz w:val="16"/>
                <w:szCs w:val="16"/>
                <w:color w:val="435363"/>
              </w:rPr>
              <w:t>*</w:t>
            </w:r>
          </w:p>
        </w:tc>
      </w:tr>
      <w:tr>
        <w:trPr>
          <w:trHeight w:val="476"/>
        </w:trPr>
        <w:tc>
          <w:tcPr>
            <w:tcW w:w="3340" w:type="dxa"/>
            <w:vAlign w:val="bottom"/>
            <w:shd w:val="clear" w:color="auto" w:fill="EDEDED"/>
          </w:tcPr>
          <w:p>
            <w:pPr>
              <w:jc w:val="right"/>
              <w:ind w:right="961"/>
              <w:spacing w:after="0"/>
              <w:rPr>
                <w:sz w:val="20"/>
                <w:szCs w:val="20"/>
                <w:color w:val="auto"/>
              </w:rPr>
            </w:pPr>
            <w:r>
              <w:rPr>
                <w:rFonts w:ascii="Arial" w:cs="Arial" w:eastAsia="Arial" w:hAnsi="Arial"/>
                <w:sz w:val="16"/>
                <w:szCs w:val="16"/>
                <w:color w:val="435363"/>
              </w:rPr>
              <w:t>111,818</w:t>
            </w:r>
            <w:r>
              <w:rPr>
                <w:rFonts w:ascii="Arial" w:cs="Arial" w:eastAsia="Arial" w:hAnsi="Arial"/>
                <w:sz w:val="23"/>
                <w:szCs w:val="23"/>
                <w:color w:val="435363"/>
                <w:vertAlign w:val="superscript"/>
              </w:rPr>
              <w:t>(7)</w:t>
            </w:r>
          </w:p>
        </w:tc>
        <w:tc>
          <w:tcPr>
            <w:tcW w:w="1720" w:type="dxa"/>
            <w:vAlign w:val="bottom"/>
            <w:shd w:val="clear" w:color="auto" w:fill="EDEDED"/>
          </w:tcPr>
          <w:p>
            <w:pPr>
              <w:jc w:val="right"/>
              <w:ind w:right="621"/>
              <w:spacing w:after="0"/>
              <w:rPr>
                <w:sz w:val="20"/>
                <w:szCs w:val="20"/>
                <w:color w:val="auto"/>
              </w:rPr>
            </w:pPr>
            <w:r>
              <w:rPr>
                <w:rFonts w:ascii="Arial" w:cs="Arial" w:eastAsia="Arial" w:hAnsi="Arial"/>
                <w:sz w:val="16"/>
                <w:szCs w:val="16"/>
                <w:color w:val="435363"/>
              </w:rPr>
              <w:t>*</w:t>
            </w:r>
          </w:p>
        </w:tc>
      </w:tr>
      <w:tr>
        <w:trPr>
          <w:trHeight w:val="476"/>
        </w:trPr>
        <w:tc>
          <w:tcPr>
            <w:tcW w:w="3340" w:type="dxa"/>
            <w:vAlign w:val="bottom"/>
          </w:tcPr>
          <w:p>
            <w:pPr>
              <w:jc w:val="right"/>
              <w:ind w:right="961"/>
              <w:spacing w:after="0"/>
              <w:rPr>
                <w:sz w:val="20"/>
                <w:szCs w:val="20"/>
                <w:color w:val="auto"/>
              </w:rPr>
            </w:pPr>
            <w:r>
              <w:rPr>
                <w:rFonts w:ascii="Arial" w:cs="Arial" w:eastAsia="Arial" w:hAnsi="Arial"/>
                <w:sz w:val="16"/>
                <w:szCs w:val="16"/>
                <w:color w:val="435363"/>
              </w:rPr>
              <w:t>28,411</w:t>
            </w:r>
            <w:r>
              <w:rPr>
                <w:rFonts w:ascii="Arial" w:cs="Arial" w:eastAsia="Arial" w:hAnsi="Arial"/>
                <w:sz w:val="23"/>
                <w:szCs w:val="23"/>
                <w:color w:val="435363"/>
                <w:vertAlign w:val="superscript"/>
              </w:rPr>
              <w:t>(8)</w:t>
            </w:r>
          </w:p>
        </w:tc>
        <w:tc>
          <w:tcPr>
            <w:tcW w:w="1720" w:type="dxa"/>
            <w:vAlign w:val="bottom"/>
          </w:tcPr>
          <w:p>
            <w:pPr>
              <w:jc w:val="right"/>
              <w:ind w:right="621"/>
              <w:spacing w:after="0"/>
              <w:rPr>
                <w:sz w:val="20"/>
                <w:szCs w:val="20"/>
                <w:color w:val="auto"/>
              </w:rPr>
            </w:pPr>
            <w:r>
              <w:rPr>
                <w:rFonts w:ascii="Arial" w:cs="Arial" w:eastAsia="Arial" w:hAnsi="Arial"/>
                <w:sz w:val="16"/>
                <w:szCs w:val="16"/>
                <w:color w:val="435363"/>
              </w:rPr>
              <w:t>*</w:t>
            </w:r>
          </w:p>
        </w:tc>
      </w:tr>
      <w:tr>
        <w:trPr>
          <w:trHeight w:val="476"/>
        </w:trPr>
        <w:tc>
          <w:tcPr>
            <w:tcW w:w="3340" w:type="dxa"/>
            <w:vAlign w:val="bottom"/>
            <w:shd w:val="clear" w:color="auto" w:fill="EDEDED"/>
          </w:tcPr>
          <w:p>
            <w:pPr>
              <w:jc w:val="right"/>
              <w:ind w:right="961"/>
              <w:spacing w:after="0"/>
              <w:rPr>
                <w:sz w:val="20"/>
                <w:szCs w:val="20"/>
                <w:color w:val="auto"/>
              </w:rPr>
            </w:pPr>
            <w:r>
              <w:rPr>
                <w:rFonts w:ascii="Arial" w:cs="Arial" w:eastAsia="Arial" w:hAnsi="Arial"/>
                <w:sz w:val="16"/>
                <w:szCs w:val="16"/>
                <w:color w:val="435363"/>
              </w:rPr>
              <w:t>186,818</w:t>
            </w:r>
            <w:r>
              <w:rPr>
                <w:rFonts w:ascii="Arial" w:cs="Arial" w:eastAsia="Arial" w:hAnsi="Arial"/>
                <w:sz w:val="23"/>
                <w:szCs w:val="23"/>
                <w:color w:val="435363"/>
                <w:vertAlign w:val="superscript"/>
              </w:rPr>
              <w:t>(9)</w:t>
            </w:r>
          </w:p>
        </w:tc>
        <w:tc>
          <w:tcPr>
            <w:tcW w:w="1720" w:type="dxa"/>
            <w:vAlign w:val="bottom"/>
            <w:shd w:val="clear" w:color="auto" w:fill="EDEDED"/>
          </w:tcPr>
          <w:p>
            <w:pPr>
              <w:jc w:val="right"/>
              <w:ind w:right="621"/>
              <w:spacing w:after="0"/>
              <w:rPr>
                <w:sz w:val="20"/>
                <w:szCs w:val="20"/>
                <w:color w:val="auto"/>
              </w:rPr>
            </w:pPr>
            <w:r>
              <w:rPr>
                <w:rFonts w:ascii="Arial" w:cs="Arial" w:eastAsia="Arial" w:hAnsi="Arial"/>
                <w:sz w:val="16"/>
                <w:szCs w:val="16"/>
                <w:color w:val="435363"/>
              </w:rPr>
              <w:t>*</w:t>
            </w:r>
          </w:p>
        </w:tc>
      </w:tr>
      <w:tr>
        <w:trPr>
          <w:trHeight w:val="476"/>
        </w:trPr>
        <w:tc>
          <w:tcPr>
            <w:tcW w:w="3340" w:type="dxa"/>
            <w:vAlign w:val="bottom"/>
          </w:tcPr>
          <w:p>
            <w:pPr>
              <w:jc w:val="right"/>
              <w:ind w:right="881"/>
              <w:spacing w:after="0"/>
              <w:rPr>
                <w:sz w:val="20"/>
                <w:szCs w:val="20"/>
                <w:color w:val="auto"/>
              </w:rPr>
            </w:pPr>
            <w:r>
              <w:rPr>
                <w:rFonts w:ascii="Arial" w:cs="Arial" w:eastAsia="Arial" w:hAnsi="Arial"/>
                <w:sz w:val="16"/>
                <w:szCs w:val="16"/>
                <w:color w:val="435363"/>
              </w:rPr>
              <w:t>69,818</w:t>
            </w:r>
            <w:r>
              <w:rPr>
                <w:rFonts w:ascii="Arial" w:cs="Arial" w:eastAsia="Arial" w:hAnsi="Arial"/>
                <w:sz w:val="23"/>
                <w:szCs w:val="23"/>
                <w:color w:val="435363"/>
                <w:vertAlign w:val="superscript"/>
              </w:rPr>
              <w:t>(10)</w:t>
            </w:r>
          </w:p>
        </w:tc>
        <w:tc>
          <w:tcPr>
            <w:tcW w:w="1720" w:type="dxa"/>
            <w:vAlign w:val="bottom"/>
          </w:tcPr>
          <w:p>
            <w:pPr>
              <w:jc w:val="right"/>
              <w:ind w:right="621"/>
              <w:spacing w:after="0"/>
              <w:rPr>
                <w:sz w:val="20"/>
                <w:szCs w:val="20"/>
                <w:color w:val="auto"/>
              </w:rPr>
            </w:pPr>
            <w:r>
              <w:rPr>
                <w:rFonts w:ascii="Arial" w:cs="Arial" w:eastAsia="Arial" w:hAnsi="Arial"/>
                <w:sz w:val="16"/>
                <w:szCs w:val="16"/>
                <w:color w:val="435363"/>
              </w:rPr>
              <w:t>*</w:t>
            </w:r>
          </w:p>
        </w:tc>
      </w:tr>
      <w:tr>
        <w:trPr>
          <w:trHeight w:val="476"/>
        </w:trPr>
        <w:tc>
          <w:tcPr>
            <w:tcW w:w="3340" w:type="dxa"/>
            <w:vAlign w:val="bottom"/>
            <w:shd w:val="clear" w:color="auto" w:fill="EDEDED"/>
          </w:tcPr>
          <w:p>
            <w:pPr>
              <w:jc w:val="right"/>
              <w:ind w:right="901"/>
              <w:spacing w:after="0"/>
              <w:rPr>
                <w:sz w:val="20"/>
                <w:szCs w:val="20"/>
                <w:color w:val="auto"/>
              </w:rPr>
            </w:pPr>
            <w:r>
              <w:rPr>
                <w:rFonts w:ascii="Arial" w:cs="Arial" w:eastAsia="Arial" w:hAnsi="Arial"/>
                <w:sz w:val="16"/>
                <w:szCs w:val="16"/>
                <w:color w:val="435363"/>
              </w:rPr>
              <w:t>76,424</w:t>
            </w:r>
            <w:r>
              <w:rPr>
                <w:rFonts w:ascii="Arial" w:cs="Arial" w:eastAsia="Arial" w:hAnsi="Arial"/>
                <w:sz w:val="23"/>
                <w:szCs w:val="23"/>
                <w:color w:val="435363"/>
                <w:vertAlign w:val="superscript"/>
              </w:rPr>
              <w:t>(11)</w:t>
            </w:r>
          </w:p>
        </w:tc>
        <w:tc>
          <w:tcPr>
            <w:tcW w:w="1720" w:type="dxa"/>
            <w:vAlign w:val="bottom"/>
            <w:shd w:val="clear" w:color="auto" w:fill="EDEDED"/>
          </w:tcPr>
          <w:p>
            <w:pPr>
              <w:jc w:val="right"/>
              <w:ind w:right="621"/>
              <w:spacing w:after="0"/>
              <w:rPr>
                <w:sz w:val="20"/>
                <w:szCs w:val="20"/>
                <w:color w:val="auto"/>
              </w:rPr>
            </w:pPr>
            <w:r>
              <w:rPr>
                <w:rFonts w:ascii="Arial" w:cs="Arial" w:eastAsia="Arial" w:hAnsi="Arial"/>
                <w:sz w:val="16"/>
                <w:szCs w:val="16"/>
                <w:color w:val="435363"/>
              </w:rPr>
              <w:t>*</w:t>
            </w:r>
          </w:p>
        </w:tc>
      </w:tr>
      <w:tr>
        <w:trPr>
          <w:trHeight w:val="476"/>
        </w:trPr>
        <w:tc>
          <w:tcPr>
            <w:tcW w:w="3340" w:type="dxa"/>
            <w:vAlign w:val="bottom"/>
          </w:tcPr>
          <w:p>
            <w:pPr>
              <w:jc w:val="right"/>
              <w:ind w:right="881"/>
              <w:spacing w:after="0"/>
              <w:rPr>
                <w:sz w:val="20"/>
                <w:szCs w:val="20"/>
                <w:color w:val="auto"/>
              </w:rPr>
            </w:pPr>
            <w:r>
              <w:rPr>
                <w:rFonts w:ascii="Arial" w:cs="Arial" w:eastAsia="Arial" w:hAnsi="Arial"/>
                <w:sz w:val="16"/>
                <w:szCs w:val="16"/>
                <w:color w:val="435363"/>
              </w:rPr>
              <w:t>52,583</w:t>
            </w:r>
            <w:r>
              <w:rPr>
                <w:rFonts w:ascii="Arial" w:cs="Arial" w:eastAsia="Arial" w:hAnsi="Arial"/>
                <w:sz w:val="23"/>
                <w:szCs w:val="23"/>
                <w:color w:val="435363"/>
                <w:vertAlign w:val="superscript"/>
              </w:rPr>
              <w:t>(12)</w:t>
            </w:r>
          </w:p>
        </w:tc>
        <w:tc>
          <w:tcPr>
            <w:tcW w:w="1720" w:type="dxa"/>
            <w:vAlign w:val="bottom"/>
          </w:tcPr>
          <w:p>
            <w:pPr>
              <w:jc w:val="right"/>
              <w:ind w:right="621"/>
              <w:spacing w:after="0"/>
              <w:rPr>
                <w:sz w:val="20"/>
                <w:szCs w:val="20"/>
                <w:color w:val="auto"/>
              </w:rPr>
            </w:pPr>
            <w:r>
              <w:rPr>
                <w:rFonts w:ascii="Arial" w:cs="Arial" w:eastAsia="Arial" w:hAnsi="Arial"/>
                <w:sz w:val="16"/>
                <w:szCs w:val="16"/>
                <w:color w:val="435363"/>
              </w:rPr>
              <w:t>*</w:t>
            </w:r>
          </w:p>
        </w:tc>
      </w:tr>
      <w:tr>
        <w:trPr>
          <w:trHeight w:val="476"/>
        </w:trPr>
        <w:tc>
          <w:tcPr>
            <w:tcW w:w="3340" w:type="dxa"/>
            <w:vAlign w:val="bottom"/>
            <w:shd w:val="clear" w:color="auto" w:fill="EDEDED"/>
          </w:tcPr>
          <w:p>
            <w:pPr>
              <w:jc w:val="right"/>
              <w:ind w:right="881"/>
              <w:spacing w:after="0"/>
              <w:rPr>
                <w:sz w:val="20"/>
                <w:szCs w:val="20"/>
                <w:color w:val="auto"/>
              </w:rPr>
            </w:pPr>
            <w:r>
              <w:rPr>
                <w:rFonts w:ascii="Arial" w:cs="Arial" w:eastAsia="Arial" w:hAnsi="Arial"/>
                <w:sz w:val="16"/>
                <w:szCs w:val="16"/>
                <w:color w:val="435363"/>
              </w:rPr>
              <w:t>52,583</w:t>
            </w:r>
            <w:r>
              <w:rPr>
                <w:rFonts w:ascii="Arial" w:cs="Arial" w:eastAsia="Arial" w:hAnsi="Arial"/>
                <w:sz w:val="23"/>
                <w:szCs w:val="23"/>
                <w:color w:val="435363"/>
                <w:vertAlign w:val="superscript"/>
              </w:rPr>
              <w:t>(13)</w:t>
            </w:r>
          </w:p>
        </w:tc>
        <w:tc>
          <w:tcPr>
            <w:tcW w:w="1720" w:type="dxa"/>
            <w:vAlign w:val="bottom"/>
            <w:shd w:val="clear" w:color="auto" w:fill="EDEDED"/>
          </w:tcPr>
          <w:p>
            <w:pPr>
              <w:jc w:val="right"/>
              <w:ind w:right="621"/>
              <w:spacing w:after="0"/>
              <w:rPr>
                <w:sz w:val="20"/>
                <w:szCs w:val="20"/>
                <w:color w:val="auto"/>
              </w:rPr>
            </w:pPr>
            <w:r>
              <w:rPr>
                <w:rFonts w:ascii="Arial" w:cs="Arial" w:eastAsia="Arial" w:hAnsi="Arial"/>
                <w:sz w:val="16"/>
                <w:szCs w:val="16"/>
                <w:color w:val="435363"/>
              </w:rPr>
              <w:t>*</w:t>
            </w:r>
          </w:p>
        </w:tc>
      </w:tr>
      <w:tr>
        <w:trPr>
          <w:trHeight w:val="476"/>
        </w:trPr>
        <w:tc>
          <w:tcPr>
            <w:tcW w:w="3340" w:type="dxa"/>
            <w:vAlign w:val="bottom"/>
          </w:tcPr>
          <w:p>
            <w:pPr>
              <w:jc w:val="right"/>
              <w:ind w:right="881"/>
              <w:spacing w:after="0"/>
              <w:rPr>
                <w:sz w:val="20"/>
                <w:szCs w:val="20"/>
                <w:color w:val="auto"/>
              </w:rPr>
            </w:pPr>
            <w:r>
              <w:rPr>
                <w:rFonts w:ascii="Arial" w:cs="Arial" w:eastAsia="Arial" w:hAnsi="Arial"/>
                <w:sz w:val="16"/>
                <w:szCs w:val="16"/>
                <w:color w:val="435363"/>
              </w:rPr>
              <w:t>127,872</w:t>
            </w:r>
            <w:r>
              <w:rPr>
                <w:rFonts w:ascii="Arial" w:cs="Arial" w:eastAsia="Arial" w:hAnsi="Arial"/>
                <w:sz w:val="23"/>
                <w:szCs w:val="23"/>
                <w:color w:val="435363"/>
                <w:vertAlign w:val="superscript"/>
              </w:rPr>
              <w:t>(14)</w:t>
            </w:r>
          </w:p>
        </w:tc>
        <w:tc>
          <w:tcPr>
            <w:tcW w:w="1720" w:type="dxa"/>
            <w:vAlign w:val="bottom"/>
          </w:tcPr>
          <w:p>
            <w:pPr>
              <w:jc w:val="right"/>
              <w:ind w:right="621"/>
              <w:spacing w:after="0"/>
              <w:rPr>
                <w:sz w:val="20"/>
                <w:szCs w:val="20"/>
                <w:color w:val="auto"/>
              </w:rPr>
            </w:pPr>
            <w:r>
              <w:rPr>
                <w:rFonts w:ascii="Arial" w:cs="Arial" w:eastAsia="Arial" w:hAnsi="Arial"/>
                <w:sz w:val="16"/>
                <w:szCs w:val="16"/>
                <w:color w:val="435363"/>
              </w:rPr>
              <w:t>*</w:t>
            </w:r>
          </w:p>
        </w:tc>
      </w:tr>
      <w:tr>
        <w:trPr>
          <w:trHeight w:val="476"/>
        </w:trPr>
        <w:tc>
          <w:tcPr>
            <w:tcW w:w="3340" w:type="dxa"/>
            <w:vAlign w:val="bottom"/>
            <w:shd w:val="clear" w:color="auto" w:fill="EDEDED"/>
          </w:tcPr>
          <w:p>
            <w:pPr>
              <w:jc w:val="right"/>
              <w:ind w:right="881"/>
              <w:spacing w:after="0"/>
              <w:rPr>
                <w:sz w:val="20"/>
                <w:szCs w:val="20"/>
                <w:color w:val="auto"/>
              </w:rPr>
            </w:pPr>
            <w:r>
              <w:rPr>
                <w:rFonts w:ascii="Arial" w:cs="Arial" w:eastAsia="Arial" w:hAnsi="Arial"/>
                <w:sz w:val="16"/>
                <w:szCs w:val="16"/>
                <w:color w:val="435363"/>
              </w:rPr>
              <w:t>19,008</w:t>
            </w:r>
            <w:r>
              <w:rPr>
                <w:rFonts w:ascii="Arial" w:cs="Arial" w:eastAsia="Arial" w:hAnsi="Arial"/>
                <w:sz w:val="23"/>
                <w:szCs w:val="23"/>
                <w:color w:val="435363"/>
                <w:vertAlign w:val="superscript"/>
              </w:rPr>
              <w:t>(15)</w:t>
            </w:r>
          </w:p>
        </w:tc>
        <w:tc>
          <w:tcPr>
            <w:tcW w:w="1720" w:type="dxa"/>
            <w:vAlign w:val="bottom"/>
            <w:shd w:val="clear" w:color="auto" w:fill="EDEDED"/>
          </w:tcPr>
          <w:p>
            <w:pPr>
              <w:jc w:val="right"/>
              <w:ind w:right="621"/>
              <w:spacing w:after="0"/>
              <w:rPr>
                <w:sz w:val="20"/>
                <w:szCs w:val="20"/>
                <w:color w:val="auto"/>
              </w:rPr>
            </w:pPr>
            <w:r>
              <w:rPr>
                <w:rFonts w:ascii="Arial" w:cs="Arial" w:eastAsia="Arial" w:hAnsi="Arial"/>
                <w:sz w:val="16"/>
                <w:szCs w:val="16"/>
                <w:color w:val="435363"/>
              </w:rPr>
              <w:t>*</w:t>
            </w:r>
          </w:p>
        </w:tc>
      </w:tr>
      <w:tr>
        <w:trPr>
          <w:trHeight w:val="476"/>
        </w:trPr>
        <w:tc>
          <w:tcPr>
            <w:tcW w:w="3340" w:type="dxa"/>
            <w:vAlign w:val="bottom"/>
          </w:tcPr>
          <w:p>
            <w:pPr>
              <w:jc w:val="right"/>
              <w:ind w:right="881"/>
              <w:spacing w:after="0"/>
              <w:rPr>
                <w:sz w:val="20"/>
                <w:szCs w:val="20"/>
                <w:color w:val="auto"/>
              </w:rPr>
            </w:pPr>
            <w:r>
              <w:rPr>
                <w:rFonts w:ascii="Arial" w:cs="Arial" w:eastAsia="Arial" w:hAnsi="Arial"/>
                <w:sz w:val="16"/>
                <w:szCs w:val="16"/>
                <w:color w:val="435363"/>
              </w:rPr>
              <w:t>37,094</w:t>
            </w:r>
            <w:r>
              <w:rPr>
                <w:rFonts w:ascii="Arial" w:cs="Arial" w:eastAsia="Arial" w:hAnsi="Arial"/>
                <w:sz w:val="23"/>
                <w:szCs w:val="23"/>
                <w:color w:val="435363"/>
                <w:vertAlign w:val="superscript"/>
              </w:rPr>
              <w:t>(16)</w:t>
            </w:r>
          </w:p>
        </w:tc>
        <w:tc>
          <w:tcPr>
            <w:tcW w:w="1720" w:type="dxa"/>
            <w:vAlign w:val="bottom"/>
          </w:tcPr>
          <w:p>
            <w:pPr>
              <w:jc w:val="right"/>
              <w:ind w:right="621"/>
              <w:spacing w:after="0"/>
              <w:rPr>
                <w:sz w:val="20"/>
                <w:szCs w:val="20"/>
                <w:color w:val="auto"/>
              </w:rPr>
            </w:pPr>
            <w:r>
              <w:rPr>
                <w:rFonts w:ascii="Arial" w:cs="Arial" w:eastAsia="Arial" w:hAnsi="Arial"/>
                <w:sz w:val="16"/>
                <w:szCs w:val="16"/>
                <w:color w:val="435363"/>
              </w:rPr>
              <w:t>*</w:t>
            </w:r>
          </w:p>
        </w:tc>
      </w:tr>
      <w:tr>
        <w:trPr>
          <w:trHeight w:val="476"/>
        </w:trPr>
        <w:tc>
          <w:tcPr>
            <w:tcW w:w="3340" w:type="dxa"/>
            <w:vAlign w:val="bottom"/>
            <w:shd w:val="clear" w:color="auto" w:fill="EDEDED"/>
          </w:tcPr>
          <w:p>
            <w:pPr>
              <w:jc w:val="right"/>
              <w:ind w:right="881"/>
              <w:spacing w:after="0"/>
              <w:rPr>
                <w:sz w:val="20"/>
                <w:szCs w:val="20"/>
                <w:color w:val="auto"/>
              </w:rPr>
            </w:pPr>
            <w:r>
              <w:rPr>
                <w:rFonts w:ascii="Arial" w:cs="Arial" w:eastAsia="Arial" w:hAnsi="Arial"/>
                <w:sz w:val="16"/>
                <w:szCs w:val="16"/>
                <w:color w:val="435363"/>
              </w:rPr>
              <w:t>29,736</w:t>
            </w:r>
            <w:r>
              <w:rPr>
                <w:rFonts w:ascii="Arial" w:cs="Arial" w:eastAsia="Arial" w:hAnsi="Arial"/>
                <w:sz w:val="23"/>
                <w:szCs w:val="23"/>
                <w:color w:val="435363"/>
                <w:vertAlign w:val="superscript"/>
              </w:rPr>
              <w:t>(17)</w:t>
            </w:r>
          </w:p>
        </w:tc>
        <w:tc>
          <w:tcPr>
            <w:tcW w:w="1720" w:type="dxa"/>
            <w:vAlign w:val="bottom"/>
            <w:shd w:val="clear" w:color="auto" w:fill="EDEDED"/>
          </w:tcPr>
          <w:p>
            <w:pPr>
              <w:jc w:val="right"/>
              <w:ind w:right="621"/>
              <w:spacing w:after="0"/>
              <w:rPr>
                <w:sz w:val="20"/>
                <w:szCs w:val="20"/>
                <w:color w:val="auto"/>
              </w:rPr>
            </w:pPr>
            <w:r>
              <w:rPr>
                <w:rFonts w:ascii="Arial" w:cs="Arial" w:eastAsia="Arial" w:hAnsi="Arial"/>
                <w:sz w:val="16"/>
                <w:szCs w:val="16"/>
                <w:color w:val="435363"/>
              </w:rPr>
              <w:t>*</w:t>
            </w:r>
          </w:p>
        </w:tc>
      </w:tr>
      <w:tr>
        <w:trPr>
          <w:trHeight w:val="365"/>
        </w:trPr>
        <w:tc>
          <w:tcPr>
            <w:tcW w:w="3340" w:type="dxa"/>
            <w:vAlign w:val="bottom"/>
          </w:tcPr>
          <w:p>
            <w:pPr>
              <w:jc w:val="right"/>
              <w:ind w:right="881"/>
              <w:spacing w:after="0"/>
              <w:rPr>
                <w:sz w:val="20"/>
                <w:szCs w:val="20"/>
                <w:color w:val="auto"/>
              </w:rPr>
            </w:pPr>
            <w:r>
              <w:rPr>
                <w:rFonts w:ascii="Arial" w:cs="Arial" w:eastAsia="Arial" w:hAnsi="Arial"/>
                <w:sz w:val="16"/>
                <w:szCs w:val="16"/>
                <w:color w:val="435363"/>
              </w:rPr>
              <w:t>3,214,569</w:t>
            </w:r>
            <w:r>
              <w:rPr>
                <w:rFonts w:ascii="Arial" w:cs="Arial" w:eastAsia="Arial" w:hAnsi="Arial"/>
                <w:sz w:val="23"/>
                <w:szCs w:val="23"/>
                <w:color w:val="435363"/>
                <w:vertAlign w:val="superscript"/>
              </w:rPr>
              <w:t>(18)</w:t>
            </w:r>
          </w:p>
        </w:tc>
        <w:tc>
          <w:tcPr>
            <w:tcW w:w="1720" w:type="dxa"/>
            <w:vAlign w:val="bottom"/>
          </w:tcPr>
          <w:p>
            <w:pPr>
              <w:jc w:val="right"/>
              <w:ind w:right="621"/>
              <w:spacing w:after="0"/>
              <w:rPr>
                <w:sz w:val="20"/>
                <w:szCs w:val="20"/>
                <w:color w:val="auto"/>
              </w:rPr>
            </w:pPr>
            <w:r>
              <w:rPr>
                <w:rFonts w:ascii="Arial" w:cs="Arial" w:eastAsia="Arial" w:hAnsi="Arial"/>
                <w:sz w:val="16"/>
                <w:szCs w:val="16"/>
                <w:color w:val="43536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-54610</wp:posOffset>
            </wp:positionV>
            <wp:extent cx="685736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60" w:space="720"/>
            <w:col w:w="5060"/>
          </w:cols>
          <w:pgMar w:left="320" w:top="477" w:right="539" w:bottom="1440" w:gutter="0" w:footer="0" w:header="0"/>
          <w:type w:val="continuous"/>
        </w:sectPr>
      </w:pPr>
    </w:p>
    <w:p>
      <w:pPr>
        <w:ind w:left="640" w:hanging="416"/>
        <w:spacing w:after="0"/>
        <w:tabs>
          <w:tab w:leader="none" w:pos="640" w:val="left"/>
        </w:tabs>
        <w:numPr>
          <w:ilvl w:val="0"/>
          <w:numId w:val="26"/>
        </w:numPr>
        <w:rPr>
          <w:rFonts w:ascii="Arial" w:cs="Arial" w:eastAsia="Arial" w:hAnsi="Arial"/>
          <w:sz w:val="12"/>
          <w:szCs w:val="12"/>
          <w:color w:val="435363"/>
        </w:rPr>
      </w:pPr>
      <w:r>
        <w:rPr>
          <w:rFonts w:ascii="Arial" w:cs="Arial" w:eastAsia="Arial" w:hAnsi="Arial"/>
          <w:sz w:val="12"/>
          <w:szCs w:val="12"/>
          <w:color w:val="435363"/>
        </w:rPr>
        <w:t>Represents less than 1% of the outstanding shares of our Common Stock.</w:t>
      </w:r>
    </w:p>
    <w:p>
      <w:pPr>
        <w:spacing w:after="0" w:line="151" w:lineRule="exact"/>
        <w:rPr>
          <w:rFonts w:ascii="Arial" w:cs="Arial" w:eastAsia="Arial" w:hAnsi="Arial"/>
          <w:sz w:val="12"/>
          <w:szCs w:val="12"/>
          <w:color w:val="435363"/>
        </w:rPr>
      </w:pPr>
    </w:p>
    <w:p>
      <w:pPr>
        <w:ind w:left="2240"/>
        <w:spacing w:after="0"/>
        <w:rPr>
          <w:rFonts w:ascii="Arial" w:cs="Arial" w:eastAsia="Arial" w:hAnsi="Arial"/>
          <w:sz w:val="12"/>
          <w:szCs w:val="12"/>
          <w:color w:val="435363"/>
        </w:rPr>
      </w:pPr>
      <w:r>
        <w:rPr>
          <w:rFonts w:ascii="Arial" w:cs="Arial" w:eastAsia="Arial" w:hAnsi="Arial"/>
          <w:sz w:val="1"/>
          <w:szCs w:val="1"/>
          <w:color w:val="435363"/>
        </w:rPr>
        <w:drawing>
          <wp:inline distT="0" distB="0" distL="0" distR="0">
            <wp:extent cx="5177155" cy="1682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77155" cy="168275"/>
                    </a:xfrm>
                    <a:prstGeom prst="rect">
                      <a:avLst/>
                    </a:prstGeom>
                    <a:noFill/>
                    <a:ln>
                      <a:noFill/>
                    </a:ln>
                  </pic:spPr>
                </pic:pic>
              </a:graphicData>
            </a:graphic>
          </wp:inline>
        </w:drawing>
      </w:r>
      <w:r>
        <w:rPr>
          <w:rFonts w:ascii="Arial" w:cs="Arial" w:eastAsia="Arial" w:hAnsi="Arial"/>
          <w:sz w:val="16"/>
          <w:szCs w:val="16"/>
          <w:b w:val="1"/>
          <w:bCs w:val="1"/>
          <w:color w:val="435363"/>
        </w:rPr>
        <w:t xml:space="preserve">     29</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3" w:lineRule="exact"/>
        <w:rPr>
          <w:sz w:val="20"/>
          <w:szCs w:val="20"/>
          <w:color w:val="auto"/>
        </w:rPr>
      </w:pPr>
    </w:p>
    <w:p>
      <w:pPr>
        <w:ind w:left="640" w:right="80" w:hanging="416"/>
        <w:spacing w:after="0" w:line="245" w:lineRule="auto"/>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Beneficial ownership as reported in the table has been determined in accordance with SEC rules and regulations and includes restricted stock units (“RSUs”) that vest within 60 days of April 9, 2024. Pursuant to SEC rules and regulations, all shares not currently outstanding that are subject to RSUs that vest within 60 days of April 9, 2024, are deemed to be outstanding for the purpose of computing “Percent of Class” held by the holder of the class but are not deemed to be outstanding for the purpose of computing the “Percent of Class” held by any other stockholder.</w:t>
      </w:r>
    </w:p>
    <w:p>
      <w:pPr>
        <w:spacing w:after="0" w:line="186" w:lineRule="exact"/>
        <w:rPr>
          <w:rFonts w:ascii="Arial" w:cs="Arial" w:eastAsia="Arial" w:hAnsi="Arial"/>
          <w:sz w:val="12"/>
          <w:szCs w:val="12"/>
          <w:color w:val="435363"/>
        </w:rPr>
      </w:pPr>
    </w:p>
    <w:p>
      <w:pPr>
        <w:ind w:left="640" w:hanging="416"/>
        <w:spacing w:after="0"/>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Includes 912,782 shares held directly. Excludes 2,324,740 unvested RSUs that will not vest within 60 days of April 9, 2024.</w:t>
      </w:r>
    </w:p>
    <w:p>
      <w:pPr>
        <w:spacing w:after="0" w:line="73" w:lineRule="exact"/>
        <w:rPr>
          <w:rFonts w:ascii="Arial" w:cs="Arial" w:eastAsia="Arial" w:hAnsi="Arial"/>
          <w:sz w:val="12"/>
          <w:szCs w:val="12"/>
          <w:color w:val="435363"/>
        </w:rPr>
      </w:pPr>
    </w:p>
    <w:p>
      <w:pPr>
        <w:ind w:left="640" w:hanging="416"/>
        <w:spacing w:after="0"/>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Includes 754,777 shares held directly. Excludes 813,910 unvested RSUs that will not vest within 60 days of April 9, 2024.</w:t>
      </w:r>
    </w:p>
    <w:p>
      <w:pPr>
        <w:spacing w:after="0" w:line="73" w:lineRule="exact"/>
        <w:rPr>
          <w:rFonts w:ascii="Arial" w:cs="Arial" w:eastAsia="Arial" w:hAnsi="Arial"/>
          <w:sz w:val="12"/>
          <w:szCs w:val="12"/>
          <w:color w:val="435363"/>
        </w:rPr>
      </w:pPr>
    </w:p>
    <w:p>
      <w:pPr>
        <w:ind w:left="640" w:right="220" w:hanging="416"/>
        <w:spacing w:after="0" w:line="274" w:lineRule="auto"/>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Includes 207,482 shares held directly and 56,557 shares underlying unvested RSUs that vest within 60 days of April 9, 2024. Excludes 421,737 unvested RSUs that will not vest within 60 days of April 9, 2024.</w:t>
      </w:r>
    </w:p>
    <w:p>
      <w:pPr>
        <w:spacing w:after="0" w:line="29" w:lineRule="exact"/>
        <w:rPr>
          <w:rFonts w:ascii="Arial" w:cs="Arial" w:eastAsia="Arial" w:hAnsi="Arial"/>
          <w:sz w:val="12"/>
          <w:szCs w:val="12"/>
          <w:color w:val="435363"/>
        </w:rPr>
      </w:pPr>
    </w:p>
    <w:p>
      <w:pPr>
        <w:ind w:left="640" w:hanging="416"/>
        <w:spacing w:after="0" w:line="274" w:lineRule="auto"/>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Includes 94,596 shares held directly and 56,557 shares underlying unvested RSUs that vest within 60 days of April 9, 2024. Excludes 396,215 unvested RSUs that will not vest within 60 days of April 9, 2024.</w:t>
      </w:r>
    </w:p>
    <w:p>
      <w:pPr>
        <w:spacing w:after="0" w:line="29" w:lineRule="exact"/>
        <w:rPr>
          <w:rFonts w:ascii="Arial" w:cs="Arial" w:eastAsia="Arial" w:hAnsi="Arial"/>
          <w:sz w:val="12"/>
          <w:szCs w:val="12"/>
          <w:color w:val="435363"/>
        </w:rPr>
      </w:pPr>
    </w:p>
    <w:p>
      <w:pPr>
        <w:ind w:left="640" w:hanging="416"/>
        <w:spacing w:after="0" w:line="274" w:lineRule="auto"/>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Includes 14,971 shares held directly and 68,539 shares underlying unvested RSUs that vest within 60 days of April 9, 2024. Excludes 439,798 unvested RSUs that will not vest within 60 days of April 9, 2024.</w:t>
      </w:r>
    </w:p>
    <w:p>
      <w:pPr>
        <w:spacing w:after="0" w:line="29" w:lineRule="exact"/>
        <w:rPr>
          <w:rFonts w:ascii="Arial" w:cs="Arial" w:eastAsia="Arial" w:hAnsi="Arial"/>
          <w:sz w:val="12"/>
          <w:szCs w:val="12"/>
          <w:color w:val="435363"/>
        </w:rPr>
      </w:pPr>
    </w:p>
    <w:p>
      <w:pPr>
        <w:ind w:left="640" w:right="100" w:hanging="416"/>
        <w:spacing w:after="0" w:line="274" w:lineRule="auto"/>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Includes 51,358 shares held directly, 50,000 shares held indirectly for the benefit of the Jeffrey Benjamin 2009 Family Trust and 10,460 shares underlying unvested RSUs that vest within 60 days of April 9, 2024.</w:t>
      </w:r>
    </w:p>
    <w:p>
      <w:pPr>
        <w:spacing w:after="0" w:line="29" w:lineRule="exact"/>
        <w:rPr>
          <w:rFonts w:ascii="Arial" w:cs="Arial" w:eastAsia="Arial" w:hAnsi="Arial"/>
          <w:sz w:val="12"/>
          <w:szCs w:val="12"/>
          <w:color w:val="435363"/>
        </w:rPr>
      </w:pPr>
    </w:p>
    <w:p>
      <w:pPr>
        <w:ind w:left="640" w:hanging="416"/>
        <w:spacing w:after="0"/>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Includes 17,951 shares held directly and 10,460 shares underlying unvested RSUs that vest within 60 days of April 9, 2024.</w:t>
      </w:r>
    </w:p>
    <w:p>
      <w:pPr>
        <w:spacing w:after="0" w:line="73" w:lineRule="exact"/>
        <w:rPr>
          <w:rFonts w:ascii="Arial" w:cs="Arial" w:eastAsia="Arial" w:hAnsi="Arial"/>
          <w:sz w:val="12"/>
          <w:szCs w:val="12"/>
          <w:color w:val="435363"/>
        </w:rPr>
      </w:pPr>
    </w:p>
    <w:p>
      <w:pPr>
        <w:ind w:left="640" w:right="160" w:hanging="416"/>
        <w:spacing w:after="0" w:line="274" w:lineRule="auto"/>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Includes 150,806 shares held indirectly for the benefit of the John Tobin Cahill Revocable Trust, 25,552 shares held indirectly for the benefit of the Ladson Court Trust V and 10,460 shares underlying unvested RSUs that vest within 60 days of April 9, 2024.</w:t>
      </w:r>
    </w:p>
    <w:p>
      <w:pPr>
        <w:spacing w:after="0" w:line="29" w:lineRule="exact"/>
        <w:rPr>
          <w:rFonts w:ascii="Arial" w:cs="Arial" w:eastAsia="Arial" w:hAnsi="Arial"/>
          <w:sz w:val="12"/>
          <w:szCs w:val="12"/>
          <w:color w:val="435363"/>
        </w:rPr>
      </w:pPr>
    </w:p>
    <w:p>
      <w:pPr>
        <w:ind w:left="640" w:hanging="416"/>
        <w:spacing w:after="0"/>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Includes 59,358 shares held directly and 10,460 shares underlying unvested RSUs that vest within 60 days of April 9, 2024.</w:t>
      </w:r>
    </w:p>
    <w:p>
      <w:pPr>
        <w:spacing w:after="0" w:line="73" w:lineRule="exact"/>
        <w:rPr>
          <w:rFonts w:ascii="Arial" w:cs="Arial" w:eastAsia="Arial" w:hAnsi="Arial"/>
          <w:sz w:val="12"/>
          <w:szCs w:val="12"/>
          <w:color w:val="435363"/>
        </w:rPr>
      </w:pPr>
    </w:p>
    <w:p>
      <w:pPr>
        <w:ind w:left="640" w:hanging="416"/>
        <w:spacing w:after="0"/>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Includes 65,964 shares held directly and 10,460 shares underlying unvested RSUs that vest within 60 days of April 9, 2024.</w:t>
      </w:r>
    </w:p>
    <w:p>
      <w:pPr>
        <w:spacing w:after="0" w:line="73" w:lineRule="exact"/>
        <w:rPr>
          <w:rFonts w:ascii="Arial" w:cs="Arial" w:eastAsia="Arial" w:hAnsi="Arial"/>
          <w:sz w:val="12"/>
          <w:szCs w:val="12"/>
          <w:color w:val="435363"/>
        </w:rPr>
      </w:pPr>
    </w:p>
    <w:p>
      <w:pPr>
        <w:ind w:left="640" w:hanging="416"/>
        <w:spacing w:after="0"/>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Includes 42,123 shares held directly and 10,460 shares underlying unvested RSUs that vest within 60 days of April 9, 2024.</w:t>
      </w:r>
    </w:p>
    <w:p>
      <w:pPr>
        <w:spacing w:after="0" w:line="73" w:lineRule="exact"/>
        <w:rPr>
          <w:rFonts w:ascii="Arial" w:cs="Arial" w:eastAsia="Arial" w:hAnsi="Arial"/>
          <w:sz w:val="12"/>
          <w:szCs w:val="12"/>
          <w:color w:val="435363"/>
        </w:rPr>
      </w:pPr>
    </w:p>
    <w:p>
      <w:pPr>
        <w:ind w:left="640" w:hanging="416"/>
        <w:spacing w:after="0"/>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Includes 42,123 shares held directly and 10,460 shares underlying unvested RSUs that vest within 60 days of April 9, 2024.</w:t>
      </w:r>
    </w:p>
    <w:p>
      <w:pPr>
        <w:spacing w:after="0" w:line="73" w:lineRule="exact"/>
        <w:rPr>
          <w:rFonts w:ascii="Arial" w:cs="Arial" w:eastAsia="Arial" w:hAnsi="Arial"/>
          <w:sz w:val="12"/>
          <w:szCs w:val="12"/>
          <w:color w:val="435363"/>
        </w:rPr>
      </w:pPr>
    </w:p>
    <w:p>
      <w:pPr>
        <w:ind w:left="640" w:hanging="416"/>
        <w:spacing w:after="0"/>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Includes 117,412 shares held directly and 10,460 shares underlying unvested RSUs that vest within 60 days of April 9, 2024.</w:t>
      </w:r>
    </w:p>
    <w:p>
      <w:pPr>
        <w:spacing w:after="0" w:line="73" w:lineRule="exact"/>
        <w:rPr>
          <w:rFonts w:ascii="Arial" w:cs="Arial" w:eastAsia="Arial" w:hAnsi="Arial"/>
          <w:sz w:val="12"/>
          <w:szCs w:val="12"/>
          <w:color w:val="435363"/>
        </w:rPr>
      </w:pPr>
    </w:p>
    <w:p>
      <w:pPr>
        <w:ind w:left="640" w:hanging="416"/>
        <w:spacing w:after="0"/>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Includes 8,548 shares held directly and 10,460 shares underlying unvested RSUs that vest within 60 days of April 9, 2024.</w:t>
      </w:r>
    </w:p>
    <w:p>
      <w:pPr>
        <w:spacing w:after="0" w:line="73" w:lineRule="exact"/>
        <w:rPr>
          <w:rFonts w:ascii="Arial" w:cs="Arial" w:eastAsia="Arial" w:hAnsi="Arial"/>
          <w:sz w:val="12"/>
          <w:szCs w:val="12"/>
          <w:color w:val="435363"/>
        </w:rPr>
      </w:pPr>
    </w:p>
    <w:p>
      <w:pPr>
        <w:ind w:left="640" w:right="180" w:hanging="416"/>
        <w:spacing w:after="0" w:line="274" w:lineRule="auto"/>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Includes 12,547 shares held directly, 140 shares held indirectly for the benefit of Mr. Smith’s Family Trusts and 24,407 shares underlying unvested RSUs that vest within 60 days of April 9, 2024.</w:t>
      </w:r>
    </w:p>
    <w:p>
      <w:pPr>
        <w:spacing w:after="0" w:line="29" w:lineRule="exact"/>
        <w:rPr>
          <w:rFonts w:ascii="Arial" w:cs="Arial" w:eastAsia="Arial" w:hAnsi="Arial"/>
          <w:sz w:val="12"/>
          <w:szCs w:val="12"/>
          <w:color w:val="435363"/>
        </w:rPr>
      </w:pPr>
    </w:p>
    <w:p>
      <w:pPr>
        <w:ind w:left="640" w:hanging="416"/>
        <w:spacing w:after="0"/>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Includes 19,276 shares held directly and 10,460 shares underlying unvested RSUs that vest within 60 days of April 9, 2024.</w:t>
      </w:r>
    </w:p>
    <w:p>
      <w:pPr>
        <w:spacing w:after="0" w:line="73" w:lineRule="exact"/>
        <w:rPr>
          <w:rFonts w:ascii="Arial" w:cs="Arial" w:eastAsia="Arial" w:hAnsi="Arial"/>
          <w:sz w:val="12"/>
          <w:szCs w:val="12"/>
          <w:color w:val="435363"/>
        </w:rPr>
      </w:pPr>
    </w:p>
    <w:p>
      <w:pPr>
        <w:ind w:left="640" w:hanging="416"/>
        <w:spacing w:after="0" w:line="245" w:lineRule="auto"/>
        <w:tabs>
          <w:tab w:leader="none" w:pos="640" w:val="left"/>
        </w:tabs>
        <w:numPr>
          <w:ilvl w:val="0"/>
          <w:numId w:val="27"/>
        </w:numPr>
        <w:rPr>
          <w:rFonts w:ascii="Arial" w:cs="Arial" w:eastAsia="Arial" w:hAnsi="Arial"/>
          <w:sz w:val="12"/>
          <w:szCs w:val="12"/>
          <w:color w:val="435363"/>
        </w:rPr>
      </w:pPr>
      <w:r>
        <w:rPr>
          <w:rFonts w:ascii="Arial" w:cs="Arial" w:eastAsia="Arial" w:hAnsi="Arial"/>
          <w:sz w:val="12"/>
          <w:szCs w:val="12"/>
          <w:color w:val="435363"/>
        </w:rPr>
        <w:t>Includes 2,608,872 shares held directly, 50,000 shares held indirectly for the benefit of the Jeffrey Benjamin 2009 Family Trust, 150,806 shares held indirectly for the benefit of the John Tobin Cahill Revocable Trust, 25,552 shares held indirectly for the benefit of the Ladson Court Trust V, 140 shares held indirectly for the benefit of Mr. Smith’s Family Trusts and 379,199 shares underlying unvested RSUs that vest within 60 days of April 9, 2024, held by our executive officers and directors as a group. Excludes 4,913,295 shares underlying unvested RSUs held by our executive officers and directors as a group that will not vest within 60 days of April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200025</wp:posOffset>
            </wp:positionV>
            <wp:extent cx="5177155" cy="1682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6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30</w:t>
      </w:r>
    </w:p>
    <w:p>
      <w:pPr>
        <w:spacing w:after="0" w:line="3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right="160"/>
        <w:spacing w:after="0" w:line="275" w:lineRule="auto"/>
        <w:rPr>
          <w:sz w:val="20"/>
          <w:szCs w:val="20"/>
          <w:color w:val="auto"/>
        </w:rPr>
      </w:pPr>
      <w:r>
        <w:rPr>
          <w:rFonts w:ascii="Arial" w:cs="Arial" w:eastAsia="Arial" w:hAnsi="Arial"/>
          <w:sz w:val="16"/>
          <w:szCs w:val="16"/>
          <w:color w:val="435363"/>
        </w:rPr>
        <w:t>The following table sets forth information regarding the beneficial ownership of our Common Stock as of April 9, 2024 for each person known to us to be the beneficial owner of more than 5% of our outstanding Common Stock.</w:t>
      </w:r>
    </w:p>
    <w:p>
      <w:pPr>
        <w:spacing w:after="0" w:line="192" w:lineRule="exact"/>
        <w:rPr>
          <w:sz w:val="20"/>
          <w:szCs w:val="20"/>
          <w:color w:val="auto"/>
        </w:rPr>
      </w:pPr>
    </w:p>
    <w:tbl>
      <w:tblPr>
        <w:tblLayout w:type="fixed"/>
        <w:tblInd w:w="240" w:type="dxa"/>
        <w:tblCellMar>
          <w:top w:w="0" w:type="dxa"/>
          <w:left w:w="0" w:type="dxa"/>
          <w:bottom w:w="0" w:type="dxa"/>
          <w:right w:w="0" w:type="dxa"/>
        </w:tblCellMar>
      </w:tblPr>
      <w:tr>
        <w:trPr>
          <w:trHeight w:val="194"/>
        </w:trPr>
        <w:tc>
          <w:tcPr>
            <w:tcW w:w="5980" w:type="dxa"/>
            <w:vAlign w:val="bottom"/>
          </w:tcPr>
          <w:p>
            <w:pPr>
              <w:spacing w:after="0"/>
              <w:rPr>
                <w:sz w:val="16"/>
                <w:szCs w:val="16"/>
                <w:color w:val="auto"/>
              </w:rPr>
            </w:pPr>
          </w:p>
        </w:tc>
        <w:tc>
          <w:tcPr>
            <w:tcW w:w="3660" w:type="dxa"/>
            <w:vAlign w:val="bottom"/>
            <w:tcBorders>
              <w:bottom w:val="single" w:sz="8" w:color="BF0000"/>
            </w:tcBorders>
          </w:tcPr>
          <w:p>
            <w:pPr>
              <w:ind w:left="1220"/>
              <w:spacing w:after="0"/>
              <w:rPr>
                <w:sz w:val="20"/>
                <w:szCs w:val="20"/>
                <w:color w:val="auto"/>
              </w:rPr>
            </w:pPr>
            <w:r>
              <w:rPr>
                <w:rFonts w:ascii="Arial" w:cs="Arial" w:eastAsia="Arial" w:hAnsi="Arial"/>
                <w:sz w:val="14"/>
                <w:szCs w:val="14"/>
                <w:b w:val="1"/>
                <w:bCs w:val="1"/>
                <w:color w:val="3575B3"/>
              </w:rPr>
              <w:t>Common Stock Beneficially Owned</w:t>
            </w:r>
          </w:p>
        </w:tc>
        <w:tc>
          <w:tcPr>
            <w:tcW w:w="700" w:type="dxa"/>
            <w:vAlign w:val="bottom"/>
            <w:tcBorders>
              <w:bottom w:val="single" w:sz="8" w:color="BF0000"/>
            </w:tcBorders>
          </w:tcPr>
          <w:p>
            <w:pPr>
              <w:spacing w:after="0"/>
              <w:rPr>
                <w:sz w:val="16"/>
                <w:szCs w:val="16"/>
                <w:color w:val="auto"/>
              </w:rPr>
            </w:pPr>
          </w:p>
        </w:tc>
        <w:tc>
          <w:tcPr>
            <w:tcW w:w="160" w:type="dxa"/>
            <w:vAlign w:val="bottom"/>
            <w:tcBorders>
              <w:bottom w:val="single" w:sz="8" w:color="BF0000"/>
            </w:tcBorders>
          </w:tcPr>
          <w:p>
            <w:pPr>
              <w:spacing w:after="0"/>
              <w:rPr>
                <w:sz w:val="16"/>
                <w:szCs w:val="16"/>
                <w:color w:val="auto"/>
              </w:rPr>
            </w:pPr>
          </w:p>
        </w:tc>
        <w:tc>
          <w:tcPr>
            <w:tcW w:w="300" w:type="dxa"/>
            <w:vAlign w:val="bottom"/>
            <w:tcBorders>
              <w:bottom w:val="single" w:sz="8" w:color="BF0000"/>
            </w:tcBorders>
          </w:tcPr>
          <w:p>
            <w:pPr>
              <w:spacing w:after="0"/>
              <w:rPr>
                <w:sz w:val="16"/>
                <w:szCs w:val="16"/>
                <w:color w:val="auto"/>
              </w:rPr>
            </w:pPr>
          </w:p>
        </w:tc>
      </w:tr>
      <w:tr>
        <w:trPr>
          <w:trHeight w:val="209"/>
        </w:trPr>
        <w:tc>
          <w:tcPr>
            <w:tcW w:w="5980" w:type="dxa"/>
            <w:vAlign w:val="bottom"/>
          </w:tcPr>
          <w:p>
            <w:pPr>
              <w:spacing w:after="0"/>
              <w:rPr>
                <w:sz w:val="18"/>
                <w:szCs w:val="18"/>
                <w:color w:val="auto"/>
              </w:rPr>
            </w:pPr>
          </w:p>
        </w:tc>
        <w:tc>
          <w:tcPr>
            <w:tcW w:w="3660" w:type="dxa"/>
            <w:vAlign w:val="bottom"/>
          </w:tcPr>
          <w:p>
            <w:pPr>
              <w:jc w:val="center"/>
              <w:ind w:right="1148"/>
              <w:spacing w:after="0"/>
              <w:rPr>
                <w:sz w:val="20"/>
                <w:szCs w:val="20"/>
                <w:color w:val="auto"/>
              </w:rPr>
            </w:pPr>
            <w:r>
              <w:rPr>
                <w:rFonts w:ascii="Arial" w:cs="Arial" w:eastAsia="Arial" w:hAnsi="Arial"/>
                <w:sz w:val="14"/>
                <w:szCs w:val="14"/>
                <w:b w:val="1"/>
                <w:bCs w:val="1"/>
                <w:color w:val="3575B3"/>
              </w:rPr>
              <w:t>Amount and Nature</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3575B3"/>
                <w:w w:val="94"/>
              </w:rPr>
              <w:t>Percent </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3575B3"/>
                <w:w w:val="71"/>
              </w:rPr>
              <w:t> </w:t>
            </w:r>
          </w:p>
        </w:tc>
        <w:tc>
          <w:tcPr>
            <w:tcW w:w="300" w:type="dxa"/>
            <w:vAlign w:val="bottom"/>
          </w:tcPr>
          <w:p>
            <w:pPr>
              <w:ind w:left="40"/>
              <w:spacing w:after="0"/>
              <w:rPr>
                <w:sz w:val="20"/>
                <w:szCs w:val="20"/>
                <w:color w:val="auto"/>
              </w:rPr>
            </w:pPr>
            <w:r>
              <w:rPr>
                <w:rFonts w:ascii="Arial" w:cs="Arial" w:eastAsia="Arial" w:hAnsi="Arial"/>
                <w:sz w:val="14"/>
                <w:szCs w:val="14"/>
                <w:b w:val="1"/>
                <w:bCs w:val="1"/>
                <w:color w:val="3575B3"/>
              </w:rPr>
              <w:t> </w:t>
            </w:r>
          </w:p>
        </w:tc>
      </w:tr>
      <w:tr>
        <w:trPr>
          <w:trHeight w:val="207"/>
        </w:trPr>
        <w:tc>
          <w:tcPr>
            <w:tcW w:w="5980" w:type="dxa"/>
            <w:vAlign w:val="bottom"/>
          </w:tcPr>
          <w:p>
            <w:pPr>
              <w:ind w:left="60"/>
              <w:spacing w:after="0"/>
              <w:rPr>
                <w:sz w:val="20"/>
                <w:szCs w:val="20"/>
                <w:color w:val="auto"/>
              </w:rPr>
            </w:pPr>
            <w:r>
              <w:rPr>
                <w:rFonts w:ascii="Arial" w:cs="Arial" w:eastAsia="Arial" w:hAnsi="Arial"/>
                <w:sz w:val="14"/>
                <w:szCs w:val="14"/>
                <w:b w:val="1"/>
                <w:bCs w:val="1"/>
                <w:color w:val="3575B3"/>
              </w:rPr>
              <w:t>Name and Address of Beneficial Owner</w:t>
            </w:r>
          </w:p>
        </w:tc>
        <w:tc>
          <w:tcPr>
            <w:tcW w:w="3660" w:type="dxa"/>
            <w:vAlign w:val="bottom"/>
          </w:tcPr>
          <w:p>
            <w:pPr>
              <w:jc w:val="center"/>
              <w:ind w:right="1148"/>
              <w:spacing w:after="0"/>
              <w:rPr>
                <w:sz w:val="20"/>
                <w:szCs w:val="20"/>
                <w:color w:val="auto"/>
              </w:rPr>
            </w:pPr>
            <w:r>
              <w:rPr>
                <w:rFonts w:ascii="Arial" w:cs="Arial" w:eastAsia="Arial" w:hAnsi="Arial"/>
                <w:sz w:val="14"/>
                <w:szCs w:val="14"/>
                <w:b w:val="1"/>
                <w:bCs w:val="1"/>
                <w:color w:val="3575B3"/>
              </w:rPr>
              <w:t>of Beneficial Ownership</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3575B3"/>
                <w:w w:val="93"/>
              </w:rPr>
              <w:t>of Class </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3575B3"/>
                <w:w w:val="72"/>
              </w:rPr>
              <w:t> </w:t>
            </w:r>
          </w:p>
        </w:tc>
        <w:tc>
          <w:tcPr>
            <w:tcW w:w="300" w:type="dxa"/>
            <w:vAlign w:val="bottom"/>
          </w:tcPr>
          <w:p>
            <w:pPr>
              <w:ind w:left="40"/>
              <w:spacing w:after="0"/>
              <w:rPr>
                <w:sz w:val="20"/>
                <w:szCs w:val="20"/>
                <w:color w:val="auto"/>
              </w:rPr>
            </w:pPr>
            <w:r>
              <w:rPr>
                <w:rFonts w:ascii="Arial" w:cs="Arial" w:eastAsia="Arial" w:hAnsi="Arial"/>
                <w:sz w:val="14"/>
                <w:szCs w:val="14"/>
                <w:b w:val="1"/>
                <w:bCs w:val="1"/>
                <w:color w:val="3575B3"/>
              </w:rPr>
              <w:t> </w:t>
            </w:r>
          </w:p>
        </w:tc>
      </w:tr>
      <w:tr>
        <w:trPr>
          <w:trHeight w:val="54"/>
        </w:trPr>
        <w:tc>
          <w:tcPr>
            <w:tcW w:w="5980" w:type="dxa"/>
            <w:vAlign w:val="bottom"/>
            <w:tcBorders>
              <w:bottom w:val="single" w:sz="8" w:color="BF0000"/>
            </w:tcBorders>
          </w:tcPr>
          <w:p>
            <w:pPr>
              <w:spacing w:after="0"/>
              <w:rPr>
                <w:sz w:val="4"/>
                <w:szCs w:val="4"/>
                <w:color w:val="auto"/>
              </w:rPr>
            </w:pPr>
          </w:p>
        </w:tc>
        <w:tc>
          <w:tcPr>
            <w:tcW w:w="3660" w:type="dxa"/>
            <w:vAlign w:val="bottom"/>
            <w:tcBorders>
              <w:bottom w:val="single" w:sz="8" w:color="BF0000"/>
            </w:tcBorders>
          </w:tcPr>
          <w:p>
            <w:pPr>
              <w:spacing w:after="0"/>
              <w:rPr>
                <w:sz w:val="4"/>
                <w:szCs w:val="4"/>
                <w:color w:val="auto"/>
              </w:rPr>
            </w:pPr>
          </w:p>
        </w:tc>
        <w:tc>
          <w:tcPr>
            <w:tcW w:w="700" w:type="dxa"/>
            <w:vAlign w:val="bottom"/>
            <w:tcBorders>
              <w:bottom w:val="single" w:sz="8" w:color="BF0000"/>
            </w:tcBorders>
          </w:tcPr>
          <w:p>
            <w:pPr>
              <w:spacing w:after="0"/>
              <w:rPr>
                <w:sz w:val="4"/>
                <w:szCs w:val="4"/>
                <w:color w:val="auto"/>
              </w:rPr>
            </w:pPr>
          </w:p>
        </w:tc>
        <w:tc>
          <w:tcPr>
            <w:tcW w:w="160" w:type="dxa"/>
            <w:vAlign w:val="bottom"/>
            <w:tcBorders>
              <w:bottom w:val="single" w:sz="8" w:color="BF0000"/>
            </w:tcBorders>
          </w:tcPr>
          <w:p>
            <w:pPr>
              <w:spacing w:after="0"/>
              <w:rPr>
                <w:sz w:val="4"/>
                <w:szCs w:val="4"/>
                <w:color w:val="auto"/>
              </w:rPr>
            </w:pPr>
          </w:p>
        </w:tc>
        <w:tc>
          <w:tcPr>
            <w:tcW w:w="300" w:type="dxa"/>
            <w:vAlign w:val="bottom"/>
            <w:tcBorders>
              <w:bottom w:val="single" w:sz="8" w:color="BF0000"/>
            </w:tcBorders>
          </w:tcPr>
          <w:p>
            <w:pPr>
              <w:spacing w:after="0"/>
              <w:rPr>
                <w:sz w:val="4"/>
                <w:szCs w:val="4"/>
                <w:color w:val="auto"/>
              </w:rPr>
            </w:pPr>
          </w:p>
        </w:tc>
      </w:tr>
      <w:tr>
        <w:trPr>
          <w:trHeight w:val="217"/>
        </w:trPr>
        <w:tc>
          <w:tcPr>
            <w:tcW w:w="5980" w:type="dxa"/>
            <w:vAlign w:val="bottom"/>
          </w:tcPr>
          <w:p>
            <w:pPr>
              <w:ind w:left="60"/>
              <w:spacing w:after="0"/>
              <w:rPr>
                <w:sz w:val="20"/>
                <w:szCs w:val="20"/>
                <w:color w:val="auto"/>
              </w:rPr>
            </w:pPr>
            <w:r>
              <w:rPr>
                <w:rFonts w:ascii="Arial" w:cs="Arial" w:eastAsia="Arial" w:hAnsi="Arial"/>
                <w:sz w:val="16"/>
                <w:szCs w:val="16"/>
                <w:b w:val="1"/>
                <w:bCs w:val="1"/>
                <w:color w:val="435363"/>
              </w:rPr>
              <w:t>The Vanguard Group</w:t>
            </w:r>
          </w:p>
        </w:tc>
        <w:tc>
          <w:tcPr>
            <w:tcW w:w="3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86"/>
        </w:trPr>
        <w:tc>
          <w:tcPr>
            <w:tcW w:w="5980" w:type="dxa"/>
            <w:vAlign w:val="bottom"/>
          </w:tcPr>
          <w:p>
            <w:pPr>
              <w:ind w:left="60"/>
              <w:spacing w:after="0"/>
              <w:rPr>
                <w:sz w:val="20"/>
                <w:szCs w:val="20"/>
                <w:color w:val="auto"/>
              </w:rPr>
            </w:pPr>
            <w:r>
              <w:rPr>
                <w:rFonts w:ascii="Arial" w:cs="Arial" w:eastAsia="Arial" w:hAnsi="Arial"/>
                <w:sz w:val="16"/>
                <w:szCs w:val="16"/>
                <w:color w:val="435363"/>
              </w:rPr>
              <w:t>100 Vanguard Blvd.</w:t>
            </w:r>
          </w:p>
        </w:tc>
        <w:tc>
          <w:tcPr>
            <w:tcW w:w="3660" w:type="dxa"/>
            <w:vAlign w:val="bottom"/>
          </w:tcPr>
          <w:p>
            <w:pPr>
              <w:ind w:left="860"/>
              <w:spacing w:after="0" w:line="187" w:lineRule="exact"/>
              <w:rPr>
                <w:sz w:val="20"/>
                <w:szCs w:val="20"/>
                <w:color w:val="auto"/>
              </w:rPr>
            </w:pPr>
            <w:r>
              <w:rPr>
                <w:rFonts w:ascii="Arial" w:cs="Arial" w:eastAsia="Arial" w:hAnsi="Arial"/>
                <w:sz w:val="15"/>
                <w:szCs w:val="15"/>
                <w:color w:val="435363"/>
              </w:rPr>
              <w:t>75,371,075</w:t>
            </w:r>
            <w:r>
              <w:rPr>
                <w:rFonts w:ascii="Arial" w:cs="Arial" w:eastAsia="Arial" w:hAnsi="Arial"/>
                <w:sz w:val="21"/>
                <w:szCs w:val="21"/>
                <w:color w:val="435363"/>
                <w:vertAlign w:val="superscript"/>
              </w:rPr>
              <w:t>(a)</w:t>
            </w:r>
          </w:p>
        </w:tc>
        <w:tc>
          <w:tcPr>
            <w:tcW w:w="700" w:type="dxa"/>
            <w:vAlign w:val="bottom"/>
          </w:tcPr>
          <w:p>
            <w:pPr>
              <w:jc w:val="right"/>
              <w:spacing w:after="0"/>
              <w:rPr>
                <w:sz w:val="20"/>
                <w:szCs w:val="20"/>
                <w:color w:val="auto"/>
              </w:rPr>
            </w:pPr>
            <w:r>
              <w:rPr>
                <w:rFonts w:ascii="Arial" w:cs="Arial" w:eastAsia="Arial" w:hAnsi="Arial"/>
                <w:sz w:val="16"/>
                <w:szCs w:val="16"/>
                <w:color w:val="435363"/>
                <w:w w:val="91"/>
              </w:rPr>
              <w:t>11.49% </w:t>
            </w:r>
          </w:p>
        </w:tc>
        <w:tc>
          <w:tcPr>
            <w:tcW w:w="160" w:type="dxa"/>
            <w:vAlign w:val="bottom"/>
          </w:tcPr>
          <w:p>
            <w:pPr>
              <w:ind w:left="80"/>
              <w:spacing w:after="0"/>
              <w:rPr>
                <w:sz w:val="20"/>
                <w:szCs w:val="20"/>
                <w:color w:val="auto"/>
              </w:rPr>
            </w:pPr>
            <w:r>
              <w:rPr>
                <w:rFonts w:ascii="Arial" w:cs="Arial" w:eastAsia="Arial" w:hAnsi="Arial"/>
                <w:sz w:val="8"/>
                <w:szCs w:val="8"/>
                <w:color w:val="435363"/>
                <w:w w:val="74"/>
              </w:rPr>
              <w:t> </w:t>
            </w:r>
          </w:p>
        </w:tc>
        <w:tc>
          <w:tcPr>
            <w:tcW w:w="300" w:type="dxa"/>
            <w:vAlign w:val="bottom"/>
          </w:tcPr>
          <w:p>
            <w:pPr>
              <w:ind w:left="80"/>
              <w:spacing w:after="0"/>
              <w:rPr>
                <w:sz w:val="20"/>
                <w:szCs w:val="20"/>
                <w:color w:val="auto"/>
              </w:rPr>
            </w:pPr>
            <w:r>
              <w:rPr>
                <w:rFonts w:ascii="Arial" w:cs="Arial" w:eastAsia="Arial" w:hAnsi="Arial"/>
                <w:sz w:val="16"/>
                <w:szCs w:val="16"/>
                <w:color w:val="435363"/>
              </w:rPr>
              <w:t> </w:t>
            </w:r>
          </w:p>
        </w:tc>
      </w:tr>
      <w:tr>
        <w:trPr>
          <w:trHeight w:val="210"/>
        </w:trPr>
        <w:tc>
          <w:tcPr>
            <w:tcW w:w="5980" w:type="dxa"/>
            <w:vAlign w:val="bottom"/>
          </w:tcPr>
          <w:p>
            <w:pPr>
              <w:ind w:left="60"/>
              <w:spacing w:after="0"/>
              <w:rPr>
                <w:sz w:val="20"/>
                <w:szCs w:val="20"/>
                <w:color w:val="auto"/>
              </w:rPr>
            </w:pPr>
            <w:r>
              <w:rPr>
                <w:rFonts w:ascii="Arial" w:cs="Arial" w:eastAsia="Arial" w:hAnsi="Arial"/>
                <w:sz w:val="16"/>
                <w:szCs w:val="16"/>
                <w:color w:val="435363"/>
              </w:rPr>
              <w:t>Malvern, PA 19355</w:t>
            </w:r>
          </w:p>
        </w:tc>
        <w:tc>
          <w:tcPr>
            <w:tcW w:w="3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68"/>
        </w:trPr>
        <w:tc>
          <w:tcPr>
            <w:tcW w:w="5980" w:type="dxa"/>
            <w:vAlign w:val="bottom"/>
          </w:tcPr>
          <w:p>
            <w:pPr>
              <w:spacing w:after="0"/>
              <w:rPr>
                <w:sz w:val="5"/>
                <w:szCs w:val="5"/>
                <w:color w:val="auto"/>
              </w:rPr>
            </w:pPr>
          </w:p>
        </w:tc>
        <w:tc>
          <w:tcPr>
            <w:tcW w:w="3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r>
      <w:tr>
        <w:trPr>
          <w:trHeight w:val="237"/>
        </w:trPr>
        <w:tc>
          <w:tcPr>
            <w:tcW w:w="598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435363"/>
              </w:rPr>
              <w:t>Blackrock, Inc.</w:t>
            </w:r>
          </w:p>
        </w:tc>
        <w:tc>
          <w:tcPr>
            <w:tcW w:w="3660" w:type="dxa"/>
            <w:vAlign w:val="bottom"/>
            <w:shd w:val="clear" w:color="auto" w:fill="EDEDED"/>
          </w:tcPr>
          <w:p>
            <w:pPr>
              <w:spacing w:after="0"/>
              <w:rPr>
                <w:sz w:val="20"/>
                <w:szCs w:val="20"/>
                <w:color w:val="auto"/>
              </w:rPr>
            </w:pPr>
          </w:p>
        </w:tc>
        <w:tc>
          <w:tcPr>
            <w:tcW w:w="700" w:type="dxa"/>
            <w:vAlign w:val="bottom"/>
            <w:shd w:val="clear" w:color="auto" w:fill="EDEDED"/>
          </w:tcPr>
          <w:p>
            <w:pPr>
              <w:spacing w:after="0"/>
              <w:rPr>
                <w:sz w:val="20"/>
                <w:szCs w:val="20"/>
                <w:color w:val="auto"/>
              </w:rPr>
            </w:pPr>
          </w:p>
        </w:tc>
        <w:tc>
          <w:tcPr>
            <w:tcW w:w="160" w:type="dxa"/>
            <w:vAlign w:val="bottom"/>
            <w:shd w:val="clear" w:color="auto" w:fill="EDEDED"/>
          </w:tcPr>
          <w:p>
            <w:pPr>
              <w:spacing w:after="0"/>
              <w:rPr>
                <w:sz w:val="20"/>
                <w:szCs w:val="20"/>
                <w:color w:val="auto"/>
              </w:rPr>
            </w:pPr>
          </w:p>
        </w:tc>
        <w:tc>
          <w:tcPr>
            <w:tcW w:w="300" w:type="dxa"/>
            <w:vAlign w:val="bottom"/>
            <w:shd w:val="clear" w:color="auto" w:fill="EDEDED"/>
          </w:tcPr>
          <w:p>
            <w:pPr>
              <w:spacing w:after="0"/>
              <w:rPr>
                <w:sz w:val="20"/>
                <w:szCs w:val="20"/>
                <w:color w:val="auto"/>
              </w:rPr>
            </w:pPr>
          </w:p>
        </w:tc>
      </w:tr>
      <w:tr>
        <w:trPr>
          <w:trHeight w:val="186"/>
        </w:trPr>
        <w:tc>
          <w:tcPr>
            <w:tcW w:w="5980" w:type="dxa"/>
            <w:vAlign w:val="bottom"/>
            <w:shd w:val="clear" w:color="auto" w:fill="EDEDED"/>
          </w:tcPr>
          <w:p>
            <w:pPr>
              <w:ind w:left="60"/>
              <w:spacing w:after="0"/>
              <w:rPr>
                <w:sz w:val="20"/>
                <w:szCs w:val="20"/>
                <w:color w:val="auto"/>
              </w:rPr>
            </w:pPr>
            <w:r>
              <w:rPr>
                <w:rFonts w:ascii="Arial" w:cs="Arial" w:eastAsia="Arial" w:hAnsi="Arial"/>
                <w:sz w:val="16"/>
                <w:szCs w:val="16"/>
                <w:color w:val="435363"/>
              </w:rPr>
              <w:t>55 East 52nd Street</w:t>
            </w:r>
          </w:p>
        </w:tc>
        <w:tc>
          <w:tcPr>
            <w:tcW w:w="3660" w:type="dxa"/>
            <w:vAlign w:val="bottom"/>
            <w:shd w:val="clear" w:color="auto" w:fill="EDEDED"/>
          </w:tcPr>
          <w:p>
            <w:pPr>
              <w:ind w:left="860"/>
              <w:spacing w:after="0" w:line="187" w:lineRule="exact"/>
              <w:rPr>
                <w:sz w:val="20"/>
                <w:szCs w:val="20"/>
                <w:color w:val="auto"/>
              </w:rPr>
            </w:pPr>
            <w:r>
              <w:rPr>
                <w:rFonts w:ascii="Arial" w:cs="Arial" w:eastAsia="Arial" w:hAnsi="Arial"/>
                <w:sz w:val="15"/>
                <w:szCs w:val="15"/>
                <w:color w:val="435363"/>
              </w:rPr>
              <w:t>38,064,291</w:t>
            </w:r>
            <w:r>
              <w:rPr>
                <w:rFonts w:ascii="Arial" w:cs="Arial" w:eastAsia="Arial" w:hAnsi="Arial"/>
                <w:sz w:val="21"/>
                <w:szCs w:val="21"/>
                <w:color w:val="435363"/>
                <w:vertAlign w:val="superscript"/>
              </w:rPr>
              <w:t>(b)</w:t>
            </w:r>
          </w:p>
        </w:tc>
        <w:tc>
          <w:tcPr>
            <w:tcW w:w="70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5.80% </w:t>
            </w:r>
          </w:p>
        </w:tc>
        <w:tc>
          <w:tcPr>
            <w:tcW w:w="160" w:type="dxa"/>
            <w:vAlign w:val="bottom"/>
            <w:shd w:val="clear" w:color="auto" w:fill="EDEDED"/>
          </w:tcPr>
          <w:p>
            <w:pPr>
              <w:ind w:left="80"/>
              <w:spacing w:after="0"/>
              <w:rPr>
                <w:sz w:val="20"/>
                <w:szCs w:val="20"/>
                <w:color w:val="auto"/>
              </w:rPr>
            </w:pPr>
            <w:r>
              <w:rPr>
                <w:rFonts w:ascii="Arial" w:cs="Arial" w:eastAsia="Arial" w:hAnsi="Arial"/>
                <w:sz w:val="8"/>
                <w:szCs w:val="8"/>
                <w:color w:val="435363"/>
                <w:w w:val="74"/>
              </w:rPr>
              <w:t> </w:t>
            </w:r>
          </w:p>
        </w:tc>
        <w:tc>
          <w:tcPr>
            <w:tcW w:w="300" w:type="dxa"/>
            <w:vAlign w:val="bottom"/>
            <w:shd w:val="clear" w:color="auto" w:fill="EDEDED"/>
          </w:tcPr>
          <w:p>
            <w:pPr>
              <w:ind w:left="80"/>
              <w:spacing w:after="0"/>
              <w:rPr>
                <w:sz w:val="20"/>
                <w:szCs w:val="20"/>
                <w:color w:val="auto"/>
              </w:rPr>
            </w:pPr>
            <w:r>
              <w:rPr>
                <w:rFonts w:ascii="Arial" w:cs="Arial" w:eastAsia="Arial" w:hAnsi="Arial"/>
                <w:sz w:val="16"/>
                <w:szCs w:val="16"/>
                <w:color w:val="435363"/>
              </w:rPr>
              <w:t> </w:t>
            </w:r>
          </w:p>
        </w:tc>
      </w:tr>
      <w:tr>
        <w:trPr>
          <w:trHeight w:val="210"/>
        </w:trPr>
        <w:tc>
          <w:tcPr>
            <w:tcW w:w="5980" w:type="dxa"/>
            <w:vAlign w:val="bottom"/>
            <w:shd w:val="clear" w:color="auto" w:fill="EDEDED"/>
          </w:tcPr>
          <w:p>
            <w:pPr>
              <w:ind w:left="60"/>
              <w:spacing w:after="0"/>
              <w:rPr>
                <w:sz w:val="20"/>
                <w:szCs w:val="20"/>
                <w:color w:val="auto"/>
              </w:rPr>
            </w:pPr>
            <w:r>
              <w:rPr>
                <w:rFonts w:ascii="Arial" w:cs="Arial" w:eastAsia="Arial" w:hAnsi="Arial"/>
                <w:sz w:val="16"/>
                <w:szCs w:val="16"/>
                <w:color w:val="435363"/>
              </w:rPr>
              <w:t>New York, NY 10055</w:t>
            </w:r>
          </w:p>
        </w:tc>
        <w:tc>
          <w:tcPr>
            <w:tcW w:w="3660" w:type="dxa"/>
            <w:vAlign w:val="bottom"/>
            <w:shd w:val="clear" w:color="auto" w:fill="EDEDED"/>
          </w:tcPr>
          <w:p>
            <w:pPr>
              <w:spacing w:after="0"/>
              <w:rPr>
                <w:sz w:val="18"/>
                <w:szCs w:val="18"/>
                <w:color w:val="auto"/>
              </w:rPr>
            </w:pPr>
          </w:p>
        </w:tc>
        <w:tc>
          <w:tcPr>
            <w:tcW w:w="700" w:type="dxa"/>
            <w:vAlign w:val="bottom"/>
            <w:shd w:val="clear" w:color="auto" w:fill="EDEDED"/>
          </w:tcPr>
          <w:p>
            <w:pPr>
              <w:spacing w:after="0"/>
              <w:rPr>
                <w:sz w:val="18"/>
                <w:szCs w:val="18"/>
                <w:color w:val="auto"/>
              </w:rPr>
            </w:pPr>
          </w:p>
        </w:tc>
        <w:tc>
          <w:tcPr>
            <w:tcW w:w="160" w:type="dxa"/>
            <w:vAlign w:val="bottom"/>
            <w:shd w:val="clear" w:color="auto" w:fill="EDEDED"/>
          </w:tcPr>
          <w:p>
            <w:pPr>
              <w:spacing w:after="0"/>
              <w:rPr>
                <w:sz w:val="18"/>
                <w:szCs w:val="18"/>
                <w:color w:val="auto"/>
              </w:rPr>
            </w:pPr>
          </w:p>
        </w:tc>
        <w:tc>
          <w:tcPr>
            <w:tcW w:w="300" w:type="dxa"/>
            <w:vAlign w:val="bottom"/>
            <w:shd w:val="clear" w:color="auto" w:fill="EDEDED"/>
          </w:tcPr>
          <w:p>
            <w:pPr>
              <w:spacing w:after="0"/>
              <w:rPr>
                <w:sz w:val="18"/>
                <w:szCs w:val="18"/>
                <w:color w:val="auto"/>
              </w:rPr>
            </w:pPr>
          </w:p>
        </w:tc>
      </w:tr>
      <w:tr>
        <w:trPr>
          <w:trHeight w:val="68"/>
        </w:trPr>
        <w:tc>
          <w:tcPr>
            <w:tcW w:w="5980" w:type="dxa"/>
            <w:vAlign w:val="bottom"/>
            <w:shd w:val="clear" w:color="auto" w:fill="EDEDED"/>
          </w:tcPr>
          <w:p>
            <w:pPr>
              <w:spacing w:after="0"/>
              <w:rPr>
                <w:sz w:val="5"/>
                <w:szCs w:val="5"/>
                <w:color w:val="auto"/>
              </w:rPr>
            </w:pPr>
          </w:p>
        </w:tc>
        <w:tc>
          <w:tcPr>
            <w:tcW w:w="3660" w:type="dxa"/>
            <w:vAlign w:val="bottom"/>
            <w:shd w:val="clear" w:color="auto" w:fill="EDEDED"/>
          </w:tcPr>
          <w:p>
            <w:pPr>
              <w:spacing w:after="0"/>
              <w:rPr>
                <w:sz w:val="5"/>
                <w:szCs w:val="5"/>
                <w:color w:val="auto"/>
              </w:rPr>
            </w:pPr>
          </w:p>
        </w:tc>
        <w:tc>
          <w:tcPr>
            <w:tcW w:w="700" w:type="dxa"/>
            <w:vAlign w:val="bottom"/>
            <w:shd w:val="clear" w:color="auto" w:fill="EDEDED"/>
          </w:tcPr>
          <w:p>
            <w:pPr>
              <w:spacing w:after="0"/>
              <w:rPr>
                <w:sz w:val="5"/>
                <w:szCs w:val="5"/>
                <w:color w:val="auto"/>
              </w:rPr>
            </w:pPr>
          </w:p>
        </w:tc>
        <w:tc>
          <w:tcPr>
            <w:tcW w:w="160" w:type="dxa"/>
            <w:vAlign w:val="bottom"/>
            <w:shd w:val="clear" w:color="auto" w:fill="EDEDED"/>
          </w:tcPr>
          <w:p>
            <w:pPr>
              <w:spacing w:after="0"/>
              <w:rPr>
                <w:sz w:val="5"/>
                <w:szCs w:val="5"/>
                <w:color w:val="auto"/>
              </w:rPr>
            </w:pPr>
          </w:p>
        </w:tc>
        <w:tc>
          <w:tcPr>
            <w:tcW w:w="300" w:type="dxa"/>
            <w:vAlign w:val="bottom"/>
            <w:shd w:val="clear" w:color="auto" w:fill="EDEDED"/>
          </w:tcPr>
          <w:p>
            <w:pPr>
              <w:spacing w:after="0"/>
              <w:rPr>
                <w:sz w:val="5"/>
                <w:szCs w:val="5"/>
                <w:color w:val="auto"/>
              </w:rPr>
            </w:pPr>
          </w:p>
        </w:tc>
      </w:tr>
      <w:tr>
        <w:trPr>
          <w:trHeight w:val="237"/>
        </w:trPr>
        <w:tc>
          <w:tcPr>
            <w:tcW w:w="5980" w:type="dxa"/>
            <w:vAlign w:val="bottom"/>
          </w:tcPr>
          <w:p>
            <w:pPr>
              <w:ind w:left="60"/>
              <w:spacing w:after="0"/>
              <w:rPr>
                <w:sz w:val="20"/>
                <w:szCs w:val="20"/>
                <w:color w:val="auto"/>
              </w:rPr>
            </w:pPr>
            <w:r>
              <w:rPr>
                <w:rFonts w:ascii="Arial" w:cs="Arial" w:eastAsia="Arial" w:hAnsi="Arial"/>
                <w:sz w:val="16"/>
                <w:szCs w:val="16"/>
                <w:b w:val="1"/>
                <w:bCs w:val="1"/>
                <w:color w:val="435363"/>
              </w:rPr>
              <w:t>PRIMECAP Management Company</w:t>
            </w:r>
          </w:p>
        </w:tc>
        <w:tc>
          <w:tcPr>
            <w:tcW w:w="3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186"/>
        </w:trPr>
        <w:tc>
          <w:tcPr>
            <w:tcW w:w="5980" w:type="dxa"/>
            <w:vAlign w:val="bottom"/>
          </w:tcPr>
          <w:p>
            <w:pPr>
              <w:ind w:left="60"/>
              <w:spacing w:after="0"/>
              <w:rPr>
                <w:sz w:val="20"/>
                <w:szCs w:val="20"/>
                <w:color w:val="auto"/>
              </w:rPr>
            </w:pPr>
            <w:r>
              <w:rPr>
                <w:rFonts w:ascii="Arial" w:cs="Arial" w:eastAsia="Arial" w:hAnsi="Arial"/>
                <w:sz w:val="16"/>
                <w:szCs w:val="16"/>
                <w:color w:val="435363"/>
              </w:rPr>
              <w:t>177 E. Colorado Blvd., 11th Floor</w:t>
            </w:r>
          </w:p>
        </w:tc>
        <w:tc>
          <w:tcPr>
            <w:tcW w:w="3660" w:type="dxa"/>
            <w:vAlign w:val="bottom"/>
          </w:tcPr>
          <w:p>
            <w:pPr>
              <w:ind w:left="860"/>
              <w:spacing w:after="0" w:line="187" w:lineRule="exact"/>
              <w:rPr>
                <w:sz w:val="20"/>
                <w:szCs w:val="20"/>
                <w:color w:val="auto"/>
              </w:rPr>
            </w:pPr>
            <w:r>
              <w:rPr>
                <w:rFonts w:ascii="Arial" w:cs="Arial" w:eastAsia="Arial" w:hAnsi="Arial"/>
                <w:sz w:val="15"/>
                <w:szCs w:val="15"/>
                <w:color w:val="435363"/>
              </w:rPr>
              <w:t>37,047,931</w:t>
            </w:r>
            <w:r>
              <w:rPr>
                <w:rFonts w:ascii="Arial" w:cs="Arial" w:eastAsia="Arial" w:hAnsi="Arial"/>
                <w:sz w:val="21"/>
                <w:szCs w:val="21"/>
                <w:color w:val="435363"/>
                <w:vertAlign w:val="superscript"/>
              </w:rPr>
              <w:t>(c)</w:t>
            </w:r>
          </w:p>
        </w:tc>
        <w:tc>
          <w:tcPr>
            <w:tcW w:w="700" w:type="dxa"/>
            <w:vAlign w:val="bottom"/>
          </w:tcPr>
          <w:p>
            <w:pPr>
              <w:jc w:val="right"/>
              <w:spacing w:after="0"/>
              <w:rPr>
                <w:sz w:val="20"/>
                <w:szCs w:val="20"/>
                <w:color w:val="auto"/>
              </w:rPr>
            </w:pPr>
            <w:r>
              <w:rPr>
                <w:rFonts w:ascii="Arial" w:cs="Arial" w:eastAsia="Arial" w:hAnsi="Arial"/>
                <w:sz w:val="16"/>
                <w:szCs w:val="16"/>
                <w:color w:val="435363"/>
              </w:rPr>
              <w:t>5.65% </w:t>
            </w:r>
          </w:p>
        </w:tc>
        <w:tc>
          <w:tcPr>
            <w:tcW w:w="160" w:type="dxa"/>
            <w:vAlign w:val="bottom"/>
          </w:tcPr>
          <w:p>
            <w:pPr>
              <w:ind w:left="80"/>
              <w:spacing w:after="0"/>
              <w:rPr>
                <w:sz w:val="20"/>
                <w:szCs w:val="20"/>
                <w:color w:val="auto"/>
              </w:rPr>
            </w:pPr>
            <w:r>
              <w:rPr>
                <w:rFonts w:ascii="Arial" w:cs="Arial" w:eastAsia="Arial" w:hAnsi="Arial"/>
                <w:sz w:val="8"/>
                <w:szCs w:val="8"/>
                <w:color w:val="435363"/>
                <w:w w:val="74"/>
              </w:rPr>
              <w:t> </w:t>
            </w:r>
          </w:p>
        </w:tc>
        <w:tc>
          <w:tcPr>
            <w:tcW w:w="300" w:type="dxa"/>
            <w:vAlign w:val="bottom"/>
          </w:tcPr>
          <w:p>
            <w:pPr>
              <w:ind w:left="80"/>
              <w:spacing w:after="0"/>
              <w:rPr>
                <w:sz w:val="20"/>
                <w:szCs w:val="20"/>
                <w:color w:val="auto"/>
              </w:rPr>
            </w:pPr>
            <w:r>
              <w:rPr>
                <w:rFonts w:ascii="Arial" w:cs="Arial" w:eastAsia="Arial" w:hAnsi="Arial"/>
                <w:sz w:val="16"/>
                <w:szCs w:val="16"/>
                <w:color w:val="435363"/>
              </w:rPr>
              <w:t> </w:t>
            </w:r>
          </w:p>
        </w:tc>
      </w:tr>
      <w:tr>
        <w:trPr>
          <w:trHeight w:val="210"/>
        </w:trPr>
        <w:tc>
          <w:tcPr>
            <w:tcW w:w="5980" w:type="dxa"/>
            <w:vAlign w:val="bottom"/>
          </w:tcPr>
          <w:p>
            <w:pPr>
              <w:ind w:left="60"/>
              <w:spacing w:after="0"/>
              <w:rPr>
                <w:sz w:val="20"/>
                <w:szCs w:val="20"/>
                <w:color w:val="auto"/>
              </w:rPr>
            </w:pPr>
            <w:r>
              <w:rPr>
                <w:rFonts w:ascii="Arial" w:cs="Arial" w:eastAsia="Arial" w:hAnsi="Arial"/>
                <w:sz w:val="16"/>
                <w:szCs w:val="16"/>
                <w:color w:val="435363"/>
              </w:rPr>
              <w:t>Pasadena, CA 91105</w:t>
            </w:r>
          </w:p>
        </w:tc>
        <w:tc>
          <w:tcPr>
            <w:tcW w:w="3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43180</wp:posOffset>
            </wp:positionV>
            <wp:extent cx="685736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123" w:lineRule="exact"/>
        <w:rPr>
          <w:sz w:val="20"/>
          <w:szCs w:val="20"/>
          <w:color w:val="auto"/>
        </w:rPr>
      </w:pPr>
    </w:p>
    <w:p>
      <w:pPr>
        <w:jc w:val="both"/>
        <w:ind w:left="640" w:right="240" w:hanging="416"/>
        <w:spacing w:after="0" w:line="252" w:lineRule="auto"/>
        <w:tabs>
          <w:tab w:leader="none" w:pos="640" w:val="left"/>
        </w:tabs>
        <w:numPr>
          <w:ilvl w:val="0"/>
          <w:numId w:val="28"/>
        </w:numPr>
        <w:rPr>
          <w:rFonts w:ascii="Arial" w:cs="Arial" w:eastAsia="Arial" w:hAnsi="Arial"/>
          <w:sz w:val="12"/>
          <w:szCs w:val="12"/>
          <w:color w:val="435363"/>
        </w:rPr>
      </w:pPr>
      <w:r>
        <w:rPr>
          <w:rFonts w:ascii="Arial" w:cs="Arial" w:eastAsia="Arial" w:hAnsi="Arial"/>
          <w:sz w:val="12"/>
          <w:szCs w:val="12"/>
          <w:color w:val="435363"/>
        </w:rPr>
        <w:t>The amount shown and the following information are derived solely from the Schedule 13G/A filed by The Vanguard Group on February 13, 2024. The Vanguard Group has shared voting power with respect to 549,305 of such shares, sole voting power with respect to no shares, sole dispositive power with respect to 73,451,867 of such shares and shared dispositive power with respect to 1,919,208 of such shares.</w:t>
      </w:r>
    </w:p>
    <w:p>
      <w:pPr>
        <w:spacing w:after="0" w:line="41" w:lineRule="exact"/>
        <w:rPr>
          <w:rFonts w:ascii="Arial" w:cs="Arial" w:eastAsia="Arial" w:hAnsi="Arial"/>
          <w:sz w:val="12"/>
          <w:szCs w:val="12"/>
          <w:color w:val="435363"/>
        </w:rPr>
      </w:pPr>
    </w:p>
    <w:p>
      <w:pPr>
        <w:ind w:left="640" w:right="200" w:hanging="416"/>
        <w:spacing w:after="0" w:line="274" w:lineRule="auto"/>
        <w:tabs>
          <w:tab w:leader="none" w:pos="640" w:val="left"/>
        </w:tabs>
        <w:numPr>
          <w:ilvl w:val="0"/>
          <w:numId w:val="28"/>
        </w:numPr>
        <w:rPr>
          <w:rFonts w:ascii="Arial" w:cs="Arial" w:eastAsia="Arial" w:hAnsi="Arial"/>
          <w:sz w:val="12"/>
          <w:szCs w:val="12"/>
          <w:color w:val="435363"/>
        </w:rPr>
      </w:pPr>
      <w:r>
        <w:rPr>
          <w:rFonts w:ascii="Arial" w:cs="Arial" w:eastAsia="Arial" w:hAnsi="Arial"/>
          <w:sz w:val="12"/>
          <w:szCs w:val="12"/>
          <w:color w:val="435363"/>
        </w:rPr>
        <w:t>The amount shown and the following information are derived solely from the Schedule 13G/A filed by BlackRock, Inc. on January 29, 2024. BlackRock, Inc. has sole dispositive power with respect to all of such shares, sole voting power with respect to 36,578,885 of such shares and shared voting power with respect to no shares.</w:t>
      </w:r>
    </w:p>
    <w:p>
      <w:pPr>
        <w:spacing w:after="0" w:line="29" w:lineRule="exact"/>
        <w:rPr>
          <w:rFonts w:ascii="Arial" w:cs="Arial" w:eastAsia="Arial" w:hAnsi="Arial"/>
          <w:sz w:val="12"/>
          <w:szCs w:val="12"/>
          <w:color w:val="435363"/>
        </w:rPr>
      </w:pPr>
    </w:p>
    <w:p>
      <w:pPr>
        <w:ind w:left="640" w:right="200" w:hanging="416"/>
        <w:spacing w:after="0" w:line="274" w:lineRule="auto"/>
        <w:tabs>
          <w:tab w:leader="none" w:pos="640" w:val="left"/>
        </w:tabs>
        <w:numPr>
          <w:ilvl w:val="0"/>
          <w:numId w:val="28"/>
        </w:numPr>
        <w:rPr>
          <w:rFonts w:ascii="Arial" w:cs="Arial" w:eastAsia="Arial" w:hAnsi="Arial"/>
          <w:sz w:val="12"/>
          <w:szCs w:val="12"/>
          <w:color w:val="435363"/>
        </w:rPr>
      </w:pPr>
      <w:r>
        <w:rPr>
          <w:rFonts w:ascii="Arial" w:cs="Arial" w:eastAsia="Arial" w:hAnsi="Arial"/>
          <w:sz w:val="12"/>
          <w:szCs w:val="12"/>
          <w:color w:val="435363"/>
        </w:rPr>
        <w:t>The amount shown and the following information are derived solely from the Schedule 13G/A filed by PRIMECAP Management Company on February 12, 2024. PRIMECAP Management Company has sole dispositive power with respect to all of such shares, sole voting power with respect to 36,350,486 of such shares and shared voting power with respect to no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97155</wp:posOffset>
            </wp:positionV>
            <wp:extent cx="5177155" cy="1682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58" w:lineRule="exact"/>
        <w:rPr>
          <w:sz w:val="20"/>
          <w:szCs w:val="20"/>
          <w:color w:val="auto"/>
        </w:rPr>
      </w:pPr>
    </w:p>
    <w:p>
      <w:pPr>
        <w:ind w:left="10840"/>
        <w:spacing w:after="0"/>
        <w:rPr>
          <w:sz w:val="20"/>
          <w:szCs w:val="20"/>
          <w:color w:val="auto"/>
        </w:rPr>
      </w:pPr>
      <w:r>
        <w:rPr>
          <w:rFonts w:ascii="Arial" w:cs="Arial" w:eastAsia="Arial" w:hAnsi="Arial"/>
          <w:sz w:val="16"/>
          <w:szCs w:val="16"/>
          <w:b w:val="1"/>
          <w:bCs w:val="1"/>
          <w:color w:val="435363"/>
        </w:rPr>
        <w:t>31</w:t>
      </w: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200660</wp:posOffset>
            </wp:positionV>
            <wp:extent cx="6193790" cy="2857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right="140"/>
        <w:spacing w:after="0" w:line="276" w:lineRule="auto"/>
        <w:rPr>
          <w:sz w:val="20"/>
          <w:szCs w:val="20"/>
          <w:color w:val="auto"/>
        </w:rPr>
      </w:pPr>
      <w:r>
        <w:rPr>
          <w:rFonts w:ascii="Arial" w:cs="Arial" w:eastAsia="Arial" w:hAnsi="Arial"/>
          <w:sz w:val="32"/>
          <w:szCs w:val="32"/>
          <w:color w:val="66AFDA"/>
        </w:rPr>
        <w:t>INFORMATION ABOUT THE BOARD OF DIRECTORS AND CORPORATE GOVERNANCE</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Governance Overview</w:t>
      </w:r>
    </w:p>
    <w:p>
      <w:pPr>
        <w:spacing w:after="0" w:line="90" w:lineRule="exact"/>
        <w:rPr>
          <w:sz w:val="20"/>
          <w:szCs w:val="20"/>
          <w:color w:val="auto"/>
        </w:rPr>
      </w:pPr>
    </w:p>
    <w:p>
      <w:pPr>
        <w:jc w:val="both"/>
        <w:ind w:left="220" w:right="80"/>
        <w:spacing w:after="0" w:line="275" w:lineRule="auto"/>
        <w:rPr>
          <w:sz w:val="20"/>
          <w:szCs w:val="20"/>
          <w:color w:val="auto"/>
        </w:rPr>
      </w:pPr>
      <w:r>
        <w:rPr>
          <w:rFonts w:ascii="Arial" w:cs="Arial" w:eastAsia="Arial" w:hAnsi="Arial"/>
          <w:sz w:val="16"/>
          <w:szCs w:val="16"/>
          <w:color w:val="435363"/>
        </w:rPr>
        <w:t>Maintaining leading governance practices is and has been a long-standing priority, and we regularly assess and refine our corporate governance policies and procedures to take into account evolving best practices.</w:t>
      </w:r>
    </w:p>
    <w:p>
      <w:pPr>
        <w:spacing w:after="0" w:line="55" w:lineRule="exact"/>
        <w:rPr>
          <w:sz w:val="20"/>
          <w:szCs w:val="20"/>
          <w:color w:val="auto"/>
        </w:rPr>
      </w:pPr>
    </w:p>
    <w:p>
      <w:pPr>
        <w:jc w:val="both"/>
        <w:ind w:left="220" w:right="80"/>
        <w:spacing w:after="0" w:line="258" w:lineRule="auto"/>
        <w:rPr>
          <w:sz w:val="20"/>
          <w:szCs w:val="20"/>
          <w:color w:val="auto"/>
        </w:rPr>
      </w:pPr>
      <w:r>
        <w:rPr>
          <w:rFonts w:ascii="Arial" w:cs="Arial" w:eastAsia="Arial" w:hAnsi="Arial"/>
          <w:sz w:val="16"/>
          <w:szCs w:val="16"/>
          <w:color w:val="435363"/>
        </w:rPr>
        <w:t xml:space="preserve">Our Board has adopted the Governance Guidelines to facilitate our mission and to establish general principles and policies by which the Board manages its affairs. The Governance Guidelines are reviewed periodically by the CGPR Committee and are posted on our website at </w:t>
      </w:r>
      <w:r>
        <w:rPr>
          <w:rFonts w:ascii="Arial" w:cs="Arial" w:eastAsia="Arial" w:hAnsi="Arial"/>
          <w:sz w:val="16"/>
          <w:szCs w:val="16"/>
          <w:i w:val="1"/>
          <w:iCs w:val="1"/>
          <w:color w:val="435363"/>
        </w:rPr>
        <w:t>www.aa.com</w:t>
      </w:r>
      <w:r>
        <w:rPr>
          <w:rFonts w:ascii="Arial" w:cs="Arial" w:eastAsia="Arial" w:hAnsi="Arial"/>
          <w:sz w:val="16"/>
          <w:szCs w:val="16"/>
          <w:color w:val="435363"/>
        </w:rPr>
        <w:t xml:space="preserve"> under the links “Investor Relations”—“Corporate Governance.”</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Board Leadership and Structure—Separate Chairman and CEO Roles</w:t>
      </w:r>
    </w:p>
    <w:p>
      <w:pPr>
        <w:spacing w:after="0" w:line="117" w:lineRule="exact"/>
        <w:rPr>
          <w:sz w:val="20"/>
          <w:szCs w:val="20"/>
          <w:color w:val="auto"/>
        </w:rPr>
      </w:pPr>
    </w:p>
    <w:p>
      <w:pPr>
        <w:ind w:left="220"/>
        <w:spacing w:after="0" w:line="258" w:lineRule="auto"/>
        <w:rPr>
          <w:sz w:val="20"/>
          <w:szCs w:val="20"/>
          <w:color w:val="auto"/>
        </w:rPr>
      </w:pPr>
      <w:r>
        <w:rPr>
          <w:rFonts w:ascii="Arial" w:cs="Arial" w:eastAsia="Arial" w:hAnsi="Arial"/>
          <w:sz w:val="16"/>
          <w:szCs w:val="16"/>
          <w:color w:val="435363"/>
        </w:rPr>
        <w:t>Pursuant to our Bylaws, the Board is responsible for filling the positions of Chairman and Chief Executive Officer, with the persons they deem qualified, as well as for removing and replacing such persons as and when the Board may deem necessary or appropriate. The Board periodically reviews AAG’s leadership structure and may modify the structure as it deems appropriate, given the specific circumstances then facing the Company.</w:t>
      </w:r>
    </w:p>
    <w:p>
      <w:pPr>
        <w:spacing w:after="0" w:line="68" w:lineRule="exact"/>
        <w:rPr>
          <w:sz w:val="20"/>
          <w:szCs w:val="20"/>
          <w:color w:val="auto"/>
        </w:rPr>
      </w:pPr>
    </w:p>
    <w:p>
      <w:pPr>
        <w:ind w:left="220" w:right="80"/>
        <w:spacing w:after="0" w:line="247" w:lineRule="auto"/>
        <w:rPr>
          <w:sz w:val="20"/>
          <w:szCs w:val="20"/>
          <w:color w:val="auto"/>
        </w:rPr>
      </w:pPr>
      <w:r>
        <w:rPr>
          <w:rFonts w:ascii="Arial" w:cs="Arial" w:eastAsia="Arial" w:hAnsi="Arial"/>
          <w:sz w:val="16"/>
          <w:szCs w:val="16"/>
          <w:color w:val="435363"/>
        </w:rPr>
        <w:t>As a culmination of the Board’s CEO succession planning, in December 2021, we announced that Robert Isom would succeed Doug Parker as the CEO of the Company and be appointed as a director of AAG effective March 31, 2022. The Board determined that it was important to retain Mr. Parker in the role of Chairman of the Board in order to ensure a successful transition in leadership. Mr. Parker retired from the Board on April 30, 2023. Also in February 2023, we announced the appointment of Greg Smith as the Company’s Independent Chairman effective April 30, 2023. By separating the roles of Chairman and CEO, our CEO is able to focus on executing on our strategy and operations, and our Board Chairman, who is an independent director, can devote his time and attention to matters of Board oversight and governance. John Cahill served as the Lead Independent Director through the effective date of the election of Mr. Smith as our Independent Chairman.</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Board Meetings</w:t>
      </w:r>
    </w:p>
    <w:p>
      <w:pPr>
        <w:spacing w:after="0" w:line="77" w:lineRule="exact"/>
        <w:rPr>
          <w:sz w:val="20"/>
          <w:szCs w:val="20"/>
          <w:color w:val="auto"/>
        </w:rPr>
      </w:pPr>
    </w:p>
    <w:p>
      <w:pPr>
        <w:ind w:left="220" w:right="100"/>
        <w:spacing w:after="0" w:line="250" w:lineRule="auto"/>
        <w:rPr>
          <w:sz w:val="20"/>
          <w:szCs w:val="20"/>
          <w:color w:val="auto"/>
        </w:rPr>
      </w:pPr>
      <w:r>
        <w:rPr>
          <w:rFonts w:ascii="Arial" w:cs="Arial" w:eastAsia="Arial" w:hAnsi="Arial"/>
          <w:sz w:val="16"/>
          <w:szCs w:val="16"/>
          <w:color w:val="435363"/>
        </w:rPr>
        <w:t>The Board conducts its business through meetings of the full Board and committees of the Board. The Board regularly meets in executive session with only independent directors of the Board present. Each Director is expected to attend all meetings of the Board and of each committee of which the Director is a member and the Company’s annual meeting of stockholders, except where unusual circumstances arise. During 2023, the Board held eight meetings, five of which included executive sessions comprised of only independent directors. In 2023, each incumbent director attended at least 75% of the aggregate number of meetings of the Board and of the committees on which he or she served.</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Committees</w:t>
      </w:r>
    </w:p>
    <w:p>
      <w:pPr>
        <w:spacing w:after="0" w:line="77" w:lineRule="exact"/>
        <w:rPr>
          <w:sz w:val="20"/>
          <w:szCs w:val="20"/>
          <w:color w:val="auto"/>
        </w:rPr>
      </w:pPr>
    </w:p>
    <w:p>
      <w:pPr>
        <w:ind w:left="220" w:right="100"/>
        <w:spacing w:after="0" w:line="252" w:lineRule="auto"/>
        <w:rPr>
          <w:sz w:val="20"/>
          <w:szCs w:val="20"/>
          <w:color w:val="auto"/>
        </w:rPr>
      </w:pPr>
      <w:r>
        <w:rPr>
          <w:rFonts w:ascii="Arial" w:cs="Arial" w:eastAsia="Arial" w:hAnsi="Arial"/>
          <w:sz w:val="16"/>
          <w:szCs w:val="16"/>
          <w:color w:val="435363"/>
        </w:rPr>
        <w:t xml:space="preserve">The Board has five standing, principal committees: the Audit Committee, the Compensation Committee, the CGPR Committee, the Finance Committee and the Safety Committee. The primary responsibilities, membership and meeting information for the committees of our Board during 2023 are summarized below. Copies of the charters of the Audit Committee, Compensation Committee, CGPR Committee and Safety Committee are available on our website at </w:t>
      </w:r>
      <w:r>
        <w:rPr>
          <w:rFonts w:ascii="Arial" w:cs="Arial" w:eastAsia="Arial" w:hAnsi="Arial"/>
          <w:sz w:val="16"/>
          <w:szCs w:val="16"/>
          <w:i w:val="1"/>
          <w:iCs w:val="1"/>
          <w:color w:val="435363"/>
        </w:rPr>
        <w:t>www.aa.com</w:t>
      </w:r>
      <w:r>
        <w:rPr>
          <w:rFonts w:ascii="Arial" w:cs="Arial" w:eastAsia="Arial" w:hAnsi="Arial"/>
          <w:sz w:val="16"/>
          <w:szCs w:val="16"/>
          <w:color w:val="435363"/>
        </w:rPr>
        <w:t xml:space="preserve"> under the links “Investor Relations”—“Corporate Governance.”</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Director Independence</w:t>
      </w:r>
    </w:p>
    <w:p>
      <w:pPr>
        <w:spacing w:after="0" w:line="90" w:lineRule="exact"/>
        <w:rPr>
          <w:sz w:val="20"/>
          <w:szCs w:val="20"/>
          <w:color w:val="auto"/>
        </w:rPr>
      </w:pPr>
    </w:p>
    <w:p>
      <w:pPr>
        <w:ind w:left="220" w:right="200"/>
        <w:spacing w:after="0" w:line="275" w:lineRule="auto"/>
        <w:rPr>
          <w:sz w:val="20"/>
          <w:szCs w:val="20"/>
          <w:color w:val="auto"/>
        </w:rPr>
      </w:pPr>
      <w:r>
        <w:rPr>
          <w:rFonts w:ascii="Arial" w:cs="Arial" w:eastAsia="Arial" w:hAnsi="Arial"/>
          <w:sz w:val="16"/>
          <w:szCs w:val="16"/>
          <w:color w:val="435363"/>
        </w:rPr>
        <w:t>The Governance Guidelines contain standards for determining director independence that meet or exceed the applicable rules of the SEC and Nasdaq listing standards. The Governance Guidelines define an “independent” director as one who:</w:t>
      </w:r>
    </w:p>
    <w:p>
      <w:pPr>
        <w:spacing w:after="0" w:line="28" w:lineRule="exact"/>
        <w:rPr>
          <w:sz w:val="20"/>
          <w:szCs w:val="20"/>
          <w:color w:val="auto"/>
        </w:rPr>
      </w:pPr>
    </w:p>
    <w:p>
      <w:pPr>
        <w:ind w:left="760" w:right="380" w:hanging="324"/>
        <w:spacing w:after="0" w:line="275" w:lineRule="auto"/>
        <w:tabs>
          <w:tab w:leader="none" w:pos="760" w:val="left"/>
        </w:tabs>
        <w:numPr>
          <w:ilvl w:val="0"/>
          <w:numId w:val="29"/>
        </w:numPr>
        <w:rPr>
          <w:rFonts w:ascii="Arial" w:cs="Arial" w:eastAsia="Arial" w:hAnsi="Arial"/>
          <w:sz w:val="16"/>
          <w:szCs w:val="16"/>
          <w:color w:val="3575B3"/>
        </w:rPr>
      </w:pPr>
      <w:r>
        <w:rPr>
          <w:rFonts w:ascii="Arial" w:cs="Arial" w:eastAsia="Arial" w:hAnsi="Arial"/>
          <w:sz w:val="16"/>
          <w:szCs w:val="16"/>
          <w:color w:val="435363"/>
        </w:rPr>
        <w:t>is not an executive officer or employee of the Company or any other individual having a relationship which, in the opinion of the Board, would interfere with the exercise of independent judgment in carrying out the responsibilities of a director;</w:t>
      </w:r>
    </w:p>
    <w:p>
      <w:pPr>
        <w:spacing w:after="0" w:line="28" w:lineRule="exact"/>
        <w:rPr>
          <w:rFonts w:ascii="Arial" w:cs="Arial" w:eastAsia="Arial" w:hAnsi="Arial"/>
          <w:sz w:val="16"/>
          <w:szCs w:val="16"/>
          <w:color w:val="3575B3"/>
        </w:rPr>
      </w:pPr>
    </w:p>
    <w:p>
      <w:pPr>
        <w:ind w:left="760" w:hanging="324"/>
        <w:spacing w:after="0"/>
        <w:tabs>
          <w:tab w:leader="none" w:pos="760" w:val="left"/>
        </w:tabs>
        <w:numPr>
          <w:ilvl w:val="0"/>
          <w:numId w:val="29"/>
        </w:numPr>
        <w:rPr>
          <w:rFonts w:ascii="Arial" w:cs="Arial" w:eastAsia="Arial" w:hAnsi="Arial"/>
          <w:sz w:val="16"/>
          <w:szCs w:val="16"/>
          <w:color w:val="3575B3"/>
        </w:rPr>
      </w:pPr>
      <w:r>
        <w:rPr>
          <w:rFonts w:ascii="Arial" w:cs="Arial" w:eastAsia="Arial" w:hAnsi="Arial"/>
          <w:sz w:val="16"/>
          <w:szCs w:val="16"/>
          <w:color w:val="435363"/>
        </w:rPr>
        <w:t>is not, and has not at any time during the past three years been, employed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219710</wp:posOffset>
            </wp:positionV>
            <wp:extent cx="5177155" cy="1682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9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32</w:t>
      </w:r>
    </w:p>
    <w:p>
      <w:pPr>
        <w:spacing w:after="0" w:line="3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00"/>
          </w:cols>
          <w:pgMar w:left="320" w:top="477" w:right="5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760" w:right="180" w:hanging="324"/>
        <w:spacing w:after="0" w:line="265" w:lineRule="auto"/>
        <w:tabs>
          <w:tab w:leader="none" w:pos="760" w:val="left"/>
        </w:tabs>
        <w:numPr>
          <w:ilvl w:val="0"/>
          <w:numId w:val="30"/>
        </w:numPr>
        <w:rPr>
          <w:rFonts w:ascii="Arial" w:cs="Arial" w:eastAsia="Arial" w:hAnsi="Arial"/>
          <w:sz w:val="15"/>
          <w:szCs w:val="15"/>
          <w:color w:val="3575B3"/>
        </w:rPr>
      </w:pPr>
      <w:r>
        <w:rPr>
          <w:rFonts w:ascii="Arial" w:cs="Arial" w:eastAsia="Arial" w:hAnsi="Arial"/>
          <w:sz w:val="15"/>
          <w:szCs w:val="15"/>
          <w:color w:val="435363"/>
        </w:rPr>
        <w:t>has not accepted, and does not have any spouse, parent, child or sibling, whether by blood, marriage or adoption, any person residing in such individual’s home, or any relative supported financially (each, a “Family Member”) who has accepted, any compensation from the Company in excess of $120,000 during any period of 12 consecutive months within the three years preceding the determination of independence, other than</w:t>
      </w:r>
    </w:p>
    <w:p>
      <w:pPr>
        <w:ind w:left="760" w:right="500"/>
        <w:spacing w:after="0" w:line="254" w:lineRule="auto"/>
        <w:rPr>
          <w:rFonts w:ascii="Arial" w:cs="Arial" w:eastAsia="Arial" w:hAnsi="Arial"/>
          <w:sz w:val="15"/>
          <w:szCs w:val="15"/>
          <w:color w:val="3575B3"/>
        </w:rPr>
      </w:pPr>
      <w:r>
        <w:rPr>
          <w:rFonts w:ascii="Arial" w:cs="Arial" w:eastAsia="Arial" w:hAnsi="Arial"/>
          <w:sz w:val="16"/>
          <w:szCs w:val="16"/>
          <w:color w:val="435363"/>
        </w:rPr>
        <w:t>(A) compensation for Board or committee service, (B) compensation paid to a Family Member who is an employee (other than an executive officer) of the Company, or (C) benefits under a tax-qualified retirement plan or non-discretionary compensation;</w:t>
      </w:r>
    </w:p>
    <w:p>
      <w:pPr>
        <w:spacing w:after="0" w:line="44" w:lineRule="exact"/>
        <w:rPr>
          <w:rFonts w:ascii="Arial" w:cs="Arial" w:eastAsia="Arial" w:hAnsi="Arial"/>
          <w:sz w:val="15"/>
          <w:szCs w:val="15"/>
          <w:color w:val="3575B3"/>
        </w:rPr>
      </w:pPr>
    </w:p>
    <w:p>
      <w:pPr>
        <w:ind w:left="760" w:hanging="324"/>
        <w:spacing w:after="0"/>
        <w:tabs>
          <w:tab w:leader="none" w:pos="760" w:val="left"/>
        </w:tabs>
        <w:numPr>
          <w:ilvl w:val="0"/>
          <w:numId w:val="30"/>
        </w:numPr>
        <w:rPr>
          <w:rFonts w:ascii="Arial" w:cs="Arial" w:eastAsia="Arial" w:hAnsi="Arial"/>
          <w:sz w:val="15"/>
          <w:szCs w:val="15"/>
          <w:color w:val="3575B3"/>
        </w:rPr>
      </w:pPr>
      <w:r>
        <w:rPr>
          <w:rFonts w:ascii="Arial" w:cs="Arial" w:eastAsia="Arial" w:hAnsi="Arial"/>
          <w:sz w:val="15"/>
          <w:szCs w:val="15"/>
          <w:color w:val="435363"/>
        </w:rPr>
        <w:t>is not a Family Member of an individual who is, or at any time during the past three years was, employed by the Company as an executive officer;</w:t>
      </w:r>
    </w:p>
    <w:p>
      <w:pPr>
        <w:spacing w:after="0" w:line="92" w:lineRule="exact"/>
        <w:rPr>
          <w:rFonts w:ascii="Arial" w:cs="Arial" w:eastAsia="Arial" w:hAnsi="Arial"/>
          <w:sz w:val="15"/>
          <w:szCs w:val="15"/>
          <w:color w:val="3575B3"/>
        </w:rPr>
      </w:pPr>
    </w:p>
    <w:p>
      <w:pPr>
        <w:ind w:left="760" w:right="200" w:hanging="324"/>
        <w:spacing w:after="0" w:line="275" w:lineRule="auto"/>
        <w:tabs>
          <w:tab w:leader="none" w:pos="760" w:val="left"/>
        </w:tabs>
        <w:numPr>
          <w:ilvl w:val="0"/>
          <w:numId w:val="30"/>
        </w:numPr>
        <w:rPr>
          <w:rFonts w:ascii="Arial" w:cs="Arial" w:eastAsia="Arial" w:hAnsi="Arial"/>
          <w:sz w:val="15"/>
          <w:szCs w:val="15"/>
          <w:color w:val="3575B3"/>
        </w:rPr>
      </w:pPr>
      <w:r>
        <w:rPr>
          <w:rFonts w:ascii="Arial" w:cs="Arial" w:eastAsia="Arial" w:hAnsi="Arial"/>
          <w:sz w:val="15"/>
          <w:szCs w:val="15"/>
          <w:color w:val="435363"/>
        </w:rPr>
        <w:t>is not, and does not have a Family Member who is, a partner in, or a controlling stockholder or an executive officer of, any organization to which the Company made, or from which the Company received, payments for property or services in the current or any of the past three fiscal years that exceed 5% of the recipient’s consolidated gross revenues for that year, or $200,000, whichever is more, other than (A) payments arising solely from investments in the Company’s securities and (B) payments under non-discretionary charitable contribution matching programs;</w:t>
      </w:r>
    </w:p>
    <w:p>
      <w:pPr>
        <w:spacing w:after="0" w:line="30" w:lineRule="exact"/>
        <w:rPr>
          <w:rFonts w:ascii="Arial" w:cs="Arial" w:eastAsia="Arial" w:hAnsi="Arial"/>
          <w:sz w:val="15"/>
          <w:szCs w:val="15"/>
          <w:color w:val="3575B3"/>
        </w:rPr>
      </w:pPr>
    </w:p>
    <w:p>
      <w:pPr>
        <w:ind w:left="760" w:right="340" w:hanging="324"/>
        <w:spacing w:after="0" w:line="275" w:lineRule="auto"/>
        <w:tabs>
          <w:tab w:leader="none" w:pos="760" w:val="left"/>
        </w:tabs>
        <w:numPr>
          <w:ilvl w:val="0"/>
          <w:numId w:val="30"/>
        </w:numPr>
        <w:rPr>
          <w:rFonts w:ascii="Arial" w:cs="Arial" w:eastAsia="Arial" w:hAnsi="Arial"/>
          <w:sz w:val="16"/>
          <w:szCs w:val="16"/>
          <w:color w:val="3575B3"/>
        </w:rPr>
      </w:pPr>
      <w:r>
        <w:rPr>
          <w:rFonts w:ascii="Arial" w:cs="Arial" w:eastAsia="Arial" w:hAnsi="Arial"/>
          <w:sz w:val="16"/>
          <w:szCs w:val="16"/>
          <w:color w:val="435363"/>
        </w:rPr>
        <w:t>is not, and does not have a Family Member who is, employed as an executive officer of another entity where at any time during the past three years any of the executive officers of the Company served on the compensation committee of such other entity;</w:t>
      </w:r>
    </w:p>
    <w:p>
      <w:pPr>
        <w:spacing w:after="0" w:line="28" w:lineRule="exact"/>
        <w:rPr>
          <w:rFonts w:ascii="Arial" w:cs="Arial" w:eastAsia="Arial" w:hAnsi="Arial"/>
          <w:sz w:val="16"/>
          <w:szCs w:val="16"/>
          <w:color w:val="3575B3"/>
        </w:rPr>
      </w:pPr>
    </w:p>
    <w:p>
      <w:pPr>
        <w:ind w:left="760" w:right="20" w:hanging="324"/>
        <w:spacing w:after="0" w:line="258" w:lineRule="auto"/>
        <w:tabs>
          <w:tab w:leader="none" w:pos="760" w:val="left"/>
        </w:tabs>
        <w:numPr>
          <w:ilvl w:val="0"/>
          <w:numId w:val="30"/>
        </w:numPr>
        <w:rPr>
          <w:rFonts w:ascii="Arial" w:cs="Arial" w:eastAsia="Arial" w:hAnsi="Arial"/>
          <w:sz w:val="16"/>
          <w:szCs w:val="16"/>
          <w:color w:val="3575B3"/>
        </w:rPr>
      </w:pPr>
      <w:r>
        <w:rPr>
          <w:rFonts w:ascii="Arial" w:cs="Arial" w:eastAsia="Arial" w:hAnsi="Arial"/>
          <w:sz w:val="16"/>
          <w:szCs w:val="16"/>
          <w:color w:val="435363"/>
        </w:rPr>
        <w:t>is not, and does not have a Family Member who is, a current partner of the Company’s outside auditor, and was not, and does not have a Family Member who was, a partner or employee of the Company’s outside auditor who worked on the Company’s audit at any time during any of the past three years; and</w:t>
      </w:r>
    </w:p>
    <w:p>
      <w:pPr>
        <w:spacing w:after="0" w:line="41" w:lineRule="exact"/>
        <w:rPr>
          <w:rFonts w:ascii="Arial" w:cs="Arial" w:eastAsia="Arial" w:hAnsi="Arial"/>
          <w:sz w:val="16"/>
          <w:szCs w:val="16"/>
          <w:color w:val="3575B3"/>
        </w:rPr>
      </w:pPr>
    </w:p>
    <w:p>
      <w:pPr>
        <w:ind w:left="760" w:hanging="324"/>
        <w:spacing w:after="0"/>
        <w:tabs>
          <w:tab w:leader="none" w:pos="760" w:val="left"/>
        </w:tabs>
        <w:numPr>
          <w:ilvl w:val="0"/>
          <w:numId w:val="30"/>
        </w:numPr>
        <w:rPr>
          <w:rFonts w:ascii="Arial" w:cs="Arial" w:eastAsia="Arial" w:hAnsi="Arial"/>
          <w:sz w:val="16"/>
          <w:szCs w:val="16"/>
          <w:color w:val="3575B3"/>
        </w:rPr>
      </w:pPr>
      <w:r>
        <w:rPr>
          <w:rFonts w:ascii="Arial" w:cs="Arial" w:eastAsia="Arial" w:hAnsi="Arial"/>
          <w:sz w:val="16"/>
          <w:szCs w:val="16"/>
          <w:color w:val="435363"/>
        </w:rPr>
        <w:t>satisfies any additional requirements for independence promulgated from time to time by Nasdaq.</w:t>
      </w:r>
    </w:p>
    <w:p>
      <w:pPr>
        <w:spacing w:after="0" w:line="107" w:lineRule="exact"/>
        <w:rPr>
          <w:sz w:val="20"/>
          <w:szCs w:val="20"/>
          <w:color w:val="auto"/>
        </w:rPr>
      </w:pPr>
    </w:p>
    <w:p>
      <w:pPr>
        <w:ind w:left="220" w:right="300"/>
        <w:spacing w:after="0" w:line="283" w:lineRule="auto"/>
        <w:rPr>
          <w:sz w:val="20"/>
          <w:szCs w:val="20"/>
          <w:color w:val="auto"/>
        </w:rPr>
      </w:pPr>
      <w:r>
        <w:rPr>
          <w:rFonts w:ascii="Arial" w:cs="Arial" w:eastAsia="Arial" w:hAnsi="Arial"/>
          <w:sz w:val="15"/>
          <w:szCs w:val="15"/>
          <w:color w:val="435363"/>
        </w:rPr>
        <w:t>The Governance Guidelines also provide that the Board will consider all other relevant facts and circumstances, including issues that may arise as a result of any director compensation (whether direct or indirect), any charitable contributions we make to organizations with which a director is affiliated and any consulting arrangement between the Company and a director. The CGPR Committee reports annually to the full Board on these matters.</w:t>
      </w:r>
    </w:p>
    <w:p>
      <w:pPr>
        <w:spacing w:after="0" w:line="52"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435363"/>
        </w:rPr>
        <w:t>Pursuant to the Governance Guidelines, the CGPR Committee and the Board undertake an annual review of director independence. Based on the CGPR Committee’s review in March 2024, the Board affirmatively determined that all of our directors are independent under the standards provided in the Governance Guidelines and under applicable Nasdaq listing standards, except for Mr. Isom, who serves as our Chief Executive Officer. Mr. Parker, who served as Chairman until April 30, 2023, was determined by the Board in 2023 as not an independent director, due to his prior service as our Chief Executive Officer.</w:t>
      </w:r>
    </w:p>
    <w:p>
      <w:pPr>
        <w:spacing w:after="0" w:line="74" w:lineRule="exact"/>
        <w:rPr>
          <w:sz w:val="20"/>
          <w:szCs w:val="20"/>
          <w:color w:val="auto"/>
        </w:rPr>
      </w:pPr>
    </w:p>
    <w:p>
      <w:pPr>
        <w:ind w:left="220" w:right="60"/>
        <w:spacing w:after="0" w:line="250" w:lineRule="auto"/>
        <w:rPr>
          <w:sz w:val="20"/>
          <w:szCs w:val="20"/>
          <w:color w:val="auto"/>
        </w:rPr>
      </w:pPr>
      <w:r>
        <w:rPr>
          <w:rFonts w:ascii="Arial" w:cs="Arial" w:eastAsia="Arial" w:hAnsi="Arial"/>
          <w:sz w:val="16"/>
          <w:szCs w:val="16"/>
          <w:color w:val="435363"/>
        </w:rPr>
        <w:t>The following types and categories of transactions, relationships and arrangements were considered by our Board in making its independence determinations in 2024. Excluded were ordinary course air transportation by corporations or other organizations where the director’s interest solely arises from such person’s position as a director or advisor to such other corporation or organization. All of the reviewed transactions and arrangements were entered into in the ordinary course of business and none of the business transactions, donations or grants involved an amount that exceeded the greater of 5% of the recipient entity’s revenues or $200,000.</w:t>
      </w:r>
    </w:p>
    <w:p>
      <w:pPr>
        <w:spacing w:after="0" w:line="74"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435363"/>
        </w:rPr>
        <w:t>Both of Ms. Kronick and Mr. Steenland served during 2023 or continues to serve as a member on the board of directors or an advisory board of companies or entities that engage, or whose affiliates engage, in ordinary course commercial transactions with AAG involving goods or services other than air transportation. Additionally, Mr. Reynal’s brother is an executive of a company that engages in ordinary course commercial transactions with AAG involving goods or services other than air transportation. The Board has concluded that these transactions and arrangements do not impair the directors’ exercise of independent judgment in carrying out their responsibilities as directors.</w:t>
      </w:r>
    </w:p>
    <w:p>
      <w:pPr>
        <w:spacing w:after="0" w:line="74" w:lineRule="exact"/>
        <w:rPr>
          <w:sz w:val="20"/>
          <w:szCs w:val="20"/>
          <w:color w:val="auto"/>
        </w:rPr>
      </w:pPr>
    </w:p>
    <w:p>
      <w:pPr>
        <w:jc w:val="both"/>
        <w:ind w:left="220" w:right="180"/>
        <w:spacing w:after="0" w:line="258" w:lineRule="auto"/>
        <w:rPr>
          <w:sz w:val="20"/>
          <w:szCs w:val="20"/>
          <w:color w:val="auto"/>
        </w:rPr>
      </w:pPr>
      <w:r>
        <w:rPr>
          <w:rFonts w:ascii="Arial" w:cs="Arial" w:eastAsia="Arial" w:hAnsi="Arial"/>
          <w:sz w:val="16"/>
          <w:szCs w:val="16"/>
          <w:color w:val="435363"/>
        </w:rPr>
        <w:t>The Board also considered Mr. Smith’s prior role as Chief Financial Officer of Boeing, which is one of our significant commercial partners. In light of the fact Mr. Smith retired from Boeing in July 2021, before his appointment as a director, and has no continuing role with Boeing, our Board determined that this past relationship does not impair his exercise of independent judgment in carrying out his responsibilities as a director.</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Board Diversity and Tenure</w:t>
      </w:r>
    </w:p>
    <w:p>
      <w:pPr>
        <w:spacing w:after="0" w:line="90" w:lineRule="exact"/>
        <w:rPr>
          <w:sz w:val="20"/>
          <w:szCs w:val="20"/>
          <w:color w:val="auto"/>
        </w:rPr>
      </w:pPr>
    </w:p>
    <w:p>
      <w:pPr>
        <w:ind w:left="220" w:right="60"/>
        <w:spacing w:after="0" w:line="258" w:lineRule="auto"/>
        <w:rPr>
          <w:sz w:val="20"/>
          <w:szCs w:val="20"/>
          <w:color w:val="auto"/>
        </w:rPr>
      </w:pPr>
      <w:r>
        <w:rPr>
          <w:rFonts w:ascii="Arial" w:cs="Arial" w:eastAsia="Arial" w:hAnsi="Arial"/>
          <w:sz w:val="16"/>
          <w:szCs w:val="16"/>
          <w:color w:val="435363"/>
        </w:rPr>
        <w:t>Our Board believes that diversity is an important aspect of an effective board. The CGPR Committee seeks to recommend individuals to the Board with, among other things, a diversity of skills, experience, expertise and perspective appropriate for the business and operation of the Company. We recognize the benefits of racial and gender diversity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102870</wp:posOffset>
            </wp:positionV>
            <wp:extent cx="5177155" cy="1682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33</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right="80"/>
        <w:spacing w:after="0" w:line="258" w:lineRule="auto"/>
        <w:rPr>
          <w:sz w:val="20"/>
          <w:szCs w:val="20"/>
          <w:color w:val="auto"/>
        </w:rPr>
      </w:pPr>
      <w:r>
        <w:rPr>
          <w:rFonts w:ascii="Arial" w:cs="Arial" w:eastAsia="Arial" w:hAnsi="Arial"/>
          <w:sz w:val="16"/>
          <w:szCs w:val="16"/>
          <w:color w:val="435363"/>
        </w:rPr>
        <w:t>boardroom, including better reflecting our diverse customer and employee base and the healthy debate that stems from different viewpoints that may result from diverse backgrounds. Accordingly, our Board is diverse in many ways, with differing geographic, business and racial backgrounds. Over 45% of our Board nominees are diverse based on gender or ethnicity.</w:t>
      </w:r>
    </w:p>
    <w:p>
      <w:pPr>
        <w:spacing w:after="0" w:line="68" w:lineRule="exact"/>
        <w:rPr>
          <w:sz w:val="20"/>
          <w:szCs w:val="20"/>
          <w:color w:val="auto"/>
        </w:rPr>
      </w:pPr>
    </w:p>
    <w:p>
      <w:pPr>
        <w:ind w:left="220" w:right="20"/>
        <w:spacing w:after="0" w:line="246" w:lineRule="auto"/>
        <w:rPr>
          <w:sz w:val="20"/>
          <w:szCs w:val="20"/>
          <w:color w:val="auto"/>
        </w:rPr>
      </w:pPr>
      <w:r>
        <w:rPr>
          <w:rFonts w:ascii="Arial" w:cs="Arial" w:eastAsia="Arial" w:hAnsi="Arial"/>
          <w:sz w:val="16"/>
          <w:szCs w:val="16"/>
          <w:color w:val="435363"/>
        </w:rPr>
        <w:t>We believe that fresh perspectives and new ideas are critical to a forward-looking and strategic Board. At the same time, given the extremely complex nature of our business, it is equally important to benefit from the valuable experience and institutional knowledge that longer-serving directors bring to the boardroom. In September 2022, Mr. Reynal joined our Board. Mr. Reynal was identified to the Company by a third-party search firm. Previously, in January and March 2022, respectively, Mr. Smith and Mr. Isom joined our Board, and prior to that in October 2020 and February 2021, respectively,</w:t>
      </w:r>
    </w:p>
    <w:p>
      <w:pPr>
        <w:spacing w:after="0" w:line="3" w:lineRule="exact"/>
        <w:rPr>
          <w:sz w:val="20"/>
          <w:szCs w:val="20"/>
          <w:color w:val="auto"/>
        </w:rPr>
      </w:pPr>
    </w:p>
    <w:p>
      <w:pPr>
        <w:ind w:left="220" w:right="80"/>
        <w:spacing w:after="0" w:line="244" w:lineRule="auto"/>
        <w:rPr>
          <w:sz w:val="20"/>
          <w:szCs w:val="20"/>
          <w:color w:val="auto"/>
        </w:rPr>
      </w:pPr>
      <w:r>
        <w:rPr>
          <w:rFonts w:ascii="Arial" w:cs="Arial" w:eastAsia="Arial" w:hAnsi="Arial"/>
          <w:sz w:val="16"/>
          <w:szCs w:val="16"/>
          <w:color w:val="435363"/>
        </w:rPr>
        <w:t>Mr. Steenland and Ms. Brown joined our Board and in November 2015, Ms. Kronick and Mr. Nesbitt joined our Board. Our remaining directors joined our Board in December 2013 at the effective date of the merger with US Airways. The Board strongly believes that the current mix of directors provides the Company with an appropriate balance of knowledge, experience and capability, allowing us to leverage deep company experience and knowledge in addition to new viewpoints and innovative ideas among newer directors. Out of our 11 Board nominees, six have served on our Board for ten or fewer years and another five have been on our Board for less than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127635</wp:posOffset>
            </wp:positionV>
            <wp:extent cx="5395595" cy="18992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395595" cy="1899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Board Self-Evaluation</w:t>
      </w:r>
    </w:p>
    <w:p>
      <w:pPr>
        <w:spacing w:after="0" w:line="90"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435363"/>
        </w:rPr>
        <w:t>Our Governance Guidelines and CGPR Committee charter provide that the CGPR Committee must conduct a periodic assessment of the performance of the Board, including the committees, and provide the results to the full Board for discussion. The purpose of the review is to increase the effectiveness of the Board as a whole and of each of the committees. The assessment includes an evaluation of the Board and each committee’s contribution as a whole, of specific areas in which the Board, the applicable committee and/or management believe better contributions could be made and of the overall make-up and composition of the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198755</wp:posOffset>
            </wp:positionV>
            <wp:extent cx="5177155" cy="1682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5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34</w:t>
      </w:r>
    </w:p>
    <w:p>
      <w:pPr>
        <w:spacing w:after="0" w:line="3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0980"/>
          </w:cols>
          <w:pgMar w:left="320" w:top="477" w:right="5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292735</wp:posOffset>
            </wp:positionV>
            <wp:extent cx="68573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ind w:right="9060"/>
        <w:spacing w:after="0"/>
        <w:rPr>
          <w:sz w:val="20"/>
          <w:szCs w:val="20"/>
          <w:color w:val="auto"/>
        </w:rPr>
      </w:pPr>
      <w:r>
        <w:rPr>
          <w:rFonts w:ascii="Arial" w:cs="Arial" w:eastAsia="Arial" w:hAnsi="Arial"/>
          <w:sz w:val="21"/>
          <w:szCs w:val="21"/>
          <w:b w:val="1"/>
          <w:bCs w:val="1"/>
          <w:color w:val="3575B3"/>
        </w:rPr>
        <w:t>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49530</wp:posOffset>
            </wp:positionV>
            <wp:extent cx="685736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ectPr>
          <w:pgSz w:w="11900" w:h="16838" w:orient="portrait"/>
          <w:cols w:equalWidth="0" w:num="1">
            <w:col w:w="11020"/>
          </w:cols>
          <w:pgMar w:left="320" w:top="477" w:right="559" w:bottom="1440" w:gutter="0" w:footer="0" w:header="0"/>
        </w:sectPr>
      </w:pPr>
    </w:p>
    <w:p>
      <w:pPr>
        <w:spacing w:after="0" w:line="13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Members in 2023:</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Matt Hart (Chair)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Adriane Brown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John Cahill</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Marty Nesbitt</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Meetings in 2023: 6</w:t>
      </w:r>
    </w:p>
    <w:p>
      <w:pPr>
        <w:spacing w:after="0" w:line="81" w:lineRule="exact"/>
        <w:rPr>
          <w:sz w:val="20"/>
          <w:szCs w:val="20"/>
          <w:color w:val="auto"/>
        </w:rPr>
      </w:pPr>
    </w:p>
    <w:p>
      <w:pPr>
        <w:ind w:left="300"/>
        <w:spacing w:after="0" w:line="248" w:lineRule="auto"/>
        <w:rPr>
          <w:sz w:val="20"/>
          <w:szCs w:val="20"/>
          <w:color w:val="auto"/>
        </w:rPr>
      </w:pPr>
      <w:r>
        <w:rPr>
          <w:rFonts w:ascii="Arial" w:cs="Arial" w:eastAsia="Arial" w:hAnsi="Arial"/>
          <w:sz w:val="16"/>
          <w:szCs w:val="16"/>
          <w:color w:val="435363"/>
        </w:rPr>
        <w:t>The Board has determined that each member is independent under SEC and Nasdaq rules and the Governance Guidelines. Each member is a “financial expert” under applicable SEC rules and has the financial management expertise required by Nasdaq listing standards.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Primary Responsibilities</w:t>
      </w:r>
    </w:p>
    <w:p>
      <w:pPr>
        <w:spacing w:after="0" w:line="17" w:lineRule="exact"/>
        <w:rPr>
          <w:sz w:val="20"/>
          <w:szCs w:val="20"/>
          <w:color w:val="auto"/>
        </w:rPr>
      </w:pPr>
    </w:p>
    <w:p>
      <w:pPr>
        <w:ind w:left="400" w:right="360" w:hanging="242"/>
        <w:spacing w:after="0" w:line="254"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 Oversee the Company’s internal accounting function; report to the Board with respect to</w:t>
      </w:r>
      <w:r>
        <w:rPr>
          <w:rFonts w:ascii="Arial" w:cs="Arial" w:eastAsia="Arial" w:hAnsi="Arial"/>
          <w:sz w:val="16"/>
          <w:szCs w:val="16"/>
          <w:color w:val="3575B3"/>
        </w:rPr>
        <w:t xml:space="preserve"> </w:t>
      </w:r>
      <w:r>
        <w:rPr>
          <w:rFonts w:ascii="Arial" w:cs="Arial" w:eastAsia="Arial" w:hAnsi="Arial"/>
          <w:sz w:val="16"/>
          <w:szCs w:val="16"/>
          <w:color w:val="435363"/>
        </w:rPr>
        <w:t>other auditing and accounting matters</w:t>
      </w:r>
    </w:p>
    <w:p>
      <w:pPr>
        <w:spacing w:after="0" w:line="45" w:lineRule="exact"/>
        <w:rPr>
          <w:sz w:val="20"/>
          <w:szCs w:val="20"/>
          <w:color w:val="auto"/>
        </w:rPr>
      </w:pPr>
    </w:p>
    <w:p>
      <w:pPr>
        <w:jc w:val="both"/>
        <w:ind w:left="400" w:right="40" w:hanging="242"/>
        <w:spacing w:after="0" w:line="258"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 Appoint or replace the independent auditor; oversee the work of the independent auditor for</w:t>
      </w:r>
      <w:r>
        <w:rPr>
          <w:rFonts w:ascii="Arial" w:cs="Arial" w:eastAsia="Arial" w:hAnsi="Arial"/>
          <w:sz w:val="16"/>
          <w:szCs w:val="16"/>
          <w:color w:val="3575B3"/>
        </w:rPr>
        <w:t xml:space="preserve"> </w:t>
      </w:r>
      <w:r>
        <w:rPr>
          <w:rFonts w:ascii="Arial" w:cs="Arial" w:eastAsia="Arial" w:hAnsi="Arial"/>
          <w:sz w:val="16"/>
          <w:szCs w:val="16"/>
          <w:color w:val="435363"/>
        </w:rPr>
        <w:t>the purpose of preparing or issuing an audit report or related work, including determining the scope of annual audits and fees to be paid</w:t>
      </w:r>
    </w:p>
    <w:p>
      <w:pPr>
        <w:spacing w:after="0" w:line="42" w:lineRule="exact"/>
        <w:rPr>
          <w:sz w:val="20"/>
          <w:szCs w:val="20"/>
          <w:color w:val="auto"/>
        </w:rPr>
      </w:pPr>
    </w:p>
    <w:p>
      <w:pPr>
        <w:ind w:left="400" w:right="660" w:hanging="242"/>
        <w:spacing w:after="0" w:line="275"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 Oversee the Company’s risk management policies that relate to the financial control</w:t>
      </w:r>
      <w:r>
        <w:rPr>
          <w:rFonts w:ascii="Arial" w:cs="Arial" w:eastAsia="Arial" w:hAnsi="Arial"/>
          <w:sz w:val="16"/>
          <w:szCs w:val="16"/>
          <w:color w:val="3575B3"/>
        </w:rPr>
        <w:t xml:space="preserve"> </w:t>
      </w:r>
      <w:r>
        <w:rPr>
          <w:rFonts w:ascii="Arial" w:cs="Arial" w:eastAsia="Arial" w:hAnsi="Arial"/>
          <w:sz w:val="16"/>
          <w:szCs w:val="16"/>
          <w:color w:val="435363"/>
        </w:rPr>
        <w:t>environment, financial reporting and disclosure controls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 Establish and maintain procedures for compliance with significant applicable legal, ethical</w:t>
      </w:r>
    </w:p>
    <w:p>
      <w:pPr>
        <w:spacing w:after="0" w:line="17" w:lineRule="exact"/>
        <w:rPr>
          <w:sz w:val="20"/>
          <w:szCs w:val="20"/>
          <w:color w:val="auto"/>
        </w:rPr>
      </w:pPr>
    </w:p>
    <w:p>
      <w:pPr>
        <w:ind w:left="400" w:right="160"/>
        <w:spacing w:after="0" w:line="245" w:lineRule="auto"/>
        <w:rPr>
          <w:sz w:val="20"/>
          <w:szCs w:val="20"/>
          <w:color w:val="auto"/>
        </w:rPr>
      </w:pPr>
      <w:r>
        <w:rPr>
          <w:rFonts w:ascii="Arial" w:cs="Arial" w:eastAsia="Arial" w:hAnsi="Arial"/>
          <w:sz w:val="16"/>
          <w:szCs w:val="16"/>
          <w:color w:val="435363"/>
        </w:rPr>
        <w:t>and regulatory requirements and for the receipt, retention and treatment of complaints received by the Company regarding accounting, internal accounting controls or auditing matters, and the confidential, anonymous submission by employees of concerns regarding questionable accounting or auditing matters</w:t>
      </w:r>
    </w:p>
    <w:p>
      <w:pPr>
        <w:spacing w:after="0" w:line="53" w:lineRule="exact"/>
        <w:rPr>
          <w:sz w:val="20"/>
          <w:szCs w:val="20"/>
          <w:color w:val="auto"/>
        </w:rPr>
      </w:pPr>
    </w:p>
    <w:p>
      <w:pPr>
        <w:ind w:left="400" w:right="460" w:hanging="242"/>
        <w:spacing w:after="0" w:line="275"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 Review and approve all significant conflicts of interest and related party transactions in</w:t>
      </w:r>
      <w:r>
        <w:rPr>
          <w:rFonts w:ascii="Arial" w:cs="Arial" w:eastAsia="Arial" w:hAnsi="Arial"/>
          <w:sz w:val="16"/>
          <w:szCs w:val="16"/>
          <w:color w:val="3575B3"/>
        </w:rPr>
        <w:t xml:space="preserve"> </w:t>
      </w:r>
      <w:r>
        <w:rPr>
          <w:rFonts w:ascii="Arial" w:cs="Arial" w:eastAsia="Arial" w:hAnsi="Arial"/>
          <w:sz w:val="16"/>
          <w:szCs w:val="16"/>
          <w:color w:val="435363"/>
        </w:rPr>
        <w:t>accordance with Company policies</w:t>
      </w:r>
    </w:p>
    <w:p>
      <w:pPr>
        <w:spacing w:after="0" w:line="28" w:lineRule="exact"/>
        <w:rPr>
          <w:sz w:val="20"/>
          <w:szCs w:val="20"/>
          <w:color w:val="auto"/>
        </w:rPr>
      </w:pPr>
    </w:p>
    <w:p>
      <w:pPr>
        <w:ind w:left="400" w:right="120" w:hanging="242"/>
        <w:spacing w:after="0" w:line="275"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 Review cybersecurity, data privacy and other risks relevant to the Company’s computerized</w:t>
      </w:r>
      <w:r>
        <w:rPr>
          <w:rFonts w:ascii="Arial" w:cs="Arial" w:eastAsia="Arial" w:hAnsi="Arial"/>
          <w:sz w:val="16"/>
          <w:szCs w:val="16"/>
          <w:color w:val="3575B3"/>
        </w:rPr>
        <w:t xml:space="preserve"> </w:t>
      </w:r>
      <w:r>
        <w:rPr>
          <w:rFonts w:ascii="Arial" w:cs="Arial" w:eastAsia="Arial" w:hAnsi="Arial"/>
          <w:sz w:val="16"/>
          <w:szCs w:val="16"/>
          <w:color w:val="435363"/>
        </w:rPr>
        <w:t>information system controls and security</w:t>
      </w:r>
    </w:p>
    <w:p>
      <w:pPr>
        <w:spacing w:after="0" w:line="28"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 Pre-approve audit and permitted non-audit services provided by the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261620</wp:posOffset>
            </wp:positionV>
            <wp:extent cx="685736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7365" cy="8255"/>
                    </a:xfrm>
                    <a:prstGeom prst="rect">
                      <a:avLst/>
                    </a:prstGeom>
                    <a:noFill/>
                  </pic:spPr>
                </pic:pic>
              </a:graphicData>
            </a:graphic>
          </wp:anchor>
        </w:drawing>
        <w:drawing>
          <wp:anchor simplePos="0" relativeHeight="251657728" behindDoc="1" locked="0" layoutInCell="0" allowOverlap="1">
            <wp:simplePos x="0" y="0"/>
            <wp:positionH relativeFrom="column">
              <wp:posOffset>-2468880</wp:posOffset>
            </wp:positionH>
            <wp:positionV relativeFrom="paragraph">
              <wp:posOffset>68580</wp:posOffset>
            </wp:positionV>
            <wp:extent cx="685736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180"/>
            <w:col w:w="6900"/>
          </w:cols>
          <w:pgMar w:left="320" w:top="477" w:right="559" w:bottom="1440" w:gutter="0" w:footer="0" w:header="0"/>
          <w:type w:val="continuous"/>
        </w:sectPr>
      </w:pPr>
    </w:p>
    <w:p>
      <w:pPr>
        <w:spacing w:after="0" w:line="250"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15875</wp:posOffset>
            </wp:positionV>
            <wp:extent cx="685736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ectPr>
          <w:pgSz w:w="11900" w:h="16838" w:orient="portrait"/>
          <w:cols w:equalWidth="0" w:num="1">
            <w:col w:w="11020"/>
          </w:cols>
          <w:pgMar w:left="320" w:top="477" w:right="559" w:bottom="1440" w:gutter="0" w:footer="0" w:header="0"/>
          <w:type w:val="continuous"/>
        </w:sectPr>
      </w:pPr>
    </w:p>
    <w:p>
      <w:pPr>
        <w:spacing w:after="0" w:line="10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Members in 2023:</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Denise O’Leary (Chair)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Jeff Benjamin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Vicente Reynal</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Doug Steenland</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Meetings in 2023: 9</w:t>
      </w:r>
    </w:p>
    <w:p>
      <w:pPr>
        <w:spacing w:after="0" w:line="81" w:lineRule="exact"/>
        <w:rPr>
          <w:sz w:val="20"/>
          <w:szCs w:val="20"/>
          <w:color w:val="auto"/>
        </w:rPr>
      </w:pPr>
    </w:p>
    <w:p>
      <w:pPr>
        <w:ind w:left="300"/>
        <w:spacing w:after="0" w:line="250" w:lineRule="auto"/>
        <w:rPr>
          <w:sz w:val="20"/>
          <w:szCs w:val="20"/>
          <w:color w:val="auto"/>
        </w:rPr>
      </w:pPr>
      <w:r>
        <w:rPr>
          <w:rFonts w:ascii="Arial" w:cs="Arial" w:eastAsia="Arial" w:hAnsi="Arial"/>
          <w:sz w:val="16"/>
          <w:szCs w:val="16"/>
          <w:color w:val="435363"/>
        </w:rPr>
        <w:t>The Board has determined that each member is independent under Nasdaq rules and the Governance Guidelines and is a “non-employee director” as defined by Rule 16b-3 under the Exchange Act.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Primary Responsibilities</w:t>
      </w:r>
    </w:p>
    <w:p>
      <w:pPr>
        <w:spacing w:after="0" w:line="17" w:lineRule="exact"/>
        <w:rPr>
          <w:sz w:val="20"/>
          <w:szCs w:val="20"/>
          <w:color w:val="auto"/>
        </w:rPr>
      </w:pPr>
    </w:p>
    <w:p>
      <w:pPr>
        <w:ind w:left="340" w:right="220" w:hanging="242"/>
        <w:spacing w:after="0" w:line="254"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 Review and approve the Company’s overall compensation strategy and policies, including</w:t>
      </w:r>
      <w:r>
        <w:rPr>
          <w:rFonts w:ascii="Arial" w:cs="Arial" w:eastAsia="Arial" w:hAnsi="Arial"/>
          <w:sz w:val="16"/>
          <w:szCs w:val="16"/>
          <w:color w:val="3575B3"/>
        </w:rPr>
        <w:t xml:space="preserve"> </w:t>
      </w:r>
      <w:r>
        <w:rPr>
          <w:rFonts w:ascii="Arial" w:cs="Arial" w:eastAsia="Arial" w:hAnsi="Arial"/>
          <w:sz w:val="16"/>
          <w:szCs w:val="16"/>
          <w:color w:val="435363"/>
        </w:rPr>
        <w:t>performance goals for executive officers</w:t>
      </w:r>
    </w:p>
    <w:p>
      <w:pPr>
        <w:spacing w:after="0" w:line="45" w:lineRule="exact"/>
        <w:rPr>
          <w:sz w:val="20"/>
          <w:szCs w:val="20"/>
          <w:color w:val="auto"/>
        </w:rPr>
      </w:pPr>
    </w:p>
    <w:p>
      <w:pPr>
        <w:ind w:left="340" w:right="900" w:hanging="242"/>
        <w:spacing w:after="0" w:line="275"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 Review the relationship between the Company’s compensation strategy and risk</w:t>
      </w:r>
      <w:r>
        <w:rPr>
          <w:rFonts w:ascii="Arial" w:cs="Arial" w:eastAsia="Arial" w:hAnsi="Arial"/>
          <w:sz w:val="16"/>
          <w:szCs w:val="16"/>
          <w:color w:val="3575B3"/>
        </w:rPr>
        <w:t xml:space="preserve"> </w:t>
      </w:r>
      <w:r>
        <w:rPr>
          <w:rFonts w:ascii="Arial" w:cs="Arial" w:eastAsia="Arial" w:hAnsi="Arial"/>
          <w:sz w:val="16"/>
          <w:szCs w:val="16"/>
          <w:color w:val="435363"/>
        </w:rPr>
        <w:t>management policies</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 Together with the Board, oversee leadership succession planning</w:t>
      </w:r>
    </w:p>
    <w:p>
      <w:pPr>
        <w:spacing w:after="0" w:line="81" w:lineRule="exact"/>
        <w:rPr>
          <w:sz w:val="20"/>
          <w:szCs w:val="20"/>
          <w:color w:val="auto"/>
        </w:rPr>
      </w:pPr>
    </w:p>
    <w:p>
      <w:pPr>
        <w:ind w:left="340" w:right="600" w:hanging="242"/>
        <w:spacing w:after="0" w:line="275"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 Evaluate the performance of the Company’s Chief Executive Officer and approve his</w:t>
      </w:r>
      <w:r>
        <w:rPr>
          <w:rFonts w:ascii="Arial" w:cs="Arial" w:eastAsia="Arial" w:hAnsi="Arial"/>
          <w:sz w:val="16"/>
          <w:szCs w:val="16"/>
          <w:color w:val="3575B3"/>
        </w:rPr>
        <w:t xml:space="preserve"> </w:t>
      </w:r>
      <w:r>
        <w:rPr>
          <w:rFonts w:ascii="Arial" w:cs="Arial" w:eastAsia="Arial" w:hAnsi="Arial"/>
          <w:sz w:val="16"/>
          <w:szCs w:val="16"/>
          <w:color w:val="435363"/>
        </w:rPr>
        <w:t>compensation and other terms of employment</w:t>
      </w:r>
    </w:p>
    <w:p>
      <w:pPr>
        <w:spacing w:after="0" w:line="28" w:lineRule="exact"/>
        <w:rPr>
          <w:sz w:val="20"/>
          <w:szCs w:val="20"/>
          <w:color w:val="auto"/>
        </w:rPr>
      </w:pPr>
    </w:p>
    <w:p>
      <w:pPr>
        <w:jc w:val="both"/>
        <w:ind w:left="340" w:right="480" w:hanging="242"/>
        <w:spacing w:after="0" w:line="309" w:lineRule="auto"/>
        <w:rPr>
          <w:sz w:val="20"/>
          <w:szCs w:val="20"/>
          <w:color w:val="auto"/>
        </w:rPr>
      </w:pPr>
      <w:r>
        <w:rPr>
          <w:rFonts w:ascii="Arial" w:cs="Arial" w:eastAsia="Arial" w:hAnsi="Arial"/>
          <w:sz w:val="15"/>
          <w:szCs w:val="15"/>
          <w:color w:val="3575B3"/>
        </w:rPr>
        <w:t>•</w:t>
      </w:r>
      <w:r>
        <w:rPr>
          <w:rFonts w:ascii="Arial" w:cs="Arial" w:eastAsia="Arial" w:hAnsi="Arial"/>
          <w:sz w:val="15"/>
          <w:szCs w:val="15"/>
          <w:color w:val="435363"/>
        </w:rPr>
        <w:t xml:space="preserve">   Evaluate the performance of and determine the compensation and other terms of</w:t>
      </w:r>
      <w:r>
        <w:rPr>
          <w:rFonts w:ascii="Arial" w:cs="Arial" w:eastAsia="Arial" w:hAnsi="Arial"/>
          <w:sz w:val="15"/>
          <w:szCs w:val="15"/>
          <w:color w:val="3575B3"/>
        </w:rPr>
        <w:t xml:space="preserve"> </w:t>
      </w:r>
      <w:r>
        <w:rPr>
          <w:rFonts w:ascii="Arial" w:cs="Arial" w:eastAsia="Arial" w:hAnsi="Arial"/>
          <w:sz w:val="15"/>
          <w:szCs w:val="15"/>
          <w:color w:val="435363"/>
        </w:rPr>
        <w:t>employment of the other executive officers and other members of senior management</w:t>
      </w:r>
    </w:p>
    <w:p>
      <w:pPr>
        <w:spacing w:after="0" w:line="6" w:lineRule="exact"/>
        <w:rPr>
          <w:sz w:val="20"/>
          <w:szCs w:val="20"/>
          <w:color w:val="auto"/>
        </w:rPr>
      </w:pPr>
    </w:p>
    <w:p>
      <w:pPr>
        <w:jc w:val="both"/>
        <w:ind w:left="340" w:right="460" w:hanging="242"/>
        <w:spacing w:after="0" w:line="258"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 Administer the Company’s incentive and stock plans, including establishing guidelines,</w:t>
      </w:r>
      <w:r>
        <w:rPr>
          <w:rFonts w:ascii="Arial" w:cs="Arial" w:eastAsia="Arial" w:hAnsi="Arial"/>
          <w:sz w:val="16"/>
          <w:szCs w:val="16"/>
          <w:color w:val="3575B3"/>
        </w:rPr>
        <w:t xml:space="preserve"> </w:t>
      </w:r>
      <w:r>
        <w:rPr>
          <w:rFonts w:ascii="Arial" w:cs="Arial" w:eastAsia="Arial" w:hAnsi="Arial"/>
          <w:sz w:val="16"/>
          <w:szCs w:val="16"/>
          <w:color w:val="435363"/>
        </w:rPr>
        <w:t>interpreting plan documents, selecting participants, approving grants and awards and making other decisions regarding the operation of such plans</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 Review the Company’s workforce diversity and inclusion</w:t>
      </w:r>
    </w:p>
    <w:p>
      <w:pPr>
        <w:spacing w:after="0" w:line="81" w:lineRule="exact"/>
        <w:rPr>
          <w:sz w:val="20"/>
          <w:szCs w:val="20"/>
          <w:color w:val="auto"/>
        </w:rPr>
      </w:pPr>
    </w:p>
    <w:p>
      <w:pPr>
        <w:ind w:left="340" w:right="860" w:hanging="242"/>
        <w:spacing w:after="0" w:line="275"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 Review the compensation of the non-employee members of the Board and make</w:t>
      </w:r>
      <w:r>
        <w:rPr>
          <w:rFonts w:ascii="Arial" w:cs="Arial" w:eastAsia="Arial" w:hAnsi="Arial"/>
          <w:sz w:val="16"/>
          <w:szCs w:val="16"/>
          <w:color w:val="3575B3"/>
        </w:rPr>
        <w:t xml:space="preserve"> </w:t>
      </w:r>
      <w:r>
        <w:rPr>
          <w:rFonts w:ascii="Arial" w:cs="Arial" w:eastAsia="Arial" w:hAnsi="Arial"/>
          <w:sz w:val="16"/>
          <w:szCs w:val="16"/>
          <w:color w:val="435363"/>
        </w:rPr>
        <w:t>recommendations regarding changes to the full Board</w:t>
      </w:r>
    </w:p>
    <w:p>
      <w:pPr>
        <w:spacing w:after="0" w:line="28" w:lineRule="exact"/>
        <w:rPr>
          <w:sz w:val="20"/>
          <w:szCs w:val="20"/>
          <w:color w:val="auto"/>
        </w:rPr>
      </w:pPr>
    </w:p>
    <w:p>
      <w:pPr>
        <w:ind w:left="80"/>
        <w:spacing w:after="0"/>
        <w:rPr>
          <w:sz w:val="20"/>
          <w:szCs w:val="20"/>
          <w:color w:val="auto"/>
        </w:rPr>
      </w:pPr>
      <w:r>
        <w:rPr>
          <w:rFonts w:ascii="Arial" w:cs="Arial" w:eastAsia="Arial" w:hAnsi="Arial"/>
          <w:sz w:val="15"/>
          <w:szCs w:val="15"/>
          <w:color w:val="3575B3"/>
        </w:rPr>
        <w:t>•</w:t>
      </w:r>
      <w:r>
        <w:rPr>
          <w:rFonts w:ascii="Arial" w:cs="Arial" w:eastAsia="Arial" w:hAnsi="Arial"/>
          <w:sz w:val="15"/>
          <w:szCs w:val="15"/>
          <w:color w:val="435363"/>
        </w:rPr>
        <w:t xml:space="preserve">    Retain outside advisors; directly retain and oversee its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100965</wp:posOffset>
            </wp:positionV>
            <wp:extent cx="68573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7365" cy="8255"/>
                    </a:xfrm>
                    <a:prstGeom prst="rect">
                      <a:avLst/>
                    </a:prstGeom>
                    <a:noFill/>
                  </pic:spPr>
                </pic:pic>
              </a:graphicData>
            </a:graphic>
          </wp:anchor>
        </w:drawing>
        <w:drawing>
          <wp:anchor simplePos="0" relativeHeight="251657728" behindDoc="1" locked="0" layoutInCell="0" allowOverlap="1">
            <wp:simplePos x="0" y="0"/>
            <wp:positionH relativeFrom="column">
              <wp:posOffset>-1229360</wp:posOffset>
            </wp:positionH>
            <wp:positionV relativeFrom="paragraph">
              <wp:posOffset>227330</wp:posOffset>
            </wp:positionV>
            <wp:extent cx="5177155" cy="1682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60" w:space="520"/>
            <w:col w:w="6840"/>
          </w:cols>
          <w:pgMar w:left="320" w:top="477" w:right="559" w:bottom="1440" w:gutter="0" w:footer="0" w:header="0"/>
          <w:type w:val="continuous"/>
        </w:sectPr>
      </w:pPr>
    </w:p>
    <w:p>
      <w:pPr>
        <w:spacing w:after="0" w:line="18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35</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292735</wp:posOffset>
            </wp:positionV>
            <wp:extent cx="685736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 Corporate Governance and Public Responsibility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15875</wp:posOffset>
            </wp:positionV>
            <wp:extent cx="68573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ectPr>
          <w:pgSz w:w="11900" w:h="16838" w:orient="portrait"/>
          <w:cols w:equalWidth="0" w:num="1">
            <w:col w:w="10900"/>
          </w:cols>
          <w:pgMar w:left="320" w:top="477" w:right="679" w:bottom="1440" w:gutter="0" w:footer="0" w:header="0"/>
        </w:sectPr>
      </w:pPr>
    </w:p>
    <w:p>
      <w:pPr>
        <w:spacing w:after="0" w:line="10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Members in 2023:</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Marty Nesbitt (Chair)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Jeff Benjamin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Sue Kronick</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Vicente Reynal</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Meetings in 2023: 4</w:t>
      </w:r>
    </w:p>
    <w:p>
      <w:pPr>
        <w:spacing w:after="0" w:line="81" w:lineRule="exact"/>
        <w:rPr>
          <w:sz w:val="20"/>
          <w:szCs w:val="20"/>
          <w:color w:val="auto"/>
        </w:rPr>
      </w:pPr>
    </w:p>
    <w:p>
      <w:pPr>
        <w:ind w:left="300"/>
        <w:spacing w:after="0" w:line="258" w:lineRule="auto"/>
        <w:rPr>
          <w:sz w:val="20"/>
          <w:szCs w:val="20"/>
          <w:color w:val="auto"/>
        </w:rPr>
      </w:pPr>
      <w:r>
        <w:rPr>
          <w:rFonts w:ascii="Arial" w:cs="Arial" w:eastAsia="Arial" w:hAnsi="Arial"/>
          <w:sz w:val="16"/>
          <w:szCs w:val="16"/>
          <w:color w:val="435363"/>
        </w:rPr>
        <w:t>The Board has determined that each member is independent under Nasdaq rules and the Governance Guidelines.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Primary Responsibilities</w:t>
      </w:r>
    </w:p>
    <w:p>
      <w:pPr>
        <w:spacing w:after="0" w:line="17" w:lineRule="exact"/>
        <w:rPr>
          <w:sz w:val="20"/>
          <w:szCs w:val="20"/>
          <w:color w:val="auto"/>
        </w:rPr>
      </w:pPr>
    </w:p>
    <w:p>
      <w:pPr>
        <w:ind w:left="400" w:right="480" w:hanging="242"/>
        <w:spacing w:after="0" w:line="248"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 Oversee all aspects of the Company’s corporate governance functions, including the</w:t>
      </w:r>
      <w:r>
        <w:rPr>
          <w:rFonts w:ascii="Arial" w:cs="Arial" w:eastAsia="Arial" w:hAnsi="Arial"/>
          <w:sz w:val="16"/>
          <w:szCs w:val="16"/>
          <w:color w:val="3575B3"/>
        </w:rPr>
        <w:t xml:space="preserve"> </w:t>
      </w:r>
      <w:r>
        <w:rPr>
          <w:rFonts w:ascii="Arial" w:cs="Arial" w:eastAsia="Arial" w:hAnsi="Arial"/>
          <w:sz w:val="16"/>
          <w:szCs w:val="16"/>
          <w:color w:val="435363"/>
        </w:rPr>
        <w:t>procedures for compliance with significant applicable legal, ethical and regulatory requirements that impact corporate governance</w:t>
      </w:r>
    </w:p>
    <w:p>
      <w:pPr>
        <w:spacing w:after="0" w:line="49" w:lineRule="exact"/>
        <w:rPr>
          <w:sz w:val="20"/>
          <w:szCs w:val="20"/>
          <w:color w:val="auto"/>
        </w:rPr>
      </w:pPr>
    </w:p>
    <w:p>
      <w:pPr>
        <w:ind w:left="400" w:right="320" w:hanging="242"/>
        <w:spacing w:after="0" w:line="275"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 Conduct an annual review of director independence and the performance of the Board,</w:t>
      </w:r>
      <w:r>
        <w:rPr>
          <w:rFonts w:ascii="Arial" w:cs="Arial" w:eastAsia="Arial" w:hAnsi="Arial"/>
          <w:sz w:val="16"/>
          <w:szCs w:val="16"/>
          <w:color w:val="3575B3"/>
        </w:rPr>
        <w:t xml:space="preserve"> </w:t>
      </w:r>
      <w:r>
        <w:rPr>
          <w:rFonts w:ascii="Arial" w:cs="Arial" w:eastAsia="Arial" w:hAnsi="Arial"/>
          <w:sz w:val="16"/>
          <w:szCs w:val="16"/>
          <w:color w:val="435363"/>
        </w:rPr>
        <w:t>including the committees</w:t>
      </w:r>
    </w:p>
    <w:p>
      <w:pPr>
        <w:spacing w:after="0" w:line="28" w:lineRule="exact"/>
        <w:rPr>
          <w:sz w:val="20"/>
          <w:szCs w:val="20"/>
          <w:color w:val="auto"/>
        </w:rPr>
      </w:pPr>
    </w:p>
    <w:p>
      <w:pPr>
        <w:ind w:left="400" w:right="300" w:hanging="242"/>
        <w:spacing w:after="0" w:line="275"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 Identify individuals qualified to become members of the Board and recommend director</w:t>
      </w:r>
      <w:r>
        <w:rPr>
          <w:rFonts w:ascii="Arial" w:cs="Arial" w:eastAsia="Arial" w:hAnsi="Arial"/>
          <w:sz w:val="16"/>
          <w:szCs w:val="16"/>
          <w:color w:val="3575B3"/>
        </w:rPr>
        <w:t xml:space="preserve"> </w:t>
      </w:r>
      <w:r>
        <w:rPr>
          <w:rFonts w:ascii="Arial" w:cs="Arial" w:eastAsia="Arial" w:hAnsi="Arial"/>
          <w:sz w:val="16"/>
          <w:szCs w:val="16"/>
          <w:color w:val="435363"/>
        </w:rPr>
        <w:t>nominees</w:t>
      </w:r>
    </w:p>
    <w:p>
      <w:pPr>
        <w:spacing w:after="0" w:line="28" w:lineRule="exact"/>
        <w:rPr>
          <w:sz w:val="20"/>
          <w:szCs w:val="20"/>
          <w:color w:val="auto"/>
        </w:rPr>
      </w:pPr>
    </w:p>
    <w:p>
      <w:pPr>
        <w:ind w:left="400" w:right="560" w:hanging="242"/>
        <w:spacing w:after="0" w:line="275"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 Periodically review and evaluate, with the Company’s management, the Company’s</w:t>
      </w:r>
      <w:r>
        <w:rPr>
          <w:rFonts w:ascii="Arial" w:cs="Arial" w:eastAsia="Arial" w:hAnsi="Arial"/>
          <w:sz w:val="16"/>
          <w:szCs w:val="16"/>
          <w:color w:val="3575B3"/>
        </w:rPr>
        <w:t xml:space="preserve"> </w:t>
      </w:r>
      <w:r>
        <w:rPr>
          <w:rFonts w:ascii="Arial" w:cs="Arial" w:eastAsia="Arial" w:hAnsi="Arial"/>
          <w:sz w:val="16"/>
          <w:szCs w:val="16"/>
          <w:color w:val="435363"/>
        </w:rPr>
        <w:t>governance-related risks and risk management practices</w:t>
      </w:r>
    </w:p>
    <w:p>
      <w:pPr>
        <w:spacing w:after="0" w:line="28" w:lineRule="exact"/>
        <w:rPr>
          <w:sz w:val="20"/>
          <w:szCs w:val="20"/>
          <w:color w:val="auto"/>
        </w:rPr>
      </w:pPr>
    </w:p>
    <w:p>
      <w:pPr>
        <w:ind w:left="400" w:right="320" w:hanging="242"/>
        <w:spacing w:after="0" w:line="275"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 Review and assess the Governance Guidelines and recommend any changes deemed</w:t>
      </w:r>
      <w:r>
        <w:rPr>
          <w:rFonts w:ascii="Arial" w:cs="Arial" w:eastAsia="Arial" w:hAnsi="Arial"/>
          <w:sz w:val="16"/>
          <w:szCs w:val="16"/>
          <w:color w:val="3575B3"/>
        </w:rPr>
        <w:t xml:space="preserve"> </w:t>
      </w:r>
      <w:r>
        <w:rPr>
          <w:rFonts w:ascii="Arial" w:cs="Arial" w:eastAsia="Arial" w:hAnsi="Arial"/>
          <w:sz w:val="16"/>
          <w:szCs w:val="16"/>
          <w:color w:val="435363"/>
        </w:rPr>
        <w:t>appropriate to the Board</w:t>
      </w:r>
    </w:p>
    <w:p>
      <w:pPr>
        <w:spacing w:after="0" w:line="28" w:lineRule="exact"/>
        <w:rPr>
          <w:sz w:val="20"/>
          <w:szCs w:val="20"/>
          <w:color w:val="auto"/>
        </w:rPr>
      </w:pPr>
    </w:p>
    <w:p>
      <w:pPr>
        <w:ind w:left="400" w:right="60" w:hanging="242"/>
        <w:spacing w:after="0" w:line="275"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 Oversee the stockholder engagement process and significant stockholder relations issues,</w:t>
      </w:r>
      <w:r>
        <w:rPr>
          <w:rFonts w:ascii="Arial" w:cs="Arial" w:eastAsia="Arial" w:hAnsi="Arial"/>
          <w:sz w:val="16"/>
          <w:szCs w:val="16"/>
          <w:color w:val="3575B3"/>
        </w:rPr>
        <w:t xml:space="preserve"> </w:t>
      </w:r>
      <w:r>
        <w:rPr>
          <w:rFonts w:ascii="Arial" w:cs="Arial" w:eastAsia="Arial" w:hAnsi="Arial"/>
          <w:sz w:val="16"/>
          <w:szCs w:val="16"/>
          <w:color w:val="435363"/>
        </w:rPr>
        <w:t>including consideration of stockholder proposals</w:t>
      </w:r>
    </w:p>
    <w:p>
      <w:pPr>
        <w:spacing w:after="0" w:line="28" w:lineRule="exact"/>
        <w:rPr>
          <w:sz w:val="20"/>
          <w:szCs w:val="20"/>
          <w:color w:val="auto"/>
        </w:rPr>
      </w:pPr>
    </w:p>
    <w:p>
      <w:pPr>
        <w:ind w:left="400" w:right="60" w:hanging="242"/>
        <w:spacing w:after="0" w:line="275"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 Oversee the Company’s Environmental, Social and Governance (“ESG”) and sustainability</w:t>
      </w:r>
      <w:r>
        <w:rPr>
          <w:rFonts w:ascii="Arial" w:cs="Arial" w:eastAsia="Arial" w:hAnsi="Arial"/>
          <w:sz w:val="16"/>
          <w:szCs w:val="16"/>
          <w:color w:val="3575B3"/>
        </w:rPr>
        <w:t xml:space="preserve"> </w:t>
      </w:r>
      <w:r>
        <w:rPr>
          <w:rFonts w:ascii="Arial" w:cs="Arial" w:eastAsia="Arial" w:hAnsi="Arial"/>
          <w:sz w:val="16"/>
          <w:szCs w:val="16"/>
          <w:color w:val="435363"/>
        </w:rPr>
        <w:t>efforts, including the risks and opportunities of climate change</w:t>
      </w:r>
    </w:p>
    <w:p>
      <w:pPr>
        <w:spacing w:after="0" w:line="28" w:lineRule="exact"/>
        <w:rPr>
          <w:sz w:val="20"/>
          <w:szCs w:val="20"/>
          <w:color w:val="auto"/>
        </w:rPr>
      </w:pPr>
    </w:p>
    <w:p>
      <w:pPr>
        <w:ind w:left="400" w:right="20" w:hanging="242"/>
        <w:spacing w:after="0" w:line="252"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 Oversee the Company’s lobbying activities, major advocacy priorities, principal trade</w:t>
      </w:r>
      <w:r>
        <w:rPr>
          <w:rFonts w:ascii="Arial" w:cs="Arial" w:eastAsia="Arial" w:hAnsi="Arial"/>
          <w:sz w:val="16"/>
          <w:szCs w:val="16"/>
          <w:color w:val="3575B3"/>
        </w:rPr>
        <w:t xml:space="preserve"> </w:t>
      </w:r>
      <w:r>
        <w:rPr>
          <w:rFonts w:ascii="Arial" w:cs="Arial" w:eastAsia="Arial" w:hAnsi="Arial"/>
          <w:sz w:val="16"/>
          <w:szCs w:val="16"/>
          <w:color w:val="435363"/>
        </w:rPr>
        <w:t>association memberships and political contributions, if any, and periodically review reports on the Company’s corporate political contributions and the processes and guidelines of the American Airlines Political Action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73025</wp:posOffset>
            </wp:positionV>
            <wp:extent cx="685736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7365" cy="8255"/>
                    </a:xfrm>
                    <a:prstGeom prst="rect">
                      <a:avLst/>
                    </a:prstGeom>
                    <a:noFill/>
                  </pic:spPr>
                </pic:pic>
              </a:graphicData>
            </a:graphic>
          </wp:anchor>
        </w:drawing>
        <w:drawing>
          <wp:anchor simplePos="0" relativeHeight="251657728" behindDoc="1" locked="0" layoutInCell="0" allowOverlap="1">
            <wp:simplePos x="0" y="0"/>
            <wp:positionH relativeFrom="column">
              <wp:posOffset>-2468880</wp:posOffset>
            </wp:positionH>
            <wp:positionV relativeFrom="paragraph">
              <wp:posOffset>392430</wp:posOffset>
            </wp:positionV>
            <wp:extent cx="68573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60" w:space="460"/>
            <w:col w:w="6780"/>
          </w:cols>
          <w:pgMar w:left="320" w:top="477" w:right="67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 Finance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15875</wp:posOffset>
            </wp:positionV>
            <wp:extent cx="685736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ectPr>
          <w:pgSz w:w="11900" w:h="16838" w:orient="portrait"/>
          <w:cols w:equalWidth="0" w:num="1">
            <w:col w:w="10900"/>
          </w:cols>
          <w:pgMar w:left="320" w:top="477" w:right="67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Members in 2023:</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Doug Steenland (Chair)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John Cahill</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Mike Embler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Denise O’Leary</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Meetings in 2023: 6</w:t>
      </w:r>
    </w:p>
    <w:p>
      <w:pPr>
        <w:spacing w:after="0" w:line="81" w:lineRule="exact"/>
        <w:rPr>
          <w:sz w:val="20"/>
          <w:szCs w:val="20"/>
          <w:color w:val="auto"/>
        </w:rPr>
      </w:pPr>
    </w:p>
    <w:p>
      <w:pPr>
        <w:ind w:left="300"/>
        <w:spacing w:after="0" w:line="258" w:lineRule="auto"/>
        <w:rPr>
          <w:sz w:val="20"/>
          <w:szCs w:val="20"/>
          <w:color w:val="auto"/>
        </w:rPr>
      </w:pPr>
      <w:r>
        <w:rPr>
          <w:rFonts w:ascii="Arial" w:cs="Arial" w:eastAsia="Arial" w:hAnsi="Arial"/>
          <w:sz w:val="16"/>
          <w:szCs w:val="16"/>
          <w:color w:val="435363"/>
        </w:rPr>
        <w:t>The Board has determined that each member is independent under Nasdaq rules and the Governance Guidelines.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Primary Responsibilities</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 Oversee the Company’s financial affairs and capital spending</w:t>
      </w:r>
    </w:p>
    <w:p>
      <w:pPr>
        <w:spacing w:after="0" w:line="65" w:lineRule="exact"/>
        <w:rPr>
          <w:sz w:val="20"/>
          <w:szCs w:val="20"/>
          <w:color w:val="auto"/>
        </w:rPr>
      </w:pPr>
    </w:p>
    <w:p>
      <w:pPr>
        <w:ind w:left="400" w:right="520" w:hanging="242"/>
        <w:spacing w:after="0" w:line="275"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 Recommend to the Board financial policies and courses of action that will effectively</w:t>
      </w:r>
      <w:r>
        <w:rPr>
          <w:rFonts w:ascii="Arial" w:cs="Arial" w:eastAsia="Arial" w:hAnsi="Arial"/>
          <w:sz w:val="16"/>
          <w:szCs w:val="16"/>
          <w:color w:val="3575B3"/>
        </w:rPr>
        <w:t xml:space="preserve"> </w:t>
      </w:r>
      <w:r>
        <w:rPr>
          <w:rFonts w:ascii="Arial" w:cs="Arial" w:eastAsia="Arial" w:hAnsi="Arial"/>
          <w:sz w:val="16"/>
          <w:szCs w:val="16"/>
          <w:color w:val="435363"/>
        </w:rPr>
        <w:t>accommodate the Company’s goals and operating strategies</w:t>
      </w:r>
    </w:p>
    <w:p>
      <w:pPr>
        <w:spacing w:after="0" w:line="28" w:lineRule="exact"/>
        <w:rPr>
          <w:sz w:val="20"/>
          <w:szCs w:val="20"/>
          <w:color w:val="auto"/>
        </w:rPr>
      </w:pPr>
    </w:p>
    <w:p>
      <w:pPr>
        <w:ind w:left="400" w:hanging="242"/>
        <w:spacing w:after="0" w:line="309" w:lineRule="auto"/>
        <w:rPr>
          <w:sz w:val="20"/>
          <w:szCs w:val="20"/>
          <w:color w:val="auto"/>
        </w:rPr>
      </w:pPr>
      <w:r>
        <w:rPr>
          <w:rFonts w:ascii="Arial" w:cs="Arial" w:eastAsia="Arial" w:hAnsi="Arial"/>
          <w:sz w:val="15"/>
          <w:szCs w:val="15"/>
          <w:color w:val="3575B3"/>
        </w:rPr>
        <w:t>•</w:t>
      </w:r>
      <w:r>
        <w:rPr>
          <w:rFonts w:ascii="Arial" w:cs="Arial" w:eastAsia="Arial" w:hAnsi="Arial"/>
          <w:sz w:val="15"/>
          <w:szCs w:val="15"/>
          <w:color w:val="435363"/>
        </w:rPr>
        <w:t xml:space="preserve">   Review, approve and/or recommend to the Board, the Company’s annual budget and</w:t>
      </w:r>
      <w:r>
        <w:rPr>
          <w:rFonts w:ascii="Arial" w:cs="Arial" w:eastAsia="Arial" w:hAnsi="Arial"/>
          <w:sz w:val="15"/>
          <w:szCs w:val="15"/>
          <w:color w:val="3575B3"/>
        </w:rPr>
        <w:t xml:space="preserve"> </w:t>
      </w:r>
      <w:r>
        <w:rPr>
          <w:rFonts w:ascii="Arial" w:cs="Arial" w:eastAsia="Arial" w:hAnsi="Arial"/>
          <w:sz w:val="15"/>
          <w:szCs w:val="15"/>
          <w:color w:val="435363"/>
        </w:rPr>
        <w:t>financing plans and other matters related to the Company’s financial and strategic planning</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 Oversee the Company’s financial risk management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228600</wp:posOffset>
            </wp:positionV>
            <wp:extent cx="685736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7365" cy="8255"/>
                    </a:xfrm>
                    <a:prstGeom prst="rect">
                      <a:avLst/>
                    </a:prstGeom>
                    <a:noFill/>
                  </pic:spPr>
                </pic:pic>
              </a:graphicData>
            </a:graphic>
          </wp:anchor>
        </w:drawing>
        <w:drawing>
          <wp:anchor simplePos="0" relativeHeight="251657728" behindDoc="1" locked="0" layoutInCell="0" allowOverlap="1">
            <wp:simplePos x="0" y="0"/>
            <wp:positionH relativeFrom="column">
              <wp:posOffset>-2468880</wp:posOffset>
            </wp:positionH>
            <wp:positionV relativeFrom="paragraph">
              <wp:posOffset>547370</wp:posOffset>
            </wp:positionV>
            <wp:extent cx="685736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569" w:lineRule="exact"/>
        <w:rPr>
          <w:sz w:val="20"/>
          <w:szCs w:val="20"/>
          <w:color w:val="auto"/>
        </w:rPr>
      </w:pPr>
    </w:p>
    <w:p>
      <w:pPr>
        <w:sectPr>
          <w:pgSz w:w="11900" w:h="16838" w:orient="portrait"/>
          <w:cols w:equalWidth="0" w:num="2">
            <w:col w:w="3660" w:space="460"/>
            <w:col w:w="6780"/>
          </w:cols>
          <w:pgMar w:left="320" w:top="477" w:right="679" w:bottom="1440" w:gutter="0" w:footer="0" w:header="0"/>
          <w:type w:val="continuous"/>
        </w:sectPr>
      </w:pPr>
    </w:p>
    <w:p>
      <w:pPr>
        <w:spacing w:after="0" w:line="331"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 Safety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15875</wp:posOffset>
            </wp:positionV>
            <wp:extent cx="685736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ectPr>
          <w:pgSz w:w="11900" w:h="16838" w:orient="portrait"/>
          <w:cols w:equalWidth="0" w:num="1">
            <w:col w:w="10900"/>
          </w:cols>
          <w:pgMar w:left="320" w:top="477" w:right="67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435363"/>
        </w:rPr>
        <w:t>Members in 2023:</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Adriane Brown (Chair)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Mike Embler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Matt Hart</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Sue Kronick</w:t>
      </w:r>
    </w:p>
    <w:p>
      <w:pPr>
        <w:spacing w:after="0" w:line="104" w:lineRule="exact"/>
        <w:rPr>
          <w:sz w:val="20"/>
          <w:szCs w:val="20"/>
          <w:color w:val="auto"/>
        </w:rPr>
      </w:pPr>
    </w:p>
    <w:p>
      <w:pPr>
        <w:ind w:left="300" w:right="60"/>
        <w:spacing w:after="0" w:line="252" w:lineRule="auto"/>
        <w:rPr>
          <w:sz w:val="20"/>
          <w:szCs w:val="20"/>
          <w:color w:val="auto"/>
        </w:rPr>
      </w:pPr>
      <w:r>
        <w:rPr>
          <w:rFonts w:ascii="Arial" w:cs="Arial" w:eastAsia="Arial" w:hAnsi="Arial"/>
          <w:sz w:val="16"/>
          <w:szCs w:val="16"/>
          <w:b w:val="1"/>
          <w:bCs w:val="1"/>
          <w:color w:val="435363"/>
        </w:rPr>
        <w:t xml:space="preserve">Meetings in 2023: 2 </w:t>
      </w:r>
      <w:r>
        <w:rPr>
          <w:rFonts w:ascii="Arial" w:cs="Arial" w:eastAsia="Arial" w:hAnsi="Arial"/>
          <w:sz w:val="16"/>
          <w:szCs w:val="16"/>
          <w:color w:val="435363"/>
        </w:rPr>
        <w:t>(inaugural meeting in July</w:t>
      </w:r>
      <w:r>
        <w:rPr>
          <w:rFonts w:ascii="Arial" w:cs="Arial" w:eastAsia="Arial" w:hAnsi="Arial"/>
          <w:sz w:val="16"/>
          <w:szCs w:val="16"/>
          <w:b w:val="1"/>
          <w:bCs w:val="1"/>
          <w:color w:val="435363"/>
        </w:rPr>
        <w:t xml:space="preserve"> </w:t>
      </w:r>
      <w:r>
        <w:rPr>
          <w:rFonts w:ascii="Arial" w:cs="Arial" w:eastAsia="Arial" w:hAnsi="Arial"/>
          <w:sz w:val="16"/>
          <w:szCs w:val="16"/>
          <w:color w:val="435363"/>
        </w:rPr>
        <w:t>2023)</w:t>
      </w:r>
    </w:p>
    <w:p>
      <w:pPr>
        <w:ind w:left="300"/>
        <w:spacing w:after="0" w:line="248" w:lineRule="auto"/>
        <w:rPr>
          <w:sz w:val="20"/>
          <w:szCs w:val="20"/>
          <w:color w:val="auto"/>
        </w:rPr>
      </w:pPr>
      <w:r>
        <w:rPr>
          <w:rFonts w:ascii="Arial" w:cs="Arial" w:eastAsia="Arial" w:hAnsi="Arial"/>
          <w:sz w:val="16"/>
          <w:szCs w:val="16"/>
          <w:color w:val="435363"/>
        </w:rPr>
        <w:t>The Board has determined that each member is independent under Nasdaq rules and the Governance Guidelines.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Primary Responsibilities</w:t>
      </w:r>
    </w:p>
    <w:p>
      <w:pPr>
        <w:spacing w:after="0" w:line="17" w:lineRule="exact"/>
        <w:rPr>
          <w:sz w:val="20"/>
          <w:szCs w:val="20"/>
          <w:color w:val="auto"/>
        </w:rPr>
      </w:pPr>
    </w:p>
    <w:p>
      <w:pPr>
        <w:ind w:left="400" w:right="20" w:hanging="242"/>
        <w:spacing w:after="0" w:line="248"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 Oversee the Company’s policies, programs and practices with respect to operational safety</w:t>
      </w:r>
      <w:r>
        <w:rPr>
          <w:rFonts w:ascii="Arial" w:cs="Arial" w:eastAsia="Arial" w:hAnsi="Arial"/>
          <w:sz w:val="16"/>
          <w:szCs w:val="16"/>
          <w:color w:val="3575B3"/>
        </w:rPr>
        <w:t xml:space="preserve"> </w:t>
      </w:r>
      <w:r>
        <w:rPr>
          <w:rFonts w:ascii="Arial" w:cs="Arial" w:eastAsia="Arial" w:hAnsi="Arial"/>
          <w:sz w:val="16"/>
          <w:szCs w:val="16"/>
          <w:color w:val="435363"/>
        </w:rPr>
        <w:t>and compliance, and matters affecting the safety of the Company’s customers and employees including security and public health</w:t>
      </w:r>
    </w:p>
    <w:p>
      <w:pPr>
        <w:spacing w:after="0" w:line="49" w:lineRule="exact"/>
        <w:rPr>
          <w:sz w:val="20"/>
          <w:szCs w:val="20"/>
          <w:color w:val="auto"/>
        </w:rPr>
      </w:pPr>
    </w:p>
    <w:p>
      <w:pPr>
        <w:ind w:left="400" w:right="20" w:hanging="242"/>
        <w:spacing w:after="0" w:line="275" w:lineRule="auto"/>
        <w:rPr>
          <w:sz w:val="20"/>
          <w:szCs w:val="20"/>
          <w:color w:val="auto"/>
        </w:rPr>
      </w:pPr>
      <w:r>
        <w:rPr>
          <w:rFonts w:ascii="Arial" w:cs="Arial" w:eastAsia="Arial" w:hAnsi="Arial"/>
          <w:sz w:val="16"/>
          <w:szCs w:val="16"/>
          <w:color w:val="3575B3"/>
        </w:rPr>
        <w:t>•</w:t>
      </w:r>
      <w:r>
        <w:rPr>
          <w:rFonts w:ascii="Arial" w:cs="Arial" w:eastAsia="Arial" w:hAnsi="Arial"/>
          <w:sz w:val="16"/>
          <w:szCs w:val="16"/>
          <w:color w:val="435363"/>
        </w:rPr>
        <w:t xml:space="preserve">   Oversee the Company’s procedures for compliance with significant applicable legal, ethical</w:t>
      </w:r>
      <w:r>
        <w:rPr>
          <w:rFonts w:ascii="Arial" w:cs="Arial" w:eastAsia="Arial" w:hAnsi="Arial"/>
          <w:sz w:val="16"/>
          <w:szCs w:val="16"/>
          <w:color w:val="3575B3"/>
        </w:rPr>
        <w:t xml:space="preserve"> </w:t>
      </w:r>
      <w:r>
        <w:rPr>
          <w:rFonts w:ascii="Arial" w:cs="Arial" w:eastAsia="Arial" w:hAnsi="Arial"/>
          <w:sz w:val="16"/>
          <w:szCs w:val="16"/>
          <w:color w:val="435363"/>
        </w:rPr>
        <w:t>and regulatory requirements related to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-2468880</wp:posOffset>
            </wp:positionH>
            <wp:positionV relativeFrom="paragraph">
              <wp:posOffset>556260</wp:posOffset>
            </wp:positionV>
            <wp:extent cx="685736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7365" cy="8255"/>
                    </a:xfrm>
                    <a:prstGeom prst="rect">
                      <a:avLst/>
                    </a:prstGeom>
                    <a:noFill/>
                  </pic:spPr>
                </pic:pic>
              </a:graphicData>
            </a:graphic>
          </wp:anchor>
        </w:drawing>
        <w:drawing>
          <wp:anchor simplePos="0" relativeHeight="251657728" behindDoc="1" locked="0" layoutInCell="0" allowOverlap="1">
            <wp:simplePos x="0" y="0"/>
            <wp:positionH relativeFrom="column">
              <wp:posOffset>-2057400</wp:posOffset>
            </wp:positionH>
            <wp:positionV relativeFrom="paragraph">
              <wp:posOffset>774700</wp:posOffset>
            </wp:positionV>
            <wp:extent cx="5177155" cy="1682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960" w:lineRule="exact"/>
        <w:rPr>
          <w:sz w:val="20"/>
          <w:szCs w:val="20"/>
          <w:color w:val="auto"/>
        </w:rPr>
      </w:pPr>
    </w:p>
    <w:p>
      <w:pPr>
        <w:sectPr>
          <w:pgSz w:w="11900" w:h="16838" w:orient="portrait"/>
          <w:cols w:equalWidth="0" w:num="2">
            <w:col w:w="3660" w:space="460"/>
            <w:col w:w="6780"/>
          </w:cols>
          <w:pgMar w:left="320" w:top="477" w:right="679" w:bottom="1440" w:gutter="0" w:footer="0" w:header="0"/>
          <w:type w:val="continuous"/>
        </w:sect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36</w:t>
      </w:r>
    </w:p>
    <w:p>
      <w:pPr>
        <w:spacing w:after="0" w:line="33"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0900"/>
          </w:cols>
          <w:pgMar w:left="320" w:top="477" w:right="67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Compensation Committee Process for Executive Compensation</w:t>
      </w:r>
    </w:p>
    <w:p>
      <w:pPr>
        <w:spacing w:after="0" w:line="107" w:lineRule="exact"/>
        <w:rPr>
          <w:sz w:val="20"/>
          <w:szCs w:val="20"/>
          <w:color w:val="auto"/>
        </w:rPr>
      </w:pPr>
    </w:p>
    <w:p>
      <w:pPr>
        <w:ind w:left="220" w:right="40"/>
        <w:spacing w:after="0" w:line="263" w:lineRule="auto"/>
        <w:rPr>
          <w:sz w:val="20"/>
          <w:szCs w:val="20"/>
          <w:color w:val="auto"/>
        </w:rPr>
      </w:pPr>
      <w:r>
        <w:rPr>
          <w:rFonts w:ascii="Arial" w:cs="Arial" w:eastAsia="Arial" w:hAnsi="Arial"/>
          <w:sz w:val="15"/>
          <w:szCs w:val="15"/>
          <w:color w:val="435363"/>
        </w:rPr>
        <w:t>The Compensation Committee charter gives the Compensation Committee the authority and responsibility to review and approve our overall compensation strategy and policies, including performance goals for executive officers. The Compensation Committee is responsible for reviewing and approving the compensation and other terms of employment of the Chief Executive Officer and for evaluating his performance. The Compensation Committee also evaluates, after receiving input from the Chief Executive Officer, the compensation and other terms of employment of the other executive officers, including in the case of internal promotions and new hires of executive officers. The Compensation Committee administers our incentive compensation, stock, bonus and other similar plans and programs; approves awards under those plans; reviews and, based upon the recommendation of the Chief Executive Officer, approves the adoption of, amendment to, or termination of executive compensation and benefit plans; and determines the general design and terms of, and may delegate authority to executive officers to administer, significant non-executive compensation and benefits plans. The Compensation Committee has delegated to an Equity Incentive Committee, consisting of the Chief Executive Officer, the authority to make equity grants to employees who are not executive officers within guidelines established by the Board or the Compensation Committee.</w:t>
      </w:r>
    </w:p>
    <w:p>
      <w:pPr>
        <w:spacing w:after="0" w:line="69" w:lineRule="exact"/>
        <w:rPr>
          <w:sz w:val="20"/>
          <w:szCs w:val="20"/>
          <w:color w:val="auto"/>
        </w:rPr>
      </w:pPr>
    </w:p>
    <w:p>
      <w:pPr>
        <w:ind w:left="220" w:right="180"/>
        <w:spacing w:after="0" w:line="252" w:lineRule="auto"/>
        <w:rPr>
          <w:sz w:val="20"/>
          <w:szCs w:val="20"/>
          <w:color w:val="auto"/>
        </w:rPr>
      </w:pPr>
      <w:r>
        <w:rPr>
          <w:rFonts w:ascii="Arial" w:cs="Arial" w:eastAsia="Arial" w:hAnsi="Arial"/>
          <w:sz w:val="16"/>
          <w:szCs w:val="16"/>
          <w:color w:val="435363"/>
        </w:rPr>
        <w:t>The Compensation Committee generally receives information from the Chief Executive Officer, the Chief People Officer, the Managing Director—Global Compensation and compensation consultants engaged by the Compensation Committee in connection with its determinations regarding executive compensation. The Compensation Committee has sole authority to retain and terminate any outside advisors, such as compensation consultants and legal counsel.</w:t>
      </w:r>
    </w:p>
    <w:p>
      <w:pPr>
        <w:spacing w:after="0" w:line="74"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color w:val="435363"/>
        </w:rPr>
        <w:t>Since July 2019, the Compensation Committee has engaged Korn Ferry as its compensation consultant to assist in determining our executive compensation and reviewing and analyzing proposed compensation programs for our executive officers. After review and consultation with Korn Ferry, the Compensation Committee determined that Korn Ferry is independent and there is no conflict of interest resulting from retaining Korn Ferry pursuant to applicable SEC and Nasdaq rules.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Board Role in Risk Oversight</w:t>
      </w:r>
    </w:p>
    <w:p>
      <w:pPr>
        <w:spacing w:after="0" w:line="90" w:lineRule="exact"/>
        <w:rPr>
          <w:sz w:val="20"/>
          <w:szCs w:val="20"/>
          <w:color w:val="auto"/>
        </w:rPr>
      </w:pPr>
    </w:p>
    <w:p>
      <w:pPr>
        <w:ind w:left="220" w:right="80"/>
        <w:spacing w:after="0" w:line="245" w:lineRule="auto"/>
        <w:rPr>
          <w:sz w:val="20"/>
          <w:szCs w:val="20"/>
          <w:color w:val="auto"/>
        </w:rPr>
      </w:pPr>
      <w:r>
        <w:rPr>
          <w:rFonts w:ascii="Arial" w:cs="Arial" w:eastAsia="Arial" w:hAnsi="Arial"/>
          <w:sz w:val="16"/>
          <w:szCs w:val="16"/>
          <w:color w:val="435363"/>
        </w:rPr>
        <w:t>The Board is responsible for the oversight of the Company’s ongoing assessment and management of material risks impacting our business. The Board oversees the Company’s enterprise-wide approach to risk management, which is designed to support the achievement of organizational objectives, including strategic objectives, to improve long-term organizational performance and to enhance stockholder value. A fundamental part of risk management is not only understanding the risks we face and what steps management is taking to manage those risks, but also understanding what level of risk is appropriate. Management is responsible for establishing our business strategy, identifying and assessing the related risks and establishing appropriate risk management practices. The Board, either directly or through one or more of its committees, reviews our business strategy and management’s assessment of the related risks and discusses with management the appropriate level of risk. The Board relies on each Board committee to oversee management of specific risks related to that committee’s function. The CGPR Committee and the Audit Committee, with management’s assistance, have developed and coordinated the Board’s current risk oversight program. The Board has not established a separate risk committee because the Board believes that the most significant risks we face are most properly directly overseen by the full Board or, in certain cases, the appropriate standing committee.</w:t>
      </w:r>
    </w:p>
    <w:p>
      <w:pPr>
        <w:spacing w:after="0" w:line="78" w:lineRule="exact"/>
        <w:rPr>
          <w:sz w:val="20"/>
          <w:szCs w:val="20"/>
          <w:color w:val="auto"/>
        </w:rPr>
      </w:pPr>
    </w:p>
    <w:p>
      <w:pPr>
        <w:ind w:left="220" w:right="100"/>
        <w:spacing w:after="0" w:line="309" w:lineRule="auto"/>
        <w:rPr>
          <w:sz w:val="20"/>
          <w:szCs w:val="20"/>
          <w:color w:val="auto"/>
        </w:rPr>
      </w:pPr>
      <w:r>
        <w:rPr>
          <w:rFonts w:ascii="Arial" w:cs="Arial" w:eastAsia="Arial" w:hAnsi="Arial"/>
          <w:sz w:val="15"/>
          <w:szCs w:val="15"/>
          <w:color w:val="435363"/>
        </w:rPr>
        <w:t>The Board oversees and reviews the management of our most significant strategic, financial and operational risks: the day-to-day operation of the airline and the interruption of airline service, revenue production, our information technology systems, and business risks related to labor issues and costs.</w:t>
      </w:r>
    </w:p>
    <w:p>
      <w:pPr>
        <w:spacing w:after="0" w:line="32" w:lineRule="exact"/>
        <w:rPr>
          <w:sz w:val="20"/>
          <w:szCs w:val="20"/>
          <w:color w:val="auto"/>
        </w:rPr>
      </w:pPr>
    </w:p>
    <w:p>
      <w:pPr>
        <w:ind w:left="220" w:right="60"/>
        <w:spacing w:after="0" w:line="246" w:lineRule="auto"/>
        <w:rPr>
          <w:sz w:val="20"/>
          <w:szCs w:val="20"/>
          <w:color w:val="auto"/>
        </w:rPr>
      </w:pPr>
      <w:r>
        <w:rPr>
          <w:rFonts w:ascii="Arial" w:cs="Arial" w:eastAsia="Arial" w:hAnsi="Arial"/>
          <w:sz w:val="16"/>
          <w:szCs w:val="16"/>
          <w:color w:val="435363"/>
        </w:rPr>
        <w:t>The Audit Committee oversees our risk management policies that relate to the financial control environment, financial reporting and disclosure controls, data privacy, cybersecurity risks and other information technology risks, and our procedures for compliance with significant applicable legal, ethical and regulatory requirements that impact our financial statements. The Audit Committee meets regularly with our internal auditors, independent auditors, Chief Executive Officer, Chief Financial Officer, Corporate Controller, Chief Legal Officer and Corporate Secretary, Chief Ethics and Compliance Officer, Chief Digital and Information Officer, Chief Information Security Officer, Chief Privacy Officer and the Company’s external advisors. The Audit Committee receives regular risk and internal controls assessment reports from the independent auditors and internal auditors. The Audit Committee also establishes and maintains procedures for the receipt, retention and treatment of complaints received by the Company regarding accounting, internal accounting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109855</wp:posOffset>
            </wp:positionV>
            <wp:extent cx="5177155" cy="1682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37</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or auditing matters and the confidential, anonymous submission by our employees of concerns regarding questionable accounting or auditing matters.</w:t>
      </w:r>
    </w:p>
    <w:p>
      <w:pPr>
        <w:spacing w:after="0" w:line="107" w:lineRule="exact"/>
        <w:rPr>
          <w:sz w:val="20"/>
          <w:szCs w:val="20"/>
          <w:color w:val="auto"/>
        </w:rPr>
      </w:pPr>
    </w:p>
    <w:p>
      <w:pPr>
        <w:ind w:left="220" w:right="380"/>
        <w:spacing w:after="0" w:line="258" w:lineRule="auto"/>
        <w:rPr>
          <w:sz w:val="20"/>
          <w:szCs w:val="20"/>
          <w:color w:val="auto"/>
        </w:rPr>
      </w:pPr>
      <w:r>
        <w:rPr>
          <w:rFonts w:ascii="Arial" w:cs="Arial" w:eastAsia="Arial" w:hAnsi="Arial"/>
          <w:sz w:val="16"/>
          <w:szCs w:val="16"/>
          <w:color w:val="435363"/>
        </w:rPr>
        <w:t>The CGPR Committee oversees our governance-related risks and risk management policies, programs and practices with respect to the Company’s sustainability strategy, including environmental and climate change risks and other public and corporate social responsibility issues that reflect the Company’s values and character and impact the Company’s reputation among its stakeholders.</w:t>
      </w:r>
    </w:p>
    <w:p>
      <w:pPr>
        <w:spacing w:after="0" w:line="68" w:lineRule="exact"/>
        <w:rPr>
          <w:sz w:val="20"/>
          <w:szCs w:val="20"/>
          <w:color w:val="auto"/>
        </w:rPr>
      </w:pPr>
    </w:p>
    <w:p>
      <w:pPr>
        <w:ind w:left="220" w:right="80"/>
        <w:spacing w:after="0" w:line="252" w:lineRule="auto"/>
        <w:rPr>
          <w:sz w:val="20"/>
          <w:szCs w:val="20"/>
          <w:color w:val="auto"/>
        </w:rPr>
      </w:pPr>
      <w:r>
        <w:rPr>
          <w:rFonts w:ascii="Arial" w:cs="Arial" w:eastAsia="Arial" w:hAnsi="Arial"/>
          <w:sz w:val="16"/>
          <w:szCs w:val="16"/>
          <w:color w:val="435363"/>
        </w:rPr>
        <w:t>The Compensation Committee oversees compensation risk management by participating in the creation of, and approving, compensation structures that create incentives that encourage an appropriate level of risk-taking behavior consistent with our business strategy, as is further described in the section entitled “Risk Assessment with Respect to Compensation Practices” below. The Compensation Committee also works with the Chief Executive Officer and the Chief People Officer to oversee risks associated with the retention of our most senior executives.</w:t>
      </w:r>
    </w:p>
    <w:p>
      <w:pPr>
        <w:spacing w:after="0" w:line="74" w:lineRule="exact"/>
        <w:rPr>
          <w:sz w:val="20"/>
          <w:szCs w:val="20"/>
          <w:color w:val="auto"/>
        </w:rPr>
      </w:pPr>
    </w:p>
    <w:p>
      <w:pPr>
        <w:jc w:val="both"/>
        <w:ind w:left="220" w:right="320"/>
        <w:spacing w:after="0" w:line="283" w:lineRule="auto"/>
        <w:rPr>
          <w:sz w:val="20"/>
          <w:szCs w:val="20"/>
          <w:color w:val="auto"/>
        </w:rPr>
      </w:pPr>
      <w:r>
        <w:rPr>
          <w:rFonts w:ascii="Arial" w:cs="Arial" w:eastAsia="Arial" w:hAnsi="Arial"/>
          <w:sz w:val="15"/>
          <w:szCs w:val="15"/>
          <w:color w:val="435363"/>
        </w:rPr>
        <w:t>The Finance Committee oversees financial risk by working with senior management to evaluate elements of credit risk, advising on financial strategy, capital structure and liquidity needs and reviewing our financial risk management policies and practices. Our Chief Executive Officer, Chief Financial Officer and other senior financial executives meet periodically with the Finance Committee to discuss and advise on elements of these risks.</w:t>
      </w:r>
    </w:p>
    <w:p>
      <w:pPr>
        <w:spacing w:after="0" w:line="52"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color w:val="435363"/>
        </w:rPr>
        <w:t>The Safety Committee oversees our risk management policies, programs and practices with respect to operational safety and compliance, matters affecting the safety of our customers and employees, including security and public health and the Company’s safety culture. The Safety Committee meets regularly with the Chief Operating Officer, the Vice President of Safety Systems, Efficiency and Compliance, and other responsible officers to discuss and advise on developing safety risks and standards.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Risk Assessment with Respect to Compensation Practices</w:t>
      </w:r>
    </w:p>
    <w:p>
      <w:pPr>
        <w:spacing w:after="0" w:line="90" w:lineRule="exact"/>
        <w:rPr>
          <w:sz w:val="20"/>
          <w:szCs w:val="20"/>
          <w:color w:val="auto"/>
        </w:rPr>
      </w:pPr>
    </w:p>
    <w:p>
      <w:pPr>
        <w:ind w:left="220" w:right="40"/>
        <w:spacing w:after="0" w:line="258" w:lineRule="auto"/>
        <w:rPr>
          <w:sz w:val="20"/>
          <w:szCs w:val="20"/>
          <w:color w:val="auto"/>
        </w:rPr>
      </w:pPr>
      <w:r>
        <w:rPr>
          <w:rFonts w:ascii="Arial" w:cs="Arial" w:eastAsia="Arial" w:hAnsi="Arial"/>
          <w:sz w:val="16"/>
          <w:szCs w:val="16"/>
          <w:color w:val="435363"/>
        </w:rPr>
        <w:t>Management and the Compensation Committee, with the support of the Committee’s compensation consultant, have reviewed the compensation policies and practices for our employees as they relate to our risk management and, based upon these reviews, we believe that any risks arising from such policies and practices are not reasonably likely to have a material adverse effect on us in the future.</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Our basis for this conclusion includes that our compensation programs are designed to include the following features:</w:t>
      </w:r>
    </w:p>
    <w:p>
      <w:pPr>
        <w:spacing w:after="0" w:line="81" w:lineRule="exact"/>
        <w:rPr>
          <w:sz w:val="20"/>
          <w:szCs w:val="20"/>
          <w:color w:val="auto"/>
        </w:rPr>
      </w:pPr>
    </w:p>
    <w:p>
      <w:pPr>
        <w:ind w:left="760" w:hanging="324"/>
        <w:spacing w:after="0"/>
        <w:tabs>
          <w:tab w:leader="none" w:pos="760" w:val="left"/>
        </w:tabs>
        <w:numPr>
          <w:ilvl w:val="0"/>
          <w:numId w:val="31"/>
        </w:numPr>
        <w:rPr>
          <w:rFonts w:ascii="Arial" w:cs="Arial" w:eastAsia="Arial" w:hAnsi="Arial"/>
          <w:sz w:val="16"/>
          <w:szCs w:val="16"/>
          <w:color w:val="3575B3"/>
        </w:rPr>
      </w:pPr>
      <w:r>
        <w:rPr>
          <w:rFonts w:ascii="Arial" w:cs="Arial" w:eastAsia="Arial" w:hAnsi="Arial"/>
          <w:sz w:val="16"/>
          <w:szCs w:val="16"/>
          <w:color w:val="435363"/>
        </w:rPr>
        <w:t>Formulaic annual and long-term incentive plan awards with maximum pay-out caps or guidelines instead of discretionary pay-out decisions.</w:t>
      </w:r>
    </w:p>
    <w:p>
      <w:pPr>
        <w:spacing w:after="0" w:line="80" w:lineRule="exact"/>
        <w:rPr>
          <w:rFonts w:ascii="Arial" w:cs="Arial" w:eastAsia="Arial" w:hAnsi="Arial"/>
          <w:sz w:val="16"/>
          <w:szCs w:val="16"/>
          <w:color w:val="3575B3"/>
        </w:rPr>
      </w:pPr>
    </w:p>
    <w:p>
      <w:pPr>
        <w:ind w:left="760" w:right="280" w:hanging="324"/>
        <w:spacing w:after="0" w:line="275" w:lineRule="auto"/>
        <w:tabs>
          <w:tab w:leader="none" w:pos="760" w:val="left"/>
        </w:tabs>
        <w:numPr>
          <w:ilvl w:val="0"/>
          <w:numId w:val="31"/>
        </w:numPr>
        <w:rPr>
          <w:rFonts w:ascii="Arial" w:cs="Arial" w:eastAsia="Arial" w:hAnsi="Arial"/>
          <w:sz w:val="16"/>
          <w:szCs w:val="16"/>
          <w:color w:val="3575B3"/>
        </w:rPr>
      </w:pPr>
      <w:r>
        <w:rPr>
          <w:rFonts w:ascii="Arial" w:cs="Arial" w:eastAsia="Arial" w:hAnsi="Arial"/>
          <w:sz w:val="16"/>
          <w:szCs w:val="16"/>
          <w:color w:val="435363"/>
        </w:rPr>
        <w:t>Equity incentive awards are subject to performance- or time-based vesting periods that are intended to incentivize long-term rather than short-term results.</w:t>
      </w:r>
    </w:p>
    <w:p>
      <w:pPr>
        <w:spacing w:after="0" w:line="28" w:lineRule="exact"/>
        <w:rPr>
          <w:rFonts w:ascii="Arial" w:cs="Arial" w:eastAsia="Arial" w:hAnsi="Arial"/>
          <w:sz w:val="16"/>
          <w:szCs w:val="16"/>
          <w:color w:val="3575B3"/>
        </w:rPr>
      </w:pPr>
    </w:p>
    <w:p>
      <w:pPr>
        <w:ind w:left="760" w:right="120" w:hanging="324"/>
        <w:spacing w:after="0" w:line="248" w:lineRule="auto"/>
        <w:tabs>
          <w:tab w:leader="none" w:pos="760" w:val="left"/>
        </w:tabs>
        <w:numPr>
          <w:ilvl w:val="0"/>
          <w:numId w:val="31"/>
        </w:numPr>
        <w:rPr>
          <w:rFonts w:ascii="Arial" w:cs="Arial" w:eastAsia="Arial" w:hAnsi="Arial"/>
          <w:sz w:val="16"/>
          <w:szCs w:val="16"/>
          <w:color w:val="3575B3"/>
        </w:rPr>
      </w:pPr>
      <w:r>
        <w:rPr>
          <w:rFonts w:ascii="Arial" w:cs="Arial" w:eastAsia="Arial" w:hAnsi="Arial"/>
          <w:sz w:val="16"/>
          <w:szCs w:val="16"/>
          <w:color w:val="435363"/>
        </w:rPr>
        <w:t>Our incentive compensation plans include a set of pre-established goals and metrics that focus on areas of priority for the Company and may include financial, operational, ESG, total stockholder return (“TSR”) and/or the achievement of individual goals. The 2023 STIP included financial goals (adjusted pre-tax income—60% weighting), customer operational goals (on-time departure and controllable completion factor—30% weighting) and ESG goals (diversity, equity and inclusion –10% weighting). The 2023 LTIP included total debt reduction and relative adjusted pre-tax income margin improvement goals. In addition, the goals established in our executive compensation programs are not subject to adjustment without Compensation Committee approval.</w:t>
      </w:r>
    </w:p>
    <w:p>
      <w:pPr>
        <w:spacing w:after="0" w:line="50" w:lineRule="exact"/>
        <w:rPr>
          <w:rFonts w:ascii="Arial" w:cs="Arial" w:eastAsia="Arial" w:hAnsi="Arial"/>
          <w:sz w:val="16"/>
          <w:szCs w:val="16"/>
          <w:color w:val="3575B3"/>
        </w:rPr>
      </w:pPr>
    </w:p>
    <w:p>
      <w:pPr>
        <w:ind w:left="760" w:right="120" w:hanging="324"/>
        <w:spacing w:after="0" w:line="275" w:lineRule="auto"/>
        <w:tabs>
          <w:tab w:leader="none" w:pos="760" w:val="left"/>
        </w:tabs>
        <w:numPr>
          <w:ilvl w:val="0"/>
          <w:numId w:val="31"/>
        </w:numPr>
        <w:rPr>
          <w:rFonts w:ascii="Arial" w:cs="Arial" w:eastAsia="Arial" w:hAnsi="Arial"/>
          <w:sz w:val="16"/>
          <w:szCs w:val="16"/>
          <w:color w:val="3575B3"/>
        </w:rPr>
      </w:pPr>
      <w:r>
        <w:rPr>
          <w:rFonts w:ascii="Arial" w:cs="Arial" w:eastAsia="Arial" w:hAnsi="Arial"/>
          <w:sz w:val="16"/>
          <w:szCs w:val="16"/>
          <w:color w:val="435363"/>
        </w:rPr>
        <w:t>All of our performance-based compensation programs are based on overall corporate performance, rather than the performance of any business unit or group.</w:t>
      </w:r>
    </w:p>
    <w:p>
      <w:pPr>
        <w:spacing w:after="0" w:line="28" w:lineRule="exact"/>
        <w:rPr>
          <w:rFonts w:ascii="Arial" w:cs="Arial" w:eastAsia="Arial" w:hAnsi="Arial"/>
          <w:sz w:val="16"/>
          <w:szCs w:val="16"/>
          <w:color w:val="3575B3"/>
        </w:rPr>
      </w:pPr>
    </w:p>
    <w:p>
      <w:pPr>
        <w:ind w:left="760" w:right="80" w:hanging="324"/>
        <w:spacing w:after="0" w:line="275" w:lineRule="auto"/>
        <w:tabs>
          <w:tab w:leader="none" w:pos="760" w:val="left"/>
        </w:tabs>
        <w:numPr>
          <w:ilvl w:val="0"/>
          <w:numId w:val="31"/>
        </w:numPr>
        <w:rPr>
          <w:rFonts w:ascii="Arial" w:cs="Arial" w:eastAsia="Arial" w:hAnsi="Arial"/>
          <w:sz w:val="16"/>
          <w:szCs w:val="16"/>
          <w:color w:val="3575B3"/>
        </w:rPr>
      </w:pPr>
      <w:r>
        <w:rPr>
          <w:rFonts w:ascii="Arial" w:cs="Arial" w:eastAsia="Arial" w:hAnsi="Arial"/>
          <w:sz w:val="16"/>
          <w:szCs w:val="16"/>
          <w:color w:val="435363"/>
        </w:rPr>
        <w:t>For a discussion of the principles underlying our compensation policies for our executive officers who are named in the “Executive Compensation —Summary Compensation Table,” see the section entitled “Compensation Discussion and Analysis” beginning on page 48.</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Oversight of Sustainability and Related Matters</w:t>
      </w:r>
    </w:p>
    <w:p>
      <w:pPr>
        <w:spacing w:after="0" w:line="77" w:lineRule="exact"/>
        <w:rPr>
          <w:sz w:val="20"/>
          <w:szCs w:val="20"/>
          <w:color w:val="auto"/>
        </w:rPr>
      </w:pPr>
    </w:p>
    <w:p>
      <w:pPr>
        <w:jc w:val="both"/>
        <w:ind w:left="220" w:right="80"/>
        <w:spacing w:after="0" w:line="258" w:lineRule="auto"/>
        <w:rPr>
          <w:sz w:val="20"/>
          <w:szCs w:val="20"/>
          <w:color w:val="auto"/>
        </w:rPr>
      </w:pPr>
      <w:r>
        <w:rPr>
          <w:rFonts w:ascii="Arial" w:cs="Arial" w:eastAsia="Arial" w:hAnsi="Arial"/>
          <w:sz w:val="16"/>
          <w:szCs w:val="16"/>
          <w:color w:val="435363"/>
        </w:rPr>
        <w:t>We strive to operate a sustainable business that has the ability to serve our stakeholders over the long-term. We have long recognized the importance of environmental and social issues and have developed an integrated and transparent approach to oversight, management, measurement, assurance and reporting of these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195580</wp:posOffset>
            </wp:positionV>
            <wp:extent cx="5177155" cy="1682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5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38</w:t>
      </w:r>
    </w:p>
    <w:p>
      <w:pPr>
        <w:spacing w:after="0" w:line="3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00"/>
          </w:cols>
          <w:pgMar w:left="320" w:top="477" w:right="5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right="40"/>
        <w:spacing w:after="0" w:line="248" w:lineRule="auto"/>
        <w:rPr>
          <w:sz w:val="20"/>
          <w:szCs w:val="20"/>
          <w:color w:val="auto"/>
        </w:rPr>
      </w:pPr>
      <w:r>
        <w:rPr>
          <w:rFonts w:ascii="Arial" w:cs="Arial" w:eastAsia="Arial" w:hAnsi="Arial"/>
          <w:sz w:val="16"/>
          <w:szCs w:val="16"/>
          <w:color w:val="435363"/>
        </w:rPr>
        <w:t>We periodically conduct sustainability-focused materiality assessment processes, most recently in early 2023, that serve as the foundation of our analysis of areas of risk and opportunity. And, through ongoing engagement across our Company and with a broad range of external stakeholders, we validate and, as needed, refine our assessment based on the input we receive and changes in our operating environment. We also continually monitor trends, standards and practices relevant to our industry, and look to widely-adopted external reporting frameworks, including the Taskforce on Climate-related Financial Disclosures, as key indicators of stakeholder perspectives on the most significant environmental, social and governance risks and opportunities for our company.</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In 2023, these activities affirmed our focus on the following priority issues:</w:t>
      </w:r>
    </w:p>
    <w:p>
      <w:pPr>
        <w:spacing w:after="0" w:line="81" w:lineRule="exact"/>
        <w:rPr>
          <w:sz w:val="20"/>
          <w:szCs w:val="20"/>
          <w:color w:val="auto"/>
        </w:rPr>
      </w:pPr>
    </w:p>
    <w:p>
      <w:pPr>
        <w:ind w:left="760" w:hanging="324"/>
        <w:spacing w:after="0"/>
        <w:tabs>
          <w:tab w:leader="none" w:pos="760" w:val="left"/>
        </w:tabs>
        <w:numPr>
          <w:ilvl w:val="0"/>
          <w:numId w:val="32"/>
        </w:numPr>
        <w:rPr>
          <w:rFonts w:ascii="Arial" w:cs="Arial" w:eastAsia="Arial" w:hAnsi="Arial"/>
          <w:sz w:val="16"/>
          <w:szCs w:val="16"/>
          <w:color w:val="3575B3"/>
        </w:rPr>
      </w:pPr>
      <w:r>
        <w:rPr>
          <w:rFonts w:ascii="Arial" w:cs="Arial" w:eastAsia="Arial" w:hAnsi="Arial"/>
          <w:sz w:val="16"/>
          <w:szCs w:val="16"/>
          <w:color w:val="435363"/>
        </w:rPr>
        <w:t>Safety</w:t>
      </w:r>
    </w:p>
    <w:p>
      <w:pPr>
        <w:spacing w:after="0" w:line="80" w:lineRule="exact"/>
        <w:rPr>
          <w:rFonts w:ascii="Arial" w:cs="Arial" w:eastAsia="Arial" w:hAnsi="Arial"/>
          <w:sz w:val="16"/>
          <w:szCs w:val="16"/>
          <w:color w:val="3575B3"/>
        </w:rPr>
      </w:pPr>
    </w:p>
    <w:p>
      <w:pPr>
        <w:ind w:left="760" w:hanging="324"/>
        <w:spacing w:after="0"/>
        <w:tabs>
          <w:tab w:leader="none" w:pos="760" w:val="left"/>
        </w:tabs>
        <w:numPr>
          <w:ilvl w:val="0"/>
          <w:numId w:val="32"/>
        </w:numPr>
        <w:rPr>
          <w:rFonts w:ascii="Arial" w:cs="Arial" w:eastAsia="Arial" w:hAnsi="Arial"/>
          <w:sz w:val="16"/>
          <w:szCs w:val="16"/>
          <w:color w:val="3575B3"/>
        </w:rPr>
      </w:pPr>
      <w:r>
        <w:rPr>
          <w:rFonts w:ascii="Arial" w:cs="Arial" w:eastAsia="Arial" w:hAnsi="Arial"/>
          <w:sz w:val="16"/>
          <w:szCs w:val="16"/>
          <w:color w:val="435363"/>
        </w:rPr>
        <w:t>Human capital</w:t>
      </w:r>
    </w:p>
    <w:p>
      <w:pPr>
        <w:spacing w:after="0" w:line="80" w:lineRule="exact"/>
        <w:rPr>
          <w:rFonts w:ascii="Arial" w:cs="Arial" w:eastAsia="Arial" w:hAnsi="Arial"/>
          <w:sz w:val="16"/>
          <w:szCs w:val="16"/>
          <w:color w:val="3575B3"/>
        </w:rPr>
      </w:pPr>
    </w:p>
    <w:p>
      <w:pPr>
        <w:ind w:left="760" w:hanging="324"/>
        <w:spacing w:after="0"/>
        <w:tabs>
          <w:tab w:leader="none" w:pos="760" w:val="left"/>
        </w:tabs>
        <w:numPr>
          <w:ilvl w:val="0"/>
          <w:numId w:val="32"/>
        </w:numPr>
        <w:rPr>
          <w:rFonts w:ascii="Arial" w:cs="Arial" w:eastAsia="Arial" w:hAnsi="Arial"/>
          <w:sz w:val="16"/>
          <w:szCs w:val="16"/>
          <w:color w:val="3575B3"/>
        </w:rPr>
      </w:pPr>
      <w:r>
        <w:rPr>
          <w:rFonts w:ascii="Arial" w:cs="Arial" w:eastAsia="Arial" w:hAnsi="Arial"/>
          <w:sz w:val="16"/>
          <w:szCs w:val="16"/>
          <w:color w:val="435363"/>
        </w:rPr>
        <w:t>Customer satisfaction and operational performance</w:t>
      </w:r>
    </w:p>
    <w:p>
      <w:pPr>
        <w:spacing w:after="0" w:line="80" w:lineRule="exact"/>
        <w:rPr>
          <w:rFonts w:ascii="Arial" w:cs="Arial" w:eastAsia="Arial" w:hAnsi="Arial"/>
          <w:sz w:val="16"/>
          <w:szCs w:val="16"/>
          <w:color w:val="3575B3"/>
        </w:rPr>
      </w:pPr>
    </w:p>
    <w:p>
      <w:pPr>
        <w:ind w:left="760" w:hanging="324"/>
        <w:spacing w:after="0"/>
        <w:tabs>
          <w:tab w:leader="none" w:pos="760" w:val="left"/>
        </w:tabs>
        <w:numPr>
          <w:ilvl w:val="0"/>
          <w:numId w:val="32"/>
        </w:numPr>
        <w:rPr>
          <w:rFonts w:ascii="Arial" w:cs="Arial" w:eastAsia="Arial" w:hAnsi="Arial"/>
          <w:sz w:val="16"/>
          <w:szCs w:val="16"/>
          <w:color w:val="3575B3"/>
        </w:rPr>
      </w:pPr>
      <w:r>
        <w:rPr>
          <w:rFonts w:ascii="Arial" w:cs="Arial" w:eastAsia="Arial" w:hAnsi="Arial"/>
          <w:sz w:val="16"/>
          <w:szCs w:val="16"/>
          <w:color w:val="435363"/>
        </w:rPr>
        <w:t>Climate change and fuel efficiency</w:t>
      </w:r>
    </w:p>
    <w:p>
      <w:pPr>
        <w:spacing w:after="0" w:line="107" w:lineRule="exact"/>
        <w:rPr>
          <w:sz w:val="20"/>
          <w:szCs w:val="20"/>
          <w:color w:val="auto"/>
        </w:rPr>
      </w:pPr>
    </w:p>
    <w:p>
      <w:pPr>
        <w:ind w:left="220" w:right="100"/>
        <w:spacing w:after="0" w:line="250" w:lineRule="auto"/>
        <w:rPr>
          <w:sz w:val="20"/>
          <w:szCs w:val="20"/>
          <w:color w:val="auto"/>
        </w:rPr>
      </w:pPr>
      <w:r>
        <w:rPr>
          <w:rFonts w:ascii="Arial" w:cs="Arial" w:eastAsia="Arial" w:hAnsi="Arial"/>
          <w:sz w:val="16"/>
          <w:szCs w:val="16"/>
          <w:color w:val="435363"/>
        </w:rPr>
        <w:t>Driving progress across all these issues is a key objective for American. Many of these issues are not new for our Company—indeed, a key reason American has thrived for nearly a century is because we have long recognized the importance of these issues. At the same time, we recognize that the business landscape is evolving rapidly and that we must be ready to address new areas if and when they emerge. Over time we have worked to develop a more integrated approach to our management of key risks and opportunities. We will continue to seek stakeholder input while also closely monitoring emerging practices and trends.</w:t>
      </w:r>
    </w:p>
    <w:p>
      <w:pPr>
        <w:spacing w:after="0" w:line="74" w:lineRule="exact"/>
        <w:rPr>
          <w:sz w:val="20"/>
          <w:szCs w:val="20"/>
          <w:color w:val="auto"/>
        </w:rPr>
      </w:pPr>
    </w:p>
    <w:p>
      <w:pPr>
        <w:ind w:left="220" w:right="560"/>
        <w:spacing w:after="0" w:line="258" w:lineRule="auto"/>
        <w:rPr>
          <w:sz w:val="20"/>
          <w:szCs w:val="20"/>
          <w:color w:val="auto"/>
        </w:rPr>
      </w:pPr>
      <w:r>
        <w:rPr>
          <w:rFonts w:ascii="Arial" w:cs="Arial" w:eastAsia="Arial" w:hAnsi="Arial"/>
          <w:sz w:val="16"/>
          <w:szCs w:val="16"/>
          <w:b w:val="1"/>
          <w:bCs w:val="1"/>
          <w:color w:val="435363"/>
        </w:rPr>
        <w:t xml:space="preserve">Safety. </w:t>
      </w:r>
      <w:r>
        <w:rPr>
          <w:rFonts w:ascii="Arial" w:cs="Arial" w:eastAsia="Arial" w:hAnsi="Arial"/>
          <w:sz w:val="16"/>
          <w:szCs w:val="16"/>
          <w:color w:val="435363"/>
        </w:rPr>
        <w:t>Our commitment to safety, security and continuous improvement is at the foundation of our operations. Our Chief Executive Officer retains</w:t>
      </w:r>
      <w:r>
        <w:rPr>
          <w:rFonts w:ascii="Arial" w:cs="Arial" w:eastAsia="Arial" w:hAnsi="Arial"/>
          <w:sz w:val="16"/>
          <w:szCs w:val="16"/>
          <w:b w:val="1"/>
          <w:bCs w:val="1"/>
          <w:color w:val="435363"/>
        </w:rPr>
        <w:t xml:space="preserve"> </w:t>
      </w:r>
      <w:r>
        <w:rPr>
          <w:rFonts w:ascii="Arial" w:cs="Arial" w:eastAsia="Arial" w:hAnsi="Arial"/>
          <w:sz w:val="16"/>
          <w:szCs w:val="16"/>
          <w:color w:val="435363"/>
        </w:rPr>
        <w:t>ultimate responsibility and authority for American’s safety culture and performance, while the Board’s Safety Committee has formal oversight responsibilities for safety. The Board receives regular updates on key safety performance metrics and programs throughout the year.</w:t>
      </w:r>
    </w:p>
    <w:p>
      <w:pPr>
        <w:spacing w:after="0" w:line="68" w:lineRule="exact"/>
        <w:rPr>
          <w:sz w:val="20"/>
          <w:szCs w:val="20"/>
          <w:color w:val="auto"/>
        </w:rPr>
      </w:pPr>
    </w:p>
    <w:p>
      <w:pPr>
        <w:ind w:left="220" w:right="40"/>
        <w:spacing w:after="0" w:line="258" w:lineRule="auto"/>
        <w:rPr>
          <w:sz w:val="20"/>
          <w:szCs w:val="20"/>
          <w:color w:val="auto"/>
        </w:rPr>
      </w:pPr>
      <w:r>
        <w:rPr>
          <w:rFonts w:ascii="Arial" w:cs="Arial" w:eastAsia="Arial" w:hAnsi="Arial"/>
          <w:sz w:val="16"/>
          <w:szCs w:val="16"/>
          <w:b w:val="1"/>
          <w:bCs w:val="1"/>
          <w:color w:val="435363"/>
        </w:rPr>
        <w:t xml:space="preserve">Human capital. </w:t>
      </w:r>
      <w:r>
        <w:rPr>
          <w:rFonts w:ascii="Arial" w:cs="Arial" w:eastAsia="Arial" w:hAnsi="Arial"/>
          <w:sz w:val="16"/>
          <w:szCs w:val="16"/>
          <w:color w:val="435363"/>
        </w:rPr>
        <w:t>Our Compensation Committee has oversight responsibility for our human capital issues, including team member compensation, benefits,</w:t>
      </w:r>
      <w:r>
        <w:rPr>
          <w:rFonts w:ascii="Arial" w:cs="Arial" w:eastAsia="Arial" w:hAnsi="Arial"/>
          <w:sz w:val="16"/>
          <w:szCs w:val="16"/>
          <w:b w:val="1"/>
          <w:bCs w:val="1"/>
          <w:color w:val="435363"/>
        </w:rPr>
        <w:t xml:space="preserve"> </w:t>
      </w:r>
      <w:r>
        <w:rPr>
          <w:rFonts w:ascii="Arial" w:cs="Arial" w:eastAsia="Arial" w:hAnsi="Arial"/>
          <w:sz w:val="16"/>
          <w:szCs w:val="16"/>
          <w:color w:val="435363"/>
        </w:rPr>
        <w:t>engagement, talent development and diversity, equity and inclusion (“DEI”). Our Board receives updates on these topics quarterly, and our full Board reviews union relations regularly in its meetings.</w:t>
      </w:r>
    </w:p>
    <w:p>
      <w:pPr>
        <w:spacing w:after="0" w:line="68" w:lineRule="exact"/>
        <w:rPr>
          <w:sz w:val="20"/>
          <w:szCs w:val="20"/>
          <w:color w:val="auto"/>
        </w:rPr>
      </w:pPr>
    </w:p>
    <w:p>
      <w:pPr>
        <w:ind w:left="220" w:right="380"/>
        <w:spacing w:after="0" w:line="252" w:lineRule="auto"/>
        <w:rPr>
          <w:sz w:val="20"/>
          <w:szCs w:val="20"/>
          <w:color w:val="auto"/>
        </w:rPr>
      </w:pPr>
      <w:r>
        <w:rPr>
          <w:rFonts w:ascii="Arial" w:cs="Arial" w:eastAsia="Arial" w:hAnsi="Arial"/>
          <w:sz w:val="16"/>
          <w:szCs w:val="16"/>
          <w:b w:val="1"/>
          <w:bCs w:val="1"/>
          <w:color w:val="435363"/>
        </w:rPr>
        <w:t xml:space="preserve">Customer satisfaction and operational performance. </w:t>
      </w:r>
      <w:r>
        <w:rPr>
          <w:rFonts w:ascii="Arial" w:cs="Arial" w:eastAsia="Arial" w:hAnsi="Arial"/>
          <w:sz w:val="16"/>
          <w:szCs w:val="16"/>
          <w:color w:val="435363"/>
        </w:rPr>
        <w:t>We fly to more than 300 destinations in the United States and internationally, and we are</w:t>
      </w:r>
      <w:r>
        <w:rPr>
          <w:rFonts w:ascii="Arial" w:cs="Arial" w:eastAsia="Arial" w:hAnsi="Arial"/>
          <w:sz w:val="16"/>
          <w:szCs w:val="16"/>
          <w:b w:val="1"/>
          <w:bCs w:val="1"/>
          <w:color w:val="435363"/>
        </w:rPr>
        <w:t xml:space="preserve"> </w:t>
      </w:r>
      <w:r>
        <w:rPr>
          <w:rFonts w:ascii="Arial" w:cs="Arial" w:eastAsia="Arial" w:hAnsi="Arial"/>
          <w:sz w:val="16"/>
          <w:szCs w:val="16"/>
          <w:color w:val="435363"/>
        </w:rPr>
        <w:t>committed to providing our customers with a world-class travel experience and running a reliable operation. We continued to rigorously measure and track our operational performance and customer satisfaction in 2023, efforts that led to further improvements in our operations and the services we provide. Our full Board reviews customer satisfaction and operational performance regularly in its meetings.</w:t>
      </w:r>
    </w:p>
    <w:p>
      <w:pPr>
        <w:spacing w:after="0" w:line="180" w:lineRule="exact"/>
        <w:rPr>
          <w:sz w:val="20"/>
          <w:szCs w:val="20"/>
          <w:color w:val="auto"/>
        </w:rPr>
      </w:pPr>
    </w:p>
    <w:p>
      <w:pPr>
        <w:jc w:val="both"/>
        <w:ind w:left="220" w:right="160"/>
        <w:spacing w:after="0" w:line="258" w:lineRule="auto"/>
        <w:rPr>
          <w:sz w:val="20"/>
          <w:szCs w:val="20"/>
          <w:color w:val="auto"/>
        </w:rPr>
      </w:pPr>
      <w:r>
        <w:rPr>
          <w:rFonts w:ascii="Arial" w:cs="Arial" w:eastAsia="Arial" w:hAnsi="Arial"/>
          <w:sz w:val="16"/>
          <w:szCs w:val="16"/>
          <w:b w:val="1"/>
          <w:bCs w:val="1"/>
          <w:color w:val="435363"/>
        </w:rPr>
        <w:t xml:space="preserve">Climate change and fuel efficiency. </w:t>
      </w:r>
      <w:r>
        <w:rPr>
          <w:rFonts w:ascii="Arial" w:cs="Arial" w:eastAsia="Arial" w:hAnsi="Arial"/>
          <w:sz w:val="16"/>
          <w:szCs w:val="16"/>
          <w:color w:val="435363"/>
        </w:rPr>
        <w:t>The CGPR Committee has primary responsibility for oversight of the Company’s sustainability strategy (including</w:t>
      </w:r>
      <w:r>
        <w:rPr>
          <w:rFonts w:ascii="Arial" w:cs="Arial" w:eastAsia="Arial" w:hAnsi="Arial"/>
          <w:sz w:val="16"/>
          <w:szCs w:val="16"/>
          <w:b w:val="1"/>
          <w:bCs w:val="1"/>
          <w:color w:val="435363"/>
        </w:rPr>
        <w:t xml:space="preserve"> </w:t>
      </w:r>
      <w:r>
        <w:rPr>
          <w:rFonts w:ascii="Arial" w:cs="Arial" w:eastAsia="Arial" w:hAnsi="Arial"/>
          <w:sz w:val="16"/>
          <w:szCs w:val="16"/>
          <w:color w:val="435363"/>
        </w:rPr>
        <w:t>climate change risks and opportunities), objectives, efforts, progress and achievements. In 2022, we formally assigned responsibility for oversight of our climate change strategy at the management level to our Chief Executive Officer.</w:t>
      </w:r>
    </w:p>
    <w:p>
      <w:pPr>
        <w:spacing w:after="0" w:line="68" w:lineRule="exact"/>
        <w:rPr>
          <w:sz w:val="20"/>
          <w:szCs w:val="20"/>
          <w:color w:val="auto"/>
        </w:rPr>
      </w:pPr>
    </w:p>
    <w:p>
      <w:pPr>
        <w:ind w:left="220" w:right="100"/>
        <w:spacing w:after="0" w:line="250" w:lineRule="auto"/>
        <w:rPr>
          <w:sz w:val="20"/>
          <w:szCs w:val="20"/>
          <w:color w:val="auto"/>
        </w:rPr>
      </w:pPr>
      <w:r>
        <w:rPr>
          <w:rFonts w:ascii="Arial" w:cs="Arial" w:eastAsia="Arial" w:hAnsi="Arial"/>
          <w:sz w:val="16"/>
          <w:szCs w:val="16"/>
          <w:color w:val="435363"/>
        </w:rPr>
        <w:t>As we reported in our Annual Report on Form 10-K, we have established ambitious goals to achieve net zero greenhouse gas (“GHG”) emissions by 2050. We have also set an intermediate science-based target to drive progress toward that goal. Our strategy for reaching net zero emissions by 2050 is focused on running a more fuel-efficient operation, with more fuel-efficient aircraft, increasingly powered by lower-carbon fuel. Achieving our ambitious climate goals will require significant action and investments by governments, manufacturers and other stakeholders. We are committed to engaging with our stakeholders to seek to advance these initiatives, and we have dedicated resources to advance our progress.</w:t>
      </w:r>
    </w:p>
    <w:p>
      <w:pPr>
        <w:spacing w:after="0" w:line="74" w:lineRule="exact"/>
        <w:rPr>
          <w:sz w:val="20"/>
          <w:szCs w:val="20"/>
          <w:color w:val="auto"/>
        </w:rPr>
      </w:pPr>
    </w:p>
    <w:p>
      <w:pPr>
        <w:ind w:left="220" w:right="60"/>
        <w:spacing w:after="0" w:line="250" w:lineRule="auto"/>
        <w:rPr>
          <w:sz w:val="20"/>
          <w:szCs w:val="20"/>
          <w:color w:val="auto"/>
        </w:rPr>
      </w:pPr>
      <w:r>
        <w:rPr>
          <w:rFonts w:ascii="Arial" w:cs="Arial" w:eastAsia="Arial" w:hAnsi="Arial"/>
          <w:sz w:val="16"/>
          <w:szCs w:val="16"/>
          <w:color w:val="435363"/>
        </w:rPr>
        <w:t xml:space="preserve">We are committed to providing regular and transparent information about our strategies and performance on the sustainability issues that are most important to our company and our stakeholders. We have produced an annual report on these topics since 2007, and we intend to continue providing our stakeholders with information on our sustainability performance annually. We align our reporting with the recommendations of the Task Force on Climate-related Financial Disclosures, and we monitor evolving disclosure standards for best practices. Our most recent such report is available at </w:t>
      </w:r>
      <w:r>
        <w:rPr>
          <w:rFonts w:ascii="Arial" w:cs="Arial" w:eastAsia="Arial" w:hAnsi="Arial"/>
          <w:sz w:val="16"/>
          <w:szCs w:val="16"/>
          <w:i w:val="1"/>
          <w:iCs w:val="1"/>
          <w:color w:val="435363"/>
        </w:rPr>
        <w:t xml:space="preserve">www.aa.com/esgreport </w:t>
      </w:r>
      <w:r>
        <w:rPr>
          <w:rFonts w:ascii="Arial" w:cs="Arial" w:eastAsia="Arial" w:hAnsi="Arial"/>
          <w:sz w:val="16"/>
          <w:szCs w:val="16"/>
          <w:color w:val="435363"/>
        </w:rPr>
        <w:t>but is not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106680</wp:posOffset>
            </wp:positionV>
            <wp:extent cx="5177155" cy="1682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39</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right="40"/>
        <w:spacing w:after="0" w:line="252" w:lineRule="auto"/>
        <w:rPr>
          <w:sz w:val="20"/>
          <w:szCs w:val="20"/>
          <w:color w:val="auto"/>
        </w:rPr>
      </w:pPr>
      <w:r>
        <w:rPr>
          <w:rFonts w:ascii="Arial" w:cs="Arial" w:eastAsia="Arial" w:hAnsi="Arial"/>
          <w:sz w:val="16"/>
          <w:szCs w:val="16"/>
          <w:color w:val="435363"/>
        </w:rPr>
        <w:t>In 2023, the Company was named to the Dow Jones Sustainability World Index for the first time, one of only two passenger airlines included in the index. The Company was also named to the Dow Jones Sustainability North America Index for the third year in a row. The recognition is a testament to the Company’s ongoing commitment to sustainability, including our efforts to transition to a low-carbon airline over time, invest in our team members, and provide regular and transparent ESG disclosures.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Codes of Ethics</w:t>
      </w:r>
    </w:p>
    <w:p>
      <w:pPr>
        <w:spacing w:after="0" w:line="90" w:lineRule="exact"/>
        <w:rPr>
          <w:sz w:val="20"/>
          <w:szCs w:val="20"/>
          <w:color w:val="auto"/>
        </w:rPr>
      </w:pPr>
    </w:p>
    <w:p>
      <w:pPr>
        <w:ind w:left="220" w:right="20"/>
        <w:spacing w:after="0" w:line="246" w:lineRule="auto"/>
        <w:rPr>
          <w:sz w:val="20"/>
          <w:szCs w:val="20"/>
          <w:color w:val="auto"/>
        </w:rPr>
      </w:pPr>
      <w:r>
        <w:rPr>
          <w:rFonts w:ascii="Arial" w:cs="Arial" w:eastAsia="Arial" w:hAnsi="Arial"/>
          <w:sz w:val="16"/>
          <w:szCs w:val="16"/>
          <w:color w:val="435363"/>
        </w:rPr>
        <w:t xml:space="preserve">Our employees, including our principal executive officer, principal financial officer, principal accounting officer, and our directors are governed by one of two codes of ethics of the Company (collectively, the “Codes of Ethics”). The Codes of Ethics have been approved by our Board and require our employees and directors to conduct Company business in the highest legal and ethical manner. The Codes of Ethics meet the requirements of a “code of ethics” as defined by Item 406 of Regulation S-K and the requirements of a code of business conduct and ethics under applicable Nasdaq listing standards. The full texts of the Codes of Ethics and further details regarding the scope of each of the Codes of Ethics are available on our website at </w:t>
      </w:r>
      <w:r>
        <w:rPr>
          <w:rFonts w:ascii="Arial" w:cs="Arial" w:eastAsia="Arial" w:hAnsi="Arial"/>
          <w:sz w:val="16"/>
          <w:szCs w:val="16"/>
          <w:i w:val="1"/>
          <w:iCs w:val="1"/>
          <w:color w:val="435363"/>
        </w:rPr>
        <w:t xml:space="preserve">www.aa.com </w:t>
      </w:r>
      <w:r>
        <w:rPr>
          <w:rFonts w:ascii="Arial" w:cs="Arial" w:eastAsia="Arial" w:hAnsi="Arial"/>
          <w:sz w:val="16"/>
          <w:szCs w:val="16"/>
          <w:color w:val="435363"/>
        </w:rPr>
        <w:t>under the links “Investor Relations”—“Corporate Governance.” We will also provide a copy of the Codes of Ethics to stockholders, free of</w:t>
      </w:r>
      <w:r>
        <w:rPr>
          <w:rFonts w:ascii="Arial" w:cs="Arial" w:eastAsia="Arial" w:hAnsi="Arial"/>
          <w:sz w:val="16"/>
          <w:szCs w:val="16"/>
          <w:i w:val="1"/>
          <w:iCs w:val="1"/>
          <w:color w:val="435363"/>
        </w:rPr>
        <w:t xml:space="preserve"> </w:t>
      </w:r>
      <w:r>
        <w:rPr>
          <w:rFonts w:ascii="Arial" w:cs="Arial" w:eastAsia="Arial" w:hAnsi="Arial"/>
          <w:sz w:val="16"/>
          <w:szCs w:val="16"/>
          <w:color w:val="435363"/>
        </w:rPr>
        <w:t>charge, upon request to our Corporate Secretary. Any amendments to or waivers from the Codes of Ethics will be posted at this location on our website as required by applicable SEC and Nasdaq rules.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Public Policy Engagement and Political Participation</w:t>
      </w:r>
    </w:p>
    <w:p>
      <w:pPr>
        <w:spacing w:after="0" w:line="77"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435363"/>
        </w:rPr>
        <w:t xml:space="preserve">Engagement in the political, legislative and regulatory process is important to the success of the Company. Compliance and oversight of our public policy and political engagement is provided by our Executive Vice President and Chief Government Affairs Officer, who reports to the Chief Executive Officer. At the Board level, the CGPR Committee is responsible for reviewing and assessing the Company’s public policy and political activities. The Company’s Statement on Public Policy Engagement and Political Participation is available at </w:t>
      </w:r>
      <w:r>
        <w:rPr>
          <w:rFonts w:ascii="Arial" w:cs="Arial" w:eastAsia="Arial" w:hAnsi="Arial"/>
          <w:sz w:val="16"/>
          <w:szCs w:val="16"/>
          <w:i w:val="1"/>
          <w:iCs w:val="1"/>
          <w:color w:val="435363"/>
        </w:rPr>
        <w:t>www.aa.com/esg</w:t>
      </w:r>
      <w:r>
        <w:rPr>
          <w:rFonts w:ascii="Arial" w:cs="Arial" w:eastAsia="Arial" w:hAnsi="Arial"/>
          <w:sz w:val="16"/>
          <w:szCs w:val="16"/>
          <w:color w:val="435363"/>
        </w:rPr>
        <w:t>, but is not incorporated by reference into this Proxy Statement.</w:t>
      </w:r>
    </w:p>
    <w:p>
      <w:pPr>
        <w:spacing w:after="0" w:line="74"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435363"/>
        </w:rPr>
        <w:t>We do not use corporate funds to contribute to candidates, political party committees or political action committees, including Super PACs and political committees organized under Section 527 of the Internal Revenue Code to promote the election or defeat of candidates for office. We do not use corporate funds to make independent political expenditures or electioneering communications. If the Company makes payments to other tax-exempt organizations, such as 501(c)(4)s, that the recipient may use for political purposes, we will publicly disclose those payments on our corporate website. On rare occasions, we may use corporate funds to support or oppose state and local ballot initiatives if we believe an initiative would materially affect our business or the transportation infrastructure in the communities we serve. If we make any such contribution, we will disclose the amount and recipient on our corporate website.</w:t>
      </w:r>
    </w:p>
    <w:p>
      <w:pPr>
        <w:spacing w:after="0" w:line="77" w:lineRule="exact"/>
        <w:rPr>
          <w:sz w:val="20"/>
          <w:szCs w:val="20"/>
          <w:color w:val="auto"/>
        </w:rPr>
      </w:pPr>
    </w:p>
    <w:p>
      <w:pPr>
        <w:ind w:left="220"/>
        <w:spacing w:after="0" w:line="258" w:lineRule="auto"/>
        <w:rPr>
          <w:sz w:val="20"/>
          <w:szCs w:val="20"/>
          <w:color w:val="auto"/>
        </w:rPr>
      </w:pPr>
      <w:r>
        <w:rPr>
          <w:rFonts w:ascii="Arial" w:cs="Arial" w:eastAsia="Arial" w:hAnsi="Arial"/>
          <w:sz w:val="16"/>
          <w:szCs w:val="16"/>
          <w:color w:val="435363"/>
        </w:rPr>
        <w:t>As part of our public policy engagement, we are members of several trade and industry associations, and we disclose on our corporate website a full list of the Company’s trade association memberships for which our fees exceed $25,000. We also disclose the non-deductible portion of the dues we pay our major trade associations.</w:t>
      </w:r>
    </w:p>
    <w:p>
      <w:pPr>
        <w:spacing w:after="0" w:line="68" w:lineRule="exact"/>
        <w:rPr>
          <w:sz w:val="20"/>
          <w:szCs w:val="20"/>
          <w:color w:val="auto"/>
        </w:rPr>
      </w:pPr>
    </w:p>
    <w:p>
      <w:pPr>
        <w:ind w:left="220"/>
        <w:spacing w:after="0" w:line="275" w:lineRule="auto"/>
        <w:rPr>
          <w:sz w:val="20"/>
          <w:szCs w:val="20"/>
          <w:color w:val="auto"/>
        </w:rPr>
      </w:pPr>
      <w:r>
        <w:rPr>
          <w:rFonts w:ascii="Arial" w:cs="Arial" w:eastAsia="Arial" w:hAnsi="Arial"/>
          <w:sz w:val="16"/>
          <w:szCs w:val="16"/>
          <w:color w:val="435363"/>
        </w:rPr>
        <w:t xml:space="preserve">For further information, please see our Statement on Public Policy Engagement and Political Participation, available on our website at </w:t>
      </w:r>
      <w:r>
        <w:rPr>
          <w:rFonts w:ascii="Arial" w:cs="Arial" w:eastAsia="Arial" w:hAnsi="Arial"/>
          <w:sz w:val="16"/>
          <w:szCs w:val="16"/>
          <w:i w:val="1"/>
          <w:iCs w:val="1"/>
          <w:color w:val="435363"/>
        </w:rPr>
        <w:t>www.aa.com</w:t>
      </w:r>
      <w:r>
        <w:rPr>
          <w:rFonts w:ascii="Arial" w:cs="Arial" w:eastAsia="Arial" w:hAnsi="Arial"/>
          <w:sz w:val="16"/>
          <w:szCs w:val="16"/>
          <w:color w:val="435363"/>
        </w:rPr>
        <w:t xml:space="preserve"> under the links “About us”—“Corporate Governance.”</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Prohibition on Hedging and Pledging</w:t>
      </w:r>
    </w:p>
    <w:p>
      <w:pPr>
        <w:spacing w:after="0" w:line="77" w:lineRule="exact"/>
        <w:rPr>
          <w:sz w:val="20"/>
          <w:szCs w:val="20"/>
          <w:color w:val="auto"/>
        </w:rPr>
      </w:pPr>
    </w:p>
    <w:p>
      <w:pPr>
        <w:ind w:left="220" w:right="120"/>
        <w:spacing w:after="0" w:line="250" w:lineRule="auto"/>
        <w:rPr>
          <w:sz w:val="20"/>
          <w:szCs w:val="20"/>
          <w:color w:val="auto"/>
        </w:rPr>
      </w:pPr>
      <w:r>
        <w:rPr>
          <w:rFonts w:ascii="Arial" w:cs="Arial" w:eastAsia="Arial" w:hAnsi="Arial"/>
          <w:sz w:val="16"/>
          <w:szCs w:val="16"/>
          <w:color w:val="435363"/>
        </w:rPr>
        <w:t>Our insider trading policy prohibits the members of our Board, our executive officers, managing directors and director-level employees and our other employees with any regular access to material non-public information, from hedging the economic risk of security ownership. This prohibition includes options trading on any of the stock exchanges or futures exchanges, as well as customized derivative or hedging transactions with third parties, such as zero-cost collars and forward sale contracts with respect to Company securities. In addition, the members of our Board and such employees are prohibited from pledging Company securities to secure margin or other loans.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Annual Meeting Attendance</w:t>
      </w:r>
    </w:p>
    <w:p>
      <w:pPr>
        <w:spacing w:after="0" w:line="90" w:lineRule="exact"/>
        <w:rPr>
          <w:sz w:val="20"/>
          <w:szCs w:val="20"/>
          <w:color w:val="auto"/>
        </w:rPr>
      </w:pPr>
    </w:p>
    <w:p>
      <w:pPr>
        <w:ind w:left="220" w:right="740"/>
        <w:spacing w:after="0" w:line="275" w:lineRule="auto"/>
        <w:rPr>
          <w:sz w:val="20"/>
          <w:szCs w:val="20"/>
          <w:color w:val="auto"/>
        </w:rPr>
      </w:pPr>
      <w:r>
        <w:rPr>
          <w:rFonts w:ascii="Arial" w:cs="Arial" w:eastAsia="Arial" w:hAnsi="Arial"/>
          <w:sz w:val="16"/>
          <w:szCs w:val="16"/>
          <w:color w:val="435363"/>
        </w:rPr>
        <w:t>Our Governance Guidelines provide that each of our directors is expected to attend our Annual Meeting of stockholders, except where unusual circumstances arise. All of the directors who were on our Board at the time attended our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186690</wp:posOffset>
            </wp:positionV>
            <wp:extent cx="5177155" cy="1682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3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40</w:t>
      </w:r>
    </w:p>
    <w:p>
      <w:pPr>
        <w:spacing w:after="0" w:line="3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0980"/>
          </w:cols>
          <w:pgMar w:left="320" w:top="477" w:right="5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Director Continuing Education</w:t>
      </w:r>
    </w:p>
    <w:p>
      <w:pPr>
        <w:spacing w:after="0" w:line="90" w:lineRule="exact"/>
        <w:rPr>
          <w:sz w:val="20"/>
          <w:szCs w:val="20"/>
          <w:color w:val="auto"/>
        </w:rPr>
      </w:pPr>
    </w:p>
    <w:p>
      <w:pPr>
        <w:ind w:left="220" w:right="100"/>
        <w:spacing w:after="0" w:line="252" w:lineRule="auto"/>
        <w:rPr>
          <w:sz w:val="20"/>
          <w:szCs w:val="20"/>
          <w:color w:val="auto"/>
        </w:rPr>
      </w:pPr>
      <w:r>
        <w:rPr>
          <w:rFonts w:ascii="Arial" w:cs="Arial" w:eastAsia="Arial" w:hAnsi="Arial"/>
          <w:sz w:val="16"/>
          <w:szCs w:val="16"/>
          <w:color w:val="435363"/>
        </w:rPr>
        <w:t>Non-employee directors are encouraged to attend seminars, conferences and other director education programs periodically. We reimburse the directors for the costs associated with these seminars and conferences, including related travel expenses. Management also conducts a comprehensive orientation process for new directors. In addition, directors receive continuing education through educational sessions at meetings and mailings between meetings.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Communications with the Board and Non-Management Directors</w:t>
      </w:r>
    </w:p>
    <w:p>
      <w:pPr>
        <w:spacing w:after="0" w:line="77" w:lineRule="exact"/>
        <w:rPr>
          <w:sz w:val="20"/>
          <w:szCs w:val="20"/>
          <w:color w:val="auto"/>
        </w:rPr>
      </w:pPr>
    </w:p>
    <w:p>
      <w:pPr>
        <w:ind w:left="220" w:right="180"/>
        <w:spacing w:after="0" w:line="258" w:lineRule="auto"/>
        <w:rPr>
          <w:sz w:val="20"/>
          <w:szCs w:val="20"/>
          <w:color w:val="auto"/>
        </w:rPr>
      </w:pPr>
      <w:r>
        <w:rPr>
          <w:rFonts w:ascii="Arial" w:cs="Arial" w:eastAsia="Arial" w:hAnsi="Arial"/>
          <w:sz w:val="16"/>
          <w:szCs w:val="16"/>
          <w:color w:val="435363"/>
        </w:rPr>
        <w:t>The Board has approved procedures to facilitate communications between the directors and employees, stockholders and other interested third parties. Pursuant to these procedures, a person who desires to contact the Board, a standing committee of the Board or a director may do so in writing to the following address:</w:t>
      </w:r>
    </w:p>
    <w:p>
      <w:pPr>
        <w:spacing w:after="0" w:line="6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435363"/>
        </w:rPr>
        <w:t>American Airlines Group Inc.</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435363"/>
        </w:rPr>
        <w:t>The Board of Directors</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435363"/>
        </w:rPr>
        <w:t>MD8B503</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435363"/>
        </w:rPr>
        <w:t>1 Skyview Drive,</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435363"/>
        </w:rPr>
        <w:t>Fort Worth, Texas 76155</w:t>
      </w:r>
    </w:p>
    <w:p>
      <w:pPr>
        <w:spacing w:after="0" w:line="91" w:lineRule="exact"/>
        <w:rPr>
          <w:sz w:val="20"/>
          <w:szCs w:val="20"/>
          <w:color w:val="auto"/>
        </w:rPr>
      </w:pPr>
    </w:p>
    <w:p>
      <w:pPr>
        <w:ind w:left="220" w:right="100"/>
        <w:spacing w:after="0" w:line="250" w:lineRule="auto"/>
        <w:rPr>
          <w:sz w:val="20"/>
          <w:szCs w:val="20"/>
          <w:color w:val="auto"/>
        </w:rPr>
      </w:pPr>
      <w:r>
        <w:rPr>
          <w:rFonts w:ascii="Arial" w:cs="Arial" w:eastAsia="Arial" w:hAnsi="Arial"/>
          <w:sz w:val="16"/>
          <w:szCs w:val="16"/>
          <w:color w:val="435363"/>
        </w:rPr>
        <w:t>We will review the communications with the directors, a standing committee of the Board or an officer, in each case depending on the facts and circumstances outlined in the communication. The CGPR Committee also reviews with senior management the nature of the communications and our responses to them. Any communication relating to a stockholder nominee for a position on the Board or a stockholder proposal for business to be considered at any annual meeting of stockholders or included in any proxy statement will be sent to the Chair of the CGPR Committee. Our Independent Chair has been designated as the primary director representative for consultation and direct communication with our stockholders.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Stockholder Engagement</w:t>
      </w:r>
    </w:p>
    <w:p>
      <w:pPr>
        <w:spacing w:after="0" w:line="77" w:lineRule="exact"/>
        <w:rPr>
          <w:sz w:val="20"/>
          <w:szCs w:val="20"/>
          <w:color w:val="auto"/>
        </w:rPr>
      </w:pPr>
    </w:p>
    <w:p>
      <w:pPr>
        <w:ind w:left="220" w:right="160"/>
        <w:spacing w:after="0" w:line="246" w:lineRule="auto"/>
        <w:rPr>
          <w:sz w:val="20"/>
          <w:szCs w:val="20"/>
          <w:color w:val="auto"/>
        </w:rPr>
      </w:pPr>
      <w:r>
        <w:rPr>
          <w:rFonts w:ascii="Arial" w:cs="Arial" w:eastAsia="Arial" w:hAnsi="Arial"/>
          <w:sz w:val="16"/>
          <w:szCs w:val="16"/>
          <w:color w:val="435363"/>
        </w:rPr>
        <w:t>Our stockholder engagement program is designed to share relevant updates with our investors and to better understand their perspectives on key challenges at the Company and in the broader airline industry and capital markets. These conversations play a critical role in informing our corporate governance practices, executive compensation program, and sustainability initiatives and reporting, among other topics. In 2023, we contacted stockholders representing approximately 40% of outstanding shares, and held discussions with investors representing nearly 20% of our outstanding shares. We also held engagements with the leading proxy advisor firms. Our Vice President, Deputy General Counsel &amp; Corporate Secretary led the majority of our off-season engagements with involvement from our Vice President, Investor Relations, Vice President, Sustainability and other members of management as appropriate. Greg Smith, our Independent Chairman, and Denise O’Leary, our Compensation Committee Chair, also participated in select engagements.</w:t>
      </w:r>
    </w:p>
    <w:p>
      <w:pPr>
        <w:spacing w:after="0" w:line="79" w:lineRule="exact"/>
        <w:rPr>
          <w:sz w:val="20"/>
          <w:szCs w:val="20"/>
          <w:color w:val="auto"/>
        </w:rPr>
      </w:pPr>
    </w:p>
    <w:p>
      <w:pPr>
        <w:ind w:left="220" w:right="40"/>
        <w:spacing w:after="0" w:line="252" w:lineRule="auto"/>
        <w:rPr>
          <w:sz w:val="20"/>
          <w:szCs w:val="20"/>
          <w:color w:val="auto"/>
        </w:rPr>
      </w:pPr>
      <w:r>
        <w:rPr>
          <w:rFonts w:ascii="Arial" w:cs="Arial" w:eastAsia="Arial" w:hAnsi="Arial"/>
          <w:sz w:val="16"/>
          <w:szCs w:val="16"/>
          <w:color w:val="435363"/>
        </w:rPr>
        <w:t>Detailed stockholder feedback received during our 2023 engagement program was shared directly with the Board’s CGPR and Compensation Committees , which helped inform American’s decision-making processes and disclosures. Additionally, we shared the most impactful takeaways from these engagements with the full Board to supplement the reports from those Committee Chairs. We plan to continue discussions with stockholders during the 2024 proxy season.</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2023 Engagement Feedback</w:t>
      </w:r>
    </w:p>
    <w:p>
      <w:pPr>
        <w:spacing w:after="0" w:line="90" w:lineRule="exact"/>
        <w:rPr>
          <w:sz w:val="20"/>
          <w:szCs w:val="20"/>
          <w:color w:val="auto"/>
        </w:rPr>
      </w:pPr>
    </w:p>
    <w:p>
      <w:pPr>
        <w:ind w:left="220" w:right="60"/>
        <w:spacing w:after="0" w:line="258" w:lineRule="auto"/>
        <w:rPr>
          <w:sz w:val="20"/>
          <w:szCs w:val="20"/>
          <w:color w:val="auto"/>
        </w:rPr>
      </w:pPr>
      <w:r>
        <w:rPr>
          <w:rFonts w:ascii="Arial" w:cs="Arial" w:eastAsia="Arial" w:hAnsi="Arial"/>
          <w:sz w:val="16"/>
          <w:szCs w:val="16"/>
          <w:color w:val="435363"/>
        </w:rPr>
        <w:t>During our engagements with stockholders, we received feedback on American’s corporate governance and leadership practices, sustainability initiatives and investments and executive compensation program and actions. Please see “Compensation Discussion and Analysis—Stockholder Engagement on Executive Compensation” on page 61, for a discussion of engagements related to our executive compensation program.</w:t>
      </w:r>
    </w:p>
    <w:p>
      <w:pPr>
        <w:spacing w:after="0" w:line="68" w:lineRule="exact"/>
        <w:rPr>
          <w:sz w:val="20"/>
          <w:szCs w:val="20"/>
          <w:color w:val="auto"/>
        </w:rPr>
      </w:pPr>
    </w:p>
    <w:p>
      <w:pPr>
        <w:ind w:left="220" w:right="60"/>
        <w:spacing w:after="0" w:line="250" w:lineRule="auto"/>
        <w:rPr>
          <w:sz w:val="20"/>
          <w:szCs w:val="20"/>
          <w:color w:val="auto"/>
        </w:rPr>
      </w:pPr>
      <w:r>
        <w:rPr>
          <w:rFonts w:ascii="Arial" w:cs="Arial" w:eastAsia="Arial" w:hAnsi="Arial"/>
          <w:sz w:val="16"/>
          <w:szCs w:val="16"/>
          <w:b w:val="1"/>
          <w:bCs w:val="1"/>
          <w:color w:val="435363"/>
        </w:rPr>
        <w:t xml:space="preserve">Governance and Leadership Feedback: </w:t>
      </w:r>
      <w:r>
        <w:rPr>
          <w:rFonts w:ascii="Arial" w:cs="Arial" w:eastAsia="Arial" w:hAnsi="Arial"/>
          <w:sz w:val="16"/>
          <w:szCs w:val="16"/>
          <w:color w:val="435363"/>
        </w:rPr>
        <w:t>Stockholders recognized that American implemented a comprehensive leadership team transition during the</w:t>
      </w:r>
      <w:r>
        <w:rPr>
          <w:rFonts w:ascii="Arial" w:cs="Arial" w:eastAsia="Arial" w:hAnsi="Arial"/>
          <w:sz w:val="16"/>
          <w:szCs w:val="16"/>
          <w:b w:val="1"/>
          <w:bCs w:val="1"/>
          <w:color w:val="435363"/>
        </w:rPr>
        <w:t xml:space="preserve"> </w:t>
      </w:r>
      <w:r>
        <w:rPr>
          <w:rFonts w:ascii="Arial" w:cs="Arial" w:eastAsia="Arial" w:hAnsi="Arial"/>
          <w:sz w:val="16"/>
          <w:szCs w:val="16"/>
          <w:color w:val="435363"/>
        </w:rPr>
        <w:t>pandemic amidst an extremely challenging operating environment. Investors were interested to learn about our approach to Board and executive succession planning, including the processes that led to appointing Robert Isom as CEO and electing Greg Smith as our first Independent Chair. We also discussed how we use Board refreshment to ensure that we have the right combination of diverse skills, perspectives, and experiences to effectively oversee American’s strategy and drive long-term stockholder value creation. Specifically, we highlighted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106680</wp:posOffset>
            </wp:positionV>
            <wp:extent cx="5177155" cy="1682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41</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jc w:val="both"/>
        <w:ind w:left="220" w:right="80"/>
        <w:spacing w:after="0" w:line="258" w:lineRule="auto"/>
        <w:rPr>
          <w:sz w:val="20"/>
          <w:szCs w:val="20"/>
          <w:color w:val="auto"/>
        </w:rPr>
      </w:pPr>
      <w:r>
        <w:rPr>
          <w:rFonts w:ascii="Arial" w:cs="Arial" w:eastAsia="Arial" w:hAnsi="Arial"/>
          <w:sz w:val="16"/>
          <w:szCs w:val="16"/>
          <w:color w:val="435363"/>
        </w:rPr>
        <w:t>addition of four new independent directors since 2020 – Vicente Reynal (2022), Greg Smith (2022), Adriane Brown (2021), and Doug Steenland (2020) – and the retirement of three longer-tenured directors in 2023 – Doug Parker, James Albaugh, and Ray Robinson. We also discussed our Board’s ongoing work to continue to identify potential director candidates with the appropriate skills for our Company.</w:t>
      </w:r>
    </w:p>
    <w:p>
      <w:pPr>
        <w:spacing w:after="0" w:line="68"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435363"/>
        </w:rPr>
        <w:t>In addition, we shared recent changes to the structure and leadership of our Board committees. In 2023, American separated the oversight of compliance with safety policies and the management of the associated risks (formerly addressed by the now CGPR Committee) to a new, standalone Safety Committee, chaired by Adriane Brown. We also refreshed the leadership of two committees – Doug Steenland was appointed Finance Committee Chair and Martin Nesbitt was appointed CGPR Committee Chair. Several of our discussions focused on the Board’s oversight of risk management against the backdrop of this committee structure.</w:t>
      </w:r>
    </w:p>
    <w:p>
      <w:pPr>
        <w:spacing w:after="0" w:line="74" w:lineRule="exact"/>
        <w:rPr>
          <w:sz w:val="20"/>
          <w:szCs w:val="20"/>
          <w:color w:val="auto"/>
        </w:rPr>
      </w:pPr>
    </w:p>
    <w:p>
      <w:pPr>
        <w:ind w:left="220"/>
        <w:spacing w:after="0" w:line="275" w:lineRule="auto"/>
        <w:rPr>
          <w:sz w:val="20"/>
          <w:szCs w:val="20"/>
          <w:color w:val="auto"/>
        </w:rPr>
      </w:pPr>
      <w:r>
        <w:rPr>
          <w:rFonts w:ascii="Arial" w:cs="Arial" w:eastAsia="Arial" w:hAnsi="Arial"/>
          <w:sz w:val="15"/>
          <w:szCs w:val="15"/>
          <w:b w:val="1"/>
          <w:bCs w:val="1"/>
          <w:color w:val="435363"/>
        </w:rPr>
        <w:t xml:space="preserve">Sustainability Feedback: </w:t>
      </w:r>
      <w:r>
        <w:rPr>
          <w:rFonts w:ascii="Arial" w:cs="Arial" w:eastAsia="Arial" w:hAnsi="Arial"/>
          <w:sz w:val="15"/>
          <w:szCs w:val="15"/>
          <w:color w:val="435363"/>
        </w:rPr>
        <w:t>Stockholders were interested in discussing aspects of our strategy that relate to climate change and our team members. An</w:t>
      </w:r>
      <w:r>
        <w:rPr>
          <w:rFonts w:ascii="Arial" w:cs="Arial" w:eastAsia="Arial" w:hAnsi="Arial"/>
          <w:sz w:val="15"/>
          <w:szCs w:val="15"/>
          <w:b w:val="1"/>
          <w:bCs w:val="1"/>
          <w:color w:val="435363"/>
        </w:rPr>
        <w:t xml:space="preserve"> </w:t>
      </w:r>
      <w:r>
        <w:rPr>
          <w:rFonts w:ascii="Arial" w:cs="Arial" w:eastAsia="Arial" w:hAnsi="Arial"/>
          <w:sz w:val="15"/>
          <w:szCs w:val="15"/>
          <w:color w:val="435363"/>
        </w:rPr>
        <w:t>area of particular interest was our support of, and investments in, the technological and industry potential for scaling the production of sustainable aviation fuel. Stockholders also expressed an interest in understanding more about how we consider, align, and measure progress towards climate and DEI goals in our compensation program. We also received positive feedback from stockholders regarding the quality and transparency of our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187960</wp:posOffset>
            </wp:positionV>
            <wp:extent cx="5177155" cy="1682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4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42</w:t>
      </w:r>
    </w:p>
    <w:p>
      <w:pPr>
        <w:spacing w:after="0" w:line="3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200660</wp:posOffset>
            </wp:positionV>
            <wp:extent cx="6193790" cy="2857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32"/>
          <w:szCs w:val="32"/>
          <w:color w:val="66AFDA"/>
        </w:rPr>
        <w:t>DIRECTOR COMPENSATION</w:t>
      </w:r>
    </w:p>
    <w:p>
      <w:pPr>
        <w:spacing w:after="0" w:line="229" w:lineRule="exact"/>
        <w:rPr>
          <w:sz w:val="20"/>
          <w:szCs w:val="20"/>
          <w:color w:val="auto"/>
        </w:rPr>
      </w:pPr>
    </w:p>
    <w:p>
      <w:pPr>
        <w:jc w:val="both"/>
        <w:ind w:left="220" w:right="80"/>
        <w:spacing w:after="0" w:line="252" w:lineRule="auto"/>
        <w:rPr>
          <w:sz w:val="20"/>
          <w:szCs w:val="20"/>
          <w:color w:val="auto"/>
        </w:rPr>
      </w:pPr>
      <w:r>
        <w:rPr>
          <w:rFonts w:ascii="Arial" w:cs="Arial" w:eastAsia="Arial" w:hAnsi="Arial"/>
          <w:sz w:val="16"/>
          <w:szCs w:val="16"/>
          <w:color w:val="435363"/>
        </w:rPr>
        <w:t>The table below provides information regarding compensation we paid to our non-employee directors in 2023. The compensation elements are described in the narrative following the table. Robert Isom, our Chief Executive Officer and a director, is not included in the table because he is a “named executive officer” for 2023 and his compensation is disclosed in the “Executive Compensation—Summary Compensation Table” beginning on page 68 of this Proxy Statement.</w:t>
      </w: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580" w:type="dxa"/>
            <w:vAlign w:val="bottom"/>
          </w:tcPr>
          <w:p>
            <w:pPr>
              <w:jc w:val="center"/>
              <w:ind w:left="121"/>
              <w:spacing w:after="0"/>
              <w:rPr>
                <w:sz w:val="20"/>
                <w:szCs w:val="20"/>
                <w:color w:val="auto"/>
              </w:rPr>
            </w:pPr>
            <w:r>
              <w:rPr>
                <w:rFonts w:ascii="Arial" w:cs="Arial" w:eastAsia="Arial" w:hAnsi="Arial"/>
                <w:sz w:val="16"/>
                <w:szCs w:val="16"/>
                <w:b w:val="1"/>
                <w:bCs w:val="1"/>
                <w:color w:val="3575B3"/>
                <w:w w:val="98"/>
              </w:rPr>
              <w:t>Fees Earned</w:t>
            </w:r>
          </w:p>
        </w:tc>
        <w:tc>
          <w:tcPr>
            <w:tcW w:w="1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580" w:type="dxa"/>
            <w:vAlign w:val="bottom"/>
          </w:tcPr>
          <w:p>
            <w:pPr>
              <w:jc w:val="center"/>
              <w:ind w:left="121"/>
              <w:spacing w:after="0"/>
              <w:rPr>
                <w:sz w:val="20"/>
                <w:szCs w:val="20"/>
                <w:color w:val="auto"/>
              </w:rPr>
            </w:pPr>
            <w:r>
              <w:rPr>
                <w:rFonts w:ascii="Arial" w:cs="Arial" w:eastAsia="Arial" w:hAnsi="Arial"/>
                <w:sz w:val="16"/>
                <w:szCs w:val="16"/>
                <w:b w:val="1"/>
                <w:bCs w:val="1"/>
                <w:color w:val="3575B3"/>
                <w:w w:val="99"/>
              </w:rPr>
              <w:t>or Paid</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3575B3"/>
                <w:w w:val="96"/>
              </w:rPr>
              <w:t>Stock</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3575B3"/>
              </w:rPr>
              <w:t>All Other</w:t>
            </w:r>
          </w:p>
        </w:tc>
        <w:tc>
          <w:tcPr>
            <w:tcW w:w="112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580" w:type="dxa"/>
            <w:vAlign w:val="bottom"/>
          </w:tcPr>
          <w:p>
            <w:pPr>
              <w:jc w:val="center"/>
              <w:ind w:left="121"/>
              <w:spacing w:after="0"/>
              <w:rPr>
                <w:sz w:val="20"/>
                <w:szCs w:val="20"/>
                <w:color w:val="auto"/>
              </w:rPr>
            </w:pPr>
            <w:r>
              <w:rPr>
                <w:rFonts w:ascii="Arial" w:cs="Arial" w:eastAsia="Arial" w:hAnsi="Arial"/>
                <w:sz w:val="16"/>
                <w:szCs w:val="16"/>
                <w:b w:val="1"/>
                <w:bCs w:val="1"/>
                <w:color w:val="3575B3"/>
              </w:rPr>
              <w:t>in Cash</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3575B3"/>
              </w:rPr>
              <w:t>Awards</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3575B3"/>
                <w:w w:val="98"/>
              </w:rPr>
              <w:t>Compensation</w:t>
            </w:r>
          </w:p>
        </w:tc>
        <w:tc>
          <w:tcPr>
            <w:tcW w:w="1120" w:type="dxa"/>
            <w:vAlign w:val="bottom"/>
          </w:tcPr>
          <w:p>
            <w:pPr>
              <w:ind w:left="260"/>
              <w:spacing w:after="0"/>
              <w:rPr>
                <w:sz w:val="20"/>
                <w:szCs w:val="20"/>
                <w:color w:val="auto"/>
              </w:rPr>
            </w:pPr>
            <w:r>
              <w:rPr>
                <w:rFonts w:ascii="Arial" w:cs="Arial" w:eastAsia="Arial" w:hAnsi="Arial"/>
                <w:sz w:val="16"/>
                <w:szCs w:val="16"/>
                <w:b w:val="1"/>
                <w:bCs w:val="1"/>
                <w:color w:val="3575B3"/>
              </w:rPr>
              <w:t>Total</w:t>
            </w:r>
          </w:p>
        </w:tc>
      </w:tr>
      <w:tr>
        <w:trPr>
          <w:trHeight w:val="213"/>
        </w:trPr>
        <w:tc>
          <w:tcPr>
            <w:tcW w:w="5620" w:type="dxa"/>
            <w:vAlign w:val="bottom"/>
            <w:gridSpan w:val="2"/>
          </w:tcPr>
          <w:p>
            <w:pPr>
              <w:spacing w:after="0"/>
              <w:rPr>
                <w:sz w:val="20"/>
                <w:szCs w:val="20"/>
                <w:color w:val="auto"/>
              </w:rPr>
            </w:pPr>
            <w:r>
              <w:rPr>
                <w:rFonts w:ascii="Arial" w:cs="Arial" w:eastAsia="Arial" w:hAnsi="Arial"/>
                <w:sz w:val="16"/>
                <w:szCs w:val="16"/>
                <w:b w:val="1"/>
                <w:bCs w:val="1"/>
                <w:color w:val="3575B3"/>
              </w:rPr>
              <w:t>  Name</w:t>
            </w:r>
          </w:p>
        </w:tc>
        <w:tc>
          <w:tcPr>
            <w:tcW w:w="1580" w:type="dxa"/>
            <w:vAlign w:val="bottom"/>
          </w:tcPr>
          <w:p>
            <w:pPr>
              <w:jc w:val="center"/>
              <w:ind w:left="121"/>
              <w:spacing w:after="0" w:line="212" w:lineRule="exact"/>
              <w:rPr>
                <w:sz w:val="20"/>
                <w:szCs w:val="20"/>
                <w:color w:val="auto"/>
              </w:rPr>
            </w:pPr>
            <w:r>
              <w:rPr>
                <w:rFonts w:ascii="Arial" w:cs="Arial" w:eastAsia="Arial" w:hAnsi="Arial"/>
                <w:sz w:val="16"/>
                <w:szCs w:val="16"/>
                <w:b w:val="1"/>
                <w:bCs w:val="1"/>
                <w:color w:val="3575B3"/>
                <w:w w:val="88"/>
              </w:rPr>
              <w:t>($)</w:t>
            </w:r>
            <w:r>
              <w:rPr>
                <w:rFonts w:ascii="Arial" w:cs="Arial" w:eastAsia="Arial" w:hAnsi="Arial"/>
                <w:sz w:val="23"/>
                <w:szCs w:val="23"/>
                <w:b w:val="1"/>
                <w:bCs w:val="1"/>
                <w:color w:val="3575B3"/>
                <w:w w:val="88"/>
                <w:vertAlign w:val="superscript"/>
              </w:rPr>
              <w:t>(a)</w:t>
            </w:r>
          </w:p>
        </w:tc>
        <w:tc>
          <w:tcPr>
            <w:tcW w:w="1000" w:type="dxa"/>
            <w:vAlign w:val="bottom"/>
          </w:tcPr>
          <w:p>
            <w:pPr>
              <w:jc w:val="center"/>
              <w:spacing w:after="0" w:line="212" w:lineRule="exact"/>
              <w:rPr>
                <w:sz w:val="20"/>
                <w:szCs w:val="20"/>
                <w:color w:val="auto"/>
              </w:rPr>
            </w:pPr>
            <w:r>
              <w:rPr>
                <w:rFonts w:ascii="Arial" w:cs="Arial" w:eastAsia="Arial" w:hAnsi="Arial"/>
                <w:sz w:val="16"/>
                <w:szCs w:val="16"/>
                <w:b w:val="1"/>
                <w:bCs w:val="1"/>
                <w:color w:val="3575B3"/>
                <w:w w:val="86"/>
              </w:rPr>
              <w:t>($)</w:t>
            </w:r>
            <w:r>
              <w:rPr>
                <w:rFonts w:ascii="Arial" w:cs="Arial" w:eastAsia="Arial" w:hAnsi="Arial"/>
                <w:sz w:val="23"/>
                <w:szCs w:val="23"/>
                <w:b w:val="1"/>
                <w:bCs w:val="1"/>
                <w:color w:val="3575B3"/>
                <w:w w:val="86"/>
                <w:vertAlign w:val="superscript"/>
              </w:rPr>
              <w:t>(b)</w:t>
            </w:r>
          </w:p>
        </w:tc>
        <w:tc>
          <w:tcPr>
            <w:tcW w:w="1500" w:type="dxa"/>
            <w:vAlign w:val="bottom"/>
          </w:tcPr>
          <w:p>
            <w:pPr>
              <w:jc w:val="center"/>
              <w:spacing w:after="0" w:line="212" w:lineRule="exact"/>
              <w:rPr>
                <w:sz w:val="20"/>
                <w:szCs w:val="20"/>
                <w:color w:val="auto"/>
              </w:rPr>
            </w:pPr>
            <w:r>
              <w:rPr>
                <w:rFonts w:ascii="Arial" w:cs="Arial" w:eastAsia="Arial" w:hAnsi="Arial"/>
                <w:sz w:val="16"/>
                <w:szCs w:val="16"/>
                <w:b w:val="1"/>
                <w:bCs w:val="1"/>
                <w:color w:val="3575B3"/>
                <w:w w:val="88"/>
              </w:rPr>
              <w:t>($)</w:t>
            </w:r>
            <w:r>
              <w:rPr>
                <w:rFonts w:ascii="Arial" w:cs="Arial" w:eastAsia="Arial" w:hAnsi="Arial"/>
                <w:sz w:val="23"/>
                <w:szCs w:val="23"/>
                <w:b w:val="1"/>
                <w:bCs w:val="1"/>
                <w:color w:val="3575B3"/>
                <w:w w:val="88"/>
                <w:vertAlign w:val="superscript"/>
              </w:rPr>
              <w:t>(c)</w:t>
            </w:r>
          </w:p>
        </w:tc>
        <w:tc>
          <w:tcPr>
            <w:tcW w:w="1120" w:type="dxa"/>
            <w:vAlign w:val="bottom"/>
          </w:tcPr>
          <w:p>
            <w:pPr>
              <w:jc w:val="center"/>
              <w:ind w:right="161"/>
              <w:spacing w:after="0"/>
              <w:rPr>
                <w:sz w:val="20"/>
                <w:szCs w:val="20"/>
                <w:color w:val="auto"/>
              </w:rPr>
            </w:pPr>
            <w:r>
              <w:rPr>
                <w:rFonts w:ascii="Arial" w:cs="Arial" w:eastAsia="Arial" w:hAnsi="Arial"/>
                <w:sz w:val="16"/>
                <w:szCs w:val="16"/>
                <w:b w:val="1"/>
                <w:bCs w:val="1"/>
                <w:color w:val="3575B3"/>
              </w:rPr>
              <w:t>($)</w:t>
            </w:r>
          </w:p>
        </w:tc>
      </w:tr>
      <w:tr>
        <w:trPr>
          <w:trHeight w:val="284"/>
        </w:trPr>
        <w:tc>
          <w:tcPr>
            <w:tcW w:w="20" w:type="dxa"/>
            <w:vAlign w:val="bottom"/>
          </w:tcPr>
          <w:p>
            <w:pPr>
              <w:spacing w:after="0"/>
              <w:rPr>
                <w:sz w:val="24"/>
                <w:szCs w:val="24"/>
                <w:color w:val="auto"/>
              </w:rPr>
            </w:pPr>
          </w:p>
        </w:tc>
        <w:tc>
          <w:tcPr>
            <w:tcW w:w="5600" w:type="dxa"/>
            <w:vAlign w:val="bottom"/>
            <w:tcBorders>
              <w:top w:val="single" w:sz="8" w:color="BF0000"/>
            </w:tcBorders>
          </w:tcPr>
          <w:p>
            <w:pPr>
              <w:ind w:left="60"/>
              <w:spacing w:after="0"/>
              <w:rPr>
                <w:sz w:val="20"/>
                <w:szCs w:val="20"/>
                <w:color w:val="auto"/>
              </w:rPr>
            </w:pPr>
            <w:r>
              <w:rPr>
                <w:rFonts w:ascii="Arial" w:cs="Arial" w:eastAsia="Arial" w:hAnsi="Arial"/>
                <w:sz w:val="16"/>
                <w:szCs w:val="16"/>
                <w:b w:val="1"/>
                <w:bCs w:val="1"/>
                <w:color w:val="435363"/>
              </w:rPr>
              <w:t>Jim Albaugh</w:t>
            </w:r>
            <w:r>
              <w:rPr>
                <w:rFonts w:ascii="Arial" w:cs="Arial" w:eastAsia="Arial" w:hAnsi="Arial"/>
                <w:sz w:val="23"/>
                <w:szCs w:val="23"/>
                <w:b w:val="1"/>
                <w:bCs w:val="1"/>
                <w:color w:val="435363"/>
                <w:vertAlign w:val="superscript"/>
              </w:rPr>
              <w:t>(d)</w:t>
            </w:r>
          </w:p>
        </w:tc>
        <w:tc>
          <w:tcPr>
            <w:tcW w:w="1580" w:type="dxa"/>
            <w:vAlign w:val="bottom"/>
            <w:tcBorders>
              <w:top w:val="single" w:sz="8" w:color="BF0000"/>
            </w:tcBorders>
          </w:tcPr>
          <w:p>
            <w:pPr>
              <w:jc w:val="center"/>
              <w:ind w:left="121"/>
              <w:spacing w:after="0"/>
              <w:rPr>
                <w:sz w:val="20"/>
                <w:szCs w:val="20"/>
                <w:color w:val="auto"/>
              </w:rPr>
            </w:pPr>
            <w:r>
              <w:rPr>
                <w:rFonts w:ascii="Arial" w:cs="Arial" w:eastAsia="Arial" w:hAnsi="Arial"/>
                <w:sz w:val="16"/>
                <w:szCs w:val="16"/>
                <w:color w:val="435363"/>
                <w:w w:val="93"/>
              </w:rPr>
              <w:t>  65,000</w:t>
            </w:r>
          </w:p>
        </w:tc>
        <w:tc>
          <w:tcPr>
            <w:tcW w:w="1000" w:type="dxa"/>
            <w:vAlign w:val="bottom"/>
            <w:tcBorders>
              <w:top w:val="single" w:sz="8" w:color="BF0000"/>
            </w:tcBorders>
          </w:tcPr>
          <w:p>
            <w:pPr>
              <w:jc w:val="center"/>
              <w:spacing w:after="0"/>
              <w:rPr>
                <w:sz w:val="20"/>
                <w:szCs w:val="20"/>
                <w:color w:val="auto"/>
              </w:rPr>
            </w:pPr>
            <w:r>
              <w:rPr>
                <w:rFonts w:ascii="Arial" w:cs="Arial" w:eastAsia="Arial" w:hAnsi="Arial"/>
                <w:sz w:val="16"/>
                <w:szCs w:val="16"/>
                <w:color w:val="435363"/>
                <w:w w:val="91"/>
              </w:rPr>
              <w:t>           -</w:t>
            </w:r>
          </w:p>
        </w:tc>
        <w:tc>
          <w:tcPr>
            <w:tcW w:w="1500" w:type="dxa"/>
            <w:vAlign w:val="bottom"/>
            <w:tcBorders>
              <w:top w:val="single" w:sz="8" w:color="BF0000"/>
            </w:tcBorders>
          </w:tcPr>
          <w:p>
            <w:pPr>
              <w:jc w:val="center"/>
              <w:spacing w:after="0"/>
              <w:rPr>
                <w:sz w:val="20"/>
                <w:szCs w:val="20"/>
                <w:color w:val="auto"/>
              </w:rPr>
            </w:pPr>
            <w:r>
              <w:rPr>
                <w:rFonts w:ascii="Arial" w:cs="Arial" w:eastAsia="Arial" w:hAnsi="Arial"/>
                <w:sz w:val="16"/>
                <w:szCs w:val="16"/>
                <w:color w:val="435363"/>
                <w:w w:val="96"/>
              </w:rPr>
              <w:t>217,293</w:t>
            </w:r>
          </w:p>
        </w:tc>
        <w:tc>
          <w:tcPr>
            <w:tcW w:w="1120" w:type="dxa"/>
            <w:vAlign w:val="bottom"/>
            <w:tcBorders>
              <w:top w:val="single" w:sz="8" w:color="BF0000"/>
            </w:tcBorders>
          </w:tcPr>
          <w:p>
            <w:pPr>
              <w:jc w:val="center"/>
              <w:ind w:right="161"/>
              <w:spacing w:after="0"/>
              <w:rPr>
                <w:sz w:val="20"/>
                <w:szCs w:val="20"/>
                <w:color w:val="auto"/>
              </w:rPr>
            </w:pPr>
            <w:r>
              <w:rPr>
                <w:rFonts w:ascii="Arial" w:cs="Arial" w:eastAsia="Arial" w:hAnsi="Arial"/>
                <w:sz w:val="16"/>
                <w:szCs w:val="16"/>
                <w:color w:val="435363"/>
                <w:w w:val="96"/>
              </w:rPr>
              <w:t>282,293</w:t>
            </w:r>
          </w:p>
        </w:tc>
      </w:tr>
      <w:tr>
        <w:trPr>
          <w:trHeight w:val="284"/>
        </w:trPr>
        <w:tc>
          <w:tcPr>
            <w:tcW w:w="20" w:type="dxa"/>
            <w:vAlign w:val="bottom"/>
          </w:tcPr>
          <w:p>
            <w:pPr>
              <w:spacing w:after="0"/>
              <w:rPr>
                <w:sz w:val="24"/>
                <w:szCs w:val="24"/>
                <w:color w:val="auto"/>
              </w:rPr>
            </w:pPr>
          </w:p>
        </w:tc>
        <w:tc>
          <w:tcPr>
            <w:tcW w:w="56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Jeff Benjamin</w:t>
            </w:r>
          </w:p>
        </w:tc>
        <w:tc>
          <w:tcPr>
            <w:tcW w:w="1580" w:type="dxa"/>
            <w:vAlign w:val="bottom"/>
            <w:tcBorders>
              <w:bottom w:val="single" w:sz="8" w:color="EDEDED"/>
            </w:tcBorders>
            <w:shd w:val="clear" w:color="auto" w:fill="EDEDED"/>
          </w:tcPr>
          <w:p>
            <w:pPr>
              <w:jc w:val="center"/>
              <w:ind w:left="121"/>
              <w:spacing w:after="0"/>
              <w:rPr>
                <w:sz w:val="20"/>
                <w:szCs w:val="20"/>
                <w:color w:val="auto"/>
              </w:rPr>
            </w:pPr>
            <w:r>
              <w:rPr>
                <w:rFonts w:ascii="Arial" w:cs="Arial" w:eastAsia="Arial" w:hAnsi="Arial"/>
                <w:sz w:val="16"/>
                <w:szCs w:val="16"/>
                <w:color w:val="435363"/>
              </w:rPr>
              <w:t>130,000</w:t>
            </w:r>
          </w:p>
        </w:tc>
        <w:tc>
          <w:tcPr>
            <w:tcW w:w="10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435363"/>
              </w:rPr>
              <w:t>150,000</w:t>
            </w:r>
          </w:p>
        </w:tc>
        <w:tc>
          <w:tcPr>
            <w:tcW w:w="15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435363"/>
                <w:w w:val="89"/>
              </w:rPr>
              <w:t>  40,748</w:t>
            </w:r>
          </w:p>
        </w:tc>
        <w:tc>
          <w:tcPr>
            <w:tcW w:w="1120" w:type="dxa"/>
            <w:vAlign w:val="bottom"/>
            <w:tcBorders>
              <w:bottom w:val="single" w:sz="8" w:color="EDEDED"/>
            </w:tcBorders>
            <w:shd w:val="clear" w:color="auto" w:fill="EDEDED"/>
          </w:tcPr>
          <w:p>
            <w:pPr>
              <w:jc w:val="center"/>
              <w:ind w:right="161"/>
              <w:spacing w:after="0"/>
              <w:rPr>
                <w:sz w:val="20"/>
                <w:szCs w:val="20"/>
                <w:color w:val="auto"/>
              </w:rPr>
            </w:pPr>
            <w:r>
              <w:rPr>
                <w:rFonts w:ascii="Arial" w:cs="Arial" w:eastAsia="Arial" w:hAnsi="Arial"/>
                <w:sz w:val="16"/>
                <w:szCs w:val="16"/>
                <w:color w:val="435363"/>
                <w:w w:val="96"/>
              </w:rPr>
              <w:t>320,748</w:t>
            </w:r>
          </w:p>
        </w:tc>
      </w:tr>
      <w:tr>
        <w:trPr>
          <w:trHeight w:val="270"/>
        </w:trPr>
        <w:tc>
          <w:tcPr>
            <w:tcW w:w="20" w:type="dxa"/>
            <w:vAlign w:val="bottom"/>
          </w:tcPr>
          <w:p>
            <w:pPr>
              <w:spacing w:after="0"/>
              <w:rPr>
                <w:sz w:val="23"/>
                <w:szCs w:val="23"/>
                <w:color w:val="auto"/>
              </w:rPr>
            </w:pPr>
          </w:p>
        </w:tc>
        <w:tc>
          <w:tcPr>
            <w:tcW w:w="5600" w:type="dxa"/>
            <w:vAlign w:val="bottom"/>
          </w:tcPr>
          <w:p>
            <w:pPr>
              <w:ind w:left="60"/>
              <w:spacing w:after="0"/>
              <w:rPr>
                <w:sz w:val="20"/>
                <w:szCs w:val="20"/>
                <w:color w:val="auto"/>
              </w:rPr>
            </w:pPr>
            <w:r>
              <w:rPr>
                <w:rFonts w:ascii="Arial" w:cs="Arial" w:eastAsia="Arial" w:hAnsi="Arial"/>
                <w:sz w:val="16"/>
                <w:szCs w:val="16"/>
                <w:b w:val="1"/>
                <w:bCs w:val="1"/>
                <w:color w:val="435363"/>
              </w:rPr>
              <w:t>Adriane Brown</w:t>
            </w:r>
          </w:p>
        </w:tc>
        <w:tc>
          <w:tcPr>
            <w:tcW w:w="1580" w:type="dxa"/>
            <w:vAlign w:val="bottom"/>
          </w:tcPr>
          <w:p>
            <w:pPr>
              <w:jc w:val="center"/>
              <w:ind w:left="121"/>
              <w:spacing w:after="0"/>
              <w:rPr>
                <w:sz w:val="20"/>
                <w:szCs w:val="20"/>
                <w:color w:val="auto"/>
              </w:rPr>
            </w:pPr>
            <w:r>
              <w:rPr>
                <w:rFonts w:ascii="Arial" w:cs="Arial" w:eastAsia="Arial" w:hAnsi="Arial"/>
                <w:sz w:val="16"/>
                <w:szCs w:val="16"/>
                <w:color w:val="435363"/>
              </w:rPr>
              <w:t>140,000</w:t>
            </w:r>
          </w:p>
        </w:tc>
        <w:tc>
          <w:tcPr>
            <w:tcW w:w="1000" w:type="dxa"/>
            <w:vAlign w:val="bottom"/>
          </w:tcPr>
          <w:p>
            <w:pPr>
              <w:jc w:val="center"/>
              <w:spacing w:after="0"/>
              <w:rPr>
                <w:sz w:val="20"/>
                <w:szCs w:val="20"/>
                <w:color w:val="auto"/>
              </w:rPr>
            </w:pPr>
            <w:r>
              <w:rPr>
                <w:rFonts w:ascii="Arial" w:cs="Arial" w:eastAsia="Arial" w:hAnsi="Arial"/>
                <w:sz w:val="16"/>
                <w:szCs w:val="16"/>
                <w:color w:val="435363"/>
              </w:rPr>
              <w:t>150,000</w:t>
            </w:r>
          </w:p>
        </w:tc>
        <w:tc>
          <w:tcPr>
            <w:tcW w:w="1500" w:type="dxa"/>
            <w:vAlign w:val="bottom"/>
          </w:tcPr>
          <w:p>
            <w:pPr>
              <w:jc w:val="center"/>
              <w:spacing w:after="0"/>
              <w:rPr>
                <w:sz w:val="20"/>
                <w:szCs w:val="20"/>
                <w:color w:val="auto"/>
              </w:rPr>
            </w:pPr>
            <w:r>
              <w:rPr>
                <w:rFonts w:ascii="Arial" w:cs="Arial" w:eastAsia="Arial" w:hAnsi="Arial"/>
                <w:sz w:val="16"/>
                <w:szCs w:val="16"/>
                <w:color w:val="435363"/>
                <w:w w:val="89"/>
              </w:rPr>
              <w:t>  11,184</w:t>
            </w:r>
          </w:p>
        </w:tc>
        <w:tc>
          <w:tcPr>
            <w:tcW w:w="1120" w:type="dxa"/>
            <w:vAlign w:val="bottom"/>
          </w:tcPr>
          <w:p>
            <w:pPr>
              <w:jc w:val="center"/>
              <w:ind w:right="161"/>
              <w:spacing w:after="0"/>
              <w:rPr>
                <w:sz w:val="20"/>
                <w:szCs w:val="20"/>
                <w:color w:val="auto"/>
              </w:rPr>
            </w:pPr>
            <w:r>
              <w:rPr>
                <w:rFonts w:ascii="Arial" w:cs="Arial" w:eastAsia="Arial" w:hAnsi="Arial"/>
                <w:sz w:val="16"/>
                <w:szCs w:val="16"/>
                <w:color w:val="435363"/>
                <w:w w:val="96"/>
              </w:rPr>
              <w:t>301,184</w:t>
            </w:r>
          </w:p>
        </w:tc>
      </w:tr>
      <w:tr>
        <w:trPr>
          <w:trHeight w:val="35"/>
        </w:trPr>
        <w:tc>
          <w:tcPr>
            <w:tcW w:w="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4"/>
        </w:trPr>
        <w:tc>
          <w:tcPr>
            <w:tcW w:w="20" w:type="dxa"/>
            <w:vAlign w:val="bottom"/>
          </w:tcPr>
          <w:p>
            <w:pPr>
              <w:spacing w:after="0"/>
              <w:rPr>
                <w:sz w:val="24"/>
                <w:szCs w:val="24"/>
                <w:color w:val="auto"/>
              </w:rPr>
            </w:pPr>
          </w:p>
        </w:tc>
        <w:tc>
          <w:tcPr>
            <w:tcW w:w="56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John Cahill</w:t>
            </w:r>
          </w:p>
        </w:tc>
        <w:tc>
          <w:tcPr>
            <w:tcW w:w="1580" w:type="dxa"/>
            <w:vAlign w:val="bottom"/>
            <w:tcBorders>
              <w:bottom w:val="single" w:sz="8" w:color="EDEDED"/>
            </w:tcBorders>
            <w:shd w:val="clear" w:color="auto" w:fill="EDEDED"/>
          </w:tcPr>
          <w:p>
            <w:pPr>
              <w:jc w:val="center"/>
              <w:ind w:left="121"/>
              <w:spacing w:after="0"/>
              <w:rPr>
                <w:sz w:val="20"/>
                <w:szCs w:val="20"/>
                <w:color w:val="auto"/>
              </w:rPr>
            </w:pPr>
            <w:r>
              <w:rPr>
                <w:rFonts w:ascii="Arial" w:cs="Arial" w:eastAsia="Arial" w:hAnsi="Arial"/>
                <w:sz w:val="16"/>
                <w:szCs w:val="16"/>
                <w:color w:val="435363"/>
              </w:rPr>
              <w:t>139,890</w:t>
            </w:r>
          </w:p>
        </w:tc>
        <w:tc>
          <w:tcPr>
            <w:tcW w:w="10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435363"/>
              </w:rPr>
              <w:t>150,000</w:t>
            </w:r>
          </w:p>
        </w:tc>
        <w:tc>
          <w:tcPr>
            <w:tcW w:w="15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435363"/>
                <w:w w:val="89"/>
              </w:rPr>
              <w:t>  32,568</w:t>
            </w:r>
          </w:p>
        </w:tc>
        <w:tc>
          <w:tcPr>
            <w:tcW w:w="1120" w:type="dxa"/>
            <w:vAlign w:val="bottom"/>
            <w:tcBorders>
              <w:bottom w:val="single" w:sz="8" w:color="EDEDED"/>
            </w:tcBorders>
            <w:shd w:val="clear" w:color="auto" w:fill="EDEDED"/>
          </w:tcPr>
          <w:p>
            <w:pPr>
              <w:jc w:val="center"/>
              <w:ind w:right="161"/>
              <w:spacing w:after="0"/>
              <w:rPr>
                <w:sz w:val="20"/>
                <w:szCs w:val="20"/>
                <w:color w:val="auto"/>
              </w:rPr>
            </w:pPr>
            <w:r>
              <w:rPr>
                <w:rFonts w:ascii="Arial" w:cs="Arial" w:eastAsia="Arial" w:hAnsi="Arial"/>
                <w:sz w:val="16"/>
                <w:szCs w:val="16"/>
                <w:color w:val="435363"/>
                <w:w w:val="96"/>
              </w:rPr>
              <w:t>322,458</w:t>
            </w:r>
          </w:p>
        </w:tc>
      </w:tr>
      <w:tr>
        <w:trPr>
          <w:trHeight w:val="270"/>
        </w:trPr>
        <w:tc>
          <w:tcPr>
            <w:tcW w:w="20" w:type="dxa"/>
            <w:vAlign w:val="bottom"/>
          </w:tcPr>
          <w:p>
            <w:pPr>
              <w:spacing w:after="0"/>
              <w:rPr>
                <w:sz w:val="23"/>
                <w:szCs w:val="23"/>
                <w:color w:val="auto"/>
              </w:rPr>
            </w:pPr>
          </w:p>
        </w:tc>
        <w:tc>
          <w:tcPr>
            <w:tcW w:w="5600" w:type="dxa"/>
            <w:vAlign w:val="bottom"/>
          </w:tcPr>
          <w:p>
            <w:pPr>
              <w:ind w:left="60"/>
              <w:spacing w:after="0"/>
              <w:rPr>
                <w:sz w:val="20"/>
                <w:szCs w:val="20"/>
                <w:color w:val="auto"/>
              </w:rPr>
            </w:pPr>
            <w:r>
              <w:rPr>
                <w:rFonts w:ascii="Arial" w:cs="Arial" w:eastAsia="Arial" w:hAnsi="Arial"/>
                <w:sz w:val="16"/>
                <w:szCs w:val="16"/>
                <w:b w:val="1"/>
                <w:bCs w:val="1"/>
                <w:color w:val="435363"/>
              </w:rPr>
              <w:t>Mike Embler</w:t>
            </w:r>
          </w:p>
        </w:tc>
        <w:tc>
          <w:tcPr>
            <w:tcW w:w="1580" w:type="dxa"/>
            <w:vAlign w:val="bottom"/>
          </w:tcPr>
          <w:p>
            <w:pPr>
              <w:jc w:val="center"/>
              <w:ind w:left="121"/>
              <w:spacing w:after="0"/>
              <w:rPr>
                <w:sz w:val="20"/>
                <w:szCs w:val="20"/>
                <w:color w:val="auto"/>
              </w:rPr>
            </w:pPr>
            <w:r>
              <w:rPr>
                <w:rFonts w:ascii="Arial" w:cs="Arial" w:eastAsia="Arial" w:hAnsi="Arial"/>
                <w:sz w:val="16"/>
                <w:szCs w:val="16"/>
                <w:color w:val="435363"/>
              </w:rPr>
              <w:t>140,000</w:t>
            </w:r>
          </w:p>
        </w:tc>
        <w:tc>
          <w:tcPr>
            <w:tcW w:w="1000" w:type="dxa"/>
            <w:vAlign w:val="bottom"/>
          </w:tcPr>
          <w:p>
            <w:pPr>
              <w:jc w:val="center"/>
              <w:spacing w:after="0"/>
              <w:rPr>
                <w:sz w:val="20"/>
                <w:szCs w:val="20"/>
                <w:color w:val="auto"/>
              </w:rPr>
            </w:pPr>
            <w:r>
              <w:rPr>
                <w:rFonts w:ascii="Arial" w:cs="Arial" w:eastAsia="Arial" w:hAnsi="Arial"/>
                <w:sz w:val="16"/>
                <w:szCs w:val="16"/>
                <w:color w:val="435363"/>
              </w:rPr>
              <w:t>150,000</w:t>
            </w:r>
          </w:p>
        </w:tc>
        <w:tc>
          <w:tcPr>
            <w:tcW w:w="1500" w:type="dxa"/>
            <w:vAlign w:val="bottom"/>
          </w:tcPr>
          <w:p>
            <w:pPr>
              <w:jc w:val="center"/>
              <w:spacing w:after="0"/>
              <w:rPr>
                <w:sz w:val="20"/>
                <w:szCs w:val="20"/>
                <w:color w:val="auto"/>
              </w:rPr>
            </w:pPr>
            <w:r>
              <w:rPr>
                <w:rFonts w:ascii="Arial" w:cs="Arial" w:eastAsia="Arial" w:hAnsi="Arial"/>
                <w:sz w:val="16"/>
                <w:szCs w:val="16"/>
                <w:color w:val="435363"/>
                <w:w w:val="89"/>
              </w:rPr>
              <w:t>  26,482</w:t>
            </w:r>
          </w:p>
        </w:tc>
        <w:tc>
          <w:tcPr>
            <w:tcW w:w="1120" w:type="dxa"/>
            <w:vAlign w:val="bottom"/>
          </w:tcPr>
          <w:p>
            <w:pPr>
              <w:jc w:val="center"/>
              <w:ind w:right="161"/>
              <w:spacing w:after="0"/>
              <w:rPr>
                <w:sz w:val="20"/>
                <w:szCs w:val="20"/>
                <w:color w:val="auto"/>
              </w:rPr>
            </w:pPr>
            <w:r>
              <w:rPr>
                <w:rFonts w:ascii="Arial" w:cs="Arial" w:eastAsia="Arial" w:hAnsi="Arial"/>
                <w:sz w:val="16"/>
                <w:szCs w:val="16"/>
                <w:color w:val="435363"/>
                <w:w w:val="96"/>
              </w:rPr>
              <w:t>316,482</w:t>
            </w:r>
          </w:p>
        </w:tc>
      </w:tr>
      <w:tr>
        <w:trPr>
          <w:trHeight w:val="35"/>
        </w:trPr>
        <w:tc>
          <w:tcPr>
            <w:tcW w:w="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4"/>
        </w:trPr>
        <w:tc>
          <w:tcPr>
            <w:tcW w:w="20" w:type="dxa"/>
            <w:vAlign w:val="bottom"/>
          </w:tcPr>
          <w:p>
            <w:pPr>
              <w:spacing w:after="0"/>
              <w:rPr>
                <w:sz w:val="24"/>
                <w:szCs w:val="24"/>
                <w:color w:val="auto"/>
              </w:rPr>
            </w:pPr>
          </w:p>
        </w:tc>
        <w:tc>
          <w:tcPr>
            <w:tcW w:w="56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Matt Hart</w:t>
            </w:r>
          </w:p>
        </w:tc>
        <w:tc>
          <w:tcPr>
            <w:tcW w:w="1580" w:type="dxa"/>
            <w:vAlign w:val="bottom"/>
            <w:tcBorders>
              <w:bottom w:val="single" w:sz="8" w:color="EDEDED"/>
            </w:tcBorders>
            <w:shd w:val="clear" w:color="auto" w:fill="EDEDED"/>
          </w:tcPr>
          <w:p>
            <w:pPr>
              <w:jc w:val="center"/>
              <w:ind w:left="121"/>
              <w:spacing w:after="0"/>
              <w:rPr>
                <w:sz w:val="20"/>
                <w:szCs w:val="20"/>
                <w:color w:val="auto"/>
              </w:rPr>
            </w:pPr>
            <w:r>
              <w:rPr>
                <w:rFonts w:ascii="Arial" w:cs="Arial" w:eastAsia="Arial" w:hAnsi="Arial"/>
                <w:sz w:val="16"/>
                <w:szCs w:val="16"/>
                <w:color w:val="435363"/>
              </w:rPr>
              <w:t>147,500</w:t>
            </w:r>
          </w:p>
        </w:tc>
        <w:tc>
          <w:tcPr>
            <w:tcW w:w="10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435363"/>
              </w:rPr>
              <w:t>150,000</w:t>
            </w:r>
          </w:p>
        </w:tc>
        <w:tc>
          <w:tcPr>
            <w:tcW w:w="15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435363"/>
                <w:w w:val="89"/>
              </w:rPr>
              <w:t>  23,180</w:t>
            </w:r>
          </w:p>
        </w:tc>
        <w:tc>
          <w:tcPr>
            <w:tcW w:w="1120" w:type="dxa"/>
            <w:vAlign w:val="bottom"/>
            <w:tcBorders>
              <w:bottom w:val="single" w:sz="8" w:color="EDEDED"/>
            </w:tcBorders>
            <w:shd w:val="clear" w:color="auto" w:fill="EDEDED"/>
          </w:tcPr>
          <w:p>
            <w:pPr>
              <w:jc w:val="center"/>
              <w:ind w:right="161"/>
              <w:spacing w:after="0"/>
              <w:rPr>
                <w:sz w:val="20"/>
                <w:szCs w:val="20"/>
                <w:color w:val="auto"/>
              </w:rPr>
            </w:pPr>
            <w:r>
              <w:rPr>
                <w:rFonts w:ascii="Arial" w:cs="Arial" w:eastAsia="Arial" w:hAnsi="Arial"/>
                <w:sz w:val="16"/>
                <w:szCs w:val="16"/>
                <w:color w:val="435363"/>
                <w:w w:val="96"/>
              </w:rPr>
              <w:t>320,680</w:t>
            </w:r>
          </w:p>
        </w:tc>
      </w:tr>
      <w:tr>
        <w:trPr>
          <w:trHeight w:val="270"/>
        </w:trPr>
        <w:tc>
          <w:tcPr>
            <w:tcW w:w="20" w:type="dxa"/>
            <w:vAlign w:val="bottom"/>
          </w:tcPr>
          <w:p>
            <w:pPr>
              <w:spacing w:after="0"/>
              <w:rPr>
                <w:sz w:val="23"/>
                <w:szCs w:val="23"/>
                <w:color w:val="auto"/>
              </w:rPr>
            </w:pPr>
          </w:p>
        </w:tc>
        <w:tc>
          <w:tcPr>
            <w:tcW w:w="5600" w:type="dxa"/>
            <w:vAlign w:val="bottom"/>
          </w:tcPr>
          <w:p>
            <w:pPr>
              <w:ind w:left="60"/>
              <w:spacing w:after="0"/>
              <w:rPr>
                <w:sz w:val="20"/>
                <w:szCs w:val="20"/>
                <w:color w:val="auto"/>
              </w:rPr>
            </w:pPr>
            <w:r>
              <w:rPr>
                <w:rFonts w:ascii="Arial" w:cs="Arial" w:eastAsia="Arial" w:hAnsi="Arial"/>
                <w:sz w:val="16"/>
                <w:szCs w:val="16"/>
                <w:b w:val="1"/>
                <w:bCs w:val="1"/>
                <w:color w:val="435363"/>
              </w:rPr>
              <w:t>Sue Kronick</w:t>
            </w:r>
          </w:p>
        </w:tc>
        <w:tc>
          <w:tcPr>
            <w:tcW w:w="1580" w:type="dxa"/>
            <w:vAlign w:val="bottom"/>
          </w:tcPr>
          <w:p>
            <w:pPr>
              <w:jc w:val="center"/>
              <w:ind w:left="121"/>
              <w:spacing w:after="0"/>
              <w:rPr>
                <w:sz w:val="20"/>
                <w:szCs w:val="20"/>
                <w:color w:val="auto"/>
              </w:rPr>
            </w:pPr>
            <w:r>
              <w:rPr>
                <w:rFonts w:ascii="Arial" w:cs="Arial" w:eastAsia="Arial" w:hAnsi="Arial"/>
                <w:sz w:val="16"/>
                <w:szCs w:val="16"/>
                <w:color w:val="435363"/>
              </w:rPr>
              <w:t>140,000</w:t>
            </w:r>
          </w:p>
        </w:tc>
        <w:tc>
          <w:tcPr>
            <w:tcW w:w="1000" w:type="dxa"/>
            <w:vAlign w:val="bottom"/>
          </w:tcPr>
          <w:p>
            <w:pPr>
              <w:jc w:val="center"/>
              <w:spacing w:after="0"/>
              <w:rPr>
                <w:sz w:val="20"/>
                <w:szCs w:val="20"/>
                <w:color w:val="auto"/>
              </w:rPr>
            </w:pPr>
            <w:r>
              <w:rPr>
                <w:rFonts w:ascii="Arial" w:cs="Arial" w:eastAsia="Arial" w:hAnsi="Arial"/>
                <w:sz w:val="16"/>
                <w:szCs w:val="16"/>
                <w:color w:val="435363"/>
              </w:rPr>
              <w:t>150,000</w:t>
            </w:r>
          </w:p>
        </w:tc>
        <w:tc>
          <w:tcPr>
            <w:tcW w:w="1500" w:type="dxa"/>
            <w:vAlign w:val="bottom"/>
          </w:tcPr>
          <w:p>
            <w:pPr>
              <w:jc w:val="center"/>
              <w:spacing w:after="0"/>
              <w:rPr>
                <w:sz w:val="20"/>
                <w:szCs w:val="20"/>
                <w:color w:val="auto"/>
              </w:rPr>
            </w:pPr>
            <w:r>
              <w:rPr>
                <w:rFonts w:ascii="Arial" w:cs="Arial" w:eastAsia="Arial" w:hAnsi="Arial"/>
                <w:sz w:val="16"/>
                <w:szCs w:val="16"/>
                <w:color w:val="435363"/>
                <w:w w:val="89"/>
              </w:rPr>
              <w:t>  20,414</w:t>
            </w:r>
          </w:p>
        </w:tc>
        <w:tc>
          <w:tcPr>
            <w:tcW w:w="1120" w:type="dxa"/>
            <w:vAlign w:val="bottom"/>
          </w:tcPr>
          <w:p>
            <w:pPr>
              <w:jc w:val="center"/>
              <w:ind w:right="161"/>
              <w:spacing w:after="0"/>
              <w:rPr>
                <w:sz w:val="20"/>
                <w:szCs w:val="20"/>
                <w:color w:val="auto"/>
              </w:rPr>
            </w:pPr>
            <w:r>
              <w:rPr>
                <w:rFonts w:ascii="Arial" w:cs="Arial" w:eastAsia="Arial" w:hAnsi="Arial"/>
                <w:sz w:val="16"/>
                <w:szCs w:val="16"/>
                <w:color w:val="435363"/>
                <w:w w:val="96"/>
              </w:rPr>
              <w:t>310,414</w:t>
            </w:r>
          </w:p>
        </w:tc>
      </w:tr>
      <w:tr>
        <w:trPr>
          <w:trHeight w:val="35"/>
        </w:trPr>
        <w:tc>
          <w:tcPr>
            <w:tcW w:w="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4"/>
        </w:trPr>
        <w:tc>
          <w:tcPr>
            <w:tcW w:w="20" w:type="dxa"/>
            <w:vAlign w:val="bottom"/>
          </w:tcPr>
          <w:p>
            <w:pPr>
              <w:spacing w:after="0"/>
              <w:rPr>
                <w:sz w:val="24"/>
                <w:szCs w:val="24"/>
                <w:color w:val="auto"/>
              </w:rPr>
            </w:pPr>
          </w:p>
        </w:tc>
        <w:tc>
          <w:tcPr>
            <w:tcW w:w="56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Marty Nesbitt</w:t>
            </w:r>
          </w:p>
        </w:tc>
        <w:tc>
          <w:tcPr>
            <w:tcW w:w="1580" w:type="dxa"/>
            <w:vAlign w:val="bottom"/>
            <w:tcBorders>
              <w:bottom w:val="single" w:sz="8" w:color="EDEDED"/>
            </w:tcBorders>
            <w:shd w:val="clear" w:color="auto" w:fill="EDEDED"/>
          </w:tcPr>
          <w:p>
            <w:pPr>
              <w:jc w:val="center"/>
              <w:ind w:left="121"/>
              <w:spacing w:after="0"/>
              <w:rPr>
                <w:sz w:val="20"/>
                <w:szCs w:val="20"/>
                <w:color w:val="auto"/>
              </w:rPr>
            </w:pPr>
            <w:r>
              <w:rPr>
                <w:rFonts w:ascii="Arial" w:cs="Arial" w:eastAsia="Arial" w:hAnsi="Arial"/>
                <w:sz w:val="16"/>
                <w:szCs w:val="16"/>
                <w:color w:val="435363"/>
              </w:rPr>
              <w:t>140,000</w:t>
            </w:r>
          </w:p>
        </w:tc>
        <w:tc>
          <w:tcPr>
            <w:tcW w:w="10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435363"/>
              </w:rPr>
              <w:t>150,000</w:t>
            </w:r>
          </w:p>
        </w:tc>
        <w:tc>
          <w:tcPr>
            <w:tcW w:w="15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435363"/>
                <w:w w:val="89"/>
              </w:rPr>
              <w:t>  46,592</w:t>
            </w:r>
          </w:p>
        </w:tc>
        <w:tc>
          <w:tcPr>
            <w:tcW w:w="1120" w:type="dxa"/>
            <w:vAlign w:val="bottom"/>
            <w:tcBorders>
              <w:bottom w:val="single" w:sz="8" w:color="EDEDED"/>
            </w:tcBorders>
            <w:shd w:val="clear" w:color="auto" w:fill="EDEDED"/>
          </w:tcPr>
          <w:p>
            <w:pPr>
              <w:jc w:val="center"/>
              <w:ind w:right="161"/>
              <w:spacing w:after="0"/>
              <w:rPr>
                <w:sz w:val="20"/>
                <w:szCs w:val="20"/>
                <w:color w:val="auto"/>
              </w:rPr>
            </w:pPr>
            <w:r>
              <w:rPr>
                <w:rFonts w:ascii="Arial" w:cs="Arial" w:eastAsia="Arial" w:hAnsi="Arial"/>
                <w:sz w:val="16"/>
                <w:szCs w:val="16"/>
                <w:color w:val="435363"/>
                <w:w w:val="96"/>
              </w:rPr>
              <w:t>336,592</w:t>
            </w:r>
          </w:p>
        </w:tc>
      </w:tr>
      <w:tr>
        <w:trPr>
          <w:trHeight w:val="270"/>
        </w:trPr>
        <w:tc>
          <w:tcPr>
            <w:tcW w:w="20" w:type="dxa"/>
            <w:vAlign w:val="bottom"/>
          </w:tcPr>
          <w:p>
            <w:pPr>
              <w:spacing w:after="0"/>
              <w:rPr>
                <w:sz w:val="23"/>
                <w:szCs w:val="23"/>
                <w:color w:val="auto"/>
              </w:rPr>
            </w:pPr>
          </w:p>
        </w:tc>
        <w:tc>
          <w:tcPr>
            <w:tcW w:w="5600" w:type="dxa"/>
            <w:vAlign w:val="bottom"/>
          </w:tcPr>
          <w:p>
            <w:pPr>
              <w:ind w:left="60"/>
              <w:spacing w:after="0"/>
              <w:rPr>
                <w:sz w:val="20"/>
                <w:szCs w:val="20"/>
                <w:color w:val="auto"/>
              </w:rPr>
            </w:pPr>
            <w:r>
              <w:rPr>
                <w:rFonts w:ascii="Arial" w:cs="Arial" w:eastAsia="Arial" w:hAnsi="Arial"/>
                <w:sz w:val="16"/>
                <w:szCs w:val="16"/>
                <w:b w:val="1"/>
                <w:bCs w:val="1"/>
                <w:color w:val="435363"/>
              </w:rPr>
              <w:t>Denise O’Leary</w:t>
            </w:r>
          </w:p>
        </w:tc>
        <w:tc>
          <w:tcPr>
            <w:tcW w:w="1580" w:type="dxa"/>
            <w:vAlign w:val="bottom"/>
          </w:tcPr>
          <w:p>
            <w:pPr>
              <w:jc w:val="center"/>
              <w:ind w:left="121"/>
              <w:spacing w:after="0"/>
              <w:rPr>
                <w:sz w:val="20"/>
                <w:szCs w:val="20"/>
                <w:color w:val="auto"/>
              </w:rPr>
            </w:pPr>
            <w:r>
              <w:rPr>
                <w:rFonts w:ascii="Arial" w:cs="Arial" w:eastAsia="Arial" w:hAnsi="Arial"/>
                <w:sz w:val="16"/>
                <w:szCs w:val="16"/>
                <w:color w:val="435363"/>
              </w:rPr>
              <w:t>150,000</w:t>
            </w:r>
          </w:p>
        </w:tc>
        <w:tc>
          <w:tcPr>
            <w:tcW w:w="1000" w:type="dxa"/>
            <w:vAlign w:val="bottom"/>
          </w:tcPr>
          <w:p>
            <w:pPr>
              <w:jc w:val="center"/>
              <w:spacing w:after="0"/>
              <w:rPr>
                <w:sz w:val="20"/>
                <w:szCs w:val="20"/>
                <w:color w:val="auto"/>
              </w:rPr>
            </w:pPr>
            <w:r>
              <w:rPr>
                <w:rFonts w:ascii="Arial" w:cs="Arial" w:eastAsia="Arial" w:hAnsi="Arial"/>
                <w:sz w:val="16"/>
                <w:szCs w:val="16"/>
                <w:color w:val="435363"/>
              </w:rPr>
              <w:t>150,000</w:t>
            </w:r>
          </w:p>
        </w:tc>
        <w:tc>
          <w:tcPr>
            <w:tcW w:w="1500" w:type="dxa"/>
            <w:vAlign w:val="bottom"/>
          </w:tcPr>
          <w:p>
            <w:pPr>
              <w:jc w:val="center"/>
              <w:spacing w:after="0"/>
              <w:rPr>
                <w:sz w:val="20"/>
                <w:szCs w:val="20"/>
                <w:color w:val="auto"/>
              </w:rPr>
            </w:pPr>
            <w:r>
              <w:rPr>
                <w:rFonts w:ascii="Arial" w:cs="Arial" w:eastAsia="Arial" w:hAnsi="Arial"/>
                <w:sz w:val="16"/>
                <w:szCs w:val="16"/>
                <w:color w:val="435363"/>
                <w:w w:val="89"/>
              </w:rPr>
              <w:t>  13,350</w:t>
            </w:r>
          </w:p>
        </w:tc>
        <w:tc>
          <w:tcPr>
            <w:tcW w:w="1120" w:type="dxa"/>
            <w:vAlign w:val="bottom"/>
          </w:tcPr>
          <w:p>
            <w:pPr>
              <w:jc w:val="center"/>
              <w:ind w:right="161"/>
              <w:spacing w:after="0"/>
              <w:rPr>
                <w:sz w:val="20"/>
                <w:szCs w:val="20"/>
                <w:color w:val="auto"/>
              </w:rPr>
            </w:pPr>
            <w:r>
              <w:rPr>
                <w:rFonts w:ascii="Arial" w:cs="Arial" w:eastAsia="Arial" w:hAnsi="Arial"/>
                <w:sz w:val="16"/>
                <w:szCs w:val="16"/>
                <w:color w:val="435363"/>
                <w:w w:val="96"/>
              </w:rPr>
              <w:t>313,350</w:t>
            </w:r>
          </w:p>
        </w:tc>
      </w:tr>
      <w:tr>
        <w:trPr>
          <w:trHeight w:val="35"/>
        </w:trPr>
        <w:tc>
          <w:tcPr>
            <w:tcW w:w="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304"/>
        </w:trPr>
        <w:tc>
          <w:tcPr>
            <w:tcW w:w="20" w:type="dxa"/>
            <w:vAlign w:val="bottom"/>
          </w:tcPr>
          <w:p>
            <w:pPr>
              <w:spacing w:after="0"/>
              <w:rPr>
                <w:sz w:val="24"/>
                <w:szCs w:val="24"/>
                <w:color w:val="auto"/>
              </w:rPr>
            </w:pPr>
          </w:p>
        </w:tc>
        <w:tc>
          <w:tcPr>
            <w:tcW w:w="560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435363"/>
              </w:rPr>
              <w:t>Doug Parker</w:t>
            </w:r>
            <w:r>
              <w:rPr>
                <w:rFonts w:ascii="Arial" w:cs="Arial" w:eastAsia="Arial" w:hAnsi="Arial"/>
                <w:sz w:val="23"/>
                <w:szCs w:val="23"/>
                <w:b w:val="1"/>
                <w:bCs w:val="1"/>
                <w:color w:val="435363"/>
                <w:vertAlign w:val="superscript"/>
              </w:rPr>
              <w:t>(d)</w:t>
            </w:r>
          </w:p>
        </w:tc>
        <w:tc>
          <w:tcPr>
            <w:tcW w:w="1580" w:type="dxa"/>
            <w:vAlign w:val="bottom"/>
            <w:shd w:val="clear" w:color="auto" w:fill="EDEDED"/>
          </w:tcPr>
          <w:p>
            <w:pPr>
              <w:jc w:val="center"/>
              <w:ind w:left="121"/>
              <w:spacing w:after="0"/>
              <w:rPr>
                <w:sz w:val="20"/>
                <w:szCs w:val="20"/>
                <w:color w:val="auto"/>
              </w:rPr>
            </w:pPr>
            <w:r>
              <w:rPr>
                <w:rFonts w:ascii="Arial" w:cs="Arial" w:eastAsia="Arial" w:hAnsi="Arial"/>
                <w:sz w:val="16"/>
                <w:szCs w:val="16"/>
                <w:color w:val="435363"/>
              </w:rPr>
              <w:t>500,000</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435363"/>
                <w:w w:val="91"/>
              </w:rPr>
              <w:t>           -</w:t>
            </w:r>
          </w:p>
        </w:tc>
        <w:tc>
          <w:tcPr>
            <w:tcW w:w="1500" w:type="dxa"/>
            <w:vAlign w:val="bottom"/>
            <w:shd w:val="clear" w:color="auto" w:fill="EDEDED"/>
          </w:tcPr>
          <w:p>
            <w:pPr>
              <w:jc w:val="center"/>
              <w:spacing w:after="0"/>
              <w:rPr>
                <w:sz w:val="20"/>
                <w:szCs w:val="20"/>
                <w:color w:val="auto"/>
              </w:rPr>
            </w:pPr>
            <w:r>
              <w:rPr>
                <w:rFonts w:ascii="Arial" w:cs="Arial" w:eastAsia="Arial" w:hAnsi="Arial"/>
                <w:sz w:val="16"/>
                <w:szCs w:val="16"/>
                <w:color w:val="435363"/>
                <w:w w:val="96"/>
              </w:rPr>
              <w:t>291,021</w:t>
            </w:r>
          </w:p>
        </w:tc>
        <w:tc>
          <w:tcPr>
            <w:tcW w:w="1120" w:type="dxa"/>
            <w:vAlign w:val="bottom"/>
            <w:shd w:val="clear" w:color="auto" w:fill="EDEDED"/>
          </w:tcPr>
          <w:p>
            <w:pPr>
              <w:jc w:val="center"/>
              <w:ind w:right="161"/>
              <w:spacing w:after="0"/>
              <w:rPr>
                <w:sz w:val="20"/>
                <w:szCs w:val="20"/>
                <w:color w:val="auto"/>
              </w:rPr>
            </w:pPr>
            <w:r>
              <w:rPr>
                <w:rFonts w:ascii="Arial" w:cs="Arial" w:eastAsia="Arial" w:hAnsi="Arial"/>
                <w:sz w:val="16"/>
                <w:szCs w:val="16"/>
                <w:color w:val="435363"/>
                <w:w w:val="96"/>
              </w:rPr>
              <w:t>791,021</w:t>
            </w:r>
          </w:p>
        </w:tc>
      </w:tr>
      <w:tr>
        <w:trPr>
          <w:trHeight w:val="270"/>
        </w:trPr>
        <w:tc>
          <w:tcPr>
            <w:tcW w:w="20" w:type="dxa"/>
            <w:vAlign w:val="bottom"/>
          </w:tcPr>
          <w:p>
            <w:pPr>
              <w:spacing w:after="0"/>
              <w:rPr>
                <w:sz w:val="23"/>
                <w:szCs w:val="23"/>
                <w:color w:val="auto"/>
              </w:rPr>
            </w:pPr>
          </w:p>
        </w:tc>
        <w:tc>
          <w:tcPr>
            <w:tcW w:w="5600" w:type="dxa"/>
            <w:vAlign w:val="bottom"/>
          </w:tcPr>
          <w:p>
            <w:pPr>
              <w:ind w:left="60"/>
              <w:spacing w:after="0"/>
              <w:rPr>
                <w:sz w:val="20"/>
                <w:szCs w:val="20"/>
                <w:color w:val="auto"/>
              </w:rPr>
            </w:pPr>
            <w:r>
              <w:rPr>
                <w:rFonts w:ascii="Arial" w:cs="Arial" w:eastAsia="Arial" w:hAnsi="Arial"/>
                <w:sz w:val="16"/>
                <w:szCs w:val="16"/>
                <w:b w:val="1"/>
                <w:bCs w:val="1"/>
                <w:color w:val="435363"/>
              </w:rPr>
              <w:t>Vicente Reynal</w:t>
            </w:r>
          </w:p>
        </w:tc>
        <w:tc>
          <w:tcPr>
            <w:tcW w:w="1580" w:type="dxa"/>
            <w:vAlign w:val="bottom"/>
          </w:tcPr>
          <w:p>
            <w:pPr>
              <w:jc w:val="center"/>
              <w:ind w:left="141"/>
              <w:spacing w:after="0"/>
              <w:rPr>
                <w:sz w:val="20"/>
                <w:szCs w:val="20"/>
                <w:color w:val="auto"/>
              </w:rPr>
            </w:pPr>
            <w:r>
              <w:rPr>
                <w:rFonts w:ascii="Arial" w:cs="Arial" w:eastAsia="Arial" w:hAnsi="Arial"/>
                <w:sz w:val="16"/>
                <w:szCs w:val="16"/>
                <w:color w:val="435363"/>
                <w:w w:val="96"/>
              </w:rPr>
              <w:t>115,000</w:t>
            </w:r>
          </w:p>
        </w:tc>
        <w:tc>
          <w:tcPr>
            <w:tcW w:w="1000" w:type="dxa"/>
            <w:vAlign w:val="bottom"/>
          </w:tcPr>
          <w:p>
            <w:pPr>
              <w:jc w:val="center"/>
              <w:spacing w:after="0"/>
              <w:rPr>
                <w:sz w:val="20"/>
                <w:szCs w:val="20"/>
                <w:color w:val="auto"/>
              </w:rPr>
            </w:pPr>
            <w:r>
              <w:rPr>
                <w:rFonts w:ascii="Arial" w:cs="Arial" w:eastAsia="Arial" w:hAnsi="Arial"/>
                <w:sz w:val="16"/>
                <w:szCs w:val="16"/>
                <w:color w:val="435363"/>
              </w:rPr>
              <w:t>150,000</w:t>
            </w:r>
          </w:p>
        </w:tc>
        <w:tc>
          <w:tcPr>
            <w:tcW w:w="1500" w:type="dxa"/>
            <w:vAlign w:val="bottom"/>
          </w:tcPr>
          <w:p>
            <w:pPr>
              <w:jc w:val="center"/>
              <w:spacing w:after="0"/>
              <w:rPr>
                <w:sz w:val="20"/>
                <w:szCs w:val="20"/>
                <w:color w:val="auto"/>
              </w:rPr>
            </w:pPr>
            <w:r>
              <w:rPr>
                <w:rFonts w:ascii="Arial" w:cs="Arial" w:eastAsia="Arial" w:hAnsi="Arial"/>
                <w:sz w:val="16"/>
                <w:szCs w:val="16"/>
                <w:color w:val="435363"/>
                <w:w w:val="89"/>
              </w:rPr>
              <w:t>  31,652</w:t>
            </w:r>
          </w:p>
        </w:tc>
        <w:tc>
          <w:tcPr>
            <w:tcW w:w="1120" w:type="dxa"/>
            <w:vAlign w:val="bottom"/>
          </w:tcPr>
          <w:p>
            <w:pPr>
              <w:jc w:val="center"/>
              <w:ind w:right="161"/>
              <w:spacing w:after="0"/>
              <w:rPr>
                <w:sz w:val="20"/>
                <w:szCs w:val="20"/>
                <w:color w:val="auto"/>
              </w:rPr>
            </w:pPr>
            <w:r>
              <w:rPr>
                <w:rFonts w:ascii="Arial" w:cs="Arial" w:eastAsia="Arial" w:hAnsi="Arial"/>
                <w:sz w:val="16"/>
                <w:szCs w:val="16"/>
                <w:color w:val="435363"/>
                <w:w w:val="96"/>
              </w:rPr>
              <w:t>296,652</w:t>
            </w:r>
          </w:p>
        </w:tc>
      </w:tr>
      <w:tr>
        <w:trPr>
          <w:trHeight w:val="35"/>
        </w:trPr>
        <w:tc>
          <w:tcPr>
            <w:tcW w:w="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304"/>
        </w:trPr>
        <w:tc>
          <w:tcPr>
            <w:tcW w:w="20" w:type="dxa"/>
            <w:vAlign w:val="bottom"/>
          </w:tcPr>
          <w:p>
            <w:pPr>
              <w:spacing w:after="0"/>
              <w:rPr>
                <w:sz w:val="24"/>
                <w:szCs w:val="24"/>
                <w:color w:val="auto"/>
              </w:rPr>
            </w:pPr>
          </w:p>
        </w:tc>
        <w:tc>
          <w:tcPr>
            <w:tcW w:w="560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435363"/>
              </w:rPr>
              <w:t>Ray Robinson</w:t>
            </w:r>
            <w:r>
              <w:rPr>
                <w:rFonts w:ascii="Arial" w:cs="Arial" w:eastAsia="Arial" w:hAnsi="Arial"/>
                <w:sz w:val="23"/>
                <w:szCs w:val="23"/>
                <w:b w:val="1"/>
                <w:bCs w:val="1"/>
                <w:color w:val="435363"/>
                <w:vertAlign w:val="superscript"/>
              </w:rPr>
              <w:t>(d)</w:t>
            </w:r>
          </w:p>
        </w:tc>
        <w:tc>
          <w:tcPr>
            <w:tcW w:w="1580" w:type="dxa"/>
            <w:vAlign w:val="bottom"/>
            <w:shd w:val="clear" w:color="auto" w:fill="EDEDED"/>
          </w:tcPr>
          <w:p>
            <w:pPr>
              <w:jc w:val="center"/>
              <w:ind w:left="121"/>
              <w:spacing w:after="0"/>
              <w:rPr>
                <w:sz w:val="20"/>
                <w:szCs w:val="20"/>
                <w:color w:val="auto"/>
              </w:rPr>
            </w:pPr>
            <w:r>
              <w:rPr>
                <w:rFonts w:ascii="Arial" w:cs="Arial" w:eastAsia="Arial" w:hAnsi="Arial"/>
                <w:sz w:val="16"/>
                <w:szCs w:val="16"/>
                <w:color w:val="435363"/>
                <w:w w:val="93"/>
              </w:rPr>
              <w:t>  65,000</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435363"/>
                <w:w w:val="91"/>
              </w:rPr>
              <w:t>           -</w:t>
            </w:r>
          </w:p>
        </w:tc>
        <w:tc>
          <w:tcPr>
            <w:tcW w:w="1500" w:type="dxa"/>
            <w:vAlign w:val="bottom"/>
            <w:shd w:val="clear" w:color="auto" w:fill="EDEDED"/>
          </w:tcPr>
          <w:p>
            <w:pPr>
              <w:jc w:val="center"/>
              <w:spacing w:after="0"/>
              <w:rPr>
                <w:sz w:val="20"/>
                <w:szCs w:val="20"/>
                <w:color w:val="auto"/>
              </w:rPr>
            </w:pPr>
            <w:r>
              <w:rPr>
                <w:rFonts w:ascii="Arial" w:cs="Arial" w:eastAsia="Arial" w:hAnsi="Arial"/>
                <w:sz w:val="16"/>
                <w:szCs w:val="16"/>
                <w:color w:val="435363"/>
                <w:w w:val="96"/>
              </w:rPr>
              <w:t>433,103</w:t>
            </w:r>
          </w:p>
        </w:tc>
        <w:tc>
          <w:tcPr>
            <w:tcW w:w="1120" w:type="dxa"/>
            <w:vAlign w:val="bottom"/>
            <w:shd w:val="clear" w:color="auto" w:fill="EDEDED"/>
          </w:tcPr>
          <w:p>
            <w:pPr>
              <w:jc w:val="center"/>
              <w:ind w:right="161"/>
              <w:spacing w:after="0"/>
              <w:rPr>
                <w:sz w:val="20"/>
                <w:szCs w:val="20"/>
                <w:color w:val="auto"/>
              </w:rPr>
            </w:pPr>
            <w:r>
              <w:rPr>
                <w:rFonts w:ascii="Arial" w:cs="Arial" w:eastAsia="Arial" w:hAnsi="Arial"/>
                <w:sz w:val="16"/>
                <w:szCs w:val="16"/>
                <w:color w:val="435363"/>
                <w:w w:val="96"/>
              </w:rPr>
              <w:t>498,103</w:t>
            </w:r>
          </w:p>
        </w:tc>
      </w:tr>
      <w:tr>
        <w:trPr>
          <w:trHeight w:val="270"/>
        </w:trPr>
        <w:tc>
          <w:tcPr>
            <w:tcW w:w="20" w:type="dxa"/>
            <w:vAlign w:val="bottom"/>
          </w:tcPr>
          <w:p>
            <w:pPr>
              <w:spacing w:after="0"/>
              <w:rPr>
                <w:sz w:val="23"/>
                <w:szCs w:val="23"/>
                <w:color w:val="auto"/>
              </w:rPr>
            </w:pPr>
          </w:p>
        </w:tc>
        <w:tc>
          <w:tcPr>
            <w:tcW w:w="5600" w:type="dxa"/>
            <w:vAlign w:val="bottom"/>
          </w:tcPr>
          <w:p>
            <w:pPr>
              <w:ind w:left="60"/>
              <w:spacing w:after="0"/>
              <w:rPr>
                <w:sz w:val="20"/>
                <w:szCs w:val="20"/>
                <w:color w:val="auto"/>
              </w:rPr>
            </w:pPr>
            <w:r>
              <w:rPr>
                <w:rFonts w:ascii="Arial" w:cs="Arial" w:eastAsia="Arial" w:hAnsi="Arial"/>
                <w:sz w:val="16"/>
                <w:szCs w:val="16"/>
                <w:b w:val="1"/>
                <w:bCs w:val="1"/>
                <w:color w:val="435363"/>
              </w:rPr>
              <w:t>Greg Smith</w:t>
            </w:r>
          </w:p>
        </w:tc>
        <w:tc>
          <w:tcPr>
            <w:tcW w:w="1580" w:type="dxa"/>
            <w:vAlign w:val="bottom"/>
          </w:tcPr>
          <w:p>
            <w:pPr>
              <w:jc w:val="center"/>
              <w:ind w:left="121"/>
              <w:spacing w:after="0"/>
              <w:rPr>
                <w:sz w:val="20"/>
                <w:szCs w:val="20"/>
                <w:color w:val="auto"/>
              </w:rPr>
            </w:pPr>
            <w:r>
              <w:rPr>
                <w:rFonts w:ascii="Arial" w:cs="Arial" w:eastAsia="Arial" w:hAnsi="Arial"/>
                <w:sz w:val="16"/>
                <w:szCs w:val="16"/>
                <w:color w:val="435363"/>
              </w:rPr>
              <w:t>109,890</w:t>
            </w:r>
          </w:p>
        </w:tc>
        <w:tc>
          <w:tcPr>
            <w:tcW w:w="1000" w:type="dxa"/>
            <w:vAlign w:val="bottom"/>
          </w:tcPr>
          <w:p>
            <w:pPr>
              <w:jc w:val="center"/>
              <w:spacing w:after="0"/>
              <w:rPr>
                <w:sz w:val="20"/>
                <w:szCs w:val="20"/>
                <w:color w:val="auto"/>
              </w:rPr>
            </w:pPr>
            <w:r>
              <w:rPr>
                <w:rFonts w:ascii="Arial" w:cs="Arial" w:eastAsia="Arial" w:hAnsi="Arial"/>
                <w:sz w:val="16"/>
                <w:szCs w:val="16"/>
                <w:color w:val="435363"/>
              </w:rPr>
              <w:t>350,000</w:t>
            </w:r>
          </w:p>
        </w:tc>
        <w:tc>
          <w:tcPr>
            <w:tcW w:w="1500" w:type="dxa"/>
            <w:vAlign w:val="bottom"/>
          </w:tcPr>
          <w:p>
            <w:pPr>
              <w:jc w:val="center"/>
              <w:spacing w:after="0"/>
              <w:rPr>
                <w:sz w:val="20"/>
                <w:szCs w:val="20"/>
                <w:color w:val="auto"/>
              </w:rPr>
            </w:pPr>
            <w:r>
              <w:rPr>
                <w:rFonts w:ascii="Arial" w:cs="Arial" w:eastAsia="Arial" w:hAnsi="Arial"/>
                <w:sz w:val="16"/>
                <w:szCs w:val="16"/>
                <w:color w:val="435363"/>
                <w:w w:val="89"/>
              </w:rPr>
              <w:t>  46,808</w:t>
            </w:r>
          </w:p>
        </w:tc>
        <w:tc>
          <w:tcPr>
            <w:tcW w:w="1120" w:type="dxa"/>
            <w:vAlign w:val="bottom"/>
          </w:tcPr>
          <w:p>
            <w:pPr>
              <w:jc w:val="center"/>
              <w:ind w:right="161"/>
              <w:spacing w:after="0"/>
              <w:rPr>
                <w:sz w:val="20"/>
                <w:szCs w:val="20"/>
                <w:color w:val="auto"/>
              </w:rPr>
            </w:pPr>
            <w:r>
              <w:rPr>
                <w:rFonts w:ascii="Arial" w:cs="Arial" w:eastAsia="Arial" w:hAnsi="Arial"/>
                <w:sz w:val="16"/>
                <w:szCs w:val="16"/>
                <w:color w:val="435363"/>
                <w:w w:val="96"/>
              </w:rPr>
              <w:t>506,698</w:t>
            </w:r>
          </w:p>
        </w:tc>
      </w:tr>
      <w:tr>
        <w:trPr>
          <w:trHeight w:val="35"/>
        </w:trPr>
        <w:tc>
          <w:tcPr>
            <w:tcW w:w="20" w:type="dxa"/>
            <w:vAlign w:val="bottom"/>
          </w:tcPr>
          <w:p>
            <w:pPr>
              <w:spacing w:after="0"/>
              <w:rPr>
                <w:sz w:val="3"/>
                <w:szCs w:val="3"/>
                <w:color w:val="auto"/>
              </w:rPr>
            </w:pPr>
          </w:p>
        </w:tc>
        <w:tc>
          <w:tcPr>
            <w:tcW w:w="56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4"/>
        </w:trPr>
        <w:tc>
          <w:tcPr>
            <w:tcW w:w="20" w:type="dxa"/>
            <w:vAlign w:val="bottom"/>
          </w:tcPr>
          <w:p>
            <w:pPr>
              <w:spacing w:after="0"/>
              <w:rPr>
                <w:sz w:val="24"/>
                <w:szCs w:val="24"/>
                <w:color w:val="auto"/>
              </w:rPr>
            </w:pPr>
          </w:p>
        </w:tc>
        <w:tc>
          <w:tcPr>
            <w:tcW w:w="56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Doug Steenland</w:t>
            </w:r>
          </w:p>
        </w:tc>
        <w:tc>
          <w:tcPr>
            <w:tcW w:w="1580" w:type="dxa"/>
            <w:vAlign w:val="bottom"/>
            <w:tcBorders>
              <w:bottom w:val="single" w:sz="8" w:color="EDEDED"/>
            </w:tcBorders>
            <w:shd w:val="clear" w:color="auto" w:fill="EDEDED"/>
          </w:tcPr>
          <w:p>
            <w:pPr>
              <w:jc w:val="center"/>
              <w:ind w:left="121"/>
              <w:spacing w:after="0"/>
              <w:rPr>
                <w:sz w:val="20"/>
                <w:szCs w:val="20"/>
                <w:color w:val="auto"/>
              </w:rPr>
            </w:pPr>
            <w:r>
              <w:rPr>
                <w:rFonts w:ascii="Arial" w:cs="Arial" w:eastAsia="Arial" w:hAnsi="Arial"/>
                <w:sz w:val="16"/>
                <w:szCs w:val="16"/>
                <w:color w:val="435363"/>
              </w:rPr>
              <w:t>140,000</w:t>
            </w:r>
          </w:p>
        </w:tc>
        <w:tc>
          <w:tcPr>
            <w:tcW w:w="10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435363"/>
              </w:rPr>
              <w:t>150,000</w:t>
            </w:r>
          </w:p>
        </w:tc>
        <w:tc>
          <w:tcPr>
            <w:tcW w:w="15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435363"/>
                <w:w w:val="89"/>
              </w:rPr>
              <w:t>  17,630</w:t>
            </w:r>
          </w:p>
        </w:tc>
        <w:tc>
          <w:tcPr>
            <w:tcW w:w="1120" w:type="dxa"/>
            <w:vAlign w:val="bottom"/>
            <w:tcBorders>
              <w:bottom w:val="single" w:sz="8" w:color="EDEDED"/>
            </w:tcBorders>
            <w:shd w:val="clear" w:color="auto" w:fill="EDEDED"/>
          </w:tcPr>
          <w:p>
            <w:pPr>
              <w:jc w:val="center"/>
              <w:ind w:right="161"/>
              <w:spacing w:after="0"/>
              <w:rPr>
                <w:sz w:val="20"/>
                <w:szCs w:val="20"/>
                <w:color w:val="auto"/>
              </w:rPr>
            </w:pPr>
            <w:r>
              <w:rPr>
                <w:rFonts w:ascii="Arial" w:cs="Arial" w:eastAsia="Arial" w:hAnsi="Arial"/>
                <w:sz w:val="16"/>
                <w:szCs w:val="16"/>
                <w:color w:val="435363"/>
                <w:w w:val="96"/>
              </w:rPr>
              <w:t>307,630</w:t>
            </w: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435363"/>
          </w:tcPr>
          <w:p>
            <w:pPr>
              <w:spacing w:after="0" w:line="20" w:lineRule="exact"/>
              <w:rPr>
                <w:sz w:val="1"/>
                <w:szCs w:val="1"/>
                <w:color w:val="auto"/>
              </w:rPr>
            </w:pPr>
          </w:p>
        </w:tc>
        <w:tc>
          <w:tcPr>
            <w:tcW w:w="1580" w:type="dxa"/>
            <w:vAlign w:val="bottom"/>
            <w:shd w:val="clear" w:color="auto" w:fill="435363"/>
          </w:tcPr>
          <w:p>
            <w:pPr>
              <w:spacing w:after="0" w:line="20" w:lineRule="exact"/>
              <w:rPr>
                <w:sz w:val="1"/>
                <w:szCs w:val="1"/>
                <w:color w:val="auto"/>
              </w:rPr>
            </w:pPr>
          </w:p>
        </w:tc>
        <w:tc>
          <w:tcPr>
            <w:tcW w:w="1000" w:type="dxa"/>
            <w:vAlign w:val="bottom"/>
            <w:shd w:val="clear" w:color="auto" w:fill="435363"/>
          </w:tcPr>
          <w:p>
            <w:pPr>
              <w:spacing w:after="0" w:line="20" w:lineRule="exact"/>
              <w:rPr>
                <w:sz w:val="1"/>
                <w:szCs w:val="1"/>
                <w:color w:val="auto"/>
              </w:rPr>
            </w:pPr>
          </w:p>
        </w:tc>
        <w:tc>
          <w:tcPr>
            <w:tcW w:w="1500" w:type="dxa"/>
            <w:vAlign w:val="bottom"/>
            <w:shd w:val="clear" w:color="auto" w:fill="435363"/>
          </w:tcPr>
          <w:p>
            <w:pPr>
              <w:spacing w:after="0" w:line="20" w:lineRule="exact"/>
              <w:rPr>
                <w:sz w:val="1"/>
                <w:szCs w:val="1"/>
                <w:color w:val="auto"/>
              </w:rPr>
            </w:pPr>
          </w:p>
        </w:tc>
        <w:tc>
          <w:tcPr>
            <w:tcW w:w="1120" w:type="dxa"/>
            <w:vAlign w:val="bottom"/>
            <w:shd w:val="clear" w:color="auto" w:fill="435363"/>
          </w:tcPr>
          <w:p>
            <w:pPr>
              <w:spacing w:after="0" w:line="20" w:lineRule="exact"/>
              <w:rPr>
                <w:sz w:val="1"/>
                <w:szCs w:val="1"/>
                <w:color w:val="auto"/>
              </w:rPr>
            </w:pPr>
          </w:p>
        </w:tc>
      </w:tr>
    </w:tbl>
    <w:p>
      <w:pPr>
        <w:spacing w:after="0" w:line="62" w:lineRule="exact"/>
        <w:rPr>
          <w:sz w:val="20"/>
          <w:szCs w:val="20"/>
          <w:color w:val="auto"/>
        </w:rPr>
      </w:pPr>
    </w:p>
    <w:p>
      <w:pPr>
        <w:ind w:left="640" w:right="480" w:hanging="416"/>
        <w:spacing w:after="0" w:line="274" w:lineRule="auto"/>
        <w:tabs>
          <w:tab w:leader="none" w:pos="640" w:val="left"/>
        </w:tabs>
        <w:numPr>
          <w:ilvl w:val="0"/>
          <w:numId w:val="33"/>
        </w:numPr>
        <w:rPr>
          <w:rFonts w:ascii="Arial" w:cs="Arial" w:eastAsia="Arial" w:hAnsi="Arial"/>
          <w:sz w:val="12"/>
          <w:szCs w:val="12"/>
          <w:color w:val="435363"/>
        </w:rPr>
      </w:pPr>
      <w:r>
        <w:rPr>
          <w:rFonts w:ascii="Arial" w:cs="Arial" w:eastAsia="Arial" w:hAnsi="Arial"/>
          <w:sz w:val="12"/>
          <w:szCs w:val="12"/>
          <w:color w:val="435363"/>
        </w:rPr>
        <w:t>The amounts represent the aggregate dollar amount of all fees the directors earned or were paid in 2023 for service as a director, including annual retainer, committee, chair and lead independent director fees.</w:t>
      </w:r>
    </w:p>
    <w:p>
      <w:pPr>
        <w:spacing w:after="0" w:line="29" w:lineRule="exact"/>
        <w:rPr>
          <w:rFonts w:ascii="Arial" w:cs="Arial" w:eastAsia="Arial" w:hAnsi="Arial"/>
          <w:sz w:val="12"/>
          <w:szCs w:val="12"/>
          <w:color w:val="435363"/>
        </w:rPr>
      </w:pPr>
    </w:p>
    <w:p>
      <w:pPr>
        <w:ind w:left="640" w:right="140" w:hanging="416"/>
        <w:spacing w:after="0" w:line="237" w:lineRule="auto"/>
        <w:tabs>
          <w:tab w:leader="none" w:pos="640" w:val="left"/>
        </w:tabs>
        <w:numPr>
          <w:ilvl w:val="0"/>
          <w:numId w:val="33"/>
        </w:numPr>
        <w:rPr>
          <w:rFonts w:ascii="Arial" w:cs="Arial" w:eastAsia="Arial" w:hAnsi="Arial"/>
          <w:sz w:val="12"/>
          <w:szCs w:val="12"/>
          <w:color w:val="435363"/>
        </w:rPr>
      </w:pPr>
      <w:r>
        <w:rPr>
          <w:rFonts w:ascii="Arial" w:cs="Arial" w:eastAsia="Arial" w:hAnsi="Arial"/>
          <w:sz w:val="12"/>
          <w:szCs w:val="12"/>
          <w:color w:val="435363"/>
        </w:rPr>
        <w:t>The amounts represent the aggregate grant date fair value, as calculated in accordance with Accounting Standards Codification (“ASC”) Topic 718, of (i) 10,460 RSUs granted to each non-employee director, other than Messrs. Albaugh, Parker and Robinson, on May 10, 2023, with a grant date fair value of $150,000, which will vest on May 10, 2024, subject to the continued service of the director through the vesting date and (ii) 13,947 additional RSUs granted to Mr. Smith on May 10, 2023, with a grant date fair value of $200,000, for his service as Independent Chairman, which will vest on May 10, 2024, subject to the continued service of the director through the vesting date. The grant date fair value, as calculated in accordance with ASC Topic 718, of time-based RSUs is equal to the number of shares underlying the RSUs, multiplied by the closing price of our Common Stock on the date of grant. As of December 31, 2023, each of our non-employee directors, other than Messrs. Smith and Parker, held 10,460 RSUs. As of December 31, 2023, Mr. Smith held 24,407 RSUs (which includes the additional RSUs granted to him on May 10, 2023) and Mr. Parker held 88,443 performance-vesting RSUs (based on target attainment level), which were granted in his role as Chief Executive Officer and continue to be subject to performance-vesting conditions. No non-employee directors held any other outstanding equity awards.</w:t>
      </w:r>
    </w:p>
    <w:p>
      <w:pPr>
        <w:spacing w:after="0" w:line="87" w:lineRule="exact"/>
        <w:rPr>
          <w:rFonts w:ascii="Arial" w:cs="Arial" w:eastAsia="Arial" w:hAnsi="Arial"/>
          <w:sz w:val="12"/>
          <w:szCs w:val="12"/>
          <w:color w:val="435363"/>
        </w:rPr>
      </w:pPr>
    </w:p>
    <w:p>
      <w:pPr>
        <w:ind w:left="640" w:right="40" w:hanging="416"/>
        <w:spacing w:after="0" w:line="239" w:lineRule="auto"/>
        <w:tabs>
          <w:tab w:leader="none" w:pos="640" w:val="left"/>
        </w:tabs>
        <w:numPr>
          <w:ilvl w:val="0"/>
          <w:numId w:val="33"/>
        </w:numPr>
        <w:rPr>
          <w:rFonts w:ascii="Arial" w:cs="Arial" w:eastAsia="Arial" w:hAnsi="Arial"/>
          <w:sz w:val="12"/>
          <w:szCs w:val="12"/>
          <w:color w:val="435363"/>
        </w:rPr>
      </w:pPr>
      <w:r>
        <w:rPr>
          <w:rFonts w:ascii="Arial" w:cs="Arial" w:eastAsia="Arial" w:hAnsi="Arial"/>
          <w:sz w:val="12"/>
          <w:szCs w:val="12"/>
          <w:color w:val="435363"/>
        </w:rPr>
        <w:t>The amounts include (i) the value of flight privileges received in 2023, (ii) for Messrs. Albaugh, Parker and Robinson, the value of lifetime flight privileges available to them, respectively, upon their retirement from board service, and (iii) tax reimbursements that we paid to our directors in 2023 for flight privileges provided to them in 2023. Amounts also include the portion of the premiums paid by us on behalf of Mr. Hart and Ms. O’Leary for a life insurance policy under the America West Directors’ Charitable Contribution Program, which is described more fully below in the section entitled “Legacy Director Compensation Programs,” and a contribution made to the charities of their choice for each of Messrs. Albaugh and Robinson in connection with their retirement from the Board. Each of these amounts are set forth in the table below. Flight privileges are valued based on the imputed taxable income to the director, which valuation is greater than the incremental cost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109855</wp:posOffset>
            </wp:positionV>
            <wp:extent cx="5177155" cy="1682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78" w:lineRule="exact"/>
        <w:rPr>
          <w:sz w:val="20"/>
          <w:szCs w:val="20"/>
          <w:color w:val="auto"/>
        </w:rPr>
      </w:pPr>
    </w:p>
    <w:p>
      <w:pPr>
        <w:ind w:left="10840"/>
        <w:spacing w:after="0"/>
        <w:rPr>
          <w:sz w:val="20"/>
          <w:szCs w:val="20"/>
          <w:color w:val="auto"/>
        </w:rPr>
      </w:pPr>
      <w:r>
        <w:rPr>
          <w:rFonts w:ascii="Arial" w:cs="Arial" w:eastAsia="Arial" w:hAnsi="Arial"/>
          <w:sz w:val="16"/>
          <w:szCs w:val="16"/>
          <w:b w:val="1"/>
          <w:bCs w:val="1"/>
          <w:color w:val="435363"/>
        </w:rPr>
        <w:t>43</w:t>
      </w: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66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20" w:type="dxa"/>
            <w:vAlign w:val="bottom"/>
          </w:tcPr>
          <w:p>
            <w:pPr>
              <w:jc w:val="center"/>
              <w:ind w:right="22"/>
              <w:spacing w:after="0"/>
              <w:rPr>
                <w:sz w:val="20"/>
                <w:szCs w:val="20"/>
                <w:color w:val="auto"/>
              </w:rPr>
            </w:pPr>
            <w:r>
              <w:rPr>
                <w:rFonts w:ascii="Arial" w:cs="Arial" w:eastAsia="Arial" w:hAnsi="Arial"/>
                <w:sz w:val="16"/>
                <w:szCs w:val="16"/>
                <w:b w:val="1"/>
                <w:bCs w:val="1"/>
                <w:color w:val="3575B3"/>
                <w:w w:val="94"/>
              </w:rPr>
              <w:t>Tax</w:t>
            </w:r>
          </w:p>
        </w:tc>
        <w:tc>
          <w:tcPr>
            <w:tcW w:w="1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1580" w:type="dxa"/>
            <w:vAlign w:val="bottom"/>
            <w:vMerge w:val="restart"/>
          </w:tcPr>
          <w:p>
            <w:pPr>
              <w:jc w:val="center"/>
              <w:ind w:left="221"/>
              <w:spacing w:after="0"/>
              <w:rPr>
                <w:sz w:val="20"/>
                <w:szCs w:val="20"/>
                <w:color w:val="auto"/>
              </w:rPr>
            </w:pPr>
            <w:r>
              <w:rPr>
                <w:rFonts w:ascii="Arial" w:cs="Arial" w:eastAsia="Arial" w:hAnsi="Arial"/>
                <w:sz w:val="16"/>
                <w:szCs w:val="16"/>
                <w:b w:val="1"/>
                <w:bCs w:val="1"/>
                <w:color w:val="3575B3"/>
              </w:rPr>
              <w:t>Flight</w:t>
            </w:r>
          </w:p>
        </w:tc>
        <w:tc>
          <w:tcPr>
            <w:tcW w:w="1320" w:type="dxa"/>
            <w:vAlign w:val="bottom"/>
          </w:tcPr>
          <w:p>
            <w:pPr>
              <w:jc w:val="center"/>
              <w:ind w:right="2"/>
              <w:spacing w:after="0"/>
              <w:rPr>
                <w:sz w:val="20"/>
                <w:szCs w:val="20"/>
                <w:color w:val="auto"/>
              </w:rPr>
            </w:pPr>
            <w:r>
              <w:rPr>
                <w:rFonts w:ascii="Arial" w:cs="Arial" w:eastAsia="Arial" w:hAnsi="Arial"/>
                <w:sz w:val="16"/>
                <w:szCs w:val="16"/>
                <w:b w:val="1"/>
                <w:bCs w:val="1"/>
                <w:color w:val="3575B3"/>
                <w:w w:val="98"/>
              </w:rPr>
              <w:t>Gross-Up</w:t>
            </w: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3575B3"/>
              </w:rPr>
              <w:t>Insurance</w:t>
            </w:r>
          </w:p>
        </w:tc>
        <w:tc>
          <w:tcPr>
            <w:tcW w:w="1180" w:type="dxa"/>
            <w:vAlign w:val="bottom"/>
            <w:vMerge w:val="restart"/>
          </w:tcPr>
          <w:p>
            <w:pPr>
              <w:jc w:val="center"/>
              <w:ind w:left="281"/>
              <w:spacing w:after="0"/>
              <w:rPr>
                <w:sz w:val="20"/>
                <w:szCs w:val="20"/>
                <w:color w:val="auto"/>
              </w:rPr>
            </w:pPr>
            <w:r>
              <w:rPr>
                <w:rFonts w:ascii="Arial" w:cs="Arial" w:eastAsia="Arial" w:hAnsi="Arial"/>
                <w:sz w:val="16"/>
                <w:szCs w:val="16"/>
                <w:b w:val="1"/>
                <w:bCs w:val="1"/>
                <w:color w:val="3575B3"/>
                <w:w w:val="99"/>
              </w:rPr>
              <w:t>Charitable</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320" w:type="dxa"/>
            <w:vAlign w:val="bottom"/>
          </w:tcPr>
          <w:p>
            <w:pPr>
              <w:jc w:val="center"/>
              <w:ind w:right="22"/>
              <w:spacing w:after="0" w:line="148" w:lineRule="exact"/>
              <w:rPr>
                <w:sz w:val="20"/>
                <w:szCs w:val="20"/>
                <w:color w:val="auto"/>
              </w:rPr>
            </w:pPr>
            <w:r>
              <w:rPr>
                <w:rFonts w:ascii="Arial" w:cs="Arial" w:eastAsia="Arial" w:hAnsi="Arial"/>
                <w:sz w:val="16"/>
                <w:szCs w:val="16"/>
                <w:b w:val="1"/>
                <w:bCs w:val="1"/>
                <w:color w:val="3575B3"/>
                <w:w w:val="97"/>
              </w:rPr>
              <w:t>on Flight</w:t>
            </w:r>
          </w:p>
        </w:tc>
        <w:tc>
          <w:tcPr>
            <w:tcW w:w="150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360" w:type="dxa"/>
            <w:vAlign w:val="bottom"/>
            <w:vMerge w:val="restart"/>
          </w:tcPr>
          <w:p>
            <w:pPr>
              <w:ind w:left="80"/>
              <w:spacing w:after="0"/>
              <w:rPr>
                <w:sz w:val="20"/>
                <w:szCs w:val="20"/>
                <w:color w:val="auto"/>
              </w:rPr>
            </w:pPr>
            <w:r>
              <w:rPr>
                <w:rFonts w:ascii="Arial" w:cs="Arial" w:eastAsia="Arial" w:hAnsi="Arial"/>
                <w:sz w:val="16"/>
                <w:szCs w:val="16"/>
                <w:b w:val="1"/>
                <w:bCs w:val="1"/>
                <w:color w:val="3575B3"/>
              </w:rPr>
              <w:t>Name</w:t>
            </w:r>
          </w:p>
        </w:tc>
        <w:tc>
          <w:tcPr>
            <w:tcW w:w="1580" w:type="dxa"/>
            <w:vAlign w:val="bottom"/>
          </w:tcPr>
          <w:p>
            <w:pPr>
              <w:jc w:val="center"/>
              <w:ind w:left="221"/>
              <w:spacing w:after="0"/>
              <w:rPr>
                <w:sz w:val="20"/>
                <w:szCs w:val="20"/>
                <w:color w:val="auto"/>
              </w:rPr>
            </w:pPr>
            <w:r>
              <w:rPr>
                <w:rFonts w:ascii="Arial" w:cs="Arial" w:eastAsia="Arial" w:hAnsi="Arial"/>
                <w:sz w:val="16"/>
                <w:szCs w:val="16"/>
                <w:b w:val="1"/>
                <w:bCs w:val="1"/>
                <w:color w:val="3575B3"/>
              </w:rPr>
              <w:t>Privileges</w:t>
            </w:r>
          </w:p>
        </w:tc>
        <w:tc>
          <w:tcPr>
            <w:tcW w:w="1320" w:type="dxa"/>
            <w:vAlign w:val="bottom"/>
          </w:tcPr>
          <w:p>
            <w:pPr>
              <w:jc w:val="center"/>
              <w:ind w:right="22"/>
              <w:spacing w:after="0"/>
              <w:rPr>
                <w:sz w:val="20"/>
                <w:szCs w:val="20"/>
                <w:color w:val="auto"/>
              </w:rPr>
            </w:pPr>
            <w:r>
              <w:rPr>
                <w:rFonts w:ascii="Arial" w:cs="Arial" w:eastAsia="Arial" w:hAnsi="Arial"/>
                <w:sz w:val="14"/>
                <w:szCs w:val="14"/>
                <w:b w:val="1"/>
                <w:bCs w:val="1"/>
                <w:color w:val="3575B3"/>
                <w:w w:val="99"/>
              </w:rPr>
              <w:t>Privileges</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3575B3"/>
                <w:w w:val="98"/>
              </w:rPr>
              <w:t>Premiums</w:t>
            </w:r>
          </w:p>
        </w:tc>
        <w:tc>
          <w:tcPr>
            <w:tcW w:w="1180" w:type="dxa"/>
            <w:vAlign w:val="bottom"/>
          </w:tcPr>
          <w:p>
            <w:pPr>
              <w:jc w:val="center"/>
              <w:ind w:left="301"/>
              <w:spacing w:after="0"/>
              <w:rPr>
                <w:sz w:val="20"/>
                <w:szCs w:val="20"/>
                <w:color w:val="auto"/>
              </w:rPr>
            </w:pPr>
            <w:r>
              <w:rPr>
                <w:rFonts w:ascii="Arial" w:cs="Arial" w:eastAsia="Arial" w:hAnsi="Arial"/>
                <w:sz w:val="16"/>
                <w:szCs w:val="16"/>
                <w:b w:val="1"/>
                <w:bCs w:val="1"/>
                <w:color w:val="3575B3"/>
                <w:w w:val="96"/>
              </w:rPr>
              <w:t>Awards</w:t>
            </w:r>
          </w:p>
        </w:tc>
        <w:tc>
          <w:tcPr>
            <w:tcW w:w="0" w:type="dxa"/>
            <w:vAlign w:val="bottom"/>
          </w:tcPr>
          <w:p>
            <w:pPr>
              <w:spacing w:after="0"/>
              <w:rPr>
                <w:sz w:val="1"/>
                <w:szCs w:val="1"/>
                <w:color w:val="auto"/>
              </w:rPr>
            </w:pPr>
          </w:p>
        </w:tc>
      </w:tr>
      <w:tr>
        <w:trPr>
          <w:trHeight w:val="199"/>
        </w:trPr>
        <w:tc>
          <w:tcPr>
            <w:tcW w:w="4360" w:type="dxa"/>
            <w:vAlign w:val="bottom"/>
            <w:tcBorders>
              <w:bottom w:val="single" w:sz="8" w:color="BF0000"/>
            </w:tcBorders>
            <w:vMerge w:val="continue"/>
          </w:tcPr>
          <w:p>
            <w:pPr>
              <w:spacing w:after="0"/>
              <w:rPr>
                <w:sz w:val="17"/>
                <w:szCs w:val="17"/>
                <w:color w:val="auto"/>
              </w:rPr>
            </w:pPr>
          </w:p>
        </w:tc>
        <w:tc>
          <w:tcPr>
            <w:tcW w:w="1580" w:type="dxa"/>
            <w:vAlign w:val="bottom"/>
            <w:tcBorders>
              <w:bottom w:val="single" w:sz="8" w:color="BF0000"/>
            </w:tcBorders>
          </w:tcPr>
          <w:p>
            <w:pPr>
              <w:jc w:val="center"/>
              <w:ind w:left="221"/>
              <w:spacing w:after="0"/>
              <w:rPr>
                <w:sz w:val="20"/>
                <w:szCs w:val="20"/>
                <w:color w:val="auto"/>
              </w:rPr>
            </w:pPr>
            <w:r>
              <w:rPr>
                <w:rFonts w:ascii="Arial" w:cs="Arial" w:eastAsia="Arial" w:hAnsi="Arial"/>
                <w:sz w:val="16"/>
                <w:szCs w:val="16"/>
                <w:b w:val="1"/>
                <w:bCs w:val="1"/>
                <w:color w:val="3575B3"/>
              </w:rPr>
              <w:t>($)</w:t>
            </w:r>
          </w:p>
        </w:tc>
        <w:tc>
          <w:tcPr>
            <w:tcW w:w="1320" w:type="dxa"/>
            <w:vAlign w:val="bottom"/>
            <w:tcBorders>
              <w:bottom w:val="single" w:sz="8" w:color="BF0000"/>
            </w:tcBorders>
          </w:tcPr>
          <w:p>
            <w:pPr>
              <w:jc w:val="center"/>
              <w:ind w:right="22"/>
              <w:spacing w:after="0"/>
              <w:rPr>
                <w:sz w:val="20"/>
                <w:szCs w:val="20"/>
                <w:color w:val="auto"/>
              </w:rPr>
            </w:pPr>
            <w:r>
              <w:rPr>
                <w:rFonts w:ascii="Arial" w:cs="Arial" w:eastAsia="Arial" w:hAnsi="Arial"/>
                <w:sz w:val="14"/>
                <w:szCs w:val="14"/>
                <w:b w:val="1"/>
                <w:bCs w:val="1"/>
                <w:color w:val="3575B3"/>
              </w:rPr>
              <w:t>($)</w:t>
            </w:r>
          </w:p>
        </w:tc>
        <w:tc>
          <w:tcPr>
            <w:tcW w:w="1500" w:type="dxa"/>
            <w:vAlign w:val="bottom"/>
            <w:tcBorders>
              <w:bottom w:val="single" w:sz="8" w:color="BF0000"/>
            </w:tcBorders>
          </w:tcPr>
          <w:p>
            <w:pPr>
              <w:jc w:val="center"/>
              <w:spacing w:after="0"/>
              <w:rPr>
                <w:sz w:val="20"/>
                <w:szCs w:val="20"/>
                <w:color w:val="auto"/>
              </w:rPr>
            </w:pPr>
            <w:r>
              <w:rPr>
                <w:rFonts w:ascii="Arial" w:cs="Arial" w:eastAsia="Arial" w:hAnsi="Arial"/>
                <w:sz w:val="14"/>
                <w:szCs w:val="14"/>
                <w:b w:val="1"/>
                <w:bCs w:val="1"/>
                <w:color w:val="3575B3"/>
                <w:w w:val="93"/>
              </w:rPr>
              <w:t>($)</w:t>
            </w:r>
          </w:p>
        </w:tc>
        <w:tc>
          <w:tcPr>
            <w:tcW w:w="1180" w:type="dxa"/>
            <w:vAlign w:val="bottom"/>
            <w:tcBorders>
              <w:bottom w:val="single" w:sz="8" w:color="BF0000"/>
            </w:tcBorders>
          </w:tcPr>
          <w:p>
            <w:pPr>
              <w:jc w:val="center"/>
              <w:ind w:left="301"/>
              <w:spacing w:after="0"/>
              <w:rPr>
                <w:sz w:val="20"/>
                <w:szCs w:val="20"/>
                <w:color w:val="auto"/>
              </w:rPr>
            </w:pPr>
            <w:r>
              <w:rPr>
                <w:rFonts w:ascii="Arial" w:cs="Arial" w:eastAsia="Arial" w:hAnsi="Arial"/>
                <w:sz w:val="16"/>
                <w:szCs w:val="16"/>
                <w:b w:val="1"/>
                <w:bCs w:val="1"/>
                <w:color w:val="3575B3"/>
              </w:rPr>
              <w:t>($)</w:t>
            </w:r>
          </w:p>
        </w:tc>
        <w:tc>
          <w:tcPr>
            <w:tcW w:w="0" w:type="dxa"/>
            <w:vAlign w:val="bottom"/>
          </w:tcPr>
          <w:p>
            <w:pPr>
              <w:spacing w:after="0"/>
              <w:rPr>
                <w:sz w:val="1"/>
                <w:szCs w:val="1"/>
                <w:color w:val="auto"/>
              </w:rPr>
            </w:pPr>
          </w:p>
        </w:tc>
      </w:tr>
      <w:tr>
        <w:trPr>
          <w:trHeight w:val="284"/>
        </w:trPr>
        <w:tc>
          <w:tcPr>
            <w:tcW w:w="4360" w:type="dxa"/>
            <w:vAlign w:val="bottom"/>
          </w:tcPr>
          <w:p>
            <w:pPr>
              <w:ind w:left="80"/>
              <w:spacing w:after="0"/>
              <w:rPr>
                <w:sz w:val="20"/>
                <w:szCs w:val="20"/>
                <w:color w:val="auto"/>
              </w:rPr>
            </w:pPr>
            <w:r>
              <w:rPr>
                <w:rFonts w:ascii="Arial" w:cs="Arial" w:eastAsia="Arial" w:hAnsi="Arial"/>
                <w:sz w:val="16"/>
                <w:szCs w:val="16"/>
                <w:b w:val="1"/>
                <w:bCs w:val="1"/>
                <w:color w:val="435363"/>
              </w:rPr>
              <w:t>Jim Albaugh</w:t>
            </w:r>
            <w:r>
              <w:rPr>
                <w:rFonts w:ascii="Arial" w:cs="Arial" w:eastAsia="Arial" w:hAnsi="Arial"/>
                <w:sz w:val="23"/>
                <w:szCs w:val="23"/>
                <w:b w:val="1"/>
                <w:bCs w:val="1"/>
                <w:color w:val="435363"/>
                <w:vertAlign w:val="superscript"/>
              </w:rPr>
              <w:t>(d)</w:t>
            </w:r>
          </w:p>
        </w:tc>
        <w:tc>
          <w:tcPr>
            <w:tcW w:w="1580" w:type="dxa"/>
            <w:vAlign w:val="bottom"/>
          </w:tcPr>
          <w:p>
            <w:pPr>
              <w:jc w:val="right"/>
              <w:ind w:right="161"/>
              <w:spacing w:after="0"/>
              <w:rPr>
                <w:sz w:val="20"/>
                <w:szCs w:val="20"/>
                <w:color w:val="auto"/>
              </w:rPr>
            </w:pPr>
            <w:r>
              <w:rPr>
                <w:rFonts w:ascii="Arial" w:cs="Arial" w:eastAsia="Arial" w:hAnsi="Arial"/>
                <w:sz w:val="16"/>
                <w:szCs w:val="16"/>
                <w:color w:val="435363"/>
              </w:rPr>
              <w:t>178,765</w:t>
            </w:r>
            <w:r>
              <w:rPr>
                <w:rFonts w:ascii="Arial" w:cs="Arial" w:eastAsia="Arial" w:hAnsi="Arial"/>
                <w:sz w:val="23"/>
                <w:szCs w:val="23"/>
                <w:color w:val="435363"/>
                <w:vertAlign w:val="superscript"/>
              </w:rPr>
              <w:t>(e)</w:t>
            </w:r>
          </w:p>
        </w:tc>
        <w:tc>
          <w:tcPr>
            <w:tcW w:w="1320" w:type="dxa"/>
            <w:vAlign w:val="bottom"/>
          </w:tcPr>
          <w:p>
            <w:pPr>
              <w:jc w:val="right"/>
              <w:ind w:right="282"/>
              <w:spacing w:after="0"/>
              <w:rPr>
                <w:sz w:val="20"/>
                <w:szCs w:val="20"/>
                <w:color w:val="auto"/>
              </w:rPr>
            </w:pPr>
            <w:r>
              <w:rPr>
                <w:rFonts w:ascii="Arial" w:cs="Arial" w:eastAsia="Arial" w:hAnsi="Arial"/>
                <w:sz w:val="16"/>
                <w:szCs w:val="16"/>
                <w:color w:val="435363"/>
              </w:rPr>
              <w:t>13,528</w:t>
            </w:r>
            <w:r>
              <w:rPr>
                <w:rFonts w:ascii="Arial" w:cs="Arial" w:eastAsia="Arial" w:hAnsi="Arial"/>
                <w:sz w:val="23"/>
                <w:szCs w:val="23"/>
                <w:color w:val="435363"/>
                <w:vertAlign w:val="superscript"/>
              </w:rPr>
              <w:t>(e)</w:t>
            </w:r>
          </w:p>
        </w:tc>
        <w:tc>
          <w:tcPr>
            <w:tcW w:w="15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435363"/>
              </w:rPr>
              <w:t>25,000</w:t>
            </w:r>
          </w:p>
        </w:tc>
        <w:tc>
          <w:tcPr>
            <w:tcW w:w="0" w:type="dxa"/>
            <w:vAlign w:val="bottom"/>
          </w:tcPr>
          <w:p>
            <w:pPr>
              <w:spacing w:after="0"/>
              <w:rPr>
                <w:sz w:val="1"/>
                <w:szCs w:val="1"/>
                <w:color w:val="auto"/>
              </w:rPr>
            </w:pPr>
          </w:p>
        </w:tc>
      </w:tr>
      <w:tr>
        <w:trPr>
          <w:trHeight w:val="284"/>
        </w:trPr>
        <w:tc>
          <w:tcPr>
            <w:tcW w:w="436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b w:val="1"/>
                <w:bCs w:val="1"/>
                <w:color w:val="435363"/>
              </w:rPr>
              <w:t>Jeff Benjamin</w:t>
            </w:r>
          </w:p>
        </w:tc>
        <w:tc>
          <w:tcPr>
            <w:tcW w:w="1580" w:type="dxa"/>
            <w:vAlign w:val="bottom"/>
            <w:tcBorders>
              <w:bottom w:val="single" w:sz="8" w:color="EDEDED"/>
            </w:tcBorders>
            <w:shd w:val="clear" w:color="auto" w:fill="EDEDED"/>
          </w:tcPr>
          <w:p>
            <w:pPr>
              <w:jc w:val="right"/>
              <w:ind w:right="321"/>
              <w:spacing w:after="0"/>
              <w:rPr>
                <w:sz w:val="20"/>
                <w:szCs w:val="20"/>
                <w:color w:val="auto"/>
              </w:rPr>
            </w:pPr>
            <w:r>
              <w:rPr>
                <w:rFonts w:ascii="Arial" w:cs="Arial" w:eastAsia="Arial" w:hAnsi="Arial"/>
                <w:sz w:val="16"/>
                <w:szCs w:val="16"/>
                <w:color w:val="435363"/>
              </w:rPr>
              <w:t>20,374</w:t>
            </w:r>
          </w:p>
        </w:tc>
        <w:tc>
          <w:tcPr>
            <w:tcW w:w="1320" w:type="dxa"/>
            <w:vAlign w:val="bottom"/>
            <w:tcBorders>
              <w:bottom w:val="single" w:sz="8" w:color="EDEDED"/>
            </w:tcBorders>
            <w:shd w:val="clear" w:color="auto" w:fill="EDEDED"/>
          </w:tcPr>
          <w:p>
            <w:pPr>
              <w:jc w:val="right"/>
              <w:ind w:right="422"/>
              <w:spacing w:after="0"/>
              <w:rPr>
                <w:sz w:val="20"/>
                <w:szCs w:val="20"/>
                <w:color w:val="auto"/>
              </w:rPr>
            </w:pPr>
            <w:r>
              <w:rPr>
                <w:rFonts w:ascii="Arial" w:cs="Arial" w:eastAsia="Arial" w:hAnsi="Arial"/>
                <w:sz w:val="16"/>
                <w:szCs w:val="16"/>
                <w:color w:val="435363"/>
              </w:rPr>
              <w:t>20,374</w:t>
            </w:r>
          </w:p>
        </w:tc>
        <w:tc>
          <w:tcPr>
            <w:tcW w:w="1500" w:type="dxa"/>
            <w:vAlign w:val="bottom"/>
            <w:tcBorders>
              <w:bottom w:val="single" w:sz="8" w:color="EDEDED"/>
            </w:tcBorders>
            <w:shd w:val="clear" w:color="auto" w:fill="EDEDED"/>
          </w:tcPr>
          <w:p>
            <w:pPr>
              <w:spacing w:after="0"/>
              <w:rPr>
                <w:sz w:val="24"/>
                <w:szCs w:val="24"/>
                <w:color w:val="auto"/>
              </w:rPr>
            </w:pPr>
          </w:p>
        </w:tc>
        <w:tc>
          <w:tcPr>
            <w:tcW w:w="118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80"/>
              <w:spacing w:after="0"/>
              <w:rPr>
                <w:sz w:val="20"/>
                <w:szCs w:val="20"/>
                <w:color w:val="auto"/>
              </w:rPr>
            </w:pPr>
            <w:r>
              <w:rPr>
                <w:rFonts w:ascii="Arial" w:cs="Arial" w:eastAsia="Arial" w:hAnsi="Arial"/>
                <w:sz w:val="16"/>
                <w:szCs w:val="16"/>
                <w:b w:val="1"/>
                <w:bCs w:val="1"/>
                <w:color w:val="435363"/>
              </w:rPr>
              <w:t>Adriane Brown</w:t>
            </w:r>
          </w:p>
        </w:tc>
        <w:tc>
          <w:tcPr>
            <w:tcW w:w="1580" w:type="dxa"/>
            <w:vAlign w:val="bottom"/>
          </w:tcPr>
          <w:p>
            <w:pPr>
              <w:jc w:val="right"/>
              <w:ind w:right="321"/>
              <w:spacing w:after="0"/>
              <w:rPr>
                <w:sz w:val="20"/>
                <w:szCs w:val="20"/>
                <w:color w:val="auto"/>
              </w:rPr>
            </w:pPr>
            <w:r>
              <w:rPr>
                <w:rFonts w:ascii="Arial" w:cs="Arial" w:eastAsia="Arial" w:hAnsi="Arial"/>
                <w:sz w:val="16"/>
                <w:szCs w:val="16"/>
                <w:color w:val="435363"/>
              </w:rPr>
              <w:t>5,592</w:t>
            </w:r>
          </w:p>
        </w:tc>
        <w:tc>
          <w:tcPr>
            <w:tcW w:w="1320" w:type="dxa"/>
            <w:vAlign w:val="bottom"/>
          </w:tcPr>
          <w:p>
            <w:pPr>
              <w:jc w:val="right"/>
              <w:ind w:right="422"/>
              <w:spacing w:after="0"/>
              <w:rPr>
                <w:sz w:val="20"/>
                <w:szCs w:val="20"/>
                <w:color w:val="auto"/>
              </w:rPr>
            </w:pPr>
            <w:r>
              <w:rPr>
                <w:rFonts w:ascii="Arial" w:cs="Arial" w:eastAsia="Arial" w:hAnsi="Arial"/>
                <w:sz w:val="16"/>
                <w:szCs w:val="16"/>
                <w:color w:val="435363"/>
              </w:rPr>
              <w:t>5,592</w:t>
            </w:r>
          </w:p>
        </w:tc>
        <w:tc>
          <w:tcPr>
            <w:tcW w:w="1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
        </w:trPr>
        <w:tc>
          <w:tcPr>
            <w:tcW w:w="43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436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b w:val="1"/>
                <w:bCs w:val="1"/>
                <w:color w:val="435363"/>
              </w:rPr>
              <w:t>John Cahill</w:t>
            </w:r>
          </w:p>
        </w:tc>
        <w:tc>
          <w:tcPr>
            <w:tcW w:w="1580" w:type="dxa"/>
            <w:vAlign w:val="bottom"/>
            <w:tcBorders>
              <w:bottom w:val="single" w:sz="8" w:color="EDEDED"/>
            </w:tcBorders>
            <w:shd w:val="clear" w:color="auto" w:fill="EDEDED"/>
          </w:tcPr>
          <w:p>
            <w:pPr>
              <w:jc w:val="right"/>
              <w:ind w:right="321"/>
              <w:spacing w:after="0"/>
              <w:rPr>
                <w:sz w:val="20"/>
                <w:szCs w:val="20"/>
                <w:color w:val="auto"/>
              </w:rPr>
            </w:pPr>
            <w:r>
              <w:rPr>
                <w:rFonts w:ascii="Arial" w:cs="Arial" w:eastAsia="Arial" w:hAnsi="Arial"/>
                <w:sz w:val="16"/>
                <w:szCs w:val="16"/>
                <w:color w:val="435363"/>
              </w:rPr>
              <w:t>16,284</w:t>
            </w:r>
          </w:p>
        </w:tc>
        <w:tc>
          <w:tcPr>
            <w:tcW w:w="1320" w:type="dxa"/>
            <w:vAlign w:val="bottom"/>
            <w:tcBorders>
              <w:bottom w:val="single" w:sz="8" w:color="EDEDED"/>
            </w:tcBorders>
            <w:shd w:val="clear" w:color="auto" w:fill="EDEDED"/>
          </w:tcPr>
          <w:p>
            <w:pPr>
              <w:jc w:val="right"/>
              <w:ind w:right="422"/>
              <w:spacing w:after="0"/>
              <w:rPr>
                <w:sz w:val="20"/>
                <w:szCs w:val="20"/>
                <w:color w:val="auto"/>
              </w:rPr>
            </w:pPr>
            <w:r>
              <w:rPr>
                <w:rFonts w:ascii="Arial" w:cs="Arial" w:eastAsia="Arial" w:hAnsi="Arial"/>
                <w:sz w:val="16"/>
                <w:szCs w:val="16"/>
                <w:color w:val="435363"/>
              </w:rPr>
              <w:t>16,284</w:t>
            </w:r>
          </w:p>
        </w:tc>
        <w:tc>
          <w:tcPr>
            <w:tcW w:w="1500" w:type="dxa"/>
            <w:vAlign w:val="bottom"/>
            <w:tcBorders>
              <w:bottom w:val="single" w:sz="8" w:color="EDEDED"/>
            </w:tcBorders>
            <w:shd w:val="clear" w:color="auto" w:fill="EDEDED"/>
          </w:tcPr>
          <w:p>
            <w:pPr>
              <w:spacing w:after="0"/>
              <w:rPr>
                <w:sz w:val="24"/>
                <w:szCs w:val="24"/>
                <w:color w:val="auto"/>
              </w:rPr>
            </w:pPr>
          </w:p>
        </w:tc>
        <w:tc>
          <w:tcPr>
            <w:tcW w:w="118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80"/>
              <w:spacing w:after="0"/>
              <w:rPr>
                <w:sz w:val="20"/>
                <w:szCs w:val="20"/>
                <w:color w:val="auto"/>
              </w:rPr>
            </w:pPr>
            <w:r>
              <w:rPr>
                <w:rFonts w:ascii="Arial" w:cs="Arial" w:eastAsia="Arial" w:hAnsi="Arial"/>
                <w:sz w:val="16"/>
                <w:szCs w:val="16"/>
                <w:b w:val="1"/>
                <w:bCs w:val="1"/>
                <w:color w:val="435363"/>
              </w:rPr>
              <w:t>Mike Embler</w:t>
            </w:r>
          </w:p>
        </w:tc>
        <w:tc>
          <w:tcPr>
            <w:tcW w:w="1580" w:type="dxa"/>
            <w:vAlign w:val="bottom"/>
          </w:tcPr>
          <w:p>
            <w:pPr>
              <w:jc w:val="right"/>
              <w:ind w:right="321"/>
              <w:spacing w:after="0"/>
              <w:rPr>
                <w:sz w:val="20"/>
                <w:szCs w:val="20"/>
                <w:color w:val="auto"/>
              </w:rPr>
            </w:pPr>
            <w:r>
              <w:rPr>
                <w:rFonts w:ascii="Arial" w:cs="Arial" w:eastAsia="Arial" w:hAnsi="Arial"/>
                <w:sz w:val="16"/>
                <w:szCs w:val="16"/>
                <w:color w:val="435363"/>
              </w:rPr>
              <w:t>13,241</w:t>
            </w:r>
          </w:p>
        </w:tc>
        <w:tc>
          <w:tcPr>
            <w:tcW w:w="1320" w:type="dxa"/>
            <w:vAlign w:val="bottom"/>
          </w:tcPr>
          <w:p>
            <w:pPr>
              <w:jc w:val="right"/>
              <w:ind w:right="422"/>
              <w:spacing w:after="0"/>
              <w:rPr>
                <w:sz w:val="20"/>
                <w:szCs w:val="20"/>
                <w:color w:val="auto"/>
              </w:rPr>
            </w:pPr>
            <w:r>
              <w:rPr>
                <w:rFonts w:ascii="Arial" w:cs="Arial" w:eastAsia="Arial" w:hAnsi="Arial"/>
                <w:sz w:val="16"/>
                <w:szCs w:val="16"/>
                <w:color w:val="435363"/>
              </w:rPr>
              <w:t>13,241</w:t>
            </w:r>
          </w:p>
        </w:tc>
        <w:tc>
          <w:tcPr>
            <w:tcW w:w="1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
        </w:trPr>
        <w:tc>
          <w:tcPr>
            <w:tcW w:w="43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436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b w:val="1"/>
                <w:bCs w:val="1"/>
                <w:color w:val="435363"/>
              </w:rPr>
              <w:t>Matt Hart</w:t>
            </w:r>
          </w:p>
        </w:tc>
        <w:tc>
          <w:tcPr>
            <w:tcW w:w="1580" w:type="dxa"/>
            <w:vAlign w:val="bottom"/>
            <w:tcBorders>
              <w:bottom w:val="single" w:sz="8" w:color="EDEDED"/>
            </w:tcBorders>
            <w:shd w:val="clear" w:color="auto" w:fill="EDEDED"/>
          </w:tcPr>
          <w:p>
            <w:pPr>
              <w:jc w:val="right"/>
              <w:ind w:right="321"/>
              <w:spacing w:after="0"/>
              <w:rPr>
                <w:sz w:val="20"/>
                <w:szCs w:val="20"/>
                <w:color w:val="auto"/>
              </w:rPr>
            </w:pPr>
            <w:r>
              <w:rPr>
                <w:rFonts w:ascii="Arial" w:cs="Arial" w:eastAsia="Arial" w:hAnsi="Arial"/>
                <w:sz w:val="16"/>
                <w:szCs w:val="16"/>
                <w:color w:val="435363"/>
              </w:rPr>
              <w:t>5,559</w:t>
            </w:r>
          </w:p>
        </w:tc>
        <w:tc>
          <w:tcPr>
            <w:tcW w:w="1320" w:type="dxa"/>
            <w:vAlign w:val="bottom"/>
            <w:tcBorders>
              <w:bottom w:val="single" w:sz="8" w:color="EDEDED"/>
            </w:tcBorders>
            <w:shd w:val="clear" w:color="auto" w:fill="EDEDED"/>
          </w:tcPr>
          <w:p>
            <w:pPr>
              <w:jc w:val="right"/>
              <w:ind w:right="422"/>
              <w:spacing w:after="0"/>
              <w:rPr>
                <w:sz w:val="20"/>
                <w:szCs w:val="20"/>
                <w:color w:val="auto"/>
              </w:rPr>
            </w:pPr>
            <w:r>
              <w:rPr>
                <w:rFonts w:ascii="Arial" w:cs="Arial" w:eastAsia="Arial" w:hAnsi="Arial"/>
                <w:sz w:val="16"/>
                <w:szCs w:val="16"/>
                <w:color w:val="435363"/>
              </w:rPr>
              <w:t>5,559</w:t>
            </w:r>
          </w:p>
        </w:tc>
        <w:tc>
          <w:tcPr>
            <w:tcW w:w="1500" w:type="dxa"/>
            <w:vAlign w:val="bottom"/>
            <w:tcBorders>
              <w:bottom w:val="single" w:sz="8" w:color="EDEDED"/>
            </w:tcBorders>
            <w:shd w:val="clear" w:color="auto" w:fill="EDEDED"/>
          </w:tcPr>
          <w:p>
            <w:pPr>
              <w:jc w:val="right"/>
              <w:ind w:right="402"/>
              <w:spacing w:after="0"/>
              <w:rPr>
                <w:sz w:val="20"/>
                <w:szCs w:val="20"/>
                <w:color w:val="auto"/>
              </w:rPr>
            </w:pPr>
            <w:r>
              <w:rPr>
                <w:rFonts w:ascii="Arial" w:cs="Arial" w:eastAsia="Arial" w:hAnsi="Arial"/>
                <w:sz w:val="16"/>
                <w:szCs w:val="16"/>
                <w:color w:val="435363"/>
              </w:rPr>
              <w:t>12,062</w:t>
            </w:r>
          </w:p>
        </w:tc>
        <w:tc>
          <w:tcPr>
            <w:tcW w:w="118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80"/>
              <w:spacing w:after="0"/>
              <w:rPr>
                <w:sz w:val="20"/>
                <w:szCs w:val="20"/>
                <w:color w:val="auto"/>
              </w:rPr>
            </w:pPr>
            <w:r>
              <w:rPr>
                <w:rFonts w:ascii="Arial" w:cs="Arial" w:eastAsia="Arial" w:hAnsi="Arial"/>
                <w:sz w:val="16"/>
                <w:szCs w:val="16"/>
                <w:b w:val="1"/>
                <w:bCs w:val="1"/>
                <w:color w:val="435363"/>
              </w:rPr>
              <w:t>Sue Kronick</w:t>
            </w:r>
          </w:p>
        </w:tc>
        <w:tc>
          <w:tcPr>
            <w:tcW w:w="1580" w:type="dxa"/>
            <w:vAlign w:val="bottom"/>
          </w:tcPr>
          <w:p>
            <w:pPr>
              <w:jc w:val="right"/>
              <w:ind w:right="321"/>
              <w:spacing w:after="0"/>
              <w:rPr>
                <w:sz w:val="20"/>
                <w:szCs w:val="20"/>
                <w:color w:val="auto"/>
              </w:rPr>
            </w:pPr>
            <w:r>
              <w:rPr>
                <w:rFonts w:ascii="Arial" w:cs="Arial" w:eastAsia="Arial" w:hAnsi="Arial"/>
                <w:sz w:val="16"/>
                <w:szCs w:val="16"/>
                <w:color w:val="435363"/>
              </w:rPr>
              <w:t>10,207</w:t>
            </w:r>
          </w:p>
        </w:tc>
        <w:tc>
          <w:tcPr>
            <w:tcW w:w="1320" w:type="dxa"/>
            <w:vAlign w:val="bottom"/>
          </w:tcPr>
          <w:p>
            <w:pPr>
              <w:jc w:val="right"/>
              <w:ind w:right="422"/>
              <w:spacing w:after="0"/>
              <w:rPr>
                <w:sz w:val="20"/>
                <w:szCs w:val="20"/>
                <w:color w:val="auto"/>
              </w:rPr>
            </w:pPr>
            <w:r>
              <w:rPr>
                <w:rFonts w:ascii="Arial" w:cs="Arial" w:eastAsia="Arial" w:hAnsi="Arial"/>
                <w:sz w:val="16"/>
                <w:szCs w:val="16"/>
                <w:color w:val="435363"/>
              </w:rPr>
              <w:t>10,207</w:t>
            </w:r>
          </w:p>
        </w:tc>
        <w:tc>
          <w:tcPr>
            <w:tcW w:w="1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
        </w:trPr>
        <w:tc>
          <w:tcPr>
            <w:tcW w:w="43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436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b w:val="1"/>
                <w:bCs w:val="1"/>
                <w:color w:val="435363"/>
              </w:rPr>
              <w:t>Marty Nesbitt</w:t>
            </w:r>
          </w:p>
        </w:tc>
        <w:tc>
          <w:tcPr>
            <w:tcW w:w="1580" w:type="dxa"/>
            <w:vAlign w:val="bottom"/>
            <w:tcBorders>
              <w:bottom w:val="single" w:sz="8" w:color="EDEDED"/>
            </w:tcBorders>
            <w:shd w:val="clear" w:color="auto" w:fill="EDEDED"/>
          </w:tcPr>
          <w:p>
            <w:pPr>
              <w:jc w:val="right"/>
              <w:ind w:right="321"/>
              <w:spacing w:after="0"/>
              <w:rPr>
                <w:sz w:val="20"/>
                <w:szCs w:val="20"/>
                <w:color w:val="auto"/>
              </w:rPr>
            </w:pPr>
            <w:r>
              <w:rPr>
                <w:rFonts w:ascii="Arial" w:cs="Arial" w:eastAsia="Arial" w:hAnsi="Arial"/>
                <w:sz w:val="16"/>
                <w:szCs w:val="16"/>
                <w:color w:val="435363"/>
              </w:rPr>
              <w:t>23,296</w:t>
            </w:r>
          </w:p>
        </w:tc>
        <w:tc>
          <w:tcPr>
            <w:tcW w:w="1320" w:type="dxa"/>
            <w:vAlign w:val="bottom"/>
            <w:tcBorders>
              <w:bottom w:val="single" w:sz="8" w:color="EDEDED"/>
            </w:tcBorders>
            <w:shd w:val="clear" w:color="auto" w:fill="EDEDED"/>
          </w:tcPr>
          <w:p>
            <w:pPr>
              <w:jc w:val="right"/>
              <w:ind w:right="422"/>
              <w:spacing w:after="0"/>
              <w:rPr>
                <w:sz w:val="20"/>
                <w:szCs w:val="20"/>
                <w:color w:val="auto"/>
              </w:rPr>
            </w:pPr>
            <w:r>
              <w:rPr>
                <w:rFonts w:ascii="Arial" w:cs="Arial" w:eastAsia="Arial" w:hAnsi="Arial"/>
                <w:sz w:val="16"/>
                <w:szCs w:val="16"/>
                <w:color w:val="435363"/>
              </w:rPr>
              <w:t>23,296</w:t>
            </w:r>
          </w:p>
        </w:tc>
        <w:tc>
          <w:tcPr>
            <w:tcW w:w="1500" w:type="dxa"/>
            <w:vAlign w:val="bottom"/>
            <w:tcBorders>
              <w:bottom w:val="single" w:sz="8" w:color="EDEDED"/>
            </w:tcBorders>
            <w:shd w:val="clear" w:color="auto" w:fill="EDEDED"/>
          </w:tcPr>
          <w:p>
            <w:pPr>
              <w:spacing w:after="0"/>
              <w:rPr>
                <w:sz w:val="24"/>
                <w:szCs w:val="24"/>
                <w:color w:val="auto"/>
              </w:rPr>
            </w:pPr>
          </w:p>
        </w:tc>
        <w:tc>
          <w:tcPr>
            <w:tcW w:w="118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80"/>
              <w:spacing w:after="0"/>
              <w:rPr>
                <w:sz w:val="20"/>
                <w:szCs w:val="20"/>
                <w:color w:val="auto"/>
              </w:rPr>
            </w:pPr>
            <w:r>
              <w:rPr>
                <w:rFonts w:ascii="Arial" w:cs="Arial" w:eastAsia="Arial" w:hAnsi="Arial"/>
                <w:sz w:val="16"/>
                <w:szCs w:val="16"/>
                <w:b w:val="1"/>
                <w:bCs w:val="1"/>
                <w:color w:val="435363"/>
              </w:rPr>
              <w:t>Denise O’Leary</w:t>
            </w:r>
          </w:p>
        </w:tc>
        <w:tc>
          <w:tcPr>
            <w:tcW w:w="1580" w:type="dxa"/>
            <w:vAlign w:val="bottom"/>
          </w:tcPr>
          <w:p>
            <w:pPr>
              <w:jc w:val="right"/>
              <w:ind w:right="321"/>
              <w:spacing w:after="0"/>
              <w:rPr>
                <w:sz w:val="20"/>
                <w:szCs w:val="20"/>
                <w:color w:val="auto"/>
              </w:rPr>
            </w:pPr>
            <w:r>
              <w:rPr>
                <w:rFonts w:ascii="Arial" w:cs="Arial" w:eastAsia="Arial" w:hAnsi="Arial"/>
                <w:sz w:val="16"/>
                <w:szCs w:val="16"/>
                <w:color w:val="435363"/>
              </w:rPr>
              <w:t>4,692</w:t>
            </w:r>
          </w:p>
        </w:tc>
        <w:tc>
          <w:tcPr>
            <w:tcW w:w="1320" w:type="dxa"/>
            <w:vAlign w:val="bottom"/>
          </w:tcPr>
          <w:p>
            <w:pPr>
              <w:jc w:val="right"/>
              <w:ind w:right="422"/>
              <w:spacing w:after="0"/>
              <w:rPr>
                <w:sz w:val="20"/>
                <w:szCs w:val="20"/>
                <w:color w:val="auto"/>
              </w:rPr>
            </w:pPr>
            <w:r>
              <w:rPr>
                <w:rFonts w:ascii="Arial" w:cs="Arial" w:eastAsia="Arial" w:hAnsi="Arial"/>
                <w:sz w:val="16"/>
                <w:szCs w:val="16"/>
                <w:color w:val="435363"/>
              </w:rPr>
              <w:t>4,692</w:t>
            </w:r>
          </w:p>
        </w:tc>
        <w:tc>
          <w:tcPr>
            <w:tcW w:w="1500" w:type="dxa"/>
            <w:vAlign w:val="bottom"/>
          </w:tcPr>
          <w:p>
            <w:pPr>
              <w:jc w:val="right"/>
              <w:ind w:right="402"/>
              <w:spacing w:after="0"/>
              <w:rPr>
                <w:sz w:val="20"/>
                <w:szCs w:val="20"/>
                <w:color w:val="auto"/>
              </w:rPr>
            </w:pPr>
            <w:r>
              <w:rPr>
                <w:rFonts w:ascii="Arial" w:cs="Arial" w:eastAsia="Arial" w:hAnsi="Arial"/>
                <w:sz w:val="16"/>
                <w:szCs w:val="16"/>
                <w:color w:val="435363"/>
              </w:rPr>
              <w:t>3,966</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
        </w:trPr>
        <w:tc>
          <w:tcPr>
            <w:tcW w:w="43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4"/>
        </w:trPr>
        <w:tc>
          <w:tcPr>
            <w:tcW w:w="4360" w:type="dxa"/>
            <w:vAlign w:val="bottom"/>
            <w:shd w:val="clear" w:color="auto" w:fill="EDEDED"/>
          </w:tcPr>
          <w:p>
            <w:pPr>
              <w:ind w:left="80"/>
              <w:spacing w:after="0"/>
              <w:rPr>
                <w:sz w:val="20"/>
                <w:szCs w:val="20"/>
                <w:color w:val="auto"/>
              </w:rPr>
            </w:pPr>
            <w:r>
              <w:rPr>
                <w:rFonts w:ascii="Arial" w:cs="Arial" w:eastAsia="Arial" w:hAnsi="Arial"/>
                <w:sz w:val="16"/>
                <w:szCs w:val="16"/>
                <w:b w:val="1"/>
                <w:bCs w:val="1"/>
                <w:color w:val="435363"/>
              </w:rPr>
              <w:t>Doug Parker</w:t>
            </w:r>
            <w:r>
              <w:rPr>
                <w:rFonts w:ascii="Arial" w:cs="Arial" w:eastAsia="Arial" w:hAnsi="Arial"/>
                <w:sz w:val="23"/>
                <w:szCs w:val="23"/>
                <w:b w:val="1"/>
                <w:bCs w:val="1"/>
                <w:color w:val="435363"/>
                <w:vertAlign w:val="superscript"/>
              </w:rPr>
              <w:t>(d)</w:t>
            </w:r>
          </w:p>
        </w:tc>
        <w:tc>
          <w:tcPr>
            <w:tcW w:w="1580" w:type="dxa"/>
            <w:vAlign w:val="bottom"/>
            <w:shd w:val="clear" w:color="auto" w:fill="EDEDED"/>
          </w:tcPr>
          <w:p>
            <w:pPr>
              <w:jc w:val="right"/>
              <w:ind w:right="161"/>
              <w:spacing w:after="0"/>
              <w:rPr>
                <w:sz w:val="20"/>
                <w:szCs w:val="20"/>
                <w:color w:val="auto"/>
              </w:rPr>
            </w:pPr>
            <w:r>
              <w:rPr>
                <w:rFonts w:ascii="Arial" w:cs="Arial" w:eastAsia="Arial" w:hAnsi="Arial"/>
                <w:sz w:val="16"/>
                <w:szCs w:val="16"/>
                <w:color w:val="435363"/>
              </w:rPr>
              <w:t>265,746</w:t>
            </w:r>
            <w:r>
              <w:rPr>
                <w:rFonts w:ascii="Arial" w:cs="Arial" w:eastAsia="Arial" w:hAnsi="Arial"/>
                <w:sz w:val="23"/>
                <w:szCs w:val="23"/>
                <w:color w:val="435363"/>
                <w:vertAlign w:val="superscript"/>
              </w:rPr>
              <w:t>(e)</w:t>
            </w:r>
          </w:p>
        </w:tc>
        <w:tc>
          <w:tcPr>
            <w:tcW w:w="1320" w:type="dxa"/>
            <w:vAlign w:val="bottom"/>
            <w:shd w:val="clear" w:color="auto" w:fill="EDEDED"/>
          </w:tcPr>
          <w:p>
            <w:pPr>
              <w:jc w:val="right"/>
              <w:ind w:right="282"/>
              <w:spacing w:after="0"/>
              <w:rPr>
                <w:sz w:val="20"/>
                <w:szCs w:val="20"/>
                <w:color w:val="auto"/>
              </w:rPr>
            </w:pPr>
            <w:r>
              <w:rPr>
                <w:rFonts w:ascii="Arial" w:cs="Arial" w:eastAsia="Arial" w:hAnsi="Arial"/>
                <w:sz w:val="16"/>
                <w:szCs w:val="16"/>
                <w:color w:val="435363"/>
              </w:rPr>
              <w:t>19,035</w:t>
            </w:r>
            <w:r>
              <w:rPr>
                <w:rFonts w:ascii="Arial" w:cs="Arial" w:eastAsia="Arial" w:hAnsi="Arial"/>
                <w:sz w:val="23"/>
                <w:szCs w:val="23"/>
                <w:color w:val="435363"/>
                <w:vertAlign w:val="superscript"/>
              </w:rPr>
              <w:t>(e)</w:t>
            </w:r>
          </w:p>
        </w:tc>
        <w:tc>
          <w:tcPr>
            <w:tcW w:w="1500" w:type="dxa"/>
            <w:vAlign w:val="bottom"/>
            <w:shd w:val="clear" w:color="auto" w:fill="EDEDED"/>
          </w:tcPr>
          <w:p>
            <w:pPr>
              <w:jc w:val="right"/>
              <w:ind w:right="402"/>
              <w:spacing w:after="0"/>
              <w:rPr>
                <w:sz w:val="20"/>
                <w:szCs w:val="20"/>
                <w:color w:val="auto"/>
              </w:rPr>
            </w:pPr>
            <w:r>
              <w:rPr>
                <w:rFonts w:ascii="Arial" w:cs="Arial" w:eastAsia="Arial" w:hAnsi="Arial"/>
                <w:sz w:val="16"/>
                <w:szCs w:val="16"/>
                <w:color w:val="435363"/>
              </w:rPr>
              <w:t>6,240</w:t>
            </w:r>
          </w:p>
        </w:tc>
        <w:tc>
          <w:tcPr>
            <w:tcW w:w="118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80"/>
              <w:spacing w:after="0"/>
              <w:rPr>
                <w:sz w:val="20"/>
                <w:szCs w:val="20"/>
                <w:color w:val="auto"/>
              </w:rPr>
            </w:pPr>
            <w:r>
              <w:rPr>
                <w:rFonts w:ascii="Arial" w:cs="Arial" w:eastAsia="Arial" w:hAnsi="Arial"/>
                <w:sz w:val="16"/>
                <w:szCs w:val="16"/>
                <w:b w:val="1"/>
                <w:bCs w:val="1"/>
                <w:color w:val="435363"/>
              </w:rPr>
              <w:t>Vicente Reynal</w:t>
            </w:r>
          </w:p>
        </w:tc>
        <w:tc>
          <w:tcPr>
            <w:tcW w:w="1580" w:type="dxa"/>
            <w:vAlign w:val="bottom"/>
          </w:tcPr>
          <w:p>
            <w:pPr>
              <w:jc w:val="right"/>
              <w:ind w:right="321"/>
              <w:spacing w:after="0"/>
              <w:rPr>
                <w:sz w:val="20"/>
                <w:szCs w:val="20"/>
                <w:color w:val="auto"/>
              </w:rPr>
            </w:pPr>
            <w:r>
              <w:rPr>
                <w:rFonts w:ascii="Arial" w:cs="Arial" w:eastAsia="Arial" w:hAnsi="Arial"/>
                <w:sz w:val="16"/>
                <w:szCs w:val="16"/>
                <w:color w:val="435363"/>
              </w:rPr>
              <w:t>15,826</w:t>
            </w:r>
          </w:p>
        </w:tc>
        <w:tc>
          <w:tcPr>
            <w:tcW w:w="1320" w:type="dxa"/>
            <w:vAlign w:val="bottom"/>
          </w:tcPr>
          <w:p>
            <w:pPr>
              <w:jc w:val="right"/>
              <w:ind w:right="422"/>
              <w:spacing w:after="0"/>
              <w:rPr>
                <w:sz w:val="20"/>
                <w:szCs w:val="20"/>
                <w:color w:val="auto"/>
              </w:rPr>
            </w:pPr>
            <w:r>
              <w:rPr>
                <w:rFonts w:ascii="Arial" w:cs="Arial" w:eastAsia="Arial" w:hAnsi="Arial"/>
                <w:sz w:val="16"/>
                <w:szCs w:val="16"/>
                <w:color w:val="435363"/>
              </w:rPr>
              <w:t>15,826</w:t>
            </w:r>
          </w:p>
        </w:tc>
        <w:tc>
          <w:tcPr>
            <w:tcW w:w="1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
        </w:trPr>
        <w:tc>
          <w:tcPr>
            <w:tcW w:w="43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4"/>
        </w:trPr>
        <w:tc>
          <w:tcPr>
            <w:tcW w:w="4360" w:type="dxa"/>
            <w:vAlign w:val="bottom"/>
            <w:shd w:val="clear" w:color="auto" w:fill="EDEDED"/>
          </w:tcPr>
          <w:p>
            <w:pPr>
              <w:ind w:left="80"/>
              <w:spacing w:after="0"/>
              <w:rPr>
                <w:sz w:val="20"/>
                <w:szCs w:val="20"/>
                <w:color w:val="auto"/>
              </w:rPr>
            </w:pPr>
            <w:r>
              <w:rPr>
                <w:rFonts w:ascii="Arial" w:cs="Arial" w:eastAsia="Arial" w:hAnsi="Arial"/>
                <w:sz w:val="16"/>
                <w:szCs w:val="16"/>
                <w:b w:val="1"/>
                <w:bCs w:val="1"/>
                <w:color w:val="435363"/>
              </w:rPr>
              <w:t>Ray Robinson</w:t>
            </w:r>
            <w:r>
              <w:rPr>
                <w:rFonts w:ascii="Arial" w:cs="Arial" w:eastAsia="Arial" w:hAnsi="Arial"/>
                <w:sz w:val="23"/>
                <w:szCs w:val="23"/>
                <w:b w:val="1"/>
                <w:bCs w:val="1"/>
                <w:color w:val="435363"/>
                <w:vertAlign w:val="superscript"/>
              </w:rPr>
              <w:t>(d)</w:t>
            </w:r>
          </w:p>
        </w:tc>
        <w:tc>
          <w:tcPr>
            <w:tcW w:w="1580" w:type="dxa"/>
            <w:vAlign w:val="bottom"/>
            <w:shd w:val="clear" w:color="auto" w:fill="EDEDED"/>
          </w:tcPr>
          <w:p>
            <w:pPr>
              <w:jc w:val="right"/>
              <w:ind w:right="161"/>
              <w:spacing w:after="0"/>
              <w:rPr>
                <w:sz w:val="20"/>
                <w:szCs w:val="20"/>
                <w:color w:val="auto"/>
              </w:rPr>
            </w:pPr>
            <w:r>
              <w:rPr>
                <w:rFonts w:ascii="Arial" w:cs="Arial" w:eastAsia="Arial" w:hAnsi="Arial"/>
                <w:sz w:val="16"/>
                <w:szCs w:val="16"/>
                <w:color w:val="435363"/>
              </w:rPr>
              <w:t>384,929</w:t>
            </w:r>
            <w:r>
              <w:rPr>
                <w:rFonts w:ascii="Arial" w:cs="Arial" w:eastAsia="Arial" w:hAnsi="Arial"/>
                <w:sz w:val="23"/>
                <w:szCs w:val="23"/>
                <w:color w:val="435363"/>
                <w:vertAlign w:val="superscript"/>
              </w:rPr>
              <w:t>(e)</w:t>
            </w:r>
          </w:p>
        </w:tc>
        <w:tc>
          <w:tcPr>
            <w:tcW w:w="1320" w:type="dxa"/>
            <w:vAlign w:val="bottom"/>
            <w:shd w:val="clear" w:color="auto" w:fill="EDEDED"/>
          </w:tcPr>
          <w:p>
            <w:pPr>
              <w:jc w:val="right"/>
              <w:ind w:right="282"/>
              <w:spacing w:after="0"/>
              <w:rPr>
                <w:sz w:val="20"/>
                <w:szCs w:val="20"/>
                <w:color w:val="auto"/>
              </w:rPr>
            </w:pPr>
            <w:r>
              <w:rPr>
                <w:rFonts w:ascii="Arial" w:cs="Arial" w:eastAsia="Arial" w:hAnsi="Arial"/>
                <w:sz w:val="16"/>
                <w:szCs w:val="16"/>
                <w:color w:val="435363"/>
              </w:rPr>
              <w:t>23,174</w:t>
            </w:r>
            <w:r>
              <w:rPr>
                <w:rFonts w:ascii="Arial" w:cs="Arial" w:eastAsia="Arial" w:hAnsi="Arial"/>
                <w:sz w:val="23"/>
                <w:szCs w:val="23"/>
                <w:color w:val="435363"/>
                <w:vertAlign w:val="superscript"/>
              </w:rPr>
              <w:t>(e)</w:t>
            </w:r>
          </w:p>
        </w:tc>
        <w:tc>
          <w:tcPr>
            <w:tcW w:w="1500" w:type="dxa"/>
            <w:vAlign w:val="bottom"/>
            <w:shd w:val="clear" w:color="auto" w:fill="EDEDED"/>
          </w:tcPr>
          <w:p>
            <w:pPr>
              <w:spacing w:after="0"/>
              <w:rPr>
                <w:sz w:val="24"/>
                <w:szCs w:val="24"/>
                <w:color w:val="auto"/>
              </w:rPr>
            </w:pPr>
          </w:p>
        </w:tc>
        <w:tc>
          <w:tcPr>
            <w:tcW w:w="118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25,000</w:t>
            </w:r>
          </w:p>
        </w:tc>
        <w:tc>
          <w:tcPr>
            <w:tcW w:w="0" w:type="dxa"/>
            <w:vAlign w:val="bottom"/>
          </w:tcPr>
          <w:p>
            <w:pPr>
              <w:spacing w:after="0"/>
              <w:rPr>
                <w:sz w:val="1"/>
                <w:szCs w:val="1"/>
                <w:color w:val="auto"/>
              </w:rPr>
            </w:pPr>
          </w:p>
        </w:tc>
      </w:tr>
      <w:tr>
        <w:trPr>
          <w:trHeight w:val="270"/>
        </w:trPr>
        <w:tc>
          <w:tcPr>
            <w:tcW w:w="4360" w:type="dxa"/>
            <w:vAlign w:val="bottom"/>
          </w:tcPr>
          <w:p>
            <w:pPr>
              <w:ind w:left="80"/>
              <w:spacing w:after="0"/>
              <w:rPr>
                <w:sz w:val="20"/>
                <w:szCs w:val="20"/>
                <w:color w:val="auto"/>
              </w:rPr>
            </w:pPr>
            <w:r>
              <w:rPr>
                <w:rFonts w:ascii="Arial" w:cs="Arial" w:eastAsia="Arial" w:hAnsi="Arial"/>
                <w:sz w:val="16"/>
                <w:szCs w:val="16"/>
                <w:b w:val="1"/>
                <w:bCs w:val="1"/>
                <w:color w:val="435363"/>
              </w:rPr>
              <w:t>Greg Smith</w:t>
            </w:r>
          </w:p>
        </w:tc>
        <w:tc>
          <w:tcPr>
            <w:tcW w:w="1580" w:type="dxa"/>
            <w:vAlign w:val="bottom"/>
          </w:tcPr>
          <w:p>
            <w:pPr>
              <w:jc w:val="right"/>
              <w:ind w:right="321"/>
              <w:spacing w:after="0"/>
              <w:rPr>
                <w:sz w:val="20"/>
                <w:szCs w:val="20"/>
                <w:color w:val="auto"/>
              </w:rPr>
            </w:pPr>
            <w:r>
              <w:rPr>
                <w:rFonts w:ascii="Arial" w:cs="Arial" w:eastAsia="Arial" w:hAnsi="Arial"/>
                <w:sz w:val="16"/>
                <w:szCs w:val="16"/>
                <w:color w:val="435363"/>
              </w:rPr>
              <w:t>23,404</w:t>
            </w:r>
          </w:p>
        </w:tc>
        <w:tc>
          <w:tcPr>
            <w:tcW w:w="1320" w:type="dxa"/>
            <w:vAlign w:val="bottom"/>
          </w:tcPr>
          <w:p>
            <w:pPr>
              <w:jc w:val="right"/>
              <w:ind w:right="422"/>
              <w:spacing w:after="0"/>
              <w:rPr>
                <w:sz w:val="20"/>
                <w:szCs w:val="20"/>
                <w:color w:val="auto"/>
              </w:rPr>
            </w:pPr>
            <w:r>
              <w:rPr>
                <w:rFonts w:ascii="Arial" w:cs="Arial" w:eastAsia="Arial" w:hAnsi="Arial"/>
                <w:sz w:val="16"/>
                <w:szCs w:val="16"/>
                <w:color w:val="435363"/>
              </w:rPr>
              <w:t>23,404</w:t>
            </w:r>
          </w:p>
        </w:tc>
        <w:tc>
          <w:tcPr>
            <w:tcW w:w="1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
        </w:trPr>
        <w:tc>
          <w:tcPr>
            <w:tcW w:w="43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436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b w:val="1"/>
                <w:bCs w:val="1"/>
                <w:color w:val="435363"/>
              </w:rPr>
              <w:t>Doug Steenland</w:t>
            </w:r>
          </w:p>
        </w:tc>
        <w:tc>
          <w:tcPr>
            <w:tcW w:w="1580" w:type="dxa"/>
            <w:vAlign w:val="bottom"/>
            <w:tcBorders>
              <w:bottom w:val="single" w:sz="8" w:color="EDEDED"/>
            </w:tcBorders>
            <w:shd w:val="clear" w:color="auto" w:fill="EDEDED"/>
          </w:tcPr>
          <w:p>
            <w:pPr>
              <w:jc w:val="right"/>
              <w:ind w:right="321"/>
              <w:spacing w:after="0"/>
              <w:rPr>
                <w:sz w:val="20"/>
                <w:szCs w:val="20"/>
                <w:color w:val="auto"/>
              </w:rPr>
            </w:pPr>
            <w:r>
              <w:rPr>
                <w:rFonts w:ascii="Arial" w:cs="Arial" w:eastAsia="Arial" w:hAnsi="Arial"/>
                <w:sz w:val="16"/>
                <w:szCs w:val="16"/>
                <w:color w:val="435363"/>
              </w:rPr>
              <w:t>8,815</w:t>
            </w:r>
          </w:p>
        </w:tc>
        <w:tc>
          <w:tcPr>
            <w:tcW w:w="1320" w:type="dxa"/>
            <w:vAlign w:val="bottom"/>
            <w:tcBorders>
              <w:bottom w:val="single" w:sz="8" w:color="EDEDED"/>
            </w:tcBorders>
            <w:shd w:val="clear" w:color="auto" w:fill="EDEDED"/>
          </w:tcPr>
          <w:p>
            <w:pPr>
              <w:jc w:val="right"/>
              <w:ind w:right="422"/>
              <w:spacing w:after="0"/>
              <w:rPr>
                <w:sz w:val="20"/>
                <w:szCs w:val="20"/>
                <w:color w:val="auto"/>
              </w:rPr>
            </w:pPr>
            <w:r>
              <w:rPr>
                <w:rFonts w:ascii="Arial" w:cs="Arial" w:eastAsia="Arial" w:hAnsi="Arial"/>
                <w:sz w:val="16"/>
                <w:szCs w:val="16"/>
                <w:color w:val="435363"/>
              </w:rPr>
              <w:t>8,815</w:t>
            </w:r>
          </w:p>
        </w:tc>
        <w:tc>
          <w:tcPr>
            <w:tcW w:w="1500" w:type="dxa"/>
            <w:vAlign w:val="bottom"/>
            <w:tcBorders>
              <w:bottom w:val="single" w:sz="8" w:color="EDEDED"/>
            </w:tcBorders>
            <w:shd w:val="clear" w:color="auto" w:fill="EDEDED"/>
          </w:tcPr>
          <w:p>
            <w:pPr>
              <w:spacing w:after="0"/>
              <w:rPr>
                <w:sz w:val="24"/>
                <w:szCs w:val="24"/>
                <w:color w:val="auto"/>
              </w:rPr>
            </w:pPr>
          </w:p>
        </w:tc>
        <w:tc>
          <w:tcPr>
            <w:tcW w:w="118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60" w:type="dxa"/>
            <w:vAlign w:val="bottom"/>
            <w:shd w:val="clear" w:color="auto" w:fill="435363"/>
          </w:tcPr>
          <w:p>
            <w:pPr>
              <w:spacing w:after="0" w:line="20" w:lineRule="exact"/>
              <w:rPr>
                <w:sz w:val="1"/>
                <w:szCs w:val="1"/>
                <w:color w:val="auto"/>
              </w:rPr>
            </w:pPr>
          </w:p>
        </w:tc>
        <w:tc>
          <w:tcPr>
            <w:tcW w:w="1580" w:type="dxa"/>
            <w:vAlign w:val="bottom"/>
            <w:shd w:val="clear" w:color="auto" w:fill="435363"/>
          </w:tcPr>
          <w:p>
            <w:pPr>
              <w:spacing w:after="0" w:line="20" w:lineRule="exact"/>
              <w:rPr>
                <w:sz w:val="1"/>
                <w:szCs w:val="1"/>
                <w:color w:val="auto"/>
              </w:rPr>
            </w:pPr>
          </w:p>
        </w:tc>
        <w:tc>
          <w:tcPr>
            <w:tcW w:w="1320" w:type="dxa"/>
            <w:vAlign w:val="bottom"/>
            <w:shd w:val="clear" w:color="auto" w:fill="435363"/>
          </w:tcPr>
          <w:p>
            <w:pPr>
              <w:spacing w:after="0" w:line="20" w:lineRule="exact"/>
              <w:rPr>
                <w:sz w:val="1"/>
                <w:szCs w:val="1"/>
                <w:color w:val="auto"/>
              </w:rPr>
            </w:pPr>
          </w:p>
        </w:tc>
        <w:tc>
          <w:tcPr>
            <w:tcW w:w="1500" w:type="dxa"/>
            <w:vAlign w:val="bottom"/>
            <w:shd w:val="clear" w:color="auto" w:fill="435363"/>
          </w:tcPr>
          <w:p>
            <w:pPr>
              <w:spacing w:after="0" w:line="20" w:lineRule="exact"/>
              <w:rPr>
                <w:sz w:val="1"/>
                <w:szCs w:val="1"/>
                <w:color w:val="auto"/>
              </w:rPr>
            </w:pPr>
          </w:p>
        </w:tc>
        <w:tc>
          <w:tcPr>
            <w:tcW w:w="1180" w:type="dxa"/>
            <w:vAlign w:val="bottom"/>
            <w:shd w:val="clear" w:color="auto" w:fill="4353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640" w:hanging="416"/>
        <w:spacing w:after="0"/>
        <w:tabs>
          <w:tab w:leader="none" w:pos="640" w:val="left"/>
        </w:tabs>
        <w:numPr>
          <w:ilvl w:val="0"/>
          <w:numId w:val="34"/>
        </w:numPr>
        <w:rPr>
          <w:rFonts w:ascii="Arial" w:cs="Arial" w:eastAsia="Arial" w:hAnsi="Arial"/>
          <w:sz w:val="12"/>
          <w:szCs w:val="12"/>
          <w:color w:val="435363"/>
        </w:rPr>
      </w:pPr>
      <w:r>
        <w:rPr>
          <w:rFonts w:ascii="Arial" w:cs="Arial" w:eastAsia="Arial" w:hAnsi="Arial"/>
          <w:sz w:val="12"/>
          <w:szCs w:val="12"/>
          <w:color w:val="435363"/>
        </w:rPr>
        <w:t>Mr. Parker retired from the Board on April 30, 2023, and Messrs. Albaugh and Robinson did not stand for re-election at the 2023 annual meeting of stockholders.</w:t>
      </w:r>
    </w:p>
    <w:p>
      <w:pPr>
        <w:spacing w:after="0" w:line="73" w:lineRule="exact"/>
        <w:rPr>
          <w:rFonts w:ascii="Arial" w:cs="Arial" w:eastAsia="Arial" w:hAnsi="Arial"/>
          <w:sz w:val="12"/>
          <w:szCs w:val="12"/>
          <w:color w:val="435363"/>
        </w:rPr>
      </w:pPr>
    </w:p>
    <w:p>
      <w:pPr>
        <w:ind w:left="640" w:right="20" w:hanging="416"/>
        <w:spacing w:after="0"/>
        <w:tabs>
          <w:tab w:leader="none" w:pos="640" w:val="left"/>
        </w:tabs>
        <w:numPr>
          <w:ilvl w:val="0"/>
          <w:numId w:val="34"/>
        </w:numPr>
        <w:rPr>
          <w:rFonts w:ascii="Arial" w:cs="Arial" w:eastAsia="Arial" w:hAnsi="Arial"/>
          <w:sz w:val="12"/>
          <w:szCs w:val="12"/>
          <w:color w:val="435363"/>
        </w:rPr>
      </w:pPr>
      <w:r>
        <w:rPr>
          <w:rFonts w:ascii="Arial" w:cs="Arial" w:eastAsia="Arial" w:hAnsi="Arial"/>
          <w:sz w:val="12"/>
          <w:szCs w:val="12"/>
          <w:color w:val="435363"/>
        </w:rPr>
        <w:t>For Messrs. Albaugh, Parker and Robinson, includes $13,528, $19,035 and $23,174, respectively, for the value of flight privileges received in 2023, and $165,237, $246,711 and $361,755, respectively, for the value of lifetime flight privileges available to them upon their retirement from Board service. The service of Messrs. Albaugh, Parker and Robinson on our Board exceeded seven years as of the date of their retirement from our Board. As a result, they were entitled to lifetime flight privileges. The value of the lifetime flight privileges reflects the present value of future travel calculated using a discount rate of 5.3% and Pri-2012 Employee Table, with white collar adjustments, increased by 3.0% at all ages, and then projected generationally from 2012 with Scale MP-2021, and assumes the annual level of usage is the same as the director’s actual usage for 2023 with a valuation based on imputed income and a 1% annual increase in the cost of travel.</w:t>
      </w:r>
    </w:p>
    <w:p>
      <w:pPr>
        <w:spacing w:after="0" w:line="305"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Director Compensation</w:t>
      </w:r>
    </w:p>
    <w:p>
      <w:pPr>
        <w:spacing w:after="0" w:line="90" w:lineRule="exact"/>
        <w:rPr>
          <w:sz w:val="20"/>
          <w:szCs w:val="20"/>
          <w:color w:val="auto"/>
        </w:rPr>
      </w:pPr>
    </w:p>
    <w:p>
      <w:pPr>
        <w:jc w:val="both"/>
        <w:ind w:left="220" w:right="120"/>
        <w:spacing w:after="0" w:line="258" w:lineRule="auto"/>
        <w:rPr>
          <w:sz w:val="20"/>
          <w:szCs w:val="20"/>
          <w:color w:val="auto"/>
        </w:rPr>
      </w:pPr>
      <w:r>
        <w:rPr>
          <w:rFonts w:ascii="Arial" w:cs="Arial" w:eastAsia="Arial" w:hAnsi="Arial"/>
          <w:sz w:val="16"/>
          <w:szCs w:val="16"/>
          <w:color w:val="435363"/>
        </w:rPr>
        <w:t>The Compensation Committee will periodically review the overall compensation of our directors in consultation with the Board and, from time to time, the assistance of the Compensation Committee’s compensation consultant. The Compensation Committee has authority to retain and terminate any outside advisors, such as compensation consultants and legal counsel, and to determine their compensation.</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435363"/>
        </w:rPr>
        <w:t xml:space="preserve">Annual Retainers and Grants of RSUs. </w:t>
      </w:r>
      <w:r>
        <w:rPr>
          <w:rFonts w:ascii="Arial" w:cs="Arial" w:eastAsia="Arial" w:hAnsi="Arial"/>
          <w:sz w:val="15"/>
          <w:szCs w:val="15"/>
          <w:color w:val="435363"/>
        </w:rPr>
        <w:t>For 2023, the compensation for our non-employee directors included the following cash-based annual retainers:</w:t>
      </w:r>
    </w:p>
    <w:p>
      <w:pPr>
        <w:spacing w:after="0" w:line="92" w:lineRule="exact"/>
        <w:rPr>
          <w:sz w:val="20"/>
          <w:szCs w:val="20"/>
          <w:color w:val="auto"/>
        </w:rPr>
      </w:pPr>
    </w:p>
    <w:p>
      <w:pPr>
        <w:ind w:left="760" w:hanging="324"/>
        <w:spacing w:after="0"/>
        <w:tabs>
          <w:tab w:leader="none" w:pos="760" w:val="left"/>
        </w:tabs>
        <w:numPr>
          <w:ilvl w:val="0"/>
          <w:numId w:val="35"/>
        </w:numPr>
        <w:rPr>
          <w:rFonts w:ascii="Arial" w:cs="Arial" w:eastAsia="Arial" w:hAnsi="Arial"/>
          <w:sz w:val="16"/>
          <w:szCs w:val="16"/>
          <w:color w:val="3575B3"/>
        </w:rPr>
      </w:pPr>
      <w:r>
        <w:rPr>
          <w:rFonts w:ascii="Arial" w:cs="Arial" w:eastAsia="Arial" w:hAnsi="Arial"/>
          <w:sz w:val="16"/>
          <w:szCs w:val="16"/>
          <w:color w:val="435363"/>
        </w:rPr>
        <w:t>an annual retainer of $100,000 for service on the Board;</w:t>
      </w:r>
    </w:p>
    <w:p>
      <w:pPr>
        <w:spacing w:after="0" w:line="80" w:lineRule="exact"/>
        <w:rPr>
          <w:rFonts w:ascii="Arial" w:cs="Arial" w:eastAsia="Arial" w:hAnsi="Arial"/>
          <w:sz w:val="16"/>
          <w:szCs w:val="16"/>
          <w:color w:val="3575B3"/>
        </w:rPr>
      </w:pPr>
    </w:p>
    <w:p>
      <w:pPr>
        <w:ind w:left="760" w:hanging="324"/>
        <w:spacing w:after="0"/>
        <w:tabs>
          <w:tab w:leader="none" w:pos="760" w:val="left"/>
        </w:tabs>
        <w:numPr>
          <w:ilvl w:val="0"/>
          <w:numId w:val="35"/>
        </w:numPr>
        <w:rPr>
          <w:rFonts w:ascii="Arial" w:cs="Arial" w:eastAsia="Arial" w:hAnsi="Arial"/>
          <w:sz w:val="16"/>
          <w:szCs w:val="16"/>
          <w:color w:val="3575B3"/>
        </w:rPr>
      </w:pPr>
      <w:r>
        <w:rPr>
          <w:rFonts w:ascii="Arial" w:cs="Arial" w:eastAsia="Arial" w:hAnsi="Arial"/>
          <w:sz w:val="16"/>
          <w:szCs w:val="16"/>
          <w:color w:val="435363"/>
        </w:rPr>
        <w:t>an annual retainer of $15,000 for service on each of the Audit, Compensation, CGPR, Finance or Safety Committees; and</w:t>
      </w:r>
    </w:p>
    <w:p>
      <w:pPr>
        <w:spacing w:after="0" w:line="80" w:lineRule="exact"/>
        <w:rPr>
          <w:rFonts w:ascii="Arial" w:cs="Arial" w:eastAsia="Arial" w:hAnsi="Arial"/>
          <w:sz w:val="16"/>
          <w:szCs w:val="16"/>
          <w:color w:val="3575B3"/>
        </w:rPr>
      </w:pPr>
    </w:p>
    <w:p>
      <w:pPr>
        <w:ind w:left="760" w:hanging="324"/>
        <w:spacing w:after="0" w:line="275" w:lineRule="auto"/>
        <w:tabs>
          <w:tab w:leader="none" w:pos="760" w:val="left"/>
        </w:tabs>
        <w:numPr>
          <w:ilvl w:val="0"/>
          <w:numId w:val="35"/>
        </w:numPr>
        <w:rPr>
          <w:rFonts w:ascii="Arial" w:cs="Arial" w:eastAsia="Arial" w:hAnsi="Arial"/>
          <w:sz w:val="16"/>
          <w:szCs w:val="16"/>
          <w:color w:val="3575B3"/>
        </w:rPr>
      </w:pPr>
      <w:r>
        <w:rPr>
          <w:rFonts w:ascii="Arial" w:cs="Arial" w:eastAsia="Arial" w:hAnsi="Arial"/>
          <w:sz w:val="16"/>
          <w:szCs w:val="16"/>
          <w:color w:val="435363"/>
        </w:rPr>
        <w:t>an annual retainer of $25,000 for service as the Chair of the Audit Committee and an annual retainer of $20,000 for service as the Chair of each of the Compensation, CGPR, Finance or Safety Committees.</w:t>
      </w:r>
    </w:p>
    <w:p>
      <w:pPr>
        <w:spacing w:after="0" w:line="55" w:lineRule="exact"/>
        <w:rPr>
          <w:sz w:val="20"/>
          <w:szCs w:val="20"/>
          <w:color w:val="auto"/>
        </w:rPr>
      </w:pPr>
    </w:p>
    <w:p>
      <w:pPr>
        <w:jc w:val="both"/>
        <w:ind w:left="220" w:right="200"/>
        <w:spacing w:after="0" w:line="252" w:lineRule="auto"/>
        <w:rPr>
          <w:sz w:val="20"/>
          <w:szCs w:val="20"/>
          <w:color w:val="auto"/>
        </w:rPr>
      </w:pPr>
      <w:r>
        <w:rPr>
          <w:rFonts w:ascii="Arial" w:cs="Arial" w:eastAsia="Arial" w:hAnsi="Arial"/>
          <w:sz w:val="16"/>
          <w:szCs w:val="16"/>
          <w:color w:val="435363"/>
        </w:rPr>
        <w:t>On the date of the 2023 annual meeting of stockholders, each continuing non-employee director received a number of RSUs equal to $150,000 divided by the closing price of our Common Stock on the date of the annual meeting. Each of the RSU awards granted to our non-employee directors will vest fully on the earlier of the first anniversary of the date of grant or the date of the next annual meeting of stockholders, subject to the continued service of the non-employee director through the vesting date.</w:t>
      </w:r>
    </w:p>
    <w:p>
      <w:pPr>
        <w:spacing w:after="0" w:line="74" w:lineRule="exact"/>
        <w:rPr>
          <w:sz w:val="20"/>
          <w:szCs w:val="20"/>
          <w:color w:val="auto"/>
        </w:rPr>
      </w:pPr>
    </w:p>
    <w:p>
      <w:pPr>
        <w:ind w:left="220" w:right="80"/>
        <w:spacing w:after="0" w:line="252" w:lineRule="auto"/>
        <w:rPr>
          <w:sz w:val="20"/>
          <w:szCs w:val="20"/>
          <w:color w:val="auto"/>
        </w:rPr>
      </w:pPr>
      <w:r>
        <w:rPr>
          <w:rFonts w:ascii="Arial" w:cs="Arial" w:eastAsia="Arial" w:hAnsi="Arial"/>
          <w:sz w:val="16"/>
          <w:szCs w:val="16"/>
          <w:color w:val="435363"/>
        </w:rPr>
        <w:t>In connection with the Board’s CEO succession planning, on June 8, 2022, the Board approved the retainer payable to Mr. Parker for his service as non-employee Chairman of the Board, consisting of a quarterly cash retainer of $250,000, payable in arrears, and a grant of 185,758 RSUs vesting in full upon the earlier of (i) the first anniversary of the date of grant or (ii) the Company’s annual meeting of stockholders in 2023, subject to Mr. Parker’s continued service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198755</wp:posOffset>
            </wp:positionV>
            <wp:extent cx="5177155" cy="1682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5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44</w:t>
      </w:r>
    </w:p>
    <w:p>
      <w:pPr>
        <w:spacing w:after="0" w:line="3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jc w:val="both"/>
        <w:ind w:left="220" w:right="80"/>
        <w:spacing w:after="0" w:line="258" w:lineRule="auto"/>
        <w:rPr>
          <w:sz w:val="20"/>
          <w:szCs w:val="20"/>
          <w:color w:val="auto"/>
        </w:rPr>
      </w:pPr>
      <w:r>
        <w:rPr>
          <w:rFonts w:ascii="Arial" w:cs="Arial" w:eastAsia="Arial" w:hAnsi="Arial"/>
          <w:sz w:val="16"/>
          <w:szCs w:val="16"/>
          <w:color w:val="435363"/>
        </w:rPr>
        <w:t>Company through the vesting date or acceleration by the Board in accordance with the terms of the 2013 Plan. The Board determined that this grant was necessary to retain Mr. Parker in the role of Chairman of the Board in order to ensure a successful transition in leadership following the most challenging time in our industry’s history.</w:t>
      </w:r>
    </w:p>
    <w:p>
      <w:pPr>
        <w:spacing w:after="0" w:line="68" w:lineRule="exact"/>
        <w:rPr>
          <w:sz w:val="20"/>
          <w:szCs w:val="20"/>
          <w:color w:val="auto"/>
        </w:rPr>
      </w:pPr>
    </w:p>
    <w:p>
      <w:pPr>
        <w:ind w:left="220" w:right="360"/>
        <w:spacing w:after="0" w:line="252" w:lineRule="auto"/>
        <w:rPr>
          <w:sz w:val="20"/>
          <w:szCs w:val="20"/>
          <w:color w:val="auto"/>
        </w:rPr>
      </w:pPr>
      <w:r>
        <w:rPr>
          <w:rFonts w:ascii="Arial" w:cs="Arial" w:eastAsia="Arial" w:hAnsi="Arial"/>
          <w:sz w:val="16"/>
          <w:szCs w:val="16"/>
          <w:color w:val="435363"/>
        </w:rPr>
        <w:t>In February 2023, we announced the retirement of Mr. Parker from the Board on April 30, 2023 and election of Greg Smith as the Company’s Independent Chairman effective April 30, 2023. The Board has approved for Mr. Smith’s service as Independent Chairman an additional annual RSU grant with a grant date fair value of $200,000. Mr. Cahill also received an additional annual retainer of $30,000 for his service as Lead Independent Director through April 30, 2023.</w:t>
      </w:r>
    </w:p>
    <w:p>
      <w:pPr>
        <w:spacing w:after="0" w:line="74" w:lineRule="exact"/>
        <w:rPr>
          <w:sz w:val="20"/>
          <w:szCs w:val="20"/>
          <w:color w:val="auto"/>
        </w:rPr>
      </w:pPr>
    </w:p>
    <w:p>
      <w:pPr>
        <w:ind w:left="220"/>
        <w:spacing w:after="0" w:line="239" w:lineRule="auto"/>
        <w:rPr>
          <w:sz w:val="20"/>
          <w:szCs w:val="20"/>
          <w:color w:val="auto"/>
        </w:rPr>
      </w:pPr>
      <w:r>
        <w:rPr>
          <w:rFonts w:ascii="Arial" w:cs="Arial" w:eastAsia="Arial" w:hAnsi="Arial"/>
          <w:sz w:val="15"/>
          <w:szCs w:val="15"/>
          <w:b w:val="1"/>
          <w:bCs w:val="1"/>
          <w:color w:val="435363"/>
        </w:rPr>
        <w:t xml:space="preserve">Other Compensation. </w:t>
      </w:r>
      <w:r>
        <w:rPr>
          <w:rFonts w:ascii="Arial" w:cs="Arial" w:eastAsia="Arial" w:hAnsi="Arial"/>
          <w:sz w:val="15"/>
          <w:szCs w:val="15"/>
          <w:color w:val="435363"/>
        </w:rPr>
        <w:t>As is customary in the airline industry, we provide our directors with flight benefits. During the period of time they serve on the</w:t>
      </w:r>
      <w:r>
        <w:rPr>
          <w:rFonts w:ascii="Arial" w:cs="Arial" w:eastAsia="Arial" w:hAnsi="Arial"/>
          <w:sz w:val="15"/>
          <w:szCs w:val="15"/>
          <w:b w:val="1"/>
          <w:bCs w:val="1"/>
          <w:color w:val="435363"/>
        </w:rPr>
        <w:t xml:space="preserve"> </w:t>
      </w:r>
      <w:r>
        <w:rPr>
          <w:rFonts w:ascii="Arial" w:cs="Arial" w:eastAsia="Arial" w:hAnsi="Arial"/>
          <w:sz w:val="15"/>
          <w:szCs w:val="15"/>
          <w:color w:val="435363"/>
        </w:rPr>
        <w:t>Board, non-employee directors are entitled to complimentary personal air travel for the non-employee director and his or her immediate family members on American and American Eagle, 12 round-trip or 24 one-way passes for complimentary air travel for the non-employee director’s family and friends each year, as well as American Airlines Admirals Club</w:t>
      </w:r>
      <w:r>
        <w:rPr>
          <w:rFonts w:ascii="Arial" w:cs="Arial" w:eastAsia="Arial" w:hAnsi="Arial"/>
          <w:sz w:val="22"/>
          <w:szCs w:val="22"/>
          <w:color w:val="435363"/>
          <w:vertAlign w:val="superscript"/>
        </w:rPr>
        <w:t>®</w:t>
      </w:r>
      <w:r>
        <w:rPr>
          <w:rFonts w:ascii="Arial" w:cs="Arial" w:eastAsia="Arial" w:hAnsi="Arial"/>
          <w:sz w:val="15"/>
          <w:szCs w:val="15"/>
          <w:color w:val="435363"/>
        </w:rPr>
        <w:t xml:space="preserve"> membership, and AAdvantage</w:t>
      </w:r>
      <w:r>
        <w:rPr>
          <w:rFonts w:ascii="Arial" w:cs="Arial" w:eastAsia="Arial" w:hAnsi="Arial"/>
          <w:sz w:val="22"/>
          <w:szCs w:val="22"/>
          <w:color w:val="435363"/>
          <w:vertAlign w:val="superscript"/>
        </w:rPr>
        <w:t>®</w:t>
      </w:r>
      <w:r>
        <w:rPr>
          <w:rFonts w:ascii="Arial" w:cs="Arial" w:eastAsia="Arial" w:hAnsi="Arial"/>
          <w:sz w:val="15"/>
          <w:szCs w:val="15"/>
          <w:color w:val="435363"/>
        </w:rPr>
        <w:t xml:space="preserve"> ConciergeKey</w:t>
      </w:r>
      <w:r>
        <w:rPr>
          <w:rFonts w:ascii="Arial" w:cs="Arial" w:eastAsia="Arial" w:hAnsi="Arial"/>
          <w:sz w:val="22"/>
          <w:szCs w:val="22"/>
          <w:color w:val="435363"/>
          <w:vertAlign w:val="superscript"/>
        </w:rPr>
        <w:t>SM</w:t>
      </w:r>
      <w:r>
        <w:rPr>
          <w:rFonts w:ascii="Arial" w:cs="Arial" w:eastAsia="Arial" w:hAnsi="Arial"/>
          <w:sz w:val="15"/>
          <w:szCs w:val="15"/>
          <w:color w:val="435363"/>
        </w:rPr>
        <w:t xml:space="preserve"> program status. Non-employee directors receive a tax gross-up for imputed taxable income related to these flight benefits. In addition, these travel benefits (except for the tax gross-up) will be provided</w:t>
      </w:r>
    </w:p>
    <w:p>
      <w:pPr>
        <w:spacing w:after="0" w:line="3" w:lineRule="exact"/>
        <w:rPr>
          <w:sz w:val="20"/>
          <w:szCs w:val="20"/>
          <w:color w:val="auto"/>
        </w:rPr>
      </w:pPr>
    </w:p>
    <w:p>
      <w:pPr>
        <w:ind w:left="220" w:right="140" w:firstLine="4"/>
        <w:spacing w:after="0" w:line="248" w:lineRule="auto"/>
        <w:tabs>
          <w:tab w:leader="none" w:pos="405" w:val="left"/>
        </w:tabs>
        <w:numPr>
          <w:ilvl w:val="0"/>
          <w:numId w:val="36"/>
        </w:numPr>
        <w:rPr>
          <w:rFonts w:ascii="Arial" w:cs="Arial" w:eastAsia="Arial" w:hAnsi="Arial"/>
          <w:sz w:val="16"/>
          <w:szCs w:val="16"/>
          <w:color w:val="435363"/>
        </w:rPr>
      </w:pPr>
      <w:r>
        <w:rPr>
          <w:rFonts w:ascii="Arial" w:cs="Arial" w:eastAsia="Arial" w:hAnsi="Arial"/>
          <w:sz w:val="16"/>
          <w:szCs w:val="16"/>
          <w:color w:val="435363"/>
        </w:rPr>
        <w:t>for a non-employee director’s lifetime if he or she has served as a director for seven or more years or (ii) for five years if he or she has served for less than seven but more than two years. Non-employee directors will also be reimbursed for all reasonable out-of-pocket expenses incurred in connection with attendance at meetings upon submission of receipts.</w:t>
      </w:r>
    </w:p>
    <w:p>
      <w:pPr>
        <w:spacing w:after="0" w:line="75" w:lineRule="exact"/>
        <w:rPr>
          <w:sz w:val="20"/>
          <w:szCs w:val="20"/>
          <w:color w:val="auto"/>
        </w:rPr>
      </w:pPr>
    </w:p>
    <w:p>
      <w:pPr>
        <w:ind w:left="220" w:right="120"/>
        <w:spacing w:after="0" w:line="309" w:lineRule="auto"/>
        <w:rPr>
          <w:sz w:val="20"/>
          <w:szCs w:val="20"/>
          <w:color w:val="auto"/>
        </w:rPr>
      </w:pPr>
      <w:r>
        <w:rPr>
          <w:rFonts w:ascii="Arial" w:cs="Arial" w:eastAsia="Arial" w:hAnsi="Arial"/>
          <w:sz w:val="15"/>
          <w:szCs w:val="15"/>
          <w:color w:val="435363"/>
        </w:rPr>
        <w:t>In addition, the company purchases tickets to certain sporting and other events in advance for business purposes. On occasion, unused tickets purchased are made available for personal use by our directors or other employees. These tickets typically result in no incremental cost to the company.</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Legacy Director Compensation Programs</w:t>
      </w:r>
    </w:p>
    <w:p>
      <w:pPr>
        <w:spacing w:after="0" w:line="90" w:lineRule="exact"/>
        <w:rPr>
          <w:sz w:val="20"/>
          <w:szCs w:val="20"/>
          <w:color w:val="auto"/>
        </w:rPr>
      </w:pPr>
    </w:p>
    <w:p>
      <w:pPr>
        <w:ind w:left="220" w:right="240"/>
        <w:spacing w:after="0" w:line="264" w:lineRule="auto"/>
        <w:rPr>
          <w:sz w:val="20"/>
          <w:szCs w:val="20"/>
          <w:color w:val="auto"/>
        </w:rPr>
      </w:pPr>
      <w:r>
        <w:rPr>
          <w:rFonts w:ascii="Arial" w:cs="Arial" w:eastAsia="Arial" w:hAnsi="Arial"/>
          <w:sz w:val="15"/>
          <w:szCs w:val="15"/>
          <w:color w:val="435363"/>
        </w:rPr>
        <w:t>Following the closing of the merger with US Airways, the America West Directors’ Charitable Contribution Program (the “Charitable Contribution Program”), a legacy director compensation program, continues to be in effect. America West established the Charitable Contribution Program under which all directors of America West were invited to participate. This program was discontinued for new directors following the merger between America West and US Airways in 2005. During 2023, the directors who were participants in the Charitable Contribution Program were Messrs. Hart and Parker and Ms. O’Leary. The charitable contributions will be substantially funded by life insurance proceeds from policies maintained by us on the lives of the participants. Under the terms of the Charitable Contribution Program, America West was allowed to place joint life insurance on two directors. The life insurance policies currently in place under the Charitable Contribution Program are structured as joint policies on the lives of two directors and the insurance benefits are payable at the death of the last survivor. Individual directors derive no direct financial benefit from the Charitable Contribution Program because all insurance proceeds are to be paid by us, and all tax deductions for the charitable contributions accrue solely to us.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Stock Ownership Guidelines</w:t>
      </w:r>
    </w:p>
    <w:p>
      <w:pPr>
        <w:spacing w:after="0" w:line="77" w:lineRule="exact"/>
        <w:rPr>
          <w:sz w:val="20"/>
          <w:szCs w:val="20"/>
          <w:color w:val="auto"/>
        </w:rPr>
      </w:pPr>
    </w:p>
    <w:p>
      <w:pPr>
        <w:ind w:left="220" w:right="20"/>
        <w:spacing w:after="0" w:line="245" w:lineRule="auto"/>
        <w:rPr>
          <w:sz w:val="20"/>
          <w:szCs w:val="20"/>
          <w:color w:val="auto"/>
        </w:rPr>
      </w:pPr>
      <w:r>
        <w:rPr>
          <w:rFonts w:ascii="Arial" w:cs="Arial" w:eastAsia="Arial" w:hAnsi="Arial"/>
          <w:sz w:val="16"/>
          <w:szCs w:val="16"/>
          <w:color w:val="435363"/>
        </w:rPr>
        <w:t>We adopted stock ownership guidelines for our non-employee directors in January 2014. Non-employee directors are required to hold a number of shares of stock equal to the lesser of either (i) five times the director’s annual cash retainer or (ii) 15,000 shares of our Common Stock. Ownership is determined based on the combined value of the following director holdings: (a) shares owned outright or by immediate family members residing in the same household or in a trust for the benefit of the director or an immediate family member; (b) Common Stock, stock units or other stock equivalents obtained through the exercise of stock appreciation rights (“SARs”)/stock options or vesting of equity awards; (c) unvested equity awards granted under any equity and deferral plans; and (d) other stock or stock equivalent awards determined by the CGPR Committee. Non-employee directors have five years from the later of: (i) the date the guidelines were adopted and (ii) the date the individual became a director to comply with the stock ownership guidelines. Under the stock ownership guidelines, until a non-employee director has reached the minimum ownership guideline, such director may not sell or otherwise dispose of the shares of Common Stock acquired upon the exercise, vesting or settlement of any equity awards except to the extent such sales do not cumulatively exceed 50% of such shares. Each of our directors with a compliance date before the date of this Proxy Statement owns shares that exceed the minimum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109220</wp:posOffset>
            </wp:positionV>
            <wp:extent cx="5177155" cy="1682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45</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200660</wp:posOffset>
            </wp:positionV>
            <wp:extent cx="6193790" cy="2857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32"/>
          <w:szCs w:val="32"/>
          <w:color w:val="66AFDA"/>
        </w:rPr>
        <w:t>CERTAIN RELATIONSHIPS AND RELATED PARTY TRANSACTIONS</w:t>
      </w:r>
    </w:p>
    <w:p>
      <w:pPr>
        <w:spacing w:after="0" w:line="229"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435363"/>
        </w:rPr>
        <w:t>Since January 1, 2023, the Company has not participated in, nor is there currently planned, any transaction or series of similar transactions with any of the Company’s directors, nominees, executive officers, holders of more than 5% of Common Stock or any member of such person’s immediate family that is required to be reported under Regulation S-K Item 404(a) of the rules of the SEC, other than the following: in October 2023, the Company committed to a donation of $2,500,000, to be paid over a five-year period, to a non-profit organization founded by our former Chairman, Doug Parker, called Breaking Down Barriers, whose mission is to remove the barriers that exist for underrepresented young adults to have rewarding careers in aviation, particularly as pilots. This donation was approved by the Audit Committee in accordance with the Company’s policies.</w:t>
      </w:r>
    </w:p>
    <w:p>
      <w:pPr>
        <w:spacing w:after="0" w:line="77" w:lineRule="exact"/>
        <w:rPr>
          <w:sz w:val="20"/>
          <w:szCs w:val="20"/>
          <w:color w:val="auto"/>
        </w:rPr>
      </w:pPr>
    </w:p>
    <w:p>
      <w:pPr>
        <w:ind w:left="220" w:right="40"/>
        <w:spacing w:after="0" w:line="252" w:lineRule="auto"/>
        <w:rPr>
          <w:sz w:val="20"/>
          <w:szCs w:val="20"/>
          <w:color w:val="auto"/>
        </w:rPr>
      </w:pPr>
      <w:r>
        <w:rPr>
          <w:rFonts w:ascii="Arial" w:cs="Arial" w:eastAsia="Arial" w:hAnsi="Arial"/>
          <w:sz w:val="16"/>
          <w:szCs w:val="16"/>
          <w:color w:val="435363"/>
        </w:rPr>
        <w:t>We have entered into indemnity agreements with our executive officers and directors that provide, among other things, that we will indemnify each such officer or director, under the circumstances and to the extent provided for in the indemnity agreements, for expenses, damages, judgments, fines and settlements he or she may be required to pay in actions or proceedings in which he or she is or may be made a party by reason of his or her position as a director, officer or other agent of the Company.</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Policies and Procedures for Review and Approval of Related Person Transactions</w:t>
      </w:r>
    </w:p>
    <w:p>
      <w:pPr>
        <w:spacing w:after="0" w:line="90"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435363"/>
        </w:rPr>
        <w:t>We believe that business decisions and actions taken by our officers, directors and employees should be based on the best interests of the Company and must not be motivated by personal considerations or relationships. We attempt to analyze all transactions in which we participate and in which a related person may have a direct or indirect material interest, both due to the potential for a conflict of interest and to determine whether disclosure of the transaction is required under applicable SEC rules and regulations. Related persons include any of our directors or executive officers, certain of our stockholders and immediate family members of any of the above persons. The Audit Committee is responsible for reviewing and approving all significant conflicts of interest and related party transactions in accordance with our company policies.</w:t>
      </w:r>
    </w:p>
    <w:p>
      <w:pPr>
        <w:spacing w:after="0" w:line="77"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435363"/>
        </w:rPr>
        <w:t xml:space="preserve">A conflict of interest occurs when an individual’s private interest interferes, or appears to interfere, in any way with the interests of the Company. Our Codes of Ethics require our employees, including our Chief Executive Officer, Chief Financial Officer, Corporate Controller, who is our principal accounting officer, and our directors who may have a potential or apparent conflict of interest to fully disclose all the relevant facts to either the Chair of the Audit Committee or the Chief Ethics and Compliance Officer, as applicable. Once the Chair of the Audit Committee or the Chief Ethics and Compliance Officer receives notice of a conflict of interest, they will report the relevant facts to our internal auditors. The internal auditors will then consult with the Audit Committee and a determination will be made as to whether the activity is permissible. The full texts of our Codes of Ethics are available on our website at </w:t>
      </w:r>
      <w:r>
        <w:rPr>
          <w:rFonts w:ascii="Arial" w:cs="Arial" w:eastAsia="Arial" w:hAnsi="Arial"/>
          <w:sz w:val="16"/>
          <w:szCs w:val="16"/>
          <w:i w:val="1"/>
          <w:iCs w:val="1"/>
          <w:color w:val="435363"/>
        </w:rPr>
        <w:t xml:space="preserve">www.aa.com </w:t>
      </w:r>
      <w:r>
        <w:rPr>
          <w:rFonts w:ascii="Arial" w:cs="Arial" w:eastAsia="Arial" w:hAnsi="Arial"/>
          <w:sz w:val="16"/>
          <w:szCs w:val="16"/>
          <w:color w:val="435363"/>
        </w:rPr>
        <w:t>under the links “About Us”—“Corporate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201295</wp:posOffset>
            </wp:positionV>
            <wp:extent cx="5177155" cy="1682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6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46</w:t>
      </w:r>
    </w:p>
    <w:p>
      <w:pPr>
        <w:spacing w:after="0" w:line="3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200660</wp:posOffset>
            </wp:positionV>
            <wp:extent cx="6193790" cy="2857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66AFDA"/>
        </w:rPr>
        <w:t>REPORT OF THE AUDIT COMMITTEE OF THE BOARD OF DIRECTORS</w:t>
      </w:r>
    </w:p>
    <w:p>
      <w:pPr>
        <w:spacing w:after="0" w:line="229" w:lineRule="exact"/>
        <w:rPr>
          <w:sz w:val="20"/>
          <w:szCs w:val="20"/>
          <w:color w:val="auto"/>
        </w:rPr>
      </w:pPr>
    </w:p>
    <w:p>
      <w:pPr>
        <w:ind w:left="220" w:right="740"/>
        <w:spacing w:after="0" w:line="275" w:lineRule="auto"/>
        <w:rPr>
          <w:sz w:val="20"/>
          <w:szCs w:val="20"/>
          <w:color w:val="auto"/>
        </w:rPr>
      </w:pPr>
      <w:r>
        <w:rPr>
          <w:rFonts w:ascii="Arial" w:cs="Arial" w:eastAsia="Arial" w:hAnsi="Arial"/>
          <w:sz w:val="16"/>
          <w:szCs w:val="16"/>
          <w:color w:val="435363"/>
        </w:rPr>
        <w:t>The Audit Committee has reviewed and discussed with our management our audited consolidated financial statements for the fiscal year ended December 31, 2023 (the “Audited Financial Statements”).</w:t>
      </w:r>
    </w:p>
    <w:p>
      <w:pPr>
        <w:spacing w:after="0" w:line="55" w:lineRule="exact"/>
        <w:rPr>
          <w:sz w:val="20"/>
          <w:szCs w:val="20"/>
          <w:color w:val="auto"/>
        </w:rPr>
      </w:pPr>
    </w:p>
    <w:p>
      <w:pPr>
        <w:ind w:left="220" w:right="200"/>
        <w:spacing w:after="0" w:line="309" w:lineRule="auto"/>
        <w:rPr>
          <w:sz w:val="20"/>
          <w:szCs w:val="20"/>
          <w:color w:val="auto"/>
        </w:rPr>
      </w:pPr>
      <w:r>
        <w:rPr>
          <w:rFonts w:ascii="Arial" w:cs="Arial" w:eastAsia="Arial" w:hAnsi="Arial"/>
          <w:sz w:val="15"/>
          <w:szCs w:val="15"/>
          <w:color w:val="435363"/>
        </w:rPr>
        <w:t>The Audit Committee has discussed with KPMG, our independent registered public accounting firm, the matters required to be discussed with the Audit Committee under the applicable requirements of the Public Company Accounting Oversight Board and the Securities and Exchange Commission.</w:t>
      </w:r>
    </w:p>
    <w:p>
      <w:pPr>
        <w:spacing w:after="0" w:line="32" w:lineRule="exact"/>
        <w:rPr>
          <w:sz w:val="20"/>
          <w:szCs w:val="20"/>
          <w:color w:val="auto"/>
        </w:rPr>
      </w:pPr>
    </w:p>
    <w:p>
      <w:pPr>
        <w:ind w:left="220" w:right="40"/>
        <w:spacing w:after="0" w:line="252" w:lineRule="auto"/>
        <w:rPr>
          <w:sz w:val="20"/>
          <w:szCs w:val="20"/>
          <w:color w:val="auto"/>
        </w:rPr>
      </w:pPr>
      <w:r>
        <w:rPr>
          <w:rFonts w:ascii="Arial" w:cs="Arial" w:eastAsia="Arial" w:hAnsi="Arial"/>
          <w:sz w:val="16"/>
          <w:szCs w:val="16"/>
          <w:color w:val="435363"/>
        </w:rPr>
        <w:t>The Audit Committee has received the written disclosures and the letter from KPMG regarding its independence as required by applicable requirements of the Public Company Accounting Oversight Board regarding KPMG’s communications with the Audit Committee concerning independence, has discussed with KPMG its independence and has considered the compatibility of the non-audit services provided by KPMG with respect to maintenance of that independence.</w:t>
      </w:r>
    </w:p>
    <w:p>
      <w:pPr>
        <w:spacing w:after="0" w:line="74" w:lineRule="exact"/>
        <w:rPr>
          <w:sz w:val="20"/>
          <w:szCs w:val="20"/>
          <w:color w:val="auto"/>
        </w:rPr>
      </w:pPr>
    </w:p>
    <w:p>
      <w:pPr>
        <w:ind w:left="220" w:right="360"/>
        <w:spacing w:after="0" w:line="275" w:lineRule="auto"/>
        <w:rPr>
          <w:sz w:val="20"/>
          <w:szCs w:val="20"/>
          <w:color w:val="auto"/>
        </w:rPr>
      </w:pPr>
      <w:r>
        <w:rPr>
          <w:rFonts w:ascii="Arial" w:cs="Arial" w:eastAsia="Arial" w:hAnsi="Arial"/>
          <w:sz w:val="16"/>
          <w:szCs w:val="16"/>
          <w:color w:val="435363"/>
        </w:rPr>
        <w:t>In reliance on the reviews and discussions referred to above, the Audit Committee recommended to the Board, and the Board has approved, that the Audited Financial Statements be included in our Annual Report on Form 10-K for the year ended December 31, 2023, for filing with the SEC.</w:t>
      </w:r>
    </w:p>
    <w:p>
      <w:pPr>
        <w:spacing w:after="0" w:line="55" w:lineRule="exact"/>
        <w:rPr>
          <w:sz w:val="20"/>
          <w:szCs w:val="20"/>
          <w:color w:val="auto"/>
        </w:rPr>
      </w:pPr>
    </w:p>
    <w:p>
      <w:pPr>
        <w:ind w:left="7360"/>
        <w:spacing w:after="0"/>
        <w:rPr>
          <w:sz w:val="20"/>
          <w:szCs w:val="20"/>
          <w:color w:val="auto"/>
        </w:rPr>
      </w:pPr>
      <w:r>
        <w:rPr>
          <w:rFonts w:ascii="Arial" w:cs="Arial" w:eastAsia="Arial" w:hAnsi="Arial"/>
          <w:sz w:val="16"/>
          <w:szCs w:val="16"/>
          <w:color w:val="435363"/>
        </w:rPr>
        <w:t>Respectfully submitted,</w:t>
      </w:r>
    </w:p>
    <w:p>
      <w:pPr>
        <w:spacing w:after="0" w:line="107"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435363"/>
        </w:rPr>
        <w:t>Audit Committee</w:t>
      </w:r>
    </w:p>
    <w:p>
      <w:pPr>
        <w:spacing w:after="0" w:line="17" w:lineRule="exact"/>
        <w:rPr>
          <w:sz w:val="20"/>
          <w:szCs w:val="20"/>
          <w:color w:val="auto"/>
        </w:rPr>
      </w:pPr>
    </w:p>
    <w:p>
      <w:pPr>
        <w:ind w:left="7360"/>
        <w:spacing w:after="0"/>
        <w:rPr>
          <w:sz w:val="20"/>
          <w:szCs w:val="20"/>
          <w:color w:val="auto"/>
        </w:rPr>
      </w:pPr>
      <w:r>
        <w:rPr>
          <w:rFonts w:ascii="Arial" w:cs="Arial" w:eastAsia="Arial" w:hAnsi="Arial"/>
          <w:sz w:val="16"/>
          <w:szCs w:val="16"/>
          <w:color w:val="435363"/>
        </w:rPr>
        <w:t>Matt Hart (Chair)</w:t>
      </w:r>
    </w:p>
    <w:p>
      <w:pPr>
        <w:spacing w:after="0" w:line="1" w:lineRule="exact"/>
        <w:rPr>
          <w:sz w:val="20"/>
          <w:szCs w:val="20"/>
          <w:color w:val="auto"/>
        </w:rPr>
      </w:pPr>
    </w:p>
    <w:p>
      <w:pPr>
        <w:ind w:left="7360"/>
        <w:spacing w:after="0"/>
        <w:rPr>
          <w:sz w:val="20"/>
          <w:szCs w:val="20"/>
          <w:color w:val="auto"/>
        </w:rPr>
      </w:pPr>
      <w:r>
        <w:rPr>
          <w:rFonts w:ascii="Arial" w:cs="Arial" w:eastAsia="Arial" w:hAnsi="Arial"/>
          <w:sz w:val="16"/>
          <w:szCs w:val="16"/>
          <w:color w:val="435363"/>
        </w:rPr>
        <w:t>Adriane Brown</w:t>
      </w:r>
    </w:p>
    <w:p>
      <w:pPr>
        <w:spacing w:after="0" w:line="1" w:lineRule="exact"/>
        <w:rPr>
          <w:sz w:val="20"/>
          <w:szCs w:val="20"/>
          <w:color w:val="auto"/>
        </w:rPr>
      </w:pPr>
    </w:p>
    <w:p>
      <w:pPr>
        <w:ind w:left="7360"/>
        <w:spacing w:after="0"/>
        <w:rPr>
          <w:sz w:val="20"/>
          <w:szCs w:val="20"/>
          <w:color w:val="auto"/>
        </w:rPr>
      </w:pPr>
      <w:r>
        <w:rPr>
          <w:rFonts w:ascii="Arial" w:cs="Arial" w:eastAsia="Arial" w:hAnsi="Arial"/>
          <w:sz w:val="16"/>
          <w:szCs w:val="16"/>
          <w:color w:val="435363"/>
        </w:rPr>
        <w:t>John Cahill</w:t>
      </w:r>
    </w:p>
    <w:p>
      <w:pPr>
        <w:spacing w:after="0" w:line="1" w:lineRule="exact"/>
        <w:rPr>
          <w:sz w:val="20"/>
          <w:szCs w:val="20"/>
          <w:color w:val="auto"/>
        </w:rPr>
      </w:pPr>
    </w:p>
    <w:p>
      <w:pPr>
        <w:ind w:left="7360"/>
        <w:spacing w:after="0"/>
        <w:rPr>
          <w:sz w:val="20"/>
          <w:szCs w:val="20"/>
          <w:color w:val="auto"/>
        </w:rPr>
      </w:pPr>
      <w:r>
        <w:rPr>
          <w:rFonts w:ascii="Arial" w:cs="Arial" w:eastAsia="Arial" w:hAnsi="Arial"/>
          <w:sz w:val="16"/>
          <w:szCs w:val="16"/>
          <w:color w:val="435363"/>
        </w:rPr>
        <w:t>Marty Nesbitt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308610</wp:posOffset>
            </wp:positionV>
            <wp:extent cx="6861810" cy="4330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61810" cy="43307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460" w:right="340"/>
        <w:spacing w:after="0" w:line="257" w:lineRule="auto"/>
        <w:rPr>
          <w:sz w:val="20"/>
          <w:szCs w:val="20"/>
          <w:color w:val="auto"/>
        </w:rPr>
      </w:pPr>
      <w:r>
        <w:rPr>
          <w:rFonts w:ascii="Arial" w:cs="Arial" w:eastAsia="Arial" w:hAnsi="Arial"/>
          <w:sz w:val="16"/>
          <w:szCs w:val="16"/>
          <w:i w:val="1"/>
          <w:iCs w:val="1"/>
          <w:color w:val="435363"/>
        </w:rPr>
        <w:t>This report of the Audit Committee is not deemed to be “soliciting material” or to be “filed” with the SEC or subject to the SEC’s proxy rules or the liabilities of Section 18 of the Exchange Act, and the report shall not be deemed to be incorporated by reference into any prior or subsequent filing by us under the Securities Act of 1933, as amended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144780</wp:posOffset>
            </wp:positionV>
            <wp:extent cx="5177155" cy="1682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47</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200660</wp:posOffset>
            </wp:positionV>
            <wp:extent cx="6193790" cy="2857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32"/>
          <w:szCs w:val="32"/>
          <w:color w:val="66AFDA"/>
        </w:rPr>
        <w:t>COMPENSATION DISCUSSION AND ANALYSIS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Overview</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This section discusses our performance and the principles underlying our compensation policies for our “named executive officers,” who for 2023 were: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6"/>
          <w:szCs w:val="16"/>
          <w:color w:val="435363"/>
        </w:rPr>
        <w:t>–   Robert Isom, our Chief Executive Officer and Director;</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6"/>
          <w:szCs w:val="16"/>
          <w:color w:val="435363"/>
        </w:rPr>
        <w:t>–   Steve Johnson, our Vice Chair and Chief Strategy Officer;</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6"/>
          <w:szCs w:val="16"/>
          <w:color w:val="435363"/>
        </w:rPr>
        <w:t>–   Priya Aiyar, our Executive Vice President and Chief Legal Officer;</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6"/>
          <w:szCs w:val="16"/>
          <w:color w:val="435363"/>
        </w:rPr>
        <w:t>–   Devon May, our Executive Vice President and Chief Financial Officer;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6"/>
          <w:szCs w:val="16"/>
          <w:color w:val="435363"/>
        </w:rPr>
        <w:t>–   Vasu Raja, our Executive Vice President and Chief Commercial Officer.</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American has executed significant Board and senior leadership team succession since 2021:</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6"/>
          <w:szCs w:val="16"/>
          <w:color w:val="435363"/>
        </w:rPr>
        <w:t>–   In December 2021, American announced that Mr. Isom would succeed Doug Parker as CEO, effective March 2022</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6"/>
          <w:szCs w:val="16"/>
          <w:color w:val="435363"/>
        </w:rPr>
        <w:t>–   Mr. Parker remained Chairman to ensure a successful transition before retiring from the Board in April 2023</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6"/>
          <w:szCs w:val="16"/>
          <w:color w:val="435363"/>
        </w:rPr>
        <w:t>–   Effective April 2023, Greg Smith was elected as American’s Independent Chairman, succeeding Mr. Parker</w:t>
      </w:r>
    </w:p>
    <w:p>
      <w:pPr>
        <w:spacing w:after="0" w:line="120" w:lineRule="exact"/>
        <w:rPr>
          <w:sz w:val="20"/>
          <w:szCs w:val="20"/>
          <w:color w:val="auto"/>
        </w:rPr>
      </w:pPr>
    </w:p>
    <w:p>
      <w:pPr>
        <w:ind w:left="760" w:right="180" w:hanging="318"/>
        <w:spacing w:after="0" w:line="275" w:lineRule="auto"/>
        <w:rPr>
          <w:sz w:val="20"/>
          <w:szCs w:val="20"/>
          <w:color w:val="auto"/>
        </w:rPr>
      </w:pPr>
      <w:r>
        <w:rPr>
          <w:rFonts w:ascii="Arial" w:cs="Arial" w:eastAsia="Arial" w:hAnsi="Arial"/>
          <w:sz w:val="16"/>
          <w:szCs w:val="16"/>
          <w:color w:val="435363"/>
        </w:rPr>
        <w:t>– In tandem with the CEO transition, American made additional updates to rebuild and retain our broader senior leadership team to lead our next chapter and drive stockholder value:</w:t>
      </w:r>
    </w:p>
    <w:p>
      <w:pPr>
        <w:spacing w:after="0" w:line="68" w:lineRule="exact"/>
        <w:rPr>
          <w:sz w:val="20"/>
          <w:szCs w:val="20"/>
          <w:color w:val="auto"/>
        </w:rPr>
      </w:pPr>
    </w:p>
    <w:p>
      <w:pPr>
        <w:ind w:left="1080" w:right="620" w:hanging="326"/>
        <w:spacing w:after="0" w:line="275" w:lineRule="auto"/>
        <w:tabs>
          <w:tab w:leader="none" w:pos="1080" w:val="left"/>
        </w:tabs>
        <w:numPr>
          <w:ilvl w:val="1"/>
          <w:numId w:val="38"/>
        </w:numPr>
        <w:rPr>
          <w:rFonts w:ascii="Arial" w:cs="Arial" w:eastAsia="Arial" w:hAnsi="Arial"/>
          <w:sz w:val="16"/>
          <w:szCs w:val="16"/>
          <w:color w:val="3575B3"/>
        </w:rPr>
      </w:pPr>
      <w:r>
        <w:rPr>
          <w:rFonts w:ascii="Arial" w:cs="Arial" w:eastAsia="Arial" w:hAnsi="Arial"/>
          <w:sz w:val="16"/>
          <w:szCs w:val="16"/>
          <w:color w:val="435363"/>
        </w:rPr>
        <w:t>Mr. Raja was promoted to Senior Vice President and Chief Revenue Officer in June 2020 and to Executive Vice President and Chief Commercial Officer in April 2022</w:t>
      </w:r>
    </w:p>
    <w:p>
      <w:pPr>
        <w:spacing w:after="0" w:line="68" w:lineRule="exact"/>
        <w:rPr>
          <w:rFonts w:ascii="Arial" w:cs="Arial" w:eastAsia="Arial" w:hAnsi="Arial"/>
          <w:sz w:val="16"/>
          <w:szCs w:val="16"/>
          <w:color w:val="3575B3"/>
        </w:rPr>
      </w:pPr>
    </w:p>
    <w:p>
      <w:pPr>
        <w:ind w:left="1080" w:right="260" w:hanging="326"/>
        <w:spacing w:after="0" w:line="275" w:lineRule="auto"/>
        <w:tabs>
          <w:tab w:leader="none" w:pos="1080" w:val="left"/>
        </w:tabs>
        <w:numPr>
          <w:ilvl w:val="1"/>
          <w:numId w:val="38"/>
        </w:numPr>
        <w:rPr>
          <w:rFonts w:ascii="Arial" w:cs="Arial" w:eastAsia="Arial" w:hAnsi="Arial"/>
          <w:sz w:val="16"/>
          <w:szCs w:val="16"/>
          <w:color w:val="3575B3"/>
        </w:rPr>
      </w:pPr>
      <w:r>
        <w:rPr>
          <w:rFonts w:ascii="Arial" w:cs="Arial" w:eastAsia="Arial" w:hAnsi="Arial"/>
          <w:sz w:val="16"/>
          <w:szCs w:val="16"/>
          <w:color w:val="435363"/>
        </w:rPr>
        <w:t>Mr. May was promoted to Senior Vice President of Finance and Investor Relations in February 2022 and to Executive Vice President and Chief Financial Officer in January 2023</w:t>
      </w:r>
    </w:p>
    <w:p>
      <w:pPr>
        <w:spacing w:after="0" w:line="68" w:lineRule="exact"/>
        <w:rPr>
          <w:rFonts w:ascii="Arial" w:cs="Arial" w:eastAsia="Arial" w:hAnsi="Arial"/>
          <w:sz w:val="16"/>
          <w:szCs w:val="16"/>
          <w:color w:val="3575B3"/>
        </w:rPr>
      </w:pPr>
    </w:p>
    <w:p>
      <w:pPr>
        <w:ind w:left="1080" w:hanging="326"/>
        <w:spacing w:after="0"/>
        <w:tabs>
          <w:tab w:leader="none" w:pos="1080" w:val="left"/>
        </w:tabs>
        <w:numPr>
          <w:ilvl w:val="1"/>
          <w:numId w:val="38"/>
        </w:numPr>
        <w:rPr>
          <w:rFonts w:ascii="Arial" w:cs="Arial" w:eastAsia="Arial" w:hAnsi="Arial"/>
          <w:sz w:val="16"/>
          <w:szCs w:val="16"/>
          <w:color w:val="3575B3"/>
        </w:rPr>
      </w:pPr>
      <w:r>
        <w:rPr>
          <w:rFonts w:ascii="Arial" w:cs="Arial" w:eastAsia="Arial" w:hAnsi="Arial"/>
          <w:sz w:val="16"/>
          <w:szCs w:val="16"/>
          <w:color w:val="435363"/>
        </w:rPr>
        <w:t>Ms. Aiyar was promoted to Executive Vice President and Chief Legal Officer in April 2022</w:t>
      </w:r>
    </w:p>
    <w:p>
      <w:pPr>
        <w:spacing w:after="0" w:line="120" w:lineRule="exact"/>
        <w:rPr>
          <w:rFonts w:ascii="Arial" w:cs="Arial" w:eastAsia="Arial" w:hAnsi="Arial"/>
          <w:sz w:val="16"/>
          <w:szCs w:val="16"/>
          <w:color w:val="3575B3"/>
        </w:rPr>
      </w:pPr>
    </w:p>
    <w:p>
      <w:pPr>
        <w:ind w:left="1080" w:hanging="326"/>
        <w:spacing w:after="0"/>
        <w:tabs>
          <w:tab w:leader="none" w:pos="1080" w:val="left"/>
        </w:tabs>
        <w:numPr>
          <w:ilvl w:val="1"/>
          <w:numId w:val="38"/>
        </w:numPr>
        <w:rPr>
          <w:rFonts w:ascii="Arial" w:cs="Arial" w:eastAsia="Arial" w:hAnsi="Arial"/>
          <w:sz w:val="16"/>
          <w:szCs w:val="16"/>
          <w:color w:val="3575B3"/>
        </w:rPr>
      </w:pPr>
      <w:r>
        <w:rPr>
          <w:rFonts w:ascii="Arial" w:cs="Arial" w:eastAsia="Arial" w:hAnsi="Arial"/>
          <w:sz w:val="16"/>
          <w:szCs w:val="16"/>
          <w:color w:val="435363"/>
        </w:rPr>
        <w:t>Mr. Johnson was promoted to Vice Chair and Chief Strategy Officer in May 2023</w:t>
      </w:r>
    </w:p>
    <w:p>
      <w:pPr>
        <w:spacing w:after="0" w:line="107" w:lineRule="exact"/>
        <w:rPr>
          <w:sz w:val="20"/>
          <w:szCs w:val="20"/>
          <w:color w:val="auto"/>
        </w:rPr>
      </w:pPr>
    </w:p>
    <w:p>
      <w:pPr>
        <w:ind w:left="220" w:right="40"/>
        <w:spacing w:after="0" w:line="263" w:lineRule="auto"/>
        <w:rPr>
          <w:sz w:val="20"/>
          <w:szCs w:val="20"/>
          <w:color w:val="auto"/>
        </w:rPr>
      </w:pPr>
      <w:r>
        <w:rPr>
          <w:rFonts w:ascii="Arial" w:cs="Arial" w:eastAsia="Arial" w:hAnsi="Arial"/>
          <w:sz w:val="16"/>
          <w:szCs w:val="16"/>
          <w:color w:val="435363"/>
        </w:rPr>
        <w:t xml:space="preserve">To successfully lead American through the critical post-pandemic chapter, our leadership team established a targeted list of primary goals to improve the reliability, profitability and accountability of our operations to create long-term stockholder value. </w:t>
      </w:r>
      <w:r>
        <w:rPr>
          <w:rFonts w:ascii="Arial" w:cs="Arial" w:eastAsia="Arial" w:hAnsi="Arial"/>
          <w:sz w:val="16"/>
          <w:szCs w:val="16"/>
          <w:b w:val="1"/>
          <w:bCs w:val="1"/>
          <w:color w:val="435363"/>
        </w:rPr>
        <w:t>We produced exceptionally strong performance in</w:t>
      </w:r>
      <w:r>
        <w:rPr>
          <w:rFonts w:ascii="Arial" w:cs="Arial" w:eastAsia="Arial" w:hAnsi="Arial"/>
          <w:sz w:val="16"/>
          <w:szCs w:val="16"/>
          <w:color w:val="435363"/>
        </w:rPr>
        <w:t xml:space="preserve"> </w:t>
      </w:r>
      <w:r>
        <w:rPr>
          <w:rFonts w:ascii="Arial" w:cs="Arial" w:eastAsia="Arial" w:hAnsi="Arial"/>
          <w:sz w:val="16"/>
          <w:szCs w:val="16"/>
          <w:b w:val="1"/>
          <w:bCs w:val="1"/>
          <w:color w:val="435363"/>
        </w:rPr>
        <w:t>2023, including:</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3575B3"/>
        </w:rPr>
        <w:t>Reliability</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6"/>
          <w:szCs w:val="16"/>
          <w:color w:val="435363"/>
        </w:rPr>
        <w:t>–   Operated nearly two million flights with an average load factor of 83.5%</w:t>
      </w:r>
    </w:p>
    <w:p>
      <w:pPr>
        <w:spacing w:after="0" w:line="120" w:lineRule="exact"/>
        <w:rPr>
          <w:sz w:val="20"/>
          <w:szCs w:val="20"/>
          <w:color w:val="auto"/>
        </w:rPr>
      </w:pPr>
    </w:p>
    <w:p>
      <w:pPr>
        <w:ind w:left="760" w:right="300" w:hanging="318"/>
        <w:spacing w:after="0" w:line="275" w:lineRule="auto"/>
        <w:rPr>
          <w:sz w:val="20"/>
          <w:szCs w:val="20"/>
          <w:color w:val="auto"/>
        </w:rPr>
      </w:pPr>
      <w:r>
        <w:rPr>
          <w:rFonts w:ascii="Arial" w:cs="Arial" w:eastAsia="Arial" w:hAnsi="Arial"/>
          <w:sz w:val="16"/>
          <w:szCs w:val="16"/>
          <w:color w:val="435363"/>
        </w:rPr>
        <w:t>– Delivered on-time performance that was record-setting for American and best among the major network airlines, including during the summer peak travel period</w:t>
      </w:r>
    </w:p>
    <w:p>
      <w:pPr>
        <w:spacing w:after="0" w:line="68" w:lineRule="exact"/>
        <w:rPr>
          <w:sz w:val="20"/>
          <w:szCs w:val="20"/>
          <w:color w:val="auto"/>
        </w:rPr>
      </w:pPr>
    </w:p>
    <w:p>
      <w:pPr>
        <w:ind w:left="760" w:hanging="318"/>
        <w:spacing w:after="0" w:line="275" w:lineRule="auto"/>
        <w:rPr>
          <w:sz w:val="20"/>
          <w:szCs w:val="20"/>
          <w:color w:val="auto"/>
        </w:rPr>
      </w:pPr>
      <w:r>
        <w:rPr>
          <w:rFonts w:ascii="Arial" w:cs="Arial" w:eastAsia="Arial" w:hAnsi="Arial"/>
          <w:sz w:val="16"/>
          <w:szCs w:val="16"/>
          <w:color w:val="435363"/>
        </w:rPr>
        <w:t>– Produced a full-year completion factor that was record-setting for American and best among the major network airlines, with the lowest number of cancellations since the merger with US Airways</w:t>
      </w:r>
    </w:p>
    <w:p>
      <w:pPr>
        <w:spacing w:after="0" w:line="68" w:lineRule="exact"/>
        <w:rPr>
          <w:sz w:val="20"/>
          <w:szCs w:val="20"/>
          <w:color w:val="auto"/>
        </w:rPr>
      </w:pPr>
    </w:p>
    <w:p>
      <w:pPr>
        <w:ind w:left="760" w:right="560" w:hanging="318"/>
        <w:spacing w:after="0" w:line="275" w:lineRule="auto"/>
        <w:rPr>
          <w:sz w:val="20"/>
          <w:szCs w:val="20"/>
          <w:color w:val="auto"/>
        </w:rPr>
      </w:pPr>
      <w:r>
        <w:rPr>
          <w:rFonts w:ascii="Arial" w:cs="Arial" w:eastAsia="Arial" w:hAnsi="Arial"/>
          <w:sz w:val="16"/>
          <w:szCs w:val="16"/>
          <w:color w:val="435363"/>
        </w:rPr>
        <w:t>– Achieved our best-ever completion factor and on-time departures as well as our lowest mishandled baggage rate over the November and December holidays</w:t>
      </w:r>
    </w:p>
    <w:p>
      <w:pPr>
        <w:spacing w:after="0" w:line="68" w:lineRule="exact"/>
        <w:rPr>
          <w:sz w:val="20"/>
          <w:szCs w:val="20"/>
          <w:color w:val="auto"/>
        </w:rPr>
      </w:pPr>
    </w:p>
    <w:p>
      <w:pPr>
        <w:ind w:left="760" w:right="600" w:hanging="318"/>
        <w:spacing w:after="0" w:line="275" w:lineRule="auto"/>
        <w:rPr>
          <w:sz w:val="20"/>
          <w:szCs w:val="20"/>
          <w:color w:val="auto"/>
        </w:rPr>
      </w:pPr>
      <w:r>
        <w:rPr>
          <w:rFonts w:ascii="Arial" w:cs="Arial" w:eastAsia="Arial" w:hAnsi="Arial"/>
          <w:sz w:val="16"/>
          <w:szCs w:val="16"/>
          <w:color w:val="435363"/>
        </w:rPr>
        <w:t>– Reached new, long-term collective bargaining agreements with three of our workgroups, providing those team members with significantly improved wages and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186690</wp:posOffset>
            </wp:positionV>
            <wp:extent cx="5177155" cy="1682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3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48</w:t>
      </w:r>
    </w:p>
    <w:p>
      <w:pPr>
        <w:spacing w:after="0" w:line="33"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0940"/>
          </w:cols>
          <w:pgMar w:left="320" w:top="477" w:right="6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3575B3"/>
        </w:rPr>
        <w:t>Profitability</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6"/>
          <w:szCs w:val="16"/>
          <w:color w:val="435363"/>
        </w:rPr>
        <w:t>–   Achieved record 2023 revenue of approximately $53 billion, an increase of more than $22 billion compared to 2021</w:t>
      </w:r>
    </w:p>
    <w:p>
      <w:pPr>
        <w:spacing w:after="0" w:line="120" w:lineRule="exact"/>
        <w:rPr>
          <w:sz w:val="20"/>
          <w:szCs w:val="20"/>
          <w:color w:val="auto"/>
        </w:rPr>
      </w:pPr>
    </w:p>
    <w:p>
      <w:pPr>
        <w:ind w:left="760" w:right="140" w:hanging="318"/>
        <w:spacing w:after="0" w:line="275" w:lineRule="auto"/>
        <w:rPr>
          <w:sz w:val="20"/>
          <w:szCs w:val="20"/>
          <w:color w:val="auto"/>
        </w:rPr>
      </w:pPr>
      <w:r>
        <w:rPr>
          <w:rFonts w:ascii="Arial" w:cs="Arial" w:eastAsia="Arial" w:hAnsi="Arial"/>
          <w:sz w:val="16"/>
          <w:szCs w:val="16"/>
          <w:color w:val="435363"/>
        </w:rPr>
        <w:t>– On a GAAP basis, reversed our pre-tax loss in 2021 of over $2.5 billion and produced pre-tax income of $186 million in 2022 and pre-tax income of more than $1.1 billion in 2023</w:t>
      </w:r>
    </w:p>
    <w:p>
      <w:pPr>
        <w:spacing w:after="0" w:line="68" w:lineRule="exact"/>
        <w:rPr>
          <w:sz w:val="20"/>
          <w:szCs w:val="20"/>
          <w:color w:val="auto"/>
        </w:rPr>
      </w:pPr>
    </w:p>
    <w:p>
      <w:pPr>
        <w:ind w:left="760" w:right="200" w:hanging="318"/>
        <w:spacing w:after="0" w:line="211" w:lineRule="auto"/>
        <w:rPr>
          <w:sz w:val="20"/>
          <w:szCs w:val="20"/>
          <w:color w:val="auto"/>
        </w:rPr>
      </w:pPr>
      <w:r>
        <w:rPr>
          <w:rFonts w:ascii="Arial" w:cs="Arial" w:eastAsia="Arial" w:hAnsi="Arial"/>
          <w:sz w:val="16"/>
          <w:szCs w:val="16"/>
          <w:color w:val="435363"/>
        </w:rPr>
        <w:t>– Excluding pre-tax net special items,</w:t>
      </w:r>
      <w:r>
        <w:rPr>
          <w:rFonts w:ascii="Arial" w:cs="Arial" w:eastAsia="Arial" w:hAnsi="Arial"/>
          <w:sz w:val="23"/>
          <w:szCs w:val="23"/>
          <w:color w:val="435363"/>
          <w:vertAlign w:val="superscript"/>
        </w:rPr>
        <w:t>(1)</w:t>
      </w:r>
      <w:r>
        <w:rPr>
          <w:rFonts w:ascii="Arial" w:cs="Arial" w:eastAsia="Arial" w:hAnsi="Arial"/>
          <w:sz w:val="16"/>
          <w:szCs w:val="16"/>
          <w:color w:val="435363"/>
        </w:rPr>
        <w:t xml:space="preserve"> reversed our pre-tax loss in 2021 of nearly $7 billion and produced pre-tax income of $458 million in 2022 and nearly $2.5 billion in 2023</w:t>
      </w:r>
    </w:p>
    <w:p>
      <w:pPr>
        <w:spacing w:after="0" w:line="215" w:lineRule="exact"/>
        <w:rPr>
          <w:sz w:val="20"/>
          <w:szCs w:val="20"/>
          <w:color w:val="auto"/>
        </w:rPr>
      </w:pPr>
    </w:p>
    <w:p>
      <w:pPr>
        <w:ind w:left="5500"/>
        <w:spacing w:after="0"/>
        <w:rPr>
          <w:sz w:val="20"/>
          <w:szCs w:val="20"/>
          <w:color w:val="auto"/>
        </w:rPr>
      </w:pPr>
      <w:r>
        <w:rPr>
          <w:rFonts w:ascii="Arial" w:cs="Arial" w:eastAsia="Arial" w:hAnsi="Arial"/>
          <w:sz w:val="16"/>
          <w:szCs w:val="16"/>
          <w:color w:val="435363"/>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-107315</wp:posOffset>
            </wp:positionV>
            <wp:extent cx="6202045" cy="15544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202045" cy="155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60"/>
        <w:spacing w:after="0"/>
        <w:rPr>
          <w:sz w:val="20"/>
          <w:szCs w:val="20"/>
          <w:color w:val="auto"/>
        </w:rPr>
      </w:pPr>
      <w:r>
        <w:rPr>
          <w:rFonts w:ascii="Arial" w:cs="Arial" w:eastAsia="Arial" w:hAnsi="Arial"/>
          <w:sz w:val="11"/>
          <w:szCs w:val="11"/>
          <w:color w:val="435363"/>
        </w:rPr>
        <w:t>See Appendix B for a Reconciliation of Non-GAAP Pre-Tax Income (Loss) Excluding Net</w:t>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1"/>
          <w:szCs w:val="11"/>
          <w:color w:val="435363"/>
        </w:rPr>
        <w:t>Special Items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3575B3"/>
        </w:rPr>
        <w:t>Accountability</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6"/>
          <w:szCs w:val="16"/>
          <w:color w:val="435363"/>
        </w:rPr>
        <w:t>–   Enhanced liquidity:</w:t>
      </w:r>
    </w:p>
    <w:p>
      <w:pPr>
        <w:spacing w:after="0" w:line="120" w:lineRule="exact"/>
        <w:rPr>
          <w:sz w:val="20"/>
          <w:szCs w:val="20"/>
          <w:color w:val="auto"/>
        </w:rPr>
      </w:pPr>
    </w:p>
    <w:p>
      <w:pPr>
        <w:ind w:left="1080" w:hanging="326"/>
        <w:spacing w:after="0"/>
        <w:tabs>
          <w:tab w:leader="none" w:pos="1080" w:val="left"/>
        </w:tabs>
        <w:numPr>
          <w:ilvl w:val="2"/>
          <w:numId w:val="41"/>
        </w:numPr>
        <w:rPr>
          <w:rFonts w:ascii="Arial" w:cs="Arial" w:eastAsia="Arial" w:hAnsi="Arial"/>
          <w:sz w:val="16"/>
          <w:szCs w:val="16"/>
          <w:color w:val="3575B3"/>
        </w:rPr>
      </w:pPr>
      <w:r>
        <w:rPr>
          <w:rFonts w:ascii="Arial" w:cs="Arial" w:eastAsia="Arial" w:hAnsi="Arial"/>
          <w:sz w:val="16"/>
          <w:szCs w:val="16"/>
          <w:color w:val="435363"/>
        </w:rPr>
        <w:t>Generated GAAP operating cash flow of $3.8 billion and the airline’s highest full-year free cash flow</w:t>
      </w:r>
      <w:r>
        <w:rPr>
          <w:rFonts w:ascii="Arial" w:cs="Arial" w:eastAsia="Arial" w:hAnsi="Arial"/>
          <w:sz w:val="23"/>
          <w:szCs w:val="23"/>
          <w:color w:val="435363"/>
          <w:vertAlign w:val="superscript"/>
        </w:rPr>
        <w:t>(2)</w:t>
      </w:r>
      <w:r>
        <w:rPr>
          <w:rFonts w:ascii="Arial" w:cs="Arial" w:eastAsia="Arial" w:hAnsi="Arial"/>
          <w:sz w:val="16"/>
          <w:szCs w:val="16"/>
          <w:color w:val="435363"/>
        </w:rPr>
        <w:t xml:space="preserve"> of $1.8 billion in 2023</w:t>
      </w:r>
    </w:p>
    <w:p>
      <w:pPr>
        <w:spacing w:after="0" w:line="55" w:lineRule="exact"/>
        <w:rPr>
          <w:rFonts w:ascii="Arial" w:cs="Arial" w:eastAsia="Arial" w:hAnsi="Arial"/>
          <w:sz w:val="16"/>
          <w:szCs w:val="16"/>
          <w:color w:val="3575B3"/>
        </w:rPr>
      </w:pPr>
    </w:p>
    <w:p>
      <w:pPr>
        <w:ind w:left="1080" w:hanging="326"/>
        <w:spacing w:after="0"/>
        <w:tabs>
          <w:tab w:leader="none" w:pos="1080" w:val="left"/>
        </w:tabs>
        <w:numPr>
          <w:ilvl w:val="2"/>
          <w:numId w:val="41"/>
        </w:numPr>
        <w:rPr>
          <w:rFonts w:ascii="Arial" w:cs="Arial" w:eastAsia="Arial" w:hAnsi="Arial"/>
          <w:sz w:val="16"/>
          <w:szCs w:val="16"/>
          <w:color w:val="3575B3"/>
        </w:rPr>
      </w:pPr>
      <w:r>
        <w:rPr>
          <w:rFonts w:ascii="Arial" w:cs="Arial" w:eastAsia="Arial" w:hAnsi="Arial"/>
          <w:sz w:val="16"/>
          <w:szCs w:val="16"/>
          <w:color w:val="435363"/>
        </w:rPr>
        <w:t>Ended 2023 with approximately $10.4 billion of total available liquidity</w:t>
      </w:r>
      <w:r>
        <w:rPr>
          <w:rFonts w:ascii="Arial" w:cs="Arial" w:eastAsia="Arial" w:hAnsi="Arial"/>
          <w:sz w:val="23"/>
          <w:szCs w:val="23"/>
          <w:color w:val="435363"/>
          <w:vertAlign w:val="superscript"/>
        </w:rPr>
        <w:t>(3)</w:t>
      </w:r>
    </w:p>
    <w:p>
      <w:pPr>
        <w:spacing w:after="0" w:line="39" w:lineRule="exact"/>
        <w:rPr>
          <w:rFonts w:ascii="Arial" w:cs="Arial" w:eastAsia="Arial" w:hAnsi="Arial"/>
          <w:sz w:val="16"/>
          <w:szCs w:val="16"/>
          <w:color w:val="3575B3"/>
        </w:rPr>
      </w:pPr>
    </w:p>
    <w:p>
      <w:pPr>
        <w:ind w:left="440"/>
        <w:spacing w:after="0"/>
        <w:rPr>
          <w:rFonts w:ascii="Arial" w:cs="Arial" w:eastAsia="Arial" w:hAnsi="Arial"/>
          <w:sz w:val="16"/>
          <w:szCs w:val="16"/>
          <w:color w:val="3575B3"/>
        </w:rPr>
      </w:pPr>
      <w:r>
        <w:rPr>
          <w:rFonts w:ascii="Arial" w:cs="Arial" w:eastAsia="Arial" w:hAnsi="Arial"/>
          <w:sz w:val="16"/>
          <w:szCs w:val="16"/>
          <w:color w:val="435363"/>
        </w:rPr>
        <w:t>–   Strengthened the balance sheet:</w:t>
      </w:r>
    </w:p>
    <w:p>
      <w:pPr>
        <w:spacing w:after="0" w:line="105" w:lineRule="exact"/>
        <w:rPr>
          <w:rFonts w:ascii="Arial" w:cs="Arial" w:eastAsia="Arial" w:hAnsi="Arial"/>
          <w:sz w:val="16"/>
          <w:szCs w:val="16"/>
          <w:color w:val="3575B3"/>
        </w:rPr>
      </w:pPr>
    </w:p>
    <w:p>
      <w:pPr>
        <w:ind w:left="1080" w:hanging="326"/>
        <w:spacing w:after="0"/>
        <w:tabs>
          <w:tab w:leader="none" w:pos="1080" w:val="left"/>
        </w:tabs>
        <w:numPr>
          <w:ilvl w:val="2"/>
          <w:numId w:val="41"/>
        </w:numPr>
        <w:rPr>
          <w:rFonts w:ascii="Arial" w:cs="Arial" w:eastAsia="Arial" w:hAnsi="Arial"/>
          <w:sz w:val="16"/>
          <w:szCs w:val="16"/>
          <w:color w:val="3575B3"/>
        </w:rPr>
      </w:pPr>
      <w:r>
        <w:rPr>
          <w:rFonts w:ascii="Arial" w:cs="Arial" w:eastAsia="Arial" w:hAnsi="Arial"/>
          <w:sz w:val="16"/>
          <w:szCs w:val="16"/>
          <w:color w:val="435363"/>
        </w:rPr>
        <w:t>Reduced total debt</w:t>
      </w:r>
      <w:r>
        <w:rPr>
          <w:rFonts w:ascii="Arial" w:cs="Arial" w:eastAsia="Arial" w:hAnsi="Arial"/>
          <w:sz w:val="23"/>
          <w:szCs w:val="23"/>
          <w:color w:val="435363"/>
          <w:vertAlign w:val="superscript"/>
        </w:rPr>
        <w:t>(4)</w:t>
      </w:r>
      <w:r>
        <w:rPr>
          <w:rFonts w:ascii="Arial" w:cs="Arial" w:eastAsia="Arial" w:hAnsi="Arial"/>
          <w:sz w:val="16"/>
          <w:szCs w:val="16"/>
          <w:color w:val="435363"/>
        </w:rPr>
        <w:t xml:space="preserve"> by $3.2 billion in 2023</w:t>
      </w:r>
    </w:p>
    <w:p>
      <w:pPr>
        <w:spacing w:after="0" w:line="55" w:lineRule="exact"/>
        <w:rPr>
          <w:rFonts w:ascii="Arial" w:cs="Arial" w:eastAsia="Arial" w:hAnsi="Arial"/>
          <w:sz w:val="16"/>
          <w:szCs w:val="16"/>
          <w:color w:val="3575B3"/>
        </w:rPr>
      </w:pPr>
    </w:p>
    <w:p>
      <w:pPr>
        <w:ind w:left="1080" w:hanging="326"/>
        <w:spacing w:after="0"/>
        <w:tabs>
          <w:tab w:leader="none" w:pos="1080" w:val="left"/>
        </w:tabs>
        <w:numPr>
          <w:ilvl w:val="2"/>
          <w:numId w:val="41"/>
        </w:numPr>
        <w:rPr>
          <w:rFonts w:ascii="Arial" w:cs="Arial" w:eastAsia="Arial" w:hAnsi="Arial"/>
          <w:sz w:val="16"/>
          <w:szCs w:val="16"/>
          <w:color w:val="3575B3"/>
        </w:rPr>
      </w:pPr>
      <w:r>
        <w:rPr>
          <w:rFonts w:ascii="Arial" w:cs="Arial" w:eastAsia="Arial" w:hAnsi="Arial"/>
          <w:sz w:val="16"/>
          <w:szCs w:val="16"/>
          <w:color w:val="435363"/>
        </w:rPr>
        <w:t>Achieved more than 75% of the way towards our 2025 total debt reduction goal of $15 billion</w:t>
      </w:r>
    </w:p>
    <w:p>
      <w:pPr>
        <w:spacing w:after="0" w:line="105" w:lineRule="exact"/>
        <w:rPr>
          <w:rFonts w:ascii="Arial" w:cs="Arial" w:eastAsia="Arial" w:hAnsi="Arial"/>
          <w:sz w:val="16"/>
          <w:szCs w:val="16"/>
          <w:color w:val="3575B3"/>
        </w:rPr>
      </w:pPr>
    </w:p>
    <w:p>
      <w:pPr>
        <w:ind w:left="440"/>
        <w:spacing w:after="0"/>
        <w:rPr>
          <w:rFonts w:ascii="Arial" w:cs="Arial" w:eastAsia="Arial" w:hAnsi="Arial"/>
          <w:sz w:val="16"/>
          <w:szCs w:val="16"/>
          <w:color w:val="3575B3"/>
        </w:rPr>
      </w:pPr>
      <w:r>
        <w:rPr>
          <w:rFonts w:ascii="Arial" w:cs="Arial" w:eastAsia="Arial" w:hAnsi="Arial"/>
          <w:sz w:val="16"/>
          <w:szCs w:val="16"/>
          <w:color w:val="435363"/>
        </w:rPr>
        <w:t>–   Improved credit ratings. Fitch and S&amp;P provided double-notch upgrades, and Moody’s provided a single-notch upgrade</w:t>
      </w:r>
    </w:p>
    <w:p>
      <w:pPr>
        <w:spacing w:after="0" w:line="25" w:lineRule="exact"/>
        <w:rPr>
          <w:rFonts w:ascii="Arial" w:cs="Arial" w:eastAsia="Arial" w:hAnsi="Arial"/>
          <w:sz w:val="16"/>
          <w:szCs w:val="16"/>
          <w:color w:val="3575B3"/>
        </w:rPr>
      </w:pPr>
    </w:p>
    <w:p>
      <w:pPr>
        <w:ind w:left="640" w:hanging="416"/>
        <w:spacing w:after="0" w:line="236" w:lineRule="auto"/>
        <w:tabs>
          <w:tab w:leader="none" w:pos="640" w:val="left"/>
        </w:tabs>
        <w:numPr>
          <w:ilvl w:val="0"/>
          <w:numId w:val="41"/>
        </w:numPr>
        <w:rPr>
          <w:rFonts w:ascii="Arial" w:cs="Arial" w:eastAsia="Arial" w:hAnsi="Arial"/>
          <w:sz w:val="19"/>
          <w:szCs w:val="19"/>
          <w:color w:val="435363"/>
          <w:vertAlign w:val="superscript"/>
        </w:rPr>
      </w:pPr>
      <w:r>
        <w:rPr>
          <w:rFonts w:ascii="Arial" w:cs="Arial" w:eastAsia="Arial" w:hAnsi="Arial"/>
          <w:sz w:val="12"/>
          <w:szCs w:val="12"/>
          <w:color w:val="435363"/>
        </w:rPr>
        <w:t>See Appendix B for details on the components of pre-tax net special items and for a reconciliation of pre-tax income (loss) excluding net special items, a non-GAAP measure.</w:t>
      </w:r>
    </w:p>
    <w:p>
      <w:pPr>
        <w:spacing w:after="0" w:line="60" w:lineRule="exact"/>
        <w:rPr>
          <w:rFonts w:ascii="Arial" w:cs="Arial" w:eastAsia="Arial" w:hAnsi="Arial"/>
          <w:sz w:val="19"/>
          <w:szCs w:val="19"/>
          <w:color w:val="435363"/>
          <w:vertAlign w:val="superscript"/>
        </w:rPr>
      </w:pPr>
    </w:p>
    <w:p>
      <w:pPr>
        <w:ind w:left="640" w:hanging="416"/>
        <w:spacing w:after="0" w:line="186" w:lineRule="auto"/>
        <w:tabs>
          <w:tab w:leader="none" w:pos="640" w:val="left"/>
        </w:tabs>
        <w:numPr>
          <w:ilvl w:val="0"/>
          <w:numId w:val="41"/>
        </w:numPr>
        <w:rPr>
          <w:rFonts w:ascii="Arial" w:cs="Arial" w:eastAsia="Arial" w:hAnsi="Arial"/>
          <w:sz w:val="17"/>
          <w:szCs w:val="17"/>
          <w:color w:val="435363"/>
          <w:vertAlign w:val="superscript"/>
        </w:rPr>
      </w:pPr>
      <w:r>
        <w:rPr>
          <w:rFonts w:ascii="Arial" w:cs="Arial" w:eastAsia="Arial" w:hAnsi="Arial"/>
          <w:sz w:val="12"/>
          <w:szCs w:val="12"/>
          <w:color w:val="435363"/>
        </w:rPr>
        <w:t>See Appendix B for a reconciliation of free cash flow, a non-GAAP measure.</w:t>
      </w:r>
    </w:p>
    <w:p>
      <w:pPr>
        <w:spacing w:after="0" w:line="60" w:lineRule="exact"/>
        <w:rPr>
          <w:rFonts w:ascii="Arial" w:cs="Arial" w:eastAsia="Arial" w:hAnsi="Arial"/>
          <w:sz w:val="17"/>
          <w:szCs w:val="17"/>
          <w:color w:val="435363"/>
          <w:vertAlign w:val="superscript"/>
        </w:rPr>
      </w:pPr>
    </w:p>
    <w:p>
      <w:pPr>
        <w:ind w:left="640" w:hanging="416"/>
        <w:spacing w:after="0" w:line="186" w:lineRule="auto"/>
        <w:tabs>
          <w:tab w:leader="none" w:pos="640" w:val="left"/>
        </w:tabs>
        <w:numPr>
          <w:ilvl w:val="0"/>
          <w:numId w:val="41"/>
        </w:numPr>
        <w:rPr>
          <w:rFonts w:ascii="Arial" w:cs="Arial" w:eastAsia="Arial" w:hAnsi="Arial"/>
          <w:sz w:val="17"/>
          <w:szCs w:val="17"/>
          <w:color w:val="435363"/>
          <w:vertAlign w:val="superscript"/>
        </w:rPr>
      </w:pPr>
      <w:r>
        <w:rPr>
          <w:rFonts w:ascii="Arial" w:cs="Arial" w:eastAsia="Arial" w:hAnsi="Arial"/>
          <w:sz w:val="12"/>
          <w:szCs w:val="12"/>
          <w:color w:val="435363"/>
        </w:rPr>
        <w:t>Total available liquidity includes unrestricted cash and short-term investments, and undrawn capacity under our credit facilities.</w:t>
      </w:r>
    </w:p>
    <w:p>
      <w:pPr>
        <w:spacing w:after="0" w:line="60" w:lineRule="exact"/>
        <w:rPr>
          <w:rFonts w:ascii="Arial" w:cs="Arial" w:eastAsia="Arial" w:hAnsi="Arial"/>
          <w:sz w:val="17"/>
          <w:szCs w:val="17"/>
          <w:color w:val="435363"/>
          <w:vertAlign w:val="superscript"/>
        </w:rPr>
      </w:pPr>
    </w:p>
    <w:p>
      <w:pPr>
        <w:ind w:left="640" w:hanging="416"/>
        <w:spacing w:after="0" w:line="186" w:lineRule="auto"/>
        <w:tabs>
          <w:tab w:leader="none" w:pos="640" w:val="left"/>
        </w:tabs>
        <w:numPr>
          <w:ilvl w:val="0"/>
          <w:numId w:val="41"/>
        </w:numPr>
        <w:rPr>
          <w:rFonts w:ascii="Arial" w:cs="Arial" w:eastAsia="Arial" w:hAnsi="Arial"/>
          <w:sz w:val="17"/>
          <w:szCs w:val="17"/>
          <w:color w:val="435363"/>
          <w:vertAlign w:val="superscript"/>
        </w:rPr>
      </w:pPr>
      <w:r>
        <w:rPr>
          <w:rFonts w:ascii="Arial" w:cs="Arial" w:eastAsia="Arial" w:hAnsi="Arial"/>
          <w:sz w:val="12"/>
          <w:szCs w:val="12"/>
          <w:color w:val="435363"/>
        </w:rPr>
        <w:t>Total debt includes debt, finance and operating lease liabilities and pension obligations.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Our 2023 executive compensation program is designed to implement our strategy</w:t>
      </w:r>
    </w:p>
    <w:p>
      <w:pPr>
        <w:spacing w:after="0" w:line="81" w:lineRule="exact"/>
        <w:rPr>
          <w:sz w:val="20"/>
          <w:szCs w:val="20"/>
          <w:color w:val="auto"/>
        </w:rPr>
      </w:pPr>
    </w:p>
    <w:p>
      <w:pPr>
        <w:ind w:left="220" w:right="60"/>
        <w:spacing w:after="0" w:line="275" w:lineRule="auto"/>
        <w:rPr>
          <w:sz w:val="20"/>
          <w:szCs w:val="20"/>
          <w:color w:val="auto"/>
        </w:rPr>
      </w:pPr>
      <w:r>
        <w:rPr>
          <w:rFonts w:ascii="Arial" w:cs="Arial" w:eastAsia="Arial" w:hAnsi="Arial"/>
          <w:sz w:val="16"/>
          <w:szCs w:val="16"/>
          <w:color w:val="435363"/>
        </w:rPr>
        <w:t>Our executive compensation program is heavily performance-based and directly linked with our established goals of delivering record operational results, continuing to close our margin gap with our largest competitors and reducing total debt by $15 billion by the end of 2025.</w:t>
      </w:r>
    </w:p>
    <w:p>
      <w:pPr>
        <w:spacing w:after="0" w:line="55" w:lineRule="exact"/>
        <w:rPr>
          <w:sz w:val="20"/>
          <w:szCs w:val="20"/>
          <w:color w:val="auto"/>
        </w:rPr>
      </w:pPr>
    </w:p>
    <w:p>
      <w:pPr>
        <w:ind w:left="220" w:right="40"/>
        <w:spacing w:after="0" w:line="248" w:lineRule="auto"/>
        <w:rPr>
          <w:sz w:val="20"/>
          <w:szCs w:val="20"/>
          <w:color w:val="auto"/>
        </w:rPr>
      </w:pPr>
      <w:r>
        <w:rPr>
          <w:rFonts w:ascii="Arial" w:cs="Arial" w:eastAsia="Arial" w:hAnsi="Arial"/>
          <w:sz w:val="16"/>
          <w:szCs w:val="16"/>
          <w:color w:val="435363"/>
        </w:rPr>
        <w:t>Our 2023 LTIP for our named executive officers incorporated both performance- and time-vesting components, with half of the target value consisting of the performance-vesting component. The performance-vesting component is tied to attainment of total debt reduction (50% weighting) and relative pre-tax income margin improvement versus our industry peers (50% weighting). The performance-vesting component of the 2023 LTIP will be earned, if at all, following the completion of a three-year performance period. The 2023 performance-based STIP was designed to align management with our goals to run a reliable operation and to return to profitability as we emerged from the COVID-19 pandemic while building on our momentum on diversity, equity and inclusion. Set forth below is each component of the Company’s annual target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107950</wp:posOffset>
            </wp:positionV>
            <wp:extent cx="5177155" cy="1682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49</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292735</wp:posOffset>
            </wp:positionV>
            <wp:extent cx="5042535" cy="27984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042535" cy="279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2023 Compensation Objectives and Programs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Pay-for-Performance Philosophy</w:t>
      </w:r>
    </w:p>
    <w:p>
      <w:pPr>
        <w:spacing w:after="0" w:line="81"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color w:val="435363"/>
        </w:rPr>
        <w:t>The philosophy underlying our overall executive compensation program is to provide an attractive, flexible and market-based compensation program that is both tied to our performance and aligned with the interests of our stockholders. We intend for our compensation programs to motivate the management team to enhance stockholder value over time without creating unnecessary or excessive risk-taking that would have an adverse effect on stockholder value and potentially detract from our ability to reach long-term sustainable levels of income and profitability.</w:t>
      </w:r>
    </w:p>
    <w:p>
      <w:pPr>
        <w:spacing w:after="0" w:line="74" w:lineRule="exact"/>
        <w:rPr>
          <w:sz w:val="20"/>
          <w:szCs w:val="20"/>
          <w:color w:val="auto"/>
        </w:rPr>
      </w:pPr>
    </w:p>
    <w:p>
      <w:pPr>
        <w:ind w:left="220" w:right="340"/>
        <w:spacing w:after="0" w:line="283" w:lineRule="auto"/>
        <w:rPr>
          <w:sz w:val="20"/>
          <w:szCs w:val="20"/>
          <w:color w:val="auto"/>
        </w:rPr>
      </w:pPr>
      <w:r>
        <w:rPr>
          <w:rFonts w:ascii="Arial" w:cs="Arial" w:eastAsia="Arial" w:hAnsi="Arial"/>
          <w:sz w:val="15"/>
          <w:szCs w:val="15"/>
          <w:color w:val="435363"/>
        </w:rPr>
        <w:t>Our 2023 executive compensation programs emphasized variable compensation in the form of short-term cash incentives and long-term equity incentives. The following table provides our 2023 annual target direct compensation for each named executive officer. Mr. Isom’s target annual direct compensation is significantly below the last reported value for the CEO of United (2023) and for the CEO of Delta (2022), our two closest peers.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80" w:type="dxa"/>
            <w:vAlign w:val="bottom"/>
          </w:tcPr>
          <w:p>
            <w:pPr>
              <w:jc w:val="center"/>
              <w:ind w:left="184"/>
              <w:spacing w:after="0"/>
              <w:rPr>
                <w:sz w:val="20"/>
                <w:szCs w:val="20"/>
                <w:color w:val="auto"/>
              </w:rPr>
            </w:pPr>
            <w:r>
              <w:rPr>
                <w:rFonts w:ascii="Arial" w:cs="Arial" w:eastAsia="Arial" w:hAnsi="Arial"/>
                <w:sz w:val="14"/>
                <w:szCs w:val="14"/>
                <w:b w:val="1"/>
                <w:bCs w:val="1"/>
                <w:color w:val="3575B3"/>
                <w:w w:val="97"/>
              </w:rPr>
              <w:t>Total Target</w:t>
            </w:r>
          </w:p>
        </w:tc>
      </w:tr>
      <w:tr>
        <w:trPr>
          <w:trHeight w:val="159"/>
        </w:trPr>
        <w:tc>
          <w:tcPr>
            <w:tcW w:w="1380" w:type="dxa"/>
            <w:vAlign w:val="bottom"/>
          </w:tcPr>
          <w:p>
            <w:pPr>
              <w:ind w:left="80"/>
              <w:spacing w:after="0" w:line="159" w:lineRule="exact"/>
              <w:rPr>
                <w:sz w:val="20"/>
                <w:szCs w:val="20"/>
                <w:color w:val="auto"/>
              </w:rPr>
            </w:pPr>
            <w:r>
              <w:rPr>
                <w:rFonts w:ascii="Arial" w:cs="Arial" w:eastAsia="Arial" w:hAnsi="Arial"/>
                <w:sz w:val="14"/>
                <w:szCs w:val="14"/>
                <w:b w:val="1"/>
                <w:bCs w:val="1"/>
                <w:color w:val="3575B3"/>
              </w:rPr>
              <w:t>Named Executive</w:t>
            </w:r>
          </w:p>
        </w:tc>
        <w:tc>
          <w:tcPr>
            <w:tcW w:w="18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jc w:val="center"/>
              <w:ind w:left="204"/>
              <w:spacing w:after="0" w:line="159" w:lineRule="exact"/>
              <w:rPr>
                <w:sz w:val="20"/>
                <w:szCs w:val="20"/>
                <w:color w:val="auto"/>
              </w:rPr>
            </w:pPr>
            <w:r>
              <w:rPr>
                <w:rFonts w:ascii="Arial" w:cs="Arial" w:eastAsia="Arial" w:hAnsi="Arial"/>
                <w:sz w:val="14"/>
                <w:szCs w:val="14"/>
                <w:b w:val="1"/>
                <w:bCs w:val="1"/>
                <w:color w:val="3575B3"/>
              </w:rPr>
              <w:t>Direct</w:t>
            </w:r>
          </w:p>
        </w:tc>
      </w:tr>
      <w:tr>
        <w:trPr>
          <w:trHeight w:val="168"/>
        </w:trPr>
        <w:tc>
          <w:tcPr>
            <w:tcW w:w="1380" w:type="dxa"/>
            <w:vAlign w:val="bottom"/>
            <w:tcBorders>
              <w:bottom w:val="single" w:sz="8" w:color="BF0000"/>
            </w:tcBorders>
          </w:tcPr>
          <w:p>
            <w:pPr>
              <w:spacing w:after="0"/>
              <w:rPr>
                <w:sz w:val="20"/>
                <w:szCs w:val="20"/>
                <w:color w:val="auto"/>
              </w:rPr>
            </w:pPr>
            <w:r>
              <w:rPr>
                <w:rFonts w:ascii="Arial" w:cs="Arial" w:eastAsia="Arial" w:hAnsi="Arial"/>
                <w:sz w:val="14"/>
                <w:szCs w:val="14"/>
                <w:b w:val="1"/>
                <w:bCs w:val="1"/>
                <w:color w:val="3575B3"/>
              </w:rPr>
              <w:t>Officer</w:t>
            </w:r>
          </w:p>
        </w:tc>
        <w:tc>
          <w:tcPr>
            <w:tcW w:w="1860" w:type="dxa"/>
            <w:vAlign w:val="bottom"/>
            <w:tcBorders>
              <w:bottom w:val="single" w:sz="8" w:color="BF0000"/>
            </w:tcBorders>
          </w:tcPr>
          <w:p>
            <w:pPr>
              <w:jc w:val="right"/>
              <w:ind w:right="262"/>
              <w:spacing w:after="0"/>
              <w:rPr>
                <w:sz w:val="20"/>
                <w:szCs w:val="20"/>
                <w:color w:val="auto"/>
              </w:rPr>
            </w:pPr>
            <w:r>
              <w:rPr>
                <w:rFonts w:ascii="Arial" w:cs="Arial" w:eastAsia="Arial" w:hAnsi="Arial"/>
                <w:sz w:val="14"/>
                <w:szCs w:val="14"/>
                <w:b w:val="1"/>
                <w:bCs w:val="1"/>
                <w:color w:val="3575B3"/>
              </w:rPr>
              <w:t>Base Salary ($)</w:t>
            </w:r>
          </w:p>
        </w:tc>
        <w:tc>
          <w:tcPr>
            <w:tcW w:w="1700" w:type="dxa"/>
            <w:vAlign w:val="bottom"/>
            <w:tcBorders>
              <w:bottom w:val="single" w:sz="8" w:color="BF0000"/>
            </w:tcBorders>
          </w:tcPr>
          <w:p>
            <w:pPr>
              <w:jc w:val="right"/>
              <w:ind w:right="262"/>
              <w:spacing w:after="0"/>
              <w:rPr>
                <w:sz w:val="20"/>
                <w:szCs w:val="20"/>
                <w:color w:val="auto"/>
              </w:rPr>
            </w:pPr>
            <w:r>
              <w:rPr>
                <w:rFonts w:ascii="Arial" w:cs="Arial" w:eastAsia="Arial" w:hAnsi="Arial"/>
                <w:sz w:val="14"/>
                <w:szCs w:val="14"/>
                <w:b w:val="1"/>
                <w:bCs w:val="1"/>
                <w:color w:val="3575B3"/>
              </w:rPr>
              <w:t>STIP Target (%)</w:t>
            </w:r>
          </w:p>
        </w:tc>
        <w:tc>
          <w:tcPr>
            <w:tcW w:w="1800" w:type="dxa"/>
            <w:vAlign w:val="bottom"/>
            <w:tcBorders>
              <w:bottom w:val="single" w:sz="8" w:color="BF0000"/>
            </w:tcBorders>
          </w:tcPr>
          <w:p>
            <w:pPr>
              <w:jc w:val="right"/>
              <w:ind w:right="402"/>
              <w:spacing w:after="0"/>
              <w:rPr>
                <w:sz w:val="20"/>
                <w:szCs w:val="20"/>
                <w:color w:val="auto"/>
              </w:rPr>
            </w:pPr>
            <w:r>
              <w:rPr>
                <w:rFonts w:ascii="Arial" w:cs="Arial" w:eastAsia="Arial" w:hAnsi="Arial"/>
                <w:sz w:val="14"/>
                <w:szCs w:val="14"/>
                <w:b w:val="1"/>
                <w:bCs w:val="1"/>
                <w:color w:val="3575B3"/>
              </w:rPr>
              <w:t>STIP Target ($)</w:t>
            </w:r>
          </w:p>
        </w:tc>
        <w:tc>
          <w:tcPr>
            <w:tcW w:w="1720" w:type="dxa"/>
            <w:vAlign w:val="bottom"/>
            <w:tcBorders>
              <w:bottom w:val="single" w:sz="8" w:color="BF0000"/>
            </w:tcBorders>
          </w:tcPr>
          <w:p>
            <w:pPr>
              <w:jc w:val="right"/>
              <w:ind w:right="202"/>
              <w:spacing w:after="0"/>
              <w:rPr>
                <w:sz w:val="20"/>
                <w:szCs w:val="20"/>
                <w:color w:val="auto"/>
              </w:rPr>
            </w:pPr>
            <w:r>
              <w:rPr>
                <w:rFonts w:ascii="Arial" w:cs="Arial" w:eastAsia="Arial" w:hAnsi="Arial"/>
                <w:sz w:val="14"/>
                <w:szCs w:val="14"/>
                <w:b w:val="1"/>
                <w:bCs w:val="1"/>
                <w:color w:val="3575B3"/>
              </w:rPr>
              <w:t>LTIP Target ($)</w:t>
            </w:r>
          </w:p>
        </w:tc>
        <w:tc>
          <w:tcPr>
            <w:tcW w:w="1480" w:type="dxa"/>
            <w:vAlign w:val="bottom"/>
            <w:tcBorders>
              <w:bottom w:val="single" w:sz="8" w:color="BF0000"/>
            </w:tcBorders>
          </w:tcPr>
          <w:p>
            <w:pPr>
              <w:jc w:val="center"/>
              <w:ind w:left="184"/>
              <w:spacing w:after="0"/>
              <w:rPr>
                <w:sz w:val="20"/>
                <w:szCs w:val="20"/>
                <w:color w:val="auto"/>
              </w:rPr>
            </w:pPr>
            <w:r>
              <w:rPr>
                <w:rFonts w:ascii="Arial" w:cs="Arial" w:eastAsia="Arial" w:hAnsi="Arial"/>
                <w:sz w:val="14"/>
                <w:szCs w:val="14"/>
                <w:b w:val="1"/>
                <w:bCs w:val="1"/>
                <w:color w:val="3575B3"/>
                <w:w w:val="99"/>
              </w:rPr>
              <w:t>Compensation ($)</w:t>
            </w:r>
          </w:p>
        </w:tc>
      </w:tr>
      <w:tr>
        <w:trPr>
          <w:trHeight w:val="218"/>
        </w:trPr>
        <w:tc>
          <w:tcPr>
            <w:tcW w:w="1380" w:type="dxa"/>
            <w:vAlign w:val="bottom"/>
          </w:tcPr>
          <w:p>
            <w:pPr>
              <w:ind w:left="80"/>
              <w:spacing w:after="0"/>
              <w:rPr>
                <w:sz w:val="20"/>
                <w:szCs w:val="20"/>
                <w:color w:val="auto"/>
              </w:rPr>
            </w:pPr>
            <w:r>
              <w:rPr>
                <w:rFonts w:ascii="Arial" w:cs="Arial" w:eastAsia="Arial" w:hAnsi="Arial"/>
                <w:sz w:val="16"/>
                <w:szCs w:val="16"/>
                <w:color w:val="435363"/>
              </w:rPr>
              <w:t>Robert Isom</w:t>
            </w:r>
          </w:p>
        </w:tc>
        <w:tc>
          <w:tcPr>
            <w:tcW w:w="1860" w:type="dxa"/>
            <w:vAlign w:val="bottom"/>
          </w:tcPr>
          <w:p>
            <w:pPr>
              <w:jc w:val="right"/>
              <w:ind w:right="382"/>
              <w:spacing w:after="0"/>
              <w:rPr>
                <w:sz w:val="20"/>
                <w:szCs w:val="20"/>
                <w:color w:val="auto"/>
              </w:rPr>
            </w:pPr>
            <w:r>
              <w:rPr>
                <w:rFonts w:ascii="Arial" w:cs="Arial" w:eastAsia="Arial" w:hAnsi="Arial"/>
                <w:sz w:val="16"/>
                <w:szCs w:val="16"/>
                <w:color w:val="435363"/>
              </w:rPr>
              <w:t>1,300,000</w:t>
            </w:r>
          </w:p>
        </w:tc>
        <w:tc>
          <w:tcPr>
            <w:tcW w:w="1700" w:type="dxa"/>
            <w:vAlign w:val="bottom"/>
          </w:tcPr>
          <w:p>
            <w:pPr>
              <w:jc w:val="right"/>
              <w:ind w:right="462"/>
              <w:spacing w:after="0"/>
              <w:rPr>
                <w:sz w:val="20"/>
                <w:szCs w:val="20"/>
                <w:color w:val="auto"/>
              </w:rPr>
            </w:pPr>
            <w:r>
              <w:rPr>
                <w:rFonts w:ascii="Arial" w:cs="Arial" w:eastAsia="Arial" w:hAnsi="Arial"/>
                <w:sz w:val="16"/>
                <w:szCs w:val="16"/>
                <w:color w:val="435363"/>
              </w:rPr>
              <w:t>200%</w:t>
            </w:r>
          </w:p>
        </w:tc>
        <w:tc>
          <w:tcPr>
            <w:tcW w:w="1800" w:type="dxa"/>
            <w:vAlign w:val="bottom"/>
          </w:tcPr>
          <w:p>
            <w:pPr>
              <w:jc w:val="right"/>
              <w:ind w:right="502"/>
              <w:spacing w:after="0"/>
              <w:rPr>
                <w:sz w:val="20"/>
                <w:szCs w:val="20"/>
                <w:color w:val="auto"/>
              </w:rPr>
            </w:pPr>
            <w:r>
              <w:rPr>
                <w:rFonts w:ascii="Arial" w:cs="Arial" w:eastAsia="Arial" w:hAnsi="Arial"/>
                <w:sz w:val="16"/>
                <w:szCs w:val="16"/>
                <w:color w:val="435363"/>
              </w:rPr>
              <w:t>2,600,000</w:t>
            </w:r>
          </w:p>
        </w:tc>
        <w:tc>
          <w:tcPr>
            <w:tcW w:w="1720" w:type="dxa"/>
            <w:vAlign w:val="bottom"/>
          </w:tcPr>
          <w:p>
            <w:pPr>
              <w:jc w:val="right"/>
              <w:ind w:right="262"/>
              <w:spacing w:after="0"/>
              <w:rPr>
                <w:sz w:val="20"/>
                <w:szCs w:val="20"/>
                <w:color w:val="auto"/>
              </w:rPr>
            </w:pPr>
            <w:r>
              <w:rPr>
                <w:rFonts w:ascii="Arial" w:cs="Arial" w:eastAsia="Arial" w:hAnsi="Arial"/>
                <w:sz w:val="16"/>
                <w:szCs w:val="16"/>
                <w:color w:val="435363"/>
              </w:rPr>
              <w:t>11,250,000</w:t>
            </w:r>
          </w:p>
        </w:tc>
        <w:tc>
          <w:tcPr>
            <w:tcW w:w="1480" w:type="dxa"/>
            <w:vAlign w:val="bottom"/>
          </w:tcPr>
          <w:p>
            <w:pPr>
              <w:jc w:val="right"/>
              <w:spacing w:after="0"/>
              <w:rPr>
                <w:sz w:val="20"/>
                <w:szCs w:val="20"/>
                <w:color w:val="auto"/>
              </w:rPr>
            </w:pPr>
            <w:r>
              <w:rPr>
                <w:rFonts w:ascii="Arial" w:cs="Arial" w:eastAsia="Arial" w:hAnsi="Arial"/>
                <w:sz w:val="16"/>
                <w:szCs w:val="16"/>
                <w:color w:val="435363"/>
              </w:rPr>
              <w:t>15,150,000</w:t>
            </w:r>
          </w:p>
        </w:tc>
      </w:tr>
      <w:tr>
        <w:trPr>
          <w:trHeight w:val="238"/>
        </w:trPr>
        <w:tc>
          <w:tcPr>
            <w:tcW w:w="1380" w:type="dxa"/>
            <w:vAlign w:val="bottom"/>
            <w:shd w:val="clear" w:color="auto" w:fill="EDEDED"/>
          </w:tcPr>
          <w:p>
            <w:pPr>
              <w:ind w:left="80"/>
              <w:spacing w:after="0"/>
              <w:rPr>
                <w:sz w:val="20"/>
                <w:szCs w:val="20"/>
                <w:color w:val="auto"/>
              </w:rPr>
            </w:pPr>
            <w:r>
              <w:rPr>
                <w:rFonts w:ascii="Arial" w:cs="Arial" w:eastAsia="Arial" w:hAnsi="Arial"/>
                <w:sz w:val="16"/>
                <w:szCs w:val="16"/>
                <w:color w:val="435363"/>
              </w:rPr>
              <w:t>Steve Johnson</w:t>
            </w:r>
          </w:p>
        </w:tc>
        <w:tc>
          <w:tcPr>
            <w:tcW w:w="1860" w:type="dxa"/>
            <w:vAlign w:val="bottom"/>
            <w:shd w:val="clear" w:color="auto" w:fill="EDEDED"/>
          </w:tcPr>
          <w:p>
            <w:pPr>
              <w:jc w:val="right"/>
              <w:ind w:right="382"/>
              <w:spacing w:after="0"/>
              <w:rPr>
                <w:sz w:val="20"/>
                <w:szCs w:val="20"/>
                <w:color w:val="auto"/>
              </w:rPr>
            </w:pPr>
            <w:r>
              <w:rPr>
                <w:rFonts w:ascii="Arial" w:cs="Arial" w:eastAsia="Arial" w:hAnsi="Arial"/>
                <w:sz w:val="16"/>
                <w:szCs w:val="16"/>
                <w:color w:val="435363"/>
              </w:rPr>
              <w:t>850,000</w:t>
            </w:r>
          </w:p>
        </w:tc>
        <w:tc>
          <w:tcPr>
            <w:tcW w:w="1700" w:type="dxa"/>
            <w:vAlign w:val="bottom"/>
            <w:shd w:val="clear" w:color="auto" w:fill="EDEDED"/>
          </w:tcPr>
          <w:p>
            <w:pPr>
              <w:jc w:val="right"/>
              <w:ind w:right="462"/>
              <w:spacing w:after="0"/>
              <w:rPr>
                <w:sz w:val="20"/>
                <w:szCs w:val="20"/>
                <w:color w:val="auto"/>
              </w:rPr>
            </w:pPr>
            <w:r>
              <w:rPr>
                <w:rFonts w:ascii="Arial" w:cs="Arial" w:eastAsia="Arial" w:hAnsi="Arial"/>
                <w:sz w:val="16"/>
                <w:szCs w:val="16"/>
                <w:color w:val="435363"/>
              </w:rPr>
              <w:t>150%</w:t>
            </w:r>
          </w:p>
        </w:tc>
        <w:tc>
          <w:tcPr>
            <w:tcW w:w="1800" w:type="dxa"/>
            <w:vAlign w:val="bottom"/>
            <w:shd w:val="clear" w:color="auto" w:fill="EDEDED"/>
          </w:tcPr>
          <w:p>
            <w:pPr>
              <w:jc w:val="right"/>
              <w:ind w:right="502"/>
              <w:spacing w:after="0"/>
              <w:rPr>
                <w:sz w:val="20"/>
                <w:szCs w:val="20"/>
                <w:color w:val="auto"/>
              </w:rPr>
            </w:pPr>
            <w:r>
              <w:rPr>
                <w:rFonts w:ascii="Arial" w:cs="Arial" w:eastAsia="Arial" w:hAnsi="Arial"/>
                <w:sz w:val="16"/>
                <w:szCs w:val="16"/>
                <w:color w:val="435363"/>
              </w:rPr>
              <w:t>1,275,000</w:t>
            </w:r>
          </w:p>
        </w:tc>
        <w:tc>
          <w:tcPr>
            <w:tcW w:w="1720" w:type="dxa"/>
            <w:vAlign w:val="bottom"/>
            <w:shd w:val="clear" w:color="auto" w:fill="EDEDED"/>
          </w:tcPr>
          <w:p>
            <w:pPr>
              <w:jc w:val="right"/>
              <w:ind w:right="262"/>
              <w:spacing w:after="0"/>
              <w:rPr>
                <w:sz w:val="20"/>
                <w:szCs w:val="20"/>
                <w:color w:val="auto"/>
              </w:rPr>
            </w:pPr>
            <w:r>
              <w:rPr>
                <w:rFonts w:ascii="Arial" w:cs="Arial" w:eastAsia="Arial" w:hAnsi="Arial"/>
                <w:sz w:val="16"/>
                <w:szCs w:val="16"/>
                <w:color w:val="435363"/>
              </w:rPr>
              <w:t>3,875,000</w:t>
            </w:r>
          </w:p>
        </w:tc>
        <w:tc>
          <w:tcPr>
            <w:tcW w:w="148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6,000,000</w:t>
            </w:r>
          </w:p>
        </w:tc>
      </w:tr>
      <w:tr>
        <w:trPr>
          <w:trHeight w:val="238"/>
        </w:trPr>
        <w:tc>
          <w:tcPr>
            <w:tcW w:w="1380" w:type="dxa"/>
            <w:vAlign w:val="bottom"/>
          </w:tcPr>
          <w:p>
            <w:pPr>
              <w:ind w:left="80"/>
              <w:spacing w:after="0"/>
              <w:rPr>
                <w:sz w:val="20"/>
                <w:szCs w:val="20"/>
                <w:color w:val="auto"/>
              </w:rPr>
            </w:pPr>
            <w:r>
              <w:rPr>
                <w:rFonts w:ascii="Arial" w:cs="Arial" w:eastAsia="Arial" w:hAnsi="Arial"/>
                <w:sz w:val="16"/>
                <w:szCs w:val="16"/>
                <w:color w:val="435363"/>
              </w:rPr>
              <w:t>Priya Aiyar</w:t>
            </w:r>
          </w:p>
        </w:tc>
        <w:tc>
          <w:tcPr>
            <w:tcW w:w="1860" w:type="dxa"/>
            <w:vAlign w:val="bottom"/>
          </w:tcPr>
          <w:p>
            <w:pPr>
              <w:jc w:val="right"/>
              <w:ind w:right="382"/>
              <w:spacing w:after="0"/>
              <w:rPr>
                <w:sz w:val="20"/>
                <w:szCs w:val="20"/>
                <w:color w:val="auto"/>
              </w:rPr>
            </w:pPr>
            <w:r>
              <w:rPr>
                <w:rFonts w:ascii="Arial" w:cs="Arial" w:eastAsia="Arial" w:hAnsi="Arial"/>
                <w:sz w:val="16"/>
                <w:szCs w:val="16"/>
                <w:color w:val="435363"/>
              </w:rPr>
              <w:t>730,000</w:t>
            </w:r>
          </w:p>
        </w:tc>
        <w:tc>
          <w:tcPr>
            <w:tcW w:w="1700" w:type="dxa"/>
            <w:vAlign w:val="bottom"/>
          </w:tcPr>
          <w:p>
            <w:pPr>
              <w:jc w:val="right"/>
              <w:ind w:right="462"/>
              <w:spacing w:after="0"/>
              <w:rPr>
                <w:sz w:val="20"/>
                <w:szCs w:val="20"/>
                <w:color w:val="auto"/>
              </w:rPr>
            </w:pPr>
            <w:r>
              <w:rPr>
                <w:rFonts w:ascii="Arial" w:cs="Arial" w:eastAsia="Arial" w:hAnsi="Arial"/>
                <w:sz w:val="16"/>
                <w:szCs w:val="16"/>
                <w:color w:val="435363"/>
              </w:rPr>
              <w:t>125%</w:t>
            </w:r>
          </w:p>
        </w:tc>
        <w:tc>
          <w:tcPr>
            <w:tcW w:w="1800" w:type="dxa"/>
            <w:vAlign w:val="bottom"/>
          </w:tcPr>
          <w:p>
            <w:pPr>
              <w:jc w:val="right"/>
              <w:ind w:right="502"/>
              <w:spacing w:after="0"/>
              <w:rPr>
                <w:sz w:val="20"/>
                <w:szCs w:val="20"/>
                <w:color w:val="auto"/>
              </w:rPr>
            </w:pPr>
            <w:r>
              <w:rPr>
                <w:rFonts w:ascii="Arial" w:cs="Arial" w:eastAsia="Arial" w:hAnsi="Arial"/>
                <w:sz w:val="16"/>
                <w:szCs w:val="16"/>
                <w:color w:val="435363"/>
              </w:rPr>
              <w:t>912,500</w:t>
            </w:r>
          </w:p>
        </w:tc>
        <w:tc>
          <w:tcPr>
            <w:tcW w:w="1720" w:type="dxa"/>
            <w:vAlign w:val="bottom"/>
          </w:tcPr>
          <w:p>
            <w:pPr>
              <w:jc w:val="right"/>
              <w:ind w:right="262"/>
              <w:spacing w:after="0"/>
              <w:rPr>
                <w:sz w:val="20"/>
                <w:szCs w:val="20"/>
                <w:color w:val="auto"/>
              </w:rPr>
            </w:pPr>
            <w:r>
              <w:rPr>
                <w:rFonts w:ascii="Arial" w:cs="Arial" w:eastAsia="Arial" w:hAnsi="Arial"/>
                <w:sz w:val="16"/>
                <w:szCs w:val="16"/>
                <w:color w:val="435363"/>
              </w:rPr>
              <w:t>2,360,000</w:t>
            </w:r>
          </w:p>
        </w:tc>
        <w:tc>
          <w:tcPr>
            <w:tcW w:w="1480" w:type="dxa"/>
            <w:vAlign w:val="bottom"/>
          </w:tcPr>
          <w:p>
            <w:pPr>
              <w:jc w:val="right"/>
              <w:spacing w:after="0"/>
              <w:rPr>
                <w:sz w:val="20"/>
                <w:szCs w:val="20"/>
                <w:color w:val="auto"/>
              </w:rPr>
            </w:pPr>
            <w:r>
              <w:rPr>
                <w:rFonts w:ascii="Arial" w:cs="Arial" w:eastAsia="Arial" w:hAnsi="Arial"/>
                <w:sz w:val="16"/>
                <w:szCs w:val="16"/>
                <w:color w:val="435363"/>
              </w:rPr>
              <w:t>4,002,500</w:t>
            </w:r>
          </w:p>
        </w:tc>
      </w:tr>
      <w:tr>
        <w:trPr>
          <w:trHeight w:val="238"/>
        </w:trPr>
        <w:tc>
          <w:tcPr>
            <w:tcW w:w="1380" w:type="dxa"/>
            <w:vAlign w:val="bottom"/>
            <w:shd w:val="clear" w:color="auto" w:fill="EDEDED"/>
          </w:tcPr>
          <w:p>
            <w:pPr>
              <w:ind w:left="80"/>
              <w:spacing w:after="0"/>
              <w:rPr>
                <w:sz w:val="20"/>
                <w:szCs w:val="20"/>
                <w:color w:val="auto"/>
              </w:rPr>
            </w:pPr>
            <w:r>
              <w:rPr>
                <w:rFonts w:ascii="Arial" w:cs="Arial" w:eastAsia="Arial" w:hAnsi="Arial"/>
                <w:sz w:val="16"/>
                <w:szCs w:val="16"/>
                <w:color w:val="435363"/>
              </w:rPr>
              <w:t>Devon May</w:t>
            </w:r>
          </w:p>
        </w:tc>
        <w:tc>
          <w:tcPr>
            <w:tcW w:w="1860" w:type="dxa"/>
            <w:vAlign w:val="bottom"/>
            <w:shd w:val="clear" w:color="auto" w:fill="EDEDED"/>
          </w:tcPr>
          <w:p>
            <w:pPr>
              <w:jc w:val="right"/>
              <w:ind w:right="382"/>
              <w:spacing w:after="0"/>
              <w:rPr>
                <w:sz w:val="20"/>
                <w:szCs w:val="20"/>
                <w:color w:val="auto"/>
              </w:rPr>
            </w:pPr>
            <w:r>
              <w:rPr>
                <w:rFonts w:ascii="Arial" w:cs="Arial" w:eastAsia="Arial" w:hAnsi="Arial"/>
                <w:sz w:val="16"/>
                <w:szCs w:val="16"/>
                <w:color w:val="435363"/>
              </w:rPr>
              <w:t>775,000</w:t>
            </w:r>
          </w:p>
        </w:tc>
        <w:tc>
          <w:tcPr>
            <w:tcW w:w="1700" w:type="dxa"/>
            <w:vAlign w:val="bottom"/>
            <w:shd w:val="clear" w:color="auto" w:fill="EDEDED"/>
          </w:tcPr>
          <w:p>
            <w:pPr>
              <w:jc w:val="right"/>
              <w:ind w:right="462"/>
              <w:spacing w:after="0"/>
              <w:rPr>
                <w:sz w:val="20"/>
                <w:szCs w:val="20"/>
                <w:color w:val="auto"/>
              </w:rPr>
            </w:pPr>
            <w:r>
              <w:rPr>
                <w:rFonts w:ascii="Arial" w:cs="Arial" w:eastAsia="Arial" w:hAnsi="Arial"/>
                <w:sz w:val="16"/>
                <w:szCs w:val="16"/>
                <w:color w:val="435363"/>
              </w:rPr>
              <w:t>125%</w:t>
            </w:r>
          </w:p>
        </w:tc>
        <w:tc>
          <w:tcPr>
            <w:tcW w:w="1800" w:type="dxa"/>
            <w:vAlign w:val="bottom"/>
            <w:shd w:val="clear" w:color="auto" w:fill="EDEDED"/>
          </w:tcPr>
          <w:p>
            <w:pPr>
              <w:jc w:val="right"/>
              <w:ind w:right="502"/>
              <w:spacing w:after="0"/>
              <w:rPr>
                <w:sz w:val="20"/>
                <w:szCs w:val="20"/>
                <w:color w:val="auto"/>
              </w:rPr>
            </w:pPr>
            <w:r>
              <w:rPr>
                <w:rFonts w:ascii="Arial" w:cs="Arial" w:eastAsia="Arial" w:hAnsi="Arial"/>
                <w:sz w:val="16"/>
                <w:szCs w:val="16"/>
                <w:color w:val="435363"/>
              </w:rPr>
              <w:t>968,750</w:t>
            </w:r>
          </w:p>
        </w:tc>
        <w:tc>
          <w:tcPr>
            <w:tcW w:w="1720" w:type="dxa"/>
            <w:vAlign w:val="bottom"/>
            <w:shd w:val="clear" w:color="auto" w:fill="EDEDED"/>
          </w:tcPr>
          <w:p>
            <w:pPr>
              <w:jc w:val="right"/>
              <w:ind w:right="262"/>
              <w:spacing w:after="0"/>
              <w:rPr>
                <w:sz w:val="20"/>
                <w:szCs w:val="20"/>
                <w:color w:val="auto"/>
              </w:rPr>
            </w:pPr>
            <w:r>
              <w:rPr>
                <w:rFonts w:ascii="Arial" w:cs="Arial" w:eastAsia="Arial" w:hAnsi="Arial"/>
                <w:sz w:val="16"/>
                <w:szCs w:val="16"/>
                <w:color w:val="435363"/>
              </w:rPr>
              <w:t>2,360,000</w:t>
            </w:r>
          </w:p>
        </w:tc>
        <w:tc>
          <w:tcPr>
            <w:tcW w:w="148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4,103,750</w:t>
            </w:r>
          </w:p>
        </w:tc>
      </w:tr>
      <w:tr>
        <w:trPr>
          <w:trHeight w:val="238"/>
        </w:trPr>
        <w:tc>
          <w:tcPr>
            <w:tcW w:w="1380" w:type="dxa"/>
            <w:vAlign w:val="bottom"/>
            <w:tcBorders>
              <w:bottom w:val="single" w:sz="8" w:color="435363"/>
            </w:tcBorders>
          </w:tcPr>
          <w:p>
            <w:pPr>
              <w:ind w:left="80"/>
              <w:spacing w:after="0"/>
              <w:rPr>
                <w:sz w:val="20"/>
                <w:szCs w:val="20"/>
                <w:color w:val="auto"/>
              </w:rPr>
            </w:pPr>
            <w:r>
              <w:rPr>
                <w:rFonts w:ascii="Arial" w:cs="Arial" w:eastAsia="Arial" w:hAnsi="Arial"/>
                <w:sz w:val="16"/>
                <w:szCs w:val="16"/>
                <w:color w:val="435363"/>
              </w:rPr>
              <w:t>Vasu Raja</w:t>
            </w:r>
          </w:p>
        </w:tc>
        <w:tc>
          <w:tcPr>
            <w:tcW w:w="1860" w:type="dxa"/>
            <w:vAlign w:val="bottom"/>
            <w:tcBorders>
              <w:bottom w:val="single" w:sz="8" w:color="435363"/>
            </w:tcBorders>
          </w:tcPr>
          <w:p>
            <w:pPr>
              <w:jc w:val="right"/>
              <w:ind w:right="382"/>
              <w:spacing w:after="0"/>
              <w:rPr>
                <w:sz w:val="20"/>
                <w:szCs w:val="20"/>
                <w:color w:val="auto"/>
              </w:rPr>
            </w:pPr>
            <w:r>
              <w:rPr>
                <w:rFonts w:ascii="Arial" w:cs="Arial" w:eastAsia="Arial" w:hAnsi="Arial"/>
                <w:sz w:val="16"/>
                <w:szCs w:val="16"/>
                <w:color w:val="435363"/>
              </w:rPr>
              <w:t>775,000</w:t>
            </w:r>
          </w:p>
        </w:tc>
        <w:tc>
          <w:tcPr>
            <w:tcW w:w="1700" w:type="dxa"/>
            <w:vAlign w:val="bottom"/>
            <w:tcBorders>
              <w:bottom w:val="single" w:sz="8" w:color="435363"/>
            </w:tcBorders>
          </w:tcPr>
          <w:p>
            <w:pPr>
              <w:jc w:val="right"/>
              <w:ind w:right="462"/>
              <w:spacing w:after="0"/>
              <w:rPr>
                <w:sz w:val="20"/>
                <w:szCs w:val="20"/>
                <w:color w:val="auto"/>
              </w:rPr>
            </w:pPr>
            <w:r>
              <w:rPr>
                <w:rFonts w:ascii="Arial" w:cs="Arial" w:eastAsia="Arial" w:hAnsi="Arial"/>
                <w:sz w:val="16"/>
                <w:szCs w:val="16"/>
                <w:color w:val="435363"/>
              </w:rPr>
              <w:t>125%</w:t>
            </w:r>
          </w:p>
        </w:tc>
        <w:tc>
          <w:tcPr>
            <w:tcW w:w="1800" w:type="dxa"/>
            <w:vAlign w:val="bottom"/>
            <w:tcBorders>
              <w:bottom w:val="single" w:sz="8" w:color="435363"/>
            </w:tcBorders>
          </w:tcPr>
          <w:p>
            <w:pPr>
              <w:jc w:val="right"/>
              <w:ind w:right="502"/>
              <w:spacing w:after="0"/>
              <w:rPr>
                <w:sz w:val="20"/>
                <w:szCs w:val="20"/>
                <w:color w:val="auto"/>
              </w:rPr>
            </w:pPr>
            <w:r>
              <w:rPr>
                <w:rFonts w:ascii="Arial" w:cs="Arial" w:eastAsia="Arial" w:hAnsi="Arial"/>
                <w:sz w:val="16"/>
                <w:szCs w:val="16"/>
                <w:color w:val="435363"/>
              </w:rPr>
              <w:t>968,750</w:t>
            </w:r>
          </w:p>
        </w:tc>
        <w:tc>
          <w:tcPr>
            <w:tcW w:w="1720" w:type="dxa"/>
            <w:vAlign w:val="bottom"/>
            <w:tcBorders>
              <w:bottom w:val="single" w:sz="8" w:color="435363"/>
            </w:tcBorders>
          </w:tcPr>
          <w:p>
            <w:pPr>
              <w:jc w:val="right"/>
              <w:ind w:right="262"/>
              <w:spacing w:after="0"/>
              <w:rPr>
                <w:sz w:val="20"/>
                <w:szCs w:val="20"/>
                <w:color w:val="auto"/>
              </w:rPr>
            </w:pPr>
            <w:r>
              <w:rPr>
                <w:rFonts w:ascii="Arial" w:cs="Arial" w:eastAsia="Arial" w:hAnsi="Arial"/>
                <w:sz w:val="16"/>
                <w:szCs w:val="16"/>
                <w:color w:val="435363"/>
              </w:rPr>
              <w:t>2,860,000</w:t>
            </w:r>
          </w:p>
        </w:tc>
        <w:tc>
          <w:tcPr>
            <w:tcW w:w="1480" w:type="dxa"/>
            <w:vAlign w:val="bottom"/>
            <w:tcBorders>
              <w:bottom w:val="single" w:sz="8" w:color="435363"/>
            </w:tcBorders>
          </w:tcPr>
          <w:p>
            <w:pPr>
              <w:jc w:val="right"/>
              <w:spacing w:after="0"/>
              <w:rPr>
                <w:sz w:val="20"/>
                <w:szCs w:val="20"/>
                <w:color w:val="auto"/>
              </w:rPr>
            </w:pPr>
            <w:r>
              <w:rPr>
                <w:rFonts w:ascii="Arial" w:cs="Arial" w:eastAsia="Arial" w:hAnsi="Arial"/>
                <w:sz w:val="16"/>
                <w:szCs w:val="16"/>
                <w:color w:val="435363"/>
              </w:rPr>
              <w:t>4,603,750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210185</wp:posOffset>
            </wp:positionV>
            <wp:extent cx="5177155" cy="1682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7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50</w:t>
      </w:r>
    </w:p>
    <w:p>
      <w:pPr>
        <w:spacing w:after="0" w:line="3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0980"/>
          </w:cols>
          <w:pgMar w:left="320" w:top="477" w:right="5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right="380"/>
        <w:spacing w:after="0" w:line="275" w:lineRule="auto"/>
        <w:rPr>
          <w:sz w:val="20"/>
          <w:szCs w:val="20"/>
          <w:color w:val="auto"/>
        </w:rPr>
      </w:pPr>
      <w:r>
        <w:rPr>
          <w:rFonts w:ascii="Arial" w:cs="Arial" w:eastAsia="Arial" w:hAnsi="Arial"/>
          <w:sz w:val="16"/>
          <w:szCs w:val="16"/>
          <w:color w:val="435363"/>
        </w:rPr>
        <w:t>The graphics below show the mix of each element of the 2023 annual target direct compensation package for Mr. Isom and the average for our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127635</wp:posOffset>
            </wp:positionV>
            <wp:extent cx="4479290" cy="23444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479290" cy="2344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Commitment to Effective Compensation Governance</w:t>
      </w:r>
    </w:p>
    <w:p>
      <w:pPr>
        <w:spacing w:after="0" w:line="81" w:lineRule="exact"/>
        <w:rPr>
          <w:sz w:val="20"/>
          <w:szCs w:val="20"/>
          <w:color w:val="auto"/>
        </w:rPr>
      </w:pPr>
    </w:p>
    <w:p>
      <w:pPr>
        <w:ind w:left="220" w:right="40"/>
        <w:spacing w:after="0" w:line="275" w:lineRule="auto"/>
        <w:rPr>
          <w:sz w:val="20"/>
          <w:szCs w:val="20"/>
          <w:color w:val="auto"/>
        </w:rPr>
      </w:pPr>
      <w:r>
        <w:rPr>
          <w:rFonts w:ascii="Arial" w:cs="Arial" w:eastAsia="Arial" w:hAnsi="Arial"/>
          <w:sz w:val="16"/>
          <w:szCs w:val="16"/>
          <w:color w:val="435363"/>
        </w:rPr>
        <w:t>We are committed to good compensation governance and have adopted compensation policies and practices in furtherance of our commitment, including the following:</w:t>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080" w:type="dxa"/>
            <w:vAlign w:val="bottom"/>
          </w:tcPr>
          <w:p>
            <w:pPr>
              <w:ind w:left="2060"/>
              <w:spacing w:after="0"/>
              <w:rPr>
                <w:sz w:val="20"/>
                <w:szCs w:val="20"/>
                <w:color w:val="auto"/>
              </w:rPr>
            </w:pPr>
            <w:r>
              <w:rPr>
                <w:rFonts w:ascii="Arial" w:cs="Arial" w:eastAsia="Arial" w:hAnsi="Arial"/>
                <w:sz w:val="16"/>
                <w:szCs w:val="16"/>
                <w:b w:val="1"/>
                <w:bCs w:val="1"/>
                <w:color w:val="3575B3"/>
              </w:rPr>
              <w:t>What We Do</w:t>
            </w:r>
          </w:p>
        </w:tc>
        <w:tc>
          <w:tcPr>
            <w:tcW w:w="280" w:type="dxa"/>
            <w:vAlign w:val="bottom"/>
          </w:tcPr>
          <w:p>
            <w:pPr>
              <w:ind w:left="100"/>
              <w:spacing w:after="0"/>
              <w:rPr>
                <w:sz w:val="20"/>
                <w:szCs w:val="20"/>
                <w:color w:val="auto"/>
              </w:rPr>
            </w:pPr>
            <w:r>
              <w:rPr>
                <w:rFonts w:ascii="Arial" w:cs="Arial" w:eastAsia="Arial" w:hAnsi="Arial"/>
                <w:sz w:val="16"/>
                <w:szCs w:val="16"/>
                <w:color w:val="435363"/>
                <w:w w:val="99"/>
              </w:rPr>
              <w:t> </w:t>
            </w:r>
          </w:p>
        </w:tc>
        <w:tc>
          <w:tcPr>
            <w:tcW w:w="320" w:type="dxa"/>
            <w:vAlign w:val="bottom"/>
          </w:tcPr>
          <w:p>
            <w:pPr>
              <w:ind w:left="140"/>
              <w:spacing w:after="0"/>
              <w:rPr>
                <w:sz w:val="20"/>
                <w:szCs w:val="20"/>
                <w:color w:val="auto"/>
              </w:rPr>
            </w:pPr>
            <w:r>
              <w:rPr>
                <w:rFonts w:ascii="Arial" w:cs="Arial" w:eastAsia="Arial" w:hAnsi="Arial"/>
                <w:sz w:val="16"/>
                <w:szCs w:val="16"/>
                <w:color w:val="435363"/>
                <w:w w:val="99"/>
              </w:rPr>
              <w:t> </w:t>
            </w:r>
          </w:p>
        </w:tc>
        <w:tc>
          <w:tcPr>
            <w:tcW w:w="5120" w:type="dxa"/>
            <w:vAlign w:val="bottom"/>
          </w:tcPr>
          <w:p>
            <w:pPr>
              <w:ind w:left="1840"/>
              <w:spacing w:after="0"/>
              <w:rPr>
                <w:sz w:val="20"/>
                <w:szCs w:val="20"/>
                <w:color w:val="auto"/>
              </w:rPr>
            </w:pPr>
            <w:r>
              <w:rPr>
                <w:rFonts w:ascii="Arial" w:cs="Arial" w:eastAsia="Arial" w:hAnsi="Arial"/>
                <w:sz w:val="16"/>
                <w:szCs w:val="16"/>
                <w:b w:val="1"/>
                <w:bCs w:val="1"/>
                <w:color w:val="3575B3"/>
              </w:rPr>
              <w:t>What We Do NOT Do</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080" w:type="dxa"/>
            <w:vAlign w:val="bottom"/>
            <w:tcBorders>
              <w:bottom w:val="single" w:sz="8" w:color="BF0000"/>
            </w:tcBorders>
          </w:tcPr>
          <w:p>
            <w:pPr>
              <w:spacing w:after="0"/>
              <w:rPr>
                <w:sz w:val="3"/>
                <w:szCs w:val="3"/>
                <w:color w:val="auto"/>
              </w:rPr>
            </w:pPr>
          </w:p>
        </w:tc>
        <w:tc>
          <w:tcPr>
            <w:tcW w:w="280" w:type="dxa"/>
            <w:vAlign w:val="bottom"/>
            <w:tcBorders>
              <w:bottom w:val="single" w:sz="8" w:color="BF0000"/>
            </w:tcBorders>
          </w:tcPr>
          <w:p>
            <w:pPr>
              <w:spacing w:after="0"/>
              <w:rPr>
                <w:sz w:val="3"/>
                <w:szCs w:val="3"/>
                <w:color w:val="auto"/>
              </w:rPr>
            </w:pPr>
          </w:p>
        </w:tc>
        <w:tc>
          <w:tcPr>
            <w:tcW w:w="320" w:type="dxa"/>
            <w:vAlign w:val="bottom"/>
            <w:tcBorders>
              <w:bottom w:val="single" w:sz="8" w:color="BF0000"/>
            </w:tcBorders>
          </w:tcPr>
          <w:p>
            <w:pPr>
              <w:spacing w:after="0"/>
              <w:rPr>
                <w:sz w:val="3"/>
                <w:szCs w:val="3"/>
                <w:color w:val="auto"/>
              </w:rPr>
            </w:pPr>
          </w:p>
        </w:tc>
        <w:tc>
          <w:tcPr>
            <w:tcW w:w="5120" w:type="dxa"/>
            <w:vAlign w:val="bottom"/>
            <w:tcBorders>
              <w:bottom w:val="single" w:sz="8" w:color="BF0000"/>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80" w:type="dxa"/>
            <w:vAlign w:val="bottom"/>
            <w:shd w:val="clear" w:color="auto" w:fill="EDEDED"/>
          </w:tcPr>
          <w:p>
            <w:pPr>
              <w:spacing w:after="0" w:line="161" w:lineRule="exact"/>
              <w:rPr>
                <w:sz w:val="20"/>
                <w:szCs w:val="20"/>
                <w:color w:val="auto"/>
              </w:rPr>
            </w:pPr>
            <w:r>
              <w:rPr>
                <w:rFonts w:ascii="Arial" w:cs="Arial" w:eastAsia="Arial" w:hAnsi="Arial"/>
                <w:sz w:val="14"/>
                <w:szCs w:val="14"/>
                <w:color w:val="435363"/>
                <w:w w:val="99"/>
              </w:rPr>
              <w:t xml:space="preserve">  </w:t>
            </w:r>
            <w:r>
              <w:rPr>
                <w:rFonts w:ascii="MS PGothic" w:cs="MS PGothic" w:eastAsia="MS PGothic" w:hAnsi="MS PGothic"/>
                <w:sz w:val="14"/>
                <w:szCs w:val="14"/>
                <w:color w:val="3575B3"/>
                <w:w w:val="99"/>
              </w:rPr>
              <w:t>✓</w:t>
            </w:r>
            <w:r>
              <w:rPr>
                <w:rFonts w:ascii="Arial" w:cs="Arial" w:eastAsia="Arial" w:hAnsi="Arial"/>
                <w:sz w:val="14"/>
                <w:szCs w:val="14"/>
                <w:b w:val="1"/>
                <w:bCs w:val="1"/>
                <w:color w:val="435363"/>
                <w:w w:val="99"/>
              </w:rPr>
              <w:t xml:space="preserve">   91% of CEO’s Annual Target Compensation is At-Risk and 74% is in the</w:t>
            </w:r>
          </w:p>
        </w:tc>
        <w:tc>
          <w:tcPr>
            <w:tcW w:w="280" w:type="dxa"/>
            <w:vAlign w:val="bottom"/>
            <w:shd w:val="clear" w:color="auto" w:fill="EDEDED"/>
          </w:tcPr>
          <w:p>
            <w:pPr>
              <w:spacing w:after="0"/>
              <w:rPr>
                <w:sz w:val="14"/>
                <w:szCs w:val="14"/>
                <w:color w:val="auto"/>
              </w:rPr>
            </w:pPr>
          </w:p>
        </w:tc>
        <w:tc>
          <w:tcPr>
            <w:tcW w:w="320" w:type="dxa"/>
            <w:vAlign w:val="bottom"/>
            <w:shd w:val="clear" w:color="auto" w:fill="EDEDED"/>
          </w:tcPr>
          <w:p>
            <w:pPr>
              <w:spacing w:after="0"/>
              <w:rPr>
                <w:sz w:val="14"/>
                <w:szCs w:val="14"/>
                <w:color w:val="auto"/>
              </w:rPr>
            </w:pPr>
          </w:p>
        </w:tc>
        <w:tc>
          <w:tcPr>
            <w:tcW w:w="5120" w:type="dxa"/>
            <w:vAlign w:val="bottom"/>
            <w:shd w:val="clear" w:color="auto" w:fill="EDEDED"/>
          </w:tcPr>
          <w:p>
            <w:pPr>
              <w:ind w:left="140"/>
              <w:spacing w:after="0" w:line="161" w:lineRule="exact"/>
              <w:rPr>
                <w:sz w:val="20"/>
                <w:szCs w:val="20"/>
                <w:color w:val="auto"/>
              </w:rPr>
            </w:pPr>
            <w:r>
              <w:rPr>
                <w:rFonts w:ascii="MS PGothic" w:cs="MS PGothic" w:eastAsia="MS PGothic" w:hAnsi="MS PGothic"/>
                <w:sz w:val="14"/>
                <w:szCs w:val="14"/>
                <w:color w:val="BF0000"/>
              </w:rPr>
              <w:t>✖</w:t>
            </w:r>
            <w:r>
              <w:rPr>
                <w:rFonts w:ascii="Arial" w:cs="Arial" w:eastAsia="Arial" w:hAnsi="Arial"/>
                <w:sz w:val="14"/>
                <w:szCs w:val="14"/>
                <w:b w:val="1"/>
                <w:bCs w:val="1"/>
                <w:color w:val="435363"/>
              </w:rPr>
              <w:t xml:space="preserve">    No Guaranteed Bonuses</w:t>
            </w:r>
            <w:r>
              <w:rPr>
                <w:rFonts w:ascii="Arial" w:cs="Arial" w:eastAsia="Arial" w:hAnsi="Arial"/>
                <w:sz w:val="14"/>
                <w:szCs w:val="14"/>
                <w:color w:val="435363"/>
              </w:rPr>
              <w:t>. Our executive officers’ bonuses are 100%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80" w:type="dxa"/>
            <w:vAlign w:val="bottom"/>
            <w:shd w:val="clear" w:color="auto" w:fill="EDEDED"/>
          </w:tcPr>
          <w:p>
            <w:pPr>
              <w:ind w:left="260"/>
              <w:spacing w:after="0" w:line="159" w:lineRule="exact"/>
              <w:rPr>
                <w:sz w:val="20"/>
                <w:szCs w:val="20"/>
                <w:color w:val="auto"/>
              </w:rPr>
            </w:pPr>
            <w:r>
              <w:rPr>
                <w:rFonts w:ascii="Arial" w:cs="Arial" w:eastAsia="Arial" w:hAnsi="Arial"/>
                <w:sz w:val="14"/>
                <w:szCs w:val="14"/>
                <w:b w:val="1"/>
                <w:bCs w:val="1"/>
                <w:color w:val="435363"/>
              </w:rPr>
              <w:t xml:space="preserve">form of Long-term Equity Incentives </w:t>
            </w:r>
            <w:r>
              <w:rPr>
                <w:rFonts w:ascii="Arial" w:cs="Arial" w:eastAsia="Arial" w:hAnsi="Arial"/>
                <w:sz w:val="14"/>
                <w:szCs w:val="14"/>
                <w:color w:val="435363"/>
              </w:rPr>
              <w:t>that foster alignment with</w:t>
            </w:r>
          </w:p>
        </w:tc>
        <w:tc>
          <w:tcPr>
            <w:tcW w:w="280" w:type="dxa"/>
            <w:vAlign w:val="bottom"/>
            <w:shd w:val="clear" w:color="auto" w:fill="EDEDED"/>
          </w:tcPr>
          <w:p>
            <w:pPr>
              <w:spacing w:after="0"/>
              <w:rPr>
                <w:sz w:val="13"/>
                <w:szCs w:val="13"/>
                <w:color w:val="auto"/>
              </w:rPr>
            </w:pPr>
          </w:p>
        </w:tc>
        <w:tc>
          <w:tcPr>
            <w:tcW w:w="320" w:type="dxa"/>
            <w:vAlign w:val="bottom"/>
            <w:shd w:val="clear" w:color="auto" w:fill="EDEDED"/>
          </w:tcPr>
          <w:p>
            <w:pPr>
              <w:spacing w:after="0"/>
              <w:rPr>
                <w:sz w:val="13"/>
                <w:szCs w:val="13"/>
                <w:color w:val="auto"/>
              </w:rPr>
            </w:pPr>
          </w:p>
        </w:tc>
        <w:tc>
          <w:tcPr>
            <w:tcW w:w="5120" w:type="dxa"/>
            <w:vAlign w:val="bottom"/>
            <w:shd w:val="clear" w:color="auto" w:fill="EDEDED"/>
          </w:tcPr>
          <w:p>
            <w:pPr>
              <w:ind w:left="420"/>
              <w:spacing w:after="0" w:line="159" w:lineRule="exact"/>
              <w:rPr>
                <w:sz w:val="20"/>
                <w:szCs w:val="20"/>
                <w:color w:val="auto"/>
              </w:rPr>
            </w:pPr>
            <w:r>
              <w:rPr>
                <w:rFonts w:ascii="Arial" w:cs="Arial" w:eastAsia="Arial" w:hAnsi="Arial"/>
                <w:sz w:val="14"/>
                <w:szCs w:val="14"/>
                <w:color w:val="435363"/>
              </w:rPr>
              <w:t>performance-based.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shd w:val="clear" w:color="auto" w:fill="EDEDED"/>
          </w:tcPr>
          <w:p>
            <w:pPr>
              <w:ind w:left="260"/>
              <w:spacing w:after="0"/>
              <w:rPr>
                <w:sz w:val="20"/>
                <w:szCs w:val="20"/>
                <w:color w:val="auto"/>
              </w:rPr>
            </w:pPr>
            <w:r>
              <w:rPr>
                <w:rFonts w:ascii="Arial" w:cs="Arial" w:eastAsia="Arial" w:hAnsi="Arial"/>
                <w:sz w:val="14"/>
                <w:szCs w:val="14"/>
                <w:color w:val="435363"/>
              </w:rPr>
              <w:t>stockholders.</w:t>
            </w:r>
          </w:p>
        </w:tc>
        <w:tc>
          <w:tcPr>
            <w:tcW w:w="280" w:type="dxa"/>
            <w:vAlign w:val="bottom"/>
            <w:shd w:val="clear" w:color="auto" w:fill="EDEDED"/>
          </w:tcPr>
          <w:p>
            <w:pPr>
              <w:spacing w:after="0"/>
              <w:rPr>
                <w:sz w:val="15"/>
                <w:szCs w:val="15"/>
                <w:color w:val="auto"/>
              </w:rPr>
            </w:pPr>
          </w:p>
        </w:tc>
        <w:tc>
          <w:tcPr>
            <w:tcW w:w="320" w:type="dxa"/>
            <w:vAlign w:val="bottom"/>
            <w:shd w:val="clear" w:color="auto" w:fill="EDEDED"/>
          </w:tcPr>
          <w:p>
            <w:pPr>
              <w:spacing w:after="0"/>
              <w:rPr>
                <w:sz w:val="15"/>
                <w:szCs w:val="15"/>
                <w:color w:val="auto"/>
              </w:rPr>
            </w:pPr>
          </w:p>
        </w:tc>
        <w:tc>
          <w:tcPr>
            <w:tcW w:w="5120" w:type="dxa"/>
            <w:vAlign w:val="bottom"/>
            <w:shd w:val="clear" w:color="auto" w:fill="EDEDED"/>
          </w:tcPr>
          <w:p>
            <w:pPr>
              <w:ind w:left="140"/>
              <w:spacing w:after="0" w:line="161" w:lineRule="exact"/>
              <w:rPr>
                <w:sz w:val="20"/>
                <w:szCs w:val="20"/>
                <w:color w:val="auto"/>
              </w:rPr>
            </w:pPr>
            <w:r>
              <w:rPr>
                <w:rFonts w:ascii="MS PGothic" w:cs="MS PGothic" w:eastAsia="MS PGothic" w:hAnsi="MS PGothic"/>
                <w:sz w:val="14"/>
                <w:szCs w:val="14"/>
                <w:color w:val="BF0000"/>
              </w:rPr>
              <w:t>✖</w:t>
            </w:r>
            <w:r>
              <w:rPr>
                <w:rFonts w:ascii="Arial" w:cs="Arial" w:eastAsia="Arial" w:hAnsi="Arial"/>
                <w:sz w:val="14"/>
                <w:szCs w:val="14"/>
                <w:b w:val="1"/>
                <w:bCs w:val="1"/>
                <w:color w:val="435363"/>
              </w:rPr>
              <w:t xml:space="preserve">    No Active Executive Retirement Plans</w:t>
            </w:r>
            <w:r>
              <w:rPr>
                <w:rFonts w:ascii="Arial" w:cs="Arial" w:eastAsia="Arial" w:hAnsi="Arial"/>
                <w:sz w:val="14"/>
                <w:szCs w:val="14"/>
                <w:color w:val="435363"/>
              </w:rPr>
              <w:t>. We do not maintain any active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EDEDED"/>
          </w:tcPr>
          <w:p>
            <w:pPr>
              <w:spacing w:after="0" w:line="161" w:lineRule="exact"/>
              <w:rPr>
                <w:sz w:val="20"/>
                <w:szCs w:val="20"/>
                <w:color w:val="auto"/>
              </w:rPr>
            </w:pPr>
            <w:r>
              <w:rPr>
                <w:rFonts w:ascii="Arial" w:cs="Arial" w:eastAsia="Arial" w:hAnsi="Arial"/>
                <w:sz w:val="14"/>
                <w:szCs w:val="14"/>
                <w:color w:val="435363"/>
              </w:rPr>
              <w:t xml:space="preserve">  </w:t>
            </w:r>
            <w:r>
              <w:rPr>
                <w:rFonts w:ascii="MS PGothic" w:cs="MS PGothic" w:eastAsia="MS PGothic" w:hAnsi="MS PGothic"/>
                <w:sz w:val="14"/>
                <w:szCs w:val="14"/>
                <w:color w:val="3575B3"/>
              </w:rPr>
              <w:t>✓</w:t>
            </w:r>
            <w:r>
              <w:rPr>
                <w:rFonts w:ascii="Arial" w:cs="Arial" w:eastAsia="Arial" w:hAnsi="Arial"/>
                <w:sz w:val="14"/>
                <w:szCs w:val="14"/>
                <w:color w:val="435363"/>
              </w:rPr>
              <w:t xml:space="preserve">   </w:t>
            </w:r>
            <w:r>
              <w:rPr>
                <w:rFonts w:ascii="Arial" w:cs="Arial" w:eastAsia="Arial" w:hAnsi="Arial"/>
                <w:sz w:val="14"/>
                <w:szCs w:val="14"/>
                <w:b w:val="1"/>
                <w:bCs w:val="1"/>
                <w:color w:val="435363"/>
              </w:rPr>
              <w:t>Link Pay to Performance</w:t>
            </w:r>
            <w:r>
              <w:rPr>
                <w:rFonts w:ascii="Arial" w:cs="Arial" w:eastAsia="Arial" w:hAnsi="Arial"/>
                <w:sz w:val="14"/>
                <w:szCs w:val="14"/>
                <w:color w:val="435363"/>
              </w:rPr>
              <w:t xml:space="preserve"> with performance goals tied to improving the</w:t>
            </w:r>
          </w:p>
        </w:tc>
        <w:tc>
          <w:tcPr>
            <w:tcW w:w="280" w:type="dxa"/>
            <w:vAlign w:val="bottom"/>
            <w:shd w:val="clear" w:color="auto" w:fill="EDEDED"/>
          </w:tcPr>
          <w:p>
            <w:pPr>
              <w:spacing w:after="0"/>
              <w:rPr>
                <w:sz w:val="16"/>
                <w:szCs w:val="16"/>
                <w:color w:val="auto"/>
              </w:rPr>
            </w:pPr>
          </w:p>
        </w:tc>
        <w:tc>
          <w:tcPr>
            <w:tcW w:w="320" w:type="dxa"/>
            <w:vAlign w:val="bottom"/>
            <w:shd w:val="clear" w:color="auto" w:fill="EDEDED"/>
          </w:tcPr>
          <w:p>
            <w:pPr>
              <w:spacing w:after="0"/>
              <w:rPr>
                <w:sz w:val="16"/>
                <w:szCs w:val="16"/>
                <w:color w:val="auto"/>
              </w:rPr>
            </w:pPr>
          </w:p>
        </w:tc>
        <w:tc>
          <w:tcPr>
            <w:tcW w:w="5120" w:type="dxa"/>
            <w:vAlign w:val="bottom"/>
            <w:shd w:val="clear" w:color="auto" w:fill="EDEDED"/>
          </w:tcPr>
          <w:p>
            <w:pPr>
              <w:ind w:left="420"/>
              <w:spacing w:after="0"/>
              <w:rPr>
                <w:sz w:val="20"/>
                <w:szCs w:val="20"/>
                <w:color w:val="auto"/>
              </w:rPr>
            </w:pPr>
            <w:r>
              <w:rPr>
                <w:rFonts w:ascii="Arial" w:cs="Arial" w:eastAsia="Arial" w:hAnsi="Arial"/>
                <w:sz w:val="14"/>
                <w:szCs w:val="14"/>
                <w:color w:val="435363"/>
              </w:rPr>
              <w:t>executive-only or supplemental retirement plans.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shd w:val="clear" w:color="auto" w:fill="EDEDED"/>
          </w:tcPr>
          <w:p>
            <w:pPr>
              <w:ind w:left="260"/>
              <w:spacing w:after="0"/>
              <w:rPr>
                <w:sz w:val="20"/>
                <w:szCs w:val="20"/>
                <w:color w:val="auto"/>
              </w:rPr>
            </w:pPr>
            <w:r>
              <w:rPr>
                <w:rFonts w:ascii="Arial" w:cs="Arial" w:eastAsia="Arial" w:hAnsi="Arial"/>
                <w:sz w:val="14"/>
                <w:szCs w:val="14"/>
                <w:color w:val="435363"/>
              </w:rPr>
              <w:t>reliability, profitability and accountability of our operations to create long-term</w:t>
            </w:r>
          </w:p>
        </w:tc>
        <w:tc>
          <w:tcPr>
            <w:tcW w:w="280" w:type="dxa"/>
            <w:vAlign w:val="bottom"/>
            <w:shd w:val="clear" w:color="auto" w:fill="EDEDED"/>
          </w:tcPr>
          <w:p>
            <w:pPr>
              <w:spacing w:after="0"/>
              <w:rPr>
                <w:sz w:val="15"/>
                <w:szCs w:val="15"/>
                <w:color w:val="auto"/>
              </w:rPr>
            </w:pPr>
          </w:p>
        </w:tc>
        <w:tc>
          <w:tcPr>
            <w:tcW w:w="320" w:type="dxa"/>
            <w:vAlign w:val="bottom"/>
            <w:shd w:val="clear" w:color="auto" w:fill="EDEDED"/>
          </w:tcPr>
          <w:p>
            <w:pPr>
              <w:spacing w:after="0"/>
              <w:rPr>
                <w:sz w:val="15"/>
                <w:szCs w:val="15"/>
                <w:color w:val="auto"/>
              </w:rPr>
            </w:pPr>
          </w:p>
        </w:tc>
        <w:tc>
          <w:tcPr>
            <w:tcW w:w="5120" w:type="dxa"/>
            <w:vAlign w:val="bottom"/>
            <w:shd w:val="clear" w:color="auto" w:fill="EDEDED"/>
          </w:tcPr>
          <w:p>
            <w:pPr>
              <w:ind w:left="140"/>
              <w:spacing w:after="0" w:line="161" w:lineRule="exact"/>
              <w:rPr>
                <w:sz w:val="20"/>
                <w:szCs w:val="20"/>
                <w:color w:val="auto"/>
              </w:rPr>
            </w:pPr>
            <w:r>
              <w:rPr>
                <w:rFonts w:ascii="MS PGothic" w:cs="MS PGothic" w:eastAsia="MS PGothic" w:hAnsi="MS PGothic"/>
                <w:sz w:val="14"/>
                <w:szCs w:val="14"/>
                <w:color w:val="BF0000"/>
              </w:rPr>
              <w:t>✖</w:t>
            </w:r>
            <w:r>
              <w:rPr>
                <w:rFonts w:ascii="Arial" w:cs="Arial" w:eastAsia="Arial" w:hAnsi="Arial"/>
                <w:sz w:val="14"/>
                <w:szCs w:val="14"/>
                <w:b w:val="1"/>
                <w:bCs w:val="1"/>
                <w:color w:val="435363"/>
              </w:rPr>
              <w:t xml:space="preserve">    No Hedging or Pledging of our Stock</w:t>
            </w:r>
            <w:r>
              <w:rPr>
                <w:rFonts w:ascii="Arial" w:cs="Arial" w:eastAsia="Arial" w:hAnsi="Arial"/>
                <w:sz w:val="14"/>
                <w:szCs w:val="14"/>
                <w:color w:val="435363"/>
              </w:rPr>
              <w:t>. We prohibit our executive officers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80" w:type="dxa"/>
            <w:vAlign w:val="bottom"/>
            <w:shd w:val="clear" w:color="auto" w:fill="EDEDED"/>
          </w:tcPr>
          <w:p>
            <w:pPr>
              <w:ind w:left="260"/>
              <w:spacing w:after="0"/>
              <w:rPr>
                <w:sz w:val="20"/>
                <w:szCs w:val="20"/>
                <w:color w:val="auto"/>
              </w:rPr>
            </w:pPr>
            <w:r>
              <w:rPr>
                <w:rFonts w:ascii="Arial" w:cs="Arial" w:eastAsia="Arial" w:hAnsi="Arial"/>
                <w:sz w:val="14"/>
                <w:szCs w:val="14"/>
                <w:color w:val="435363"/>
              </w:rPr>
              <w:t>stockholder value.</w:t>
            </w:r>
          </w:p>
        </w:tc>
        <w:tc>
          <w:tcPr>
            <w:tcW w:w="280" w:type="dxa"/>
            <w:vAlign w:val="bottom"/>
            <w:shd w:val="clear" w:color="auto" w:fill="EDEDED"/>
          </w:tcPr>
          <w:p>
            <w:pPr>
              <w:spacing w:after="0"/>
              <w:rPr>
                <w:sz w:val="14"/>
                <w:szCs w:val="14"/>
                <w:color w:val="auto"/>
              </w:rPr>
            </w:pPr>
          </w:p>
        </w:tc>
        <w:tc>
          <w:tcPr>
            <w:tcW w:w="320" w:type="dxa"/>
            <w:vAlign w:val="bottom"/>
            <w:shd w:val="clear" w:color="auto" w:fill="EDEDED"/>
          </w:tcPr>
          <w:p>
            <w:pPr>
              <w:spacing w:after="0"/>
              <w:rPr>
                <w:sz w:val="14"/>
                <w:szCs w:val="14"/>
                <w:color w:val="auto"/>
              </w:rPr>
            </w:pPr>
          </w:p>
        </w:tc>
        <w:tc>
          <w:tcPr>
            <w:tcW w:w="5120" w:type="dxa"/>
            <w:vAlign w:val="bottom"/>
            <w:shd w:val="clear" w:color="auto" w:fill="EDEDED"/>
          </w:tcPr>
          <w:p>
            <w:pPr>
              <w:ind w:left="420"/>
              <w:spacing w:after="0"/>
              <w:rPr>
                <w:sz w:val="20"/>
                <w:szCs w:val="20"/>
                <w:color w:val="auto"/>
              </w:rPr>
            </w:pPr>
            <w:r>
              <w:rPr>
                <w:rFonts w:ascii="Arial" w:cs="Arial" w:eastAsia="Arial" w:hAnsi="Arial"/>
                <w:sz w:val="14"/>
                <w:szCs w:val="14"/>
                <w:color w:val="435363"/>
              </w:rPr>
              <w:t>from engaging in hedging transactions or using our stock as collateral for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80" w:type="dxa"/>
            <w:vAlign w:val="bottom"/>
            <w:shd w:val="clear" w:color="auto" w:fill="EDEDED"/>
          </w:tcPr>
          <w:p>
            <w:pPr>
              <w:spacing w:after="0" w:line="161" w:lineRule="exact"/>
              <w:rPr>
                <w:sz w:val="20"/>
                <w:szCs w:val="20"/>
                <w:color w:val="auto"/>
              </w:rPr>
            </w:pPr>
            <w:r>
              <w:rPr>
                <w:rFonts w:ascii="Arial" w:cs="Arial" w:eastAsia="Arial" w:hAnsi="Arial"/>
                <w:sz w:val="14"/>
                <w:szCs w:val="14"/>
                <w:b w:val="1"/>
                <w:bCs w:val="1"/>
                <w:color w:val="435363"/>
              </w:rPr>
              <w:t xml:space="preserve">  </w:t>
            </w:r>
            <w:r>
              <w:rPr>
                <w:rFonts w:ascii="MS PGothic" w:cs="MS PGothic" w:eastAsia="MS PGothic" w:hAnsi="MS PGothic"/>
                <w:sz w:val="14"/>
                <w:szCs w:val="14"/>
                <w:color w:val="3575B3"/>
              </w:rPr>
              <w:t>✓</w:t>
            </w:r>
            <w:r>
              <w:rPr>
                <w:rFonts w:ascii="Arial" w:cs="Arial" w:eastAsia="Arial" w:hAnsi="Arial"/>
                <w:sz w:val="14"/>
                <w:szCs w:val="14"/>
                <w:b w:val="1"/>
                <w:bCs w:val="1"/>
                <w:color w:val="435363"/>
              </w:rPr>
              <w:t xml:space="preserve">   Performance-Based Long-term Equity Incentives with a Three-year</w:t>
            </w:r>
          </w:p>
        </w:tc>
        <w:tc>
          <w:tcPr>
            <w:tcW w:w="280" w:type="dxa"/>
            <w:vAlign w:val="bottom"/>
            <w:shd w:val="clear" w:color="auto" w:fill="EDEDED"/>
          </w:tcPr>
          <w:p>
            <w:pPr>
              <w:spacing w:after="0"/>
              <w:rPr>
                <w:sz w:val="15"/>
                <w:szCs w:val="15"/>
                <w:color w:val="auto"/>
              </w:rPr>
            </w:pPr>
          </w:p>
        </w:tc>
        <w:tc>
          <w:tcPr>
            <w:tcW w:w="320" w:type="dxa"/>
            <w:vAlign w:val="bottom"/>
            <w:shd w:val="clear" w:color="auto" w:fill="EDEDED"/>
          </w:tcPr>
          <w:p>
            <w:pPr>
              <w:spacing w:after="0"/>
              <w:rPr>
                <w:sz w:val="15"/>
                <w:szCs w:val="15"/>
                <w:color w:val="auto"/>
              </w:rPr>
            </w:pPr>
          </w:p>
        </w:tc>
        <w:tc>
          <w:tcPr>
            <w:tcW w:w="5120" w:type="dxa"/>
            <w:vAlign w:val="bottom"/>
            <w:shd w:val="clear" w:color="auto" w:fill="EDEDED"/>
          </w:tcPr>
          <w:p>
            <w:pPr>
              <w:ind w:left="420"/>
              <w:spacing w:after="0"/>
              <w:rPr>
                <w:sz w:val="20"/>
                <w:szCs w:val="20"/>
                <w:color w:val="auto"/>
              </w:rPr>
            </w:pPr>
            <w:r>
              <w:rPr>
                <w:rFonts w:ascii="Arial" w:cs="Arial" w:eastAsia="Arial" w:hAnsi="Arial"/>
                <w:sz w:val="14"/>
                <w:szCs w:val="14"/>
                <w:color w:val="435363"/>
              </w:rPr>
              <w:t>loans.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shd w:val="clear" w:color="auto" w:fill="EDEDED"/>
          </w:tcPr>
          <w:p>
            <w:pPr>
              <w:ind w:left="260"/>
              <w:spacing w:after="0"/>
              <w:rPr>
                <w:sz w:val="20"/>
                <w:szCs w:val="20"/>
                <w:color w:val="auto"/>
              </w:rPr>
            </w:pPr>
            <w:r>
              <w:rPr>
                <w:rFonts w:ascii="Arial" w:cs="Arial" w:eastAsia="Arial" w:hAnsi="Arial"/>
                <w:sz w:val="14"/>
                <w:szCs w:val="14"/>
                <w:b w:val="1"/>
                <w:bCs w:val="1"/>
                <w:color w:val="435363"/>
              </w:rPr>
              <w:t xml:space="preserve">Performance Period to </w:t>
            </w:r>
            <w:r>
              <w:rPr>
                <w:rFonts w:ascii="Arial" w:cs="Arial" w:eastAsia="Arial" w:hAnsi="Arial"/>
                <w:sz w:val="14"/>
                <w:szCs w:val="14"/>
                <w:color w:val="435363"/>
              </w:rPr>
              <w:t>promote long-term focus.</w:t>
            </w:r>
          </w:p>
        </w:tc>
        <w:tc>
          <w:tcPr>
            <w:tcW w:w="280" w:type="dxa"/>
            <w:vAlign w:val="bottom"/>
            <w:shd w:val="clear" w:color="auto" w:fill="EDEDED"/>
          </w:tcPr>
          <w:p>
            <w:pPr>
              <w:spacing w:after="0"/>
              <w:rPr>
                <w:sz w:val="15"/>
                <w:szCs w:val="15"/>
                <w:color w:val="auto"/>
              </w:rPr>
            </w:pPr>
          </w:p>
        </w:tc>
        <w:tc>
          <w:tcPr>
            <w:tcW w:w="320" w:type="dxa"/>
            <w:vAlign w:val="bottom"/>
            <w:shd w:val="clear" w:color="auto" w:fill="EDEDED"/>
          </w:tcPr>
          <w:p>
            <w:pPr>
              <w:spacing w:after="0"/>
              <w:rPr>
                <w:sz w:val="15"/>
                <w:szCs w:val="15"/>
                <w:color w:val="auto"/>
              </w:rPr>
            </w:pPr>
          </w:p>
        </w:tc>
        <w:tc>
          <w:tcPr>
            <w:tcW w:w="5120" w:type="dxa"/>
            <w:vAlign w:val="bottom"/>
            <w:shd w:val="clear" w:color="auto" w:fill="EDEDED"/>
          </w:tcPr>
          <w:p>
            <w:pPr>
              <w:ind w:left="140"/>
              <w:spacing w:after="0" w:line="161" w:lineRule="exact"/>
              <w:rPr>
                <w:sz w:val="20"/>
                <w:szCs w:val="20"/>
                <w:color w:val="auto"/>
              </w:rPr>
            </w:pPr>
            <w:r>
              <w:rPr>
                <w:rFonts w:ascii="MS PGothic" w:cs="MS PGothic" w:eastAsia="MS PGothic" w:hAnsi="MS PGothic"/>
                <w:sz w:val="14"/>
                <w:szCs w:val="14"/>
                <w:color w:val="BF0000"/>
              </w:rPr>
              <w:t>✖</w:t>
            </w:r>
            <w:r>
              <w:rPr>
                <w:rFonts w:ascii="Arial" w:cs="Arial" w:eastAsia="Arial" w:hAnsi="Arial"/>
                <w:sz w:val="14"/>
                <w:szCs w:val="14"/>
                <w:b w:val="1"/>
                <w:bCs w:val="1"/>
                <w:color w:val="435363"/>
              </w:rPr>
              <w:t xml:space="preserve">    No Excise Tax Gross-Ups</w:t>
            </w:r>
            <w:r>
              <w:rPr>
                <w:rFonts w:ascii="Arial" w:cs="Arial" w:eastAsia="Arial" w:hAnsi="Arial"/>
                <w:sz w:val="14"/>
                <w:szCs w:val="14"/>
                <w:color w:val="435363"/>
              </w:rPr>
              <w:t>. We do not provide gross ups on excise taxes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EDEDED"/>
          </w:tcPr>
          <w:p>
            <w:pPr>
              <w:spacing w:after="0" w:line="161" w:lineRule="exact"/>
              <w:rPr>
                <w:sz w:val="20"/>
                <w:szCs w:val="20"/>
                <w:color w:val="auto"/>
              </w:rPr>
            </w:pPr>
            <w:r>
              <w:rPr>
                <w:rFonts w:ascii="Arial" w:cs="Arial" w:eastAsia="Arial" w:hAnsi="Arial"/>
                <w:sz w:val="14"/>
                <w:szCs w:val="14"/>
                <w:color w:val="435363"/>
              </w:rPr>
              <w:t xml:space="preserve">  </w:t>
            </w:r>
            <w:r>
              <w:rPr>
                <w:rFonts w:ascii="MS PGothic" w:cs="MS PGothic" w:eastAsia="MS PGothic" w:hAnsi="MS PGothic"/>
                <w:sz w:val="14"/>
                <w:szCs w:val="14"/>
                <w:color w:val="3575B3"/>
              </w:rPr>
              <w:t>✓</w:t>
            </w:r>
            <w:r>
              <w:rPr>
                <w:rFonts w:ascii="Arial" w:cs="Arial" w:eastAsia="Arial" w:hAnsi="Arial"/>
                <w:sz w:val="14"/>
                <w:szCs w:val="14"/>
                <w:b w:val="1"/>
                <w:bCs w:val="1"/>
                <w:color w:val="435363"/>
              </w:rPr>
              <w:t xml:space="preserve">   Independent Compensation Consultant</w:t>
            </w:r>
            <w:r>
              <w:rPr>
                <w:rFonts w:ascii="Arial" w:cs="Arial" w:eastAsia="Arial" w:hAnsi="Arial"/>
                <w:sz w:val="14"/>
                <w:szCs w:val="14"/>
                <w:color w:val="435363"/>
              </w:rPr>
              <w:t xml:space="preserve"> that is directly engaged by the</w:t>
            </w:r>
          </w:p>
        </w:tc>
        <w:tc>
          <w:tcPr>
            <w:tcW w:w="280" w:type="dxa"/>
            <w:vAlign w:val="bottom"/>
            <w:shd w:val="clear" w:color="auto" w:fill="EDEDED"/>
          </w:tcPr>
          <w:p>
            <w:pPr>
              <w:spacing w:after="0"/>
              <w:rPr>
                <w:sz w:val="16"/>
                <w:szCs w:val="16"/>
                <w:color w:val="auto"/>
              </w:rPr>
            </w:pPr>
          </w:p>
        </w:tc>
        <w:tc>
          <w:tcPr>
            <w:tcW w:w="320" w:type="dxa"/>
            <w:vAlign w:val="bottom"/>
            <w:shd w:val="clear" w:color="auto" w:fill="EDEDED"/>
          </w:tcPr>
          <w:p>
            <w:pPr>
              <w:spacing w:after="0"/>
              <w:rPr>
                <w:sz w:val="16"/>
                <w:szCs w:val="16"/>
                <w:color w:val="auto"/>
              </w:rPr>
            </w:pPr>
          </w:p>
        </w:tc>
        <w:tc>
          <w:tcPr>
            <w:tcW w:w="5120" w:type="dxa"/>
            <w:vAlign w:val="bottom"/>
            <w:shd w:val="clear" w:color="auto" w:fill="EDEDED"/>
          </w:tcPr>
          <w:p>
            <w:pPr>
              <w:ind w:left="420"/>
              <w:spacing w:after="0"/>
              <w:rPr>
                <w:sz w:val="20"/>
                <w:szCs w:val="20"/>
                <w:color w:val="auto"/>
              </w:rPr>
            </w:pPr>
            <w:r>
              <w:rPr>
                <w:rFonts w:ascii="Arial" w:cs="Arial" w:eastAsia="Arial" w:hAnsi="Arial"/>
                <w:sz w:val="14"/>
                <w:szCs w:val="14"/>
                <w:color w:val="435363"/>
              </w:rPr>
              <w:t>in connection with a change in control.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shd w:val="clear" w:color="auto" w:fill="EDEDED"/>
          </w:tcPr>
          <w:p>
            <w:pPr>
              <w:ind w:left="260"/>
              <w:spacing w:after="0"/>
              <w:rPr>
                <w:sz w:val="20"/>
                <w:szCs w:val="20"/>
                <w:color w:val="auto"/>
              </w:rPr>
            </w:pPr>
            <w:r>
              <w:rPr>
                <w:rFonts w:ascii="Arial" w:cs="Arial" w:eastAsia="Arial" w:hAnsi="Arial"/>
                <w:sz w:val="14"/>
                <w:szCs w:val="14"/>
                <w:color w:val="435363"/>
              </w:rPr>
              <w:t>Compensation Committee to advise on executive and director compensation</w:t>
            </w:r>
          </w:p>
        </w:tc>
        <w:tc>
          <w:tcPr>
            <w:tcW w:w="280" w:type="dxa"/>
            <w:vAlign w:val="bottom"/>
            <w:shd w:val="clear" w:color="auto" w:fill="EDEDED"/>
          </w:tcPr>
          <w:p>
            <w:pPr>
              <w:spacing w:after="0"/>
              <w:rPr>
                <w:sz w:val="15"/>
                <w:szCs w:val="15"/>
                <w:color w:val="auto"/>
              </w:rPr>
            </w:pPr>
          </w:p>
        </w:tc>
        <w:tc>
          <w:tcPr>
            <w:tcW w:w="320" w:type="dxa"/>
            <w:vAlign w:val="bottom"/>
            <w:shd w:val="clear" w:color="auto" w:fill="EDEDED"/>
          </w:tcPr>
          <w:p>
            <w:pPr>
              <w:spacing w:after="0"/>
              <w:rPr>
                <w:sz w:val="15"/>
                <w:szCs w:val="15"/>
                <w:color w:val="auto"/>
              </w:rPr>
            </w:pPr>
          </w:p>
        </w:tc>
        <w:tc>
          <w:tcPr>
            <w:tcW w:w="5120" w:type="dxa"/>
            <w:vAlign w:val="bottom"/>
            <w:shd w:val="clear" w:color="auto" w:fill="EDEDED"/>
          </w:tcPr>
          <w:p>
            <w:pPr>
              <w:ind w:left="140"/>
              <w:spacing w:after="0" w:line="161" w:lineRule="exact"/>
              <w:rPr>
                <w:sz w:val="20"/>
                <w:szCs w:val="20"/>
                <w:color w:val="auto"/>
              </w:rPr>
            </w:pPr>
            <w:r>
              <w:rPr>
                <w:rFonts w:ascii="MS PGothic" w:cs="MS PGothic" w:eastAsia="MS PGothic" w:hAnsi="MS PGothic"/>
                <w:sz w:val="14"/>
                <w:szCs w:val="14"/>
                <w:color w:val="BF0000"/>
              </w:rPr>
              <w:t>✖</w:t>
            </w:r>
            <w:r>
              <w:rPr>
                <w:rFonts w:ascii="Arial" w:cs="Arial" w:eastAsia="Arial" w:hAnsi="Arial"/>
                <w:sz w:val="14"/>
                <w:szCs w:val="14"/>
                <w:b w:val="1"/>
                <w:bCs w:val="1"/>
                <w:color w:val="435363"/>
              </w:rPr>
              <w:t xml:space="preserve">    No Excessive Perquisites</w:t>
            </w:r>
            <w:r>
              <w:rPr>
                <w:rFonts w:ascii="Arial" w:cs="Arial" w:eastAsia="Arial" w:hAnsi="Arial"/>
                <w:sz w:val="14"/>
                <w:szCs w:val="14"/>
                <w:color w:val="435363"/>
              </w:rPr>
              <w:t>. Perquisites and other personal benefits are in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80" w:type="dxa"/>
            <w:vAlign w:val="bottom"/>
            <w:shd w:val="clear" w:color="auto" w:fill="EDEDED"/>
          </w:tcPr>
          <w:p>
            <w:pPr>
              <w:ind w:left="260"/>
              <w:spacing w:after="0"/>
              <w:rPr>
                <w:sz w:val="20"/>
                <w:szCs w:val="20"/>
                <w:color w:val="auto"/>
              </w:rPr>
            </w:pPr>
            <w:r>
              <w:rPr>
                <w:rFonts w:ascii="Arial" w:cs="Arial" w:eastAsia="Arial" w:hAnsi="Arial"/>
                <w:sz w:val="14"/>
                <w:szCs w:val="14"/>
                <w:color w:val="435363"/>
              </w:rPr>
              <w:t>matters.</w:t>
            </w:r>
          </w:p>
        </w:tc>
        <w:tc>
          <w:tcPr>
            <w:tcW w:w="280" w:type="dxa"/>
            <w:vAlign w:val="bottom"/>
            <w:shd w:val="clear" w:color="auto" w:fill="EDEDED"/>
          </w:tcPr>
          <w:p>
            <w:pPr>
              <w:spacing w:after="0"/>
              <w:rPr>
                <w:sz w:val="14"/>
                <w:szCs w:val="14"/>
                <w:color w:val="auto"/>
              </w:rPr>
            </w:pPr>
          </w:p>
        </w:tc>
        <w:tc>
          <w:tcPr>
            <w:tcW w:w="320" w:type="dxa"/>
            <w:vAlign w:val="bottom"/>
            <w:shd w:val="clear" w:color="auto" w:fill="EDEDED"/>
          </w:tcPr>
          <w:p>
            <w:pPr>
              <w:spacing w:after="0"/>
              <w:rPr>
                <w:sz w:val="14"/>
                <w:szCs w:val="14"/>
                <w:color w:val="auto"/>
              </w:rPr>
            </w:pPr>
          </w:p>
        </w:tc>
        <w:tc>
          <w:tcPr>
            <w:tcW w:w="5120" w:type="dxa"/>
            <w:vAlign w:val="bottom"/>
            <w:vMerge w:val="restart"/>
            <w:shd w:val="clear" w:color="auto" w:fill="EDEDED"/>
          </w:tcPr>
          <w:p>
            <w:pPr>
              <w:ind w:left="420"/>
              <w:spacing w:after="0"/>
              <w:rPr>
                <w:sz w:val="20"/>
                <w:szCs w:val="20"/>
                <w:color w:val="auto"/>
              </w:rPr>
            </w:pPr>
            <w:r>
              <w:rPr>
                <w:rFonts w:ascii="Arial" w:cs="Arial" w:eastAsia="Arial" w:hAnsi="Arial"/>
                <w:sz w:val="14"/>
                <w:szCs w:val="14"/>
                <w:color w:val="435363"/>
              </w:rPr>
              <w:t>line with industry standards.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080" w:type="dxa"/>
            <w:vAlign w:val="bottom"/>
            <w:vMerge w:val="restart"/>
            <w:shd w:val="clear" w:color="auto" w:fill="EDEDED"/>
          </w:tcPr>
          <w:p>
            <w:pPr>
              <w:spacing w:after="0" w:line="161" w:lineRule="exact"/>
              <w:rPr>
                <w:sz w:val="20"/>
                <w:szCs w:val="20"/>
                <w:color w:val="auto"/>
              </w:rPr>
            </w:pPr>
            <w:r>
              <w:rPr>
                <w:rFonts w:ascii="Arial" w:cs="Arial" w:eastAsia="Arial" w:hAnsi="Arial"/>
                <w:sz w:val="14"/>
                <w:szCs w:val="14"/>
                <w:color w:val="435363"/>
                <w:w w:val="98"/>
              </w:rPr>
              <w:t xml:space="preserve">  </w:t>
            </w:r>
            <w:r>
              <w:rPr>
                <w:rFonts w:ascii="MS PGothic" w:cs="MS PGothic" w:eastAsia="MS PGothic" w:hAnsi="MS PGothic"/>
                <w:sz w:val="14"/>
                <w:szCs w:val="14"/>
                <w:color w:val="3575B3"/>
                <w:w w:val="98"/>
              </w:rPr>
              <w:t>✓</w:t>
            </w:r>
            <w:r>
              <w:rPr>
                <w:rFonts w:ascii="Arial" w:cs="Arial" w:eastAsia="Arial" w:hAnsi="Arial"/>
                <w:sz w:val="14"/>
                <w:szCs w:val="14"/>
                <w:b w:val="1"/>
                <w:bCs w:val="1"/>
                <w:color w:val="435363"/>
                <w:w w:val="98"/>
              </w:rPr>
              <w:t xml:space="preserve">   Robust Stock Ownership Guidelines</w:t>
            </w:r>
            <w:r>
              <w:rPr>
                <w:rFonts w:ascii="Arial" w:cs="Arial" w:eastAsia="Arial" w:hAnsi="Arial"/>
                <w:sz w:val="14"/>
                <w:szCs w:val="14"/>
                <w:color w:val="435363"/>
                <w:w w:val="98"/>
              </w:rPr>
              <w:t xml:space="preserve"> that align our executive officers’ long-</w:t>
            </w:r>
          </w:p>
        </w:tc>
        <w:tc>
          <w:tcPr>
            <w:tcW w:w="280" w:type="dxa"/>
            <w:vAlign w:val="bottom"/>
            <w:shd w:val="clear" w:color="auto" w:fill="EDEDED"/>
          </w:tcPr>
          <w:p>
            <w:pPr>
              <w:spacing w:after="0"/>
              <w:rPr>
                <w:sz w:val="2"/>
                <w:szCs w:val="2"/>
                <w:color w:val="auto"/>
              </w:rPr>
            </w:pPr>
          </w:p>
        </w:tc>
        <w:tc>
          <w:tcPr>
            <w:tcW w:w="320" w:type="dxa"/>
            <w:vAlign w:val="bottom"/>
            <w:shd w:val="clear" w:color="auto" w:fill="EDEDED"/>
          </w:tcPr>
          <w:p>
            <w:pPr>
              <w:spacing w:after="0"/>
              <w:rPr>
                <w:sz w:val="2"/>
                <w:szCs w:val="2"/>
                <w:color w:val="auto"/>
              </w:rPr>
            </w:pPr>
          </w:p>
        </w:tc>
        <w:tc>
          <w:tcPr>
            <w:tcW w:w="5120" w:type="dxa"/>
            <w:vAlign w:val="bottom"/>
            <w:vMerge w:val="continue"/>
            <w:shd w:val="clear" w:color="auto" w:fill="EDEDED"/>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080" w:type="dxa"/>
            <w:vAlign w:val="bottom"/>
            <w:vMerge w:val="continue"/>
            <w:shd w:val="clear" w:color="auto" w:fill="EDEDED"/>
          </w:tcPr>
          <w:p>
            <w:pPr>
              <w:spacing w:after="0"/>
              <w:rPr>
                <w:sz w:val="15"/>
                <w:szCs w:val="15"/>
                <w:color w:val="auto"/>
              </w:rPr>
            </w:pPr>
          </w:p>
        </w:tc>
        <w:tc>
          <w:tcPr>
            <w:tcW w:w="280" w:type="dxa"/>
            <w:vAlign w:val="bottom"/>
            <w:shd w:val="clear" w:color="auto" w:fill="EDEDED"/>
          </w:tcPr>
          <w:p>
            <w:pPr>
              <w:spacing w:after="0"/>
              <w:rPr>
                <w:sz w:val="15"/>
                <w:szCs w:val="15"/>
                <w:color w:val="auto"/>
              </w:rPr>
            </w:pPr>
          </w:p>
        </w:tc>
        <w:tc>
          <w:tcPr>
            <w:tcW w:w="320" w:type="dxa"/>
            <w:vAlign w:val="bottom"/>
            <w:shd w:val="clear" w:color="auto" w:fill="EDEDED"/>
          </w:tcPr>
          <w:p>
            <w:pPr>
              <w:spacing w:after="0"/>
              <w:rPr>
                <w:sz w:val="15"/>
                <w:szCs w:val="15"/>
                <w:color w:val="auto"/>
              </w:rPr>
            </w:pPr>
          </w:p>
        </w:tc>
        <w:tc>
          <w:tcPr>
            <w:tcW w:w="5120" w:type="dxa"/>
            <w:vAlign w:val="bottom"/>
            <w:shd w:val="clear" w:color="auto" w:fill="EDEDED"/>
          </w:tcPr>
          <w:p>
            <w:pPr>
              <w:ind w:left="140"/>
              <w:spacing w:after="0" w:line="161" w:lineRule="exact"/>
              <w:rPr>
                <w:sz w:val="20"/>
                <w:szCs w:val="20"/>
                <w:color w:val="auto"/>
              </w:rPr>
            </w:pPr>
            <w:r>
              <w:rPr>
                <w:rFonts w:ascii="MS PGothic" w:cs="MS PGothic" w:eastAsia="MS PGothic" w:hAnsi="MS PGothic"/>
                <w:sz w:val="14"/>
                <w:szCs w:val="14"/>
                <w:color w:val="BF0000"/>
              </w:rPr>
              <w:t>✖</w:t>
            </w:r>
            <w:r>
              <w:rPr>
                <w:rFonts w:ascii="Arial" w:cs="Arial" w:eastAsia="Arial" w:hAnsi="Arial"/>
                <w:sz w:val="14"/>
                <w:szCs w:val="14"/>
                <w:b w:val="1"/>
                <w:bCs w:val="1"/>
                <w:color w:val="435363"/>
              </w:rPr>
              <w:t xml:space="preserve">    No Payouts of Dividends on Unvested Awards</w:t>
            </w:r>
            <w:r>
              <w:rPr>
                <w:rFonts w:ascii="Arial" w:cs="Arial" w:eastAsia="Arial" w:hAnsi="Arial"/>
                <w:sz w:val="14"/>
                <w:szCs w:val="14"/>
                <w:color w:val="435363"/>
              </w:rPr>
              <w:t>. Unless and until an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80" w:type="dxa"/>
            <w:vAlign w:val="bottom"/>
            <w:shd w:val="clear" w:color="auto" w:fill="EDEDED"/>
          </w:tcPr>
          <w:p>
            <w:pPr>
              <w:ind w:left="260"/>
              <w:spacing w:after="0"/>
              <w:rPr>
                <w:sz w:val="20"/>
                <w:szCs w:val="20"/>
                <w:color w:val="auto"/>
              </w:rPr>
            </w:pPr>
            <w:r>
              <w:rPr>
                <w:rFonts w:ascii="Arial" w:cs="Arial" w:eastAsia="Arial" w:hAnsi="Arial"/>
                <w:sz w:val="14"/>
                <w:szCs w:val="14"/>
                <w:color w:val="435363"/>
              </w:rPr>
              <w:t>term interests with those of our stockholders.</w:t>
            </w:r>
          </w:p>
        </w:tc>
        <w:tc>
          <w:tcPr>
            <w:tcW w:w="280" w:type="dxa"/>
            <w:vAlign w:val="bottom"/>
            <w:shd w:val="clear" w:color="auto" w:fill="EDEDED"/>
          </w:tcPr>
          <w:p>
            <w:pPr>
              <w:spacing w:after="0"/>
              <w:rPr>
                <w:sz w:val="14"/>
                <w:szCs w:val="14"/>
                <w:color w:val="auto"/>
              </w:rPr>
            </w:pPr>
          </w:p>
        </w:tc>
        <w:tc>
          <w:tcPr>
            <w:tcW w:w="320" w:type="dxa"/>
            <w:vAlign w:val="bottom"/>
            <w:shd w:val="clear" w:color="auto" w:fill="EDEDED"/>
          </w:tcPr>
          <w:p>
            <w:pPr>
              <w:spacing w:after="0"/>
              <w:rPr>
                <w:sz w:val="14"/>
                <w:szCs w:val="14"/>
                <w:color w:val="auto"/>
              </w:rPr>
            </w:pPr>
          </w:p>
        </w:tc>
        <w:tc>
          <w:tcPr>
            <w:tcW w:w="5120" w:type="dxa"/>
            <w:vAlign w:val="bottom"/>
            <w:shd w:val="clear" w:color="auto" w:fill="EDEDED"/>
          </w:tcPr>
          <w:p>
            <w:pPr>
              <w:ind w:left="420"/>
              <w:spacing w:after="0"/>
              <w:rPr>
                <w:sz w:val="20"/>
                <w:szCs w:val="20"/>
                <w:color w:val="auto"/>
              </w:rPr>
            </w:pPr>
            <w:r>
              <w:rPr>
                <w:rFonts w:ascii="Arial" w:cs="Arial" w:eastAsia="Arial" w:hAnsi="Arial"/>
                <w:sz w:val="14"/>
                <w:szCs w:val="14"/>
                <w:color w:val="435363"/>
              </w:rPr>
              <w:t>award’s vesting conditions are satisfied, no dividends or dividend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80" w:type="dxa"/>
            <w:vAlign w:val="bottom"/>
            <w:shd w:val="clear" w:color="auto" w:fill="EDEDED"/>
          </w:tcPr>
          <w:p>
            <w:pPr>
              <w:spacing w:after="0" w:line="161" w:lineRule="exact"/>
              <w:rPr>
                <w:sz w:val="20"/>
                <w:szCs w:val="20"/>
                <w:color w:val="auto"/>
              </w:rPr>
            </w:pPr>
            <w:r>
              <w:rPr>
                <w:rFonts w:ascii="Arial" w:cs="Arial" w:eastAsia="Arial" w:hAnsi="Arial"/>
                <w:sz w:val="14"/>
                <w:szCs w:val="14"/>
                <w:color w:val="435363"/>
              </w:rPr>
              <w:t xml:space="preserve">  </w:t>
            </w:r>
            <w:r>
              <w:rPr>
                <w:rFonts w:ascii="MS PGothic" w:cs="MS PGothic" w:eastAsia="MS PGothic" w:hAnsi="MS PGothic"/>
                <w:sz w:val="14"/>
                <w:szCs w:val="14"/>
                <w:color w:val="3575B3"/>
              </w:rPr>
              <w:t>✓</w:t>
            </w:r>
            <w:r>
              <w:rPr>
                <w:rFonts w:ascii="Arial" w:cs="Arial" w:eastAsia="Arial" w:hAnsi="Arial"/>
                <w:sz w:val="14"/>
                <w:szCs w:val="14"/>
                <w:b w:val="1"/>
                <w:bCs w:val="1"/>
                <w:color w:val="435363"/>
              </w:rPr>
              <w:t xml:space="preserve">   Annual Compensation Risk Assessment</w:t>
            </w:r>
            <w:r>
              <w:rPr>
                <w:rFonts w:ascii="Arial" w:cs="Arial" w:eastAsia="Arial" w:hAnsi="Arial"/>
                <w:sz w:val="14"/>
                <w:szCs w:val="14"/>
                <w:color w:val="435363"/>
              </w:rPr>
              <w:t xml:space="preserve"> to identify any elements of our</w:t>
            </w:r>
          </w:p>
        </w:tc>
        <w:tc>
          <w:tcPr>
            <w:tcW w:w="280" w:type="dxa"/>
            <w:vAlign w:val="bottom"/>
            <w:shd w:val="clear" w:color="auto" w:fill="EDEDED"/>
          </w:tcPr>
          <w:p>
            <w:pPr>
              <w:spacing w:after="0"/>
              <w:rPr>
                <w:sz w:val="15"/>
                <w:szCs w:val="15"/>
                <w:color w:val="auto"/>
              </w:rPr>
            </w:pPr>
          </w:p>
        </w:tc>
        <w:tc>
          <w:tcPr>
            <w:tcW w:w="320" w:type="dxa"/>
            <w:vAlign w:val="bottom"/>
            <w:shd w:val="clear" w:color="auto" w:fill="EDEDED"/>
          </w:tcPr>
          <w:p>
            <w:pPr>
              <w:spacing w:after="0"/>
              <w:rPr>
                <w:sz w:val="15"/>
                <w:szCs w:val="15"/>
                <w:color w:val="auto"/>
              </w:rPr>
            </w:pPr>
          </w:p>
        </w:tc>
        <w:tc>
          <w:tcPr>
            <w:tcW w:w="5120" w:type="dxa"/>
            <w:vAlign w:val="bottom"/>
            <w:shd w:val="clear" w:color="auto" w:fill="EDEDED"/>
          </w:tcPr>
          <w:p>
            <w:pPr>
              <w:ind w:left="420"/>
              <w:spacing w:after="0"/>
              <w:rPr>
                <w:sz w:val="20"/>
                <w:szCs w:val="20"/>
                <w:color w:val="auto"/>
              </w:rPr>
            </w:pPr>
            <w:r>
              <w:rPr>
                <w:rFonts w:ascii="Arial" w:cs="Arial" w:eastAsia="Arial" w:hAnsi="Arial"/>
                <w:sz w:val="14"/>
                <w:szCs w:val="14"/>
                <w:color w:val="435363"/>
              </w:rPr>
              <w:t>equivalents accrued on the award are paid.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shd w:val="clear" w:color="auto" w:fill="EDEDED"/>
          </w:tcPr>
          <w:p>
            <w:pPr>
              <w:ind w:left="260"/>
              <w:spacing w:after="0"/>
              <w:rPr>
                <w:sz w:val="20"/>
                <w:szCs w:val="20"/>
                <w:color w:val="auto"/>
              </w:rPr>
            </w:pPr>
            <w:r>
              <w:rPr>
                <w:rFonts w:ascii="Arial" w:cs="Arial" w:eastAsia="Arial" w:hAnsi="Arial"/>
                <w:sz w:val="14"/>
                <w:szCs w:val="14"/>
                <w:color w:val="435363"/>
              </w:rPr>
              <w:t>compensation program design or oversight processes that carry elevated</w:t>
            </w:r>
          </w:p>
        </w:tc>
        <w:tc>
          <w:tcPr>
            <w:tcW w:w="280" w:type="dxa"/>
            <w:vAlign w:val="bottom"/>
            <w:shd w:val="clear" w:color="auto" w:fill="EDEDED"/>
          </w:tcPr>
          <w:p>
            <w:pPr>
              <w:spacing w:after="0"/>
              <w:rPr>
                <w:sz w:val="15"/>
                <w:szCs w:val="15"/>
                <w:color w:val="auto"/>
              </w:rPr>
            </w:pPr>
          </w:p>
        </w:tc>
        <w:tc>
          <w:tcPr>
            <w:tcW w:w="320" w:type="dxa"/>
            <w:vAlign w:val="bottom"/>
            <w:shd w:val="clear" w:color="auto" w:fill="EDEDED"/>
          </w:tcPr>
          <w:p>
            <w:pPr>
              <w:spacing w:after="0"/>
              <w:rPr>
                <w:sz w:val="15"/>
                <w:szCs w:val="15"/>
                <w:color w:val="auto"/>
              </w:rPr>
            </w:pPr>
          </w:p>
        </w:tc>
        <w:tc>
          <w:tcPr>
            <w:tcW w:w="5120" w:type="dxa"/>
            <w:vAlign w:val="bottom"/>
            <w:shd w:val="clear" w:color="auto" w:fill="EDEDED"/>
          </w:tcPr>
          <w:p>
            <w:pPr>
              <w:ind w:left="140"/>
              <w:spacing w:after="0" w:line="161" w:lineRule="exact"/>
              <w:rPr>
                <w:sz w:val="20"/>
                <w:szCs w:val="20"/>
                <w:color w:val="auto"/>
              </w:rPr>
            </w:pPr>
            <w:r>
              <w:rPr>
                <w:rFonts w:ascii="MS PGothic" w:cs="MS PGothic" w:eastAsia="MS PGothic" w:hAnsi="MS PGothic"/>
                <w:sz w:val="14"/>
                <w:szCs w:val="14"/>
                <w:color w:val="BF0000"/>
              </w:rPr>
              <w:t>✖</w:t>
            </w:r>
            <w:r>
              <w:rPr>
                <w:rFonts w:ascii="Arial" w:cs="Arial" w:eastAsia="Arial" w:hAnsi="Arial"/>
                <w:sz w:val="14"/>
                <w:szCs w:val="14"/>
                <w:b w:val="1"/>
                <w:bCs w:val="1"/>
                <w:color w:val="435363"/>
              </w:rPr>
              <w:t xml:space="preserve">    No Repricing of Awards Without Stockholder Approval. </w:t>
            </w:r>
            <w:r>
              <w:rPr>
                <w:rFonts w:ascii="Arial" w:cs="Arial" w:eastAsia="Arial" w:hAnsi="Arial"/>
                <w:sz w:val="14"/>
                <w:szCs w:val="14"/>
                <w:color w:val="435363"/>
              </w:rPr>
              <w:t>Under our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80" w:type="dxa"/>
            <w:vAlign w:val="bottom"/>
            <w:shd w:val="clear" w:color="auto" w:fill="EDEDED"/>
          </w:tcPr>
          <w:p>
            <w:pPr>
              <w:ind w:left="260"/>
              <w:spacing w:after="0"/>
              <w:rPr>
                <w:sz w:val="20"/>
                <w:szCs w:val="20"/>
                <w:color w:val="auto"/>
              </w:rPr>
            </w:pPr>
            <w:r>
              <w:rPr>
                <w:rFonts w:ascii="Arial" w:cs="Arial" w:eastAsia="Arial" w:hAnsi="Arial"/>
                <w:sz w:val="14"/>
                <w:szCs w:val="14"/>
                <w:color w:val="435363"/>
              </w:rPr>
              <w:t>levels of adverse risk.</w:t>
            </w:r>
          </w:p>
        </w:tc>
        <w:tc>
          <w:tcPr>
            <w:tcW w:w="280" w:type="dxa"/>
            <w:vAlign w:val="bottom"/>
            <w:shd w:val="clear" w:color="auto" w:fill="EDEDED"/>
          </w:tcPr>
          <w:p>
            <w:pPr>
              <w:spacing w:after="0"/>
              <w:rPr>
                <w:sz w:val="14"/>
                <w:szCs w:val="14"/>
                <w:color w:val="auto"/>
              </w:rPr>
            </w:pPr>
          </w:p>
        </w:tc>
        <w:tc>
          <w:tcPr>
            <w:tcW w:w="320" w:type="dxa"/>
            <w:vAlign w:val="bottom"/>
            <w:shd w:val="clear" w:color="auto" w:fill="EDEDED"/>
          </w:tcPr>
          <w:p>
            <w:pPr>
              <w:spacing w:after="0"/>
              <w:rPr>
                <w:sz w:val="14"/>
                <w:szCs w:val="14"/>
                <w:color w:val="auto"/>
              </w:rPr>
            </w:pPr>
          </w:p>
        </w:tc>
        <w:tc>
          <w:tcPr>
            <w:tcW w:w="5120" w:type="dxa"/>
            <w:vAlign w:val="bottom"/>
            <w:shd w:val="clear" w:color="auto" w:fill="EDEDED"/>
          </w:tcPr>
          <w:p>
            <w:pPr>
              <w:ind w:left="420"/>
              <w:spacing w:after="0"/>
              <w:rPr>
                <w:sz w:val="20"/>
                <w:szCs w:val="20"/>
                <w:color w:val="auto"/>
              </w:rPr>
            </w:pPr>
            <w:r>
              <w:rPr>
                <w:rFonts w:ascii="Arial" w:cs="Arial" w:eastAsia="Arial" w:hAnsi="Arial"/>
                <w:sz w:val="14"/>
                <w:szCs w:val="14"/>
                <w:color w:val="435363"/>
              </w:rPr>
              <w:t>equity plan, awards may not be repriced without stockholder approval if the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80" w:type="dxa"/>
            <w:vAlign w:val="bottom"/>
            <w:shd w:val="clear" w:color="auto" w:fill="EDEDED"/>
          </w:tcPr>
          <w:p>
            <w:pPr>
              <w:spacing w:after="0" w:line="161" w:lineRule="exact"/>
              <w:rPr>
                <w:sz w:val="20"/>
                <w:szCs w:val="20"/>
                <w:color w:val="auto"/>
              </w:rPr>
            </w:pPr>
            <w:r>
              <w:rPr>
                <w:rFonts w:ascii="Arial" w:cs="Arial" w:eastAsia="Arial" w:hAnsi="Arial"/>
                <w:sz w:val="14"/>
                <w:szCs w:val="14"/>
                <w:color w:val="435363"/>
              </w:rPr>
              <w:t xml:space="preserve">  </w:t>
            </w:r>
            <w:r>
              <w:rPr>
                <w:rFonts w:ascii="MS PGothic" w:cs="MS PGothic" w:eastAsia="MS PGothic" w:hAnsi="MS PGothic"/>
                <w:sz w:val="14"/>
                <w:szCs w:val="14"/>
                <w:color w:val="3575B3"/>
              </w:rPr>
              <w:t>✓</w:t>
            </w:r>
            <w:r>
              <w:rPr>
                <w:rFonts w:ascii="Arial" w:cs="Arial" w:eastAsia="Arial" w:hAnsi="Arial"/>
                <w:sz w:val="14"/>
                <w:szCs w:val="14"/>
                <w:b w:val="1"/>
                <w:bCs w:val="1"/>
                <w:color w:val="435363"/>
              </w:rPr>
              <w:t xml:space="preserve">   Minimum Vesting Requirements.</w:t>
            </w:r>
            <w:r>
              <w:rPr>
                <w:rFonts w:ascii="Arial" w:cs="Arial" w:eastAsia="Arial" w:hAnsi="Arial"/>
                <w:sz w:val="14"/>
                <w:szCs w:val="14"/>
                <w:color w:val="435363"/>
              </w:rPr>
              <w:t xml:space="preserve"> Subject to limited exceptions, no awards</w:t>
            </w:r>
          </w:p>
        </w:tc>
        <w:tc>
          <w:tcPr>
            <w:tcW w:w="280" w:type="dxa"/>
            <w:vAlign w:val="bottom"/>
            <w:shd w:val="clear" w:color="auto" w:fill="EDEDED"/>
          </w:tcPr>
          <w:p>
            <w:pPr>
              <w:spacing w:after="0"/>
              <w:rPr>
                <w:sz w:val="15"/>
                <w:szCs w:val="15"/>
                <w:color w:val="auto"/>
              </w:rPr>
            </w:pPr>
          </w:p>
        </w:tc>
        <w:tc>
          <w:tcPr>
            <w:tcW w:w="320" w:type="dxa"/>
            <w:vAlign w:val="bottom"/>
            <w:shd w:val="clear" w:color="auto" w:fill="EDEDED"/>
          </w:tcPr>
          <w:p>
            <w:pPr>
              <w:spacing w:after="0"/>
              <w:rPr>
                <w:sz w:val="15"/>
                <w:szCs w:val="15"/>
                <w:color w:val="auto"/>
              </w:rPr>
            </w:pPr>
          </w:p>
        </w:tc>
        <w:tc>
          <w:tcPr>
            <w:tcW w:w="5120" w:type="dxa"/>
            <w:vAlign w:val="bottom"/>
            <w:shd w:val="clear" w:color="auto" w:fill="EDEDED"/>
          </w:tcPr>
          <w:p>
            <w:pPr>
              <w:ind w:left="420"/>
              <w:spacing w:after="0"/>
              <w:rPr>
                <w:sz w:val="20"/>
                <w:szCs w:val="20"/>
                <w:color w:val="auto"/>
              </w:rPr>
            </w:pPr>
            <w:r>
              <w:rPr>
                <w:rFonts w:ascii="Arial" w:cs="Arial" w:eastAsia="Arial" w:hAnsi="Arial"/>
                <w:sz w:val="14"/>
                <w:szCs w:val="14"/>
                <w:color w:val="435363"/>
              </w:rPr>
              <w:t>effect would be to reduce the exercise price for the shares underlying the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80" w:type="dxa"/>
            <w:vAlign w:val="bottom"/>
            <w:shd w:val="clear" w:color="auto" w:fill="EDEDED"/>
          </w:tcPr>
          <w:p>
            <w:pPr>
              <w:ind w:left="260"/>
              <w:spacing w:after="0" w:line="159" w:lineRule="exact"/>
              <w:rPr>
                <w:sz w:val="20"/>
                <w:szCs w:val="20"/>
                <w:color w:val="auto"/>
              </w:rPr>
            </w:pPr>
            <w:r>
              <w:rPr>
                <w:rFonts w:ascii="Arial" w:cs="Arial" w:eastAsia="Arial" w:hAnsi="Arial"/>
                <w:sz w:val="14"/>
                <w:szCs w:val="14"/>
                <w:color w:val="435363"/>
              </w:rPr>
              <w:t>granted under our equity plan may vest until the first anniversary of the date</w:t>
            </w:r>
          </w:p>
        </w:tc>
        <w:tc>
          <w:tcPr>
            <w:tcW w:w="280" w:type="dxa"/>
            <w:vAlign w:val="bottom"/>
            <w:shd w:val="clear" w:color="auto" w:fill="EDEDED"/>
          </w:tcPr>
          <w:p>
            <w:pPr>
              <w:spacing w:after="0"/>
              <w:rPr>
                <w:sz w:val="13"/>
                <w:szCs w:val="13"/>
                <w:color w:val="auto"/>
              </w:rPr>
            </w:pPr>
          </w:p>
        </w:tc>
        <w:tc>
          <w:tcPr>
            <w:tcW w:w="320" w:type="dxa"/>
            <w:vAlign w:val="bottom"/>
            <w:shd w:val="clear" w:color="auto" w:fill="EDEDED"/>
          </w:tcPr>
          <w:p>
            <w:pPr>
              <w:spacing w:after="0"/>
              <w:rPr>
                <w:sz w:val="13"/>
                <w:szCs w:val="13"/>
                <w:color w:val="auto"/>
              </w:rPr>
            </w:pPr>
          </w:p>
        </w:tc>
        <w:tc>
          <w:tcPr>
            <w:tcW w:w="5120" w:type="dxa"/>
            <w:vAlign w:val="bottom"/>
            <w:shd w:val="clear" w:color="auto" w:fill="EDEDED"/>
          </w:tcPr>
          <w:p>
            <w:pPr>
              <w:ind w:left="420"/>
              <w:spacing w:after="0" w:line="159" w:lineRule="exact"/>
              <w:rPr>
                <w:sz w:val="20"/>
                <w:szCs w:val="20"/>
                <w:color w:val="auto"/>
              </w:rPr>
            </w:pPr>
            <w:r>
              <w:rPr>
                <w:rFonts w:ascii="Arial" w:cs="Arial" w:eastAsia="Arial" w:hAnsi="Arial"/>
                <w:sz w:val="14"/>
                <w:szCs w:val="14"/>
                <w:color w:val="435363"/>
              </w:rPr>
              <w:t>award.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shd w:val="clear" w:color="auto" w:fill="EDEDED"/>
          </w:tcPr>
          <w:p>
            <w:pPr>
              <w:ind w:left="260"/>
              <w:spacing w:after="0"/>
              <w:rPr>
                <w:sz w:val="20"/>
                <w:szCs w:val="20"/>
                <w:color w:val="auto"/>
              </w:rPr>
            </w:pPr>
            <w:r>
              <w:rPr>
                <w:rFonts w:ascii="Arial" w:cs="Arial" w:eastAsia="Arial" w:hAnsi="Arial"/>
                <w:sz w:val="14"/>
                <w:szCs w:val="14"/>
                <w:color w:val="435363"/>
              </w:rPr>
              <w:t>of grant.</w:t>
            </w:r>
          </w:p>
        </w:tc>
        <w:tc>
          <w:tcPr>
            <w:tcW w:w="280" w:type="dxa"/>
            <w:vAlign w:val="bottom"/>
            <w:shd w:val="clear" w:color="auto" w:fill="EDEDED"/>
          </w:tcPr>
          <w:p>
            <w:pPr>
              <w:spacing w:after="0"/>
              <w:rPr>
                <w:sz w:val="14"/>
                <w:szCs w:val="14"/>
                <w:color w:val="auto"/>
              </w:rPr>
            </w:pPr>
          </w:p>
        </w:tc>
        <w:tc>
          <w:tcPr>
            <w:tcW w:w="320" w:type="dxa"/>
            <w:vAlign w:val="bottom"/>
            <w:shd w:val="clear" w:color="auto" w:fill="EDEDED"/>
          </w:tcPr>
          <w:p>
            <w:pPr>
              <w:spacing w:after="0"/>
              <w:rPr>
                <w:sz w:val="14"/>
                <w:szCs w:val="14"/>
                <w:color w:val="auto"/>
              </w:rPr>
            </w:pPr>
          </w:p>
        </w:tc>
        <w:tc>
          <w:tcPr>
            <w:tcW w:w="51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DEDED"/>
          </w:tcPr>
          <w:p>
            <w:pPr>
              <w:spacing w:after="0" w:line="161" w:lineRule="exact"/>
              <w:rPr>
                <w:sz w:val="20"/>
                <w:szCs w:val="20"/>
                <w:color w:val="auto"/>
              </w:rPr>
            </w:pPr>
            <w:r>
              <w:rPr>
                <w:rFonts w:ascii="Arial" w:cs="Arial" w:eastAsia="Arial" w:hAnsi="Arial"/>
                <w:sz w:val="14"/>
                <w:szCs w:val="14"/>
                <w:color w:val="435363"/>
              </w:rPr>
              <w:t xml:space="preserve">  </w:t>
            </w:r>
            <w:r>
              <w:rPr>
                <w:rFonts w:ascii="MS PGothic" w:cs="MS PGothic" w:eastAsia="MS PGothic" w:hAnsi="MS PGothic"/>
                <w:sz w:val="14"/>
                <w:szCs w:val="14"/>
                <w:color w:val="3575B3"/>
              </w:rPr>
              <w:t>✓</w:t>
            </w:r>
            <w:r>
              <w:rPr>
                <w:rFonts w:ascii="Arial" w:cs="Arial" w:eastAsia="Arial" w:hAnsi="Arial"/>
                <w:sz w:val="14"/>
                <w:szCs w:val="14"/>
                <w:b w:val="1"/>
                <w:bCs w:val="1"/>
                <w:color w:val="435363"/>
              </w:rPr>
              <w:t xml:space="preserve">   Clawback Policy</w:t>
            </w:r>
            <w:r>
              <w:rPr>
                <w:rFonts w:ascii="Arial" w:cs="Arial" w:eastAsia="Arial" w:hAnsi="Arial"/>
                <w:sz w:val="14"/>
                <w:szCs w:val="14"/>
                <w:color w:val="435363"/>
              </w:rPr>
              <w:t xml:space="preserve"> that mandates recoupment of erroneously awarded</w:t>
            </w:r>
          </w:p>
        </w:tc>
        <w:tc>
          <w:tcPr>
            <w:tcW w:w="280" w:type="dxa"/>
            <w:vAlign w:val="bottom"/>
            <w:shd w:val="clear" w:color="auto" w:fill="EDEDED"/>
          </w:tcPr>
          <w:p>
            <w:pPr>
              <w:spacing w:after="0"/>
              <w:rPr>
                <w:sz w:val="17"/>
                <w:szCs w:val="17"/>
                <w:color w:val="auto"/>
              </w:rPr>
            </w:pPr>
          </w:p>
        </w:tc>
        <w:tc>
          <w:tcPr>
            <w:tcW w:w="320" w:type="dxa"/>
            <w:vAlign w:val="bottom"/>
            <w:shd w:val="clear" w:color="auto" w:fill="EDEDED"/>
          </w:tcPr>
          <w:p>
            <w:pPr>
              <w:spacing w:after="0"/>
              <w:rPr>
                <w:sz w:val="17"/>
                <w:szCs w:val="17"/>
                <w:color w:val="auto"/>
              </w:rPr>
            </w:pPr>
          </w:p>
        </w:tc>
        <w:tc>
          <w:tcPr>
            <w:tcW w:w="512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80" w:type="dxa"/>
            <w:vAlign w:val="bottom"/>
            <w:shd w:val="clear" w:color="auto" w:fill="EDEDED"/>
          </w:tcPr>
          <w:p>
            <w:pPr>
              <w:ind w:left="260"/>
              <w:spacing w:after="0" w:line="159" w:lineRule="exact"/>
              <w:rPr>
                <w:sz w:val="20"/>
                <w:szCs w:val="20"/>
                <w:color w:val="auto"/>
              </w:rPr>
            </w:pPr>
            <w:r>
              <w:rPr>
                <w:rFonts w:ascii="Arial" w:cs="Arial" w:eastAsia="Arial" w:hAnsi="Arial"/>
                <w:sz w:val="14"/>
                <w:szCs w:val="14"/>
                <w:color w:val="435363"/>
              </w:rPr>
              <w:t>incentive compensation to executive officers on accounting restatement</w:t>
            </w:r>
          </w:p>
        </w:tc>
        <w:tc>
          <w:tcPr>
            <w:tcW w:w="280" w:type="dxa"/>
            <w:vAlign w:val="bottom"/>
            <w:shd w:val="clear" w:color="auto" w:fill="EDEDED"/>
          </w:tcPr>
          <w:p>
            <w:pPr>
              <w:spacing w:after="0"/>
              <w:rPr>
                <w:sz w:val="13"/>
                <w:szCs w:val="13"/>
                <w:color w:val="auto"/>
              </w:rPr>
            </w:pPr>
          </w:p>
        </w:tc>
        <w:tc>
          <w:tcPr>
            <w:tcW w:w="320" w:type="dxa"/>
            <w:vAlign w:val="bottom"/>
            <w:shd w:val="clear" w:color="auto" w:fill="EDEDED"/>
          </w:tcPr>
          <w:p>
            <w:pPr>
              <w:spacing w:after="0"/>
              <w:rPr>
                <w:sz w:val="13"/>
                <w:szCs w:val="13"/>
                <w:color w:val="auto"/>
              </w:rPr>
            </w:pPr>
          </w:p>
        </w:tc>
        <w:tc>
          <w:tcPr>
            <w:tcW w:w="512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80" w:type="dxa"/>
            <w:vAlign w:val="bottom"/>
            <w:shd w:val="clear" w:color="auto" w:fill="EDEDED"/>
          </w:tcPr>
          <w:p>
            <w:pPr>
              <w:ind w:left="260"/>
              <w:spacing w:after="0" w:line="159" w:lineRule="exact"/>
              <w:rPr>
                <w:sz w:val="20"/>
                <w:szCs w:val="20"/>
                <w:color w:val="auto"/>
              </w:rPr>
            </w:pPr>
            <w:r>
              <w:rPr>
                <w:rFonts w:ascii="Arial" w:cs="Arial" w:eastAsia="Arial" w:hAnsi="Arial"/>
                <w:sz w:val="14"/>
                <w:szCs w:val="14"/>
                <w:color w:val="435363"/>
              </w:rPr>
              <w:t>consistent with SEC and Nasdaq requirements and goes beyond by</w:t>
            </w:r>
          </w:p>
        </w:tc>
        <w:tc>
          <w:tcPr>
            <w:tcW w:w="280" w:type="dxa"/>
            <w:vAlign w:val="bottom"/>
            <w:shd w:val="clear" w:color="auto" w:fill="EDEDED"/>
          </w:tcPr>
          <w:p>
            <w:pPr>
              <w:spacing w:after="0"/>
              <w:rPr>
                <w:sz w:val="13"/>
                <w:szCs w:val="13"/>
                <w:color w:val="auto"/>
              </w:rPr>
            </w:pPr>
          </w:p>
        </w:tc>
        <w:tc>
          <w:tcPr>
            <w:tcW w:w="320" w:type="dxa"/>
            <w:vAlign w:val="bottom"/>
            <w:shd w:val="clear" w:color="auto" w:fill="EDEDED"/>
          </w:tcPr>
          <w:p>
            <w:pPr>
              <w:spacing w:after="0"/>
              <w:rPr>
                <w:sz w:val="13"/>
                <w:szCs w:val="13"/>
                <w:color w:val="auto"/>
              </w:rPr>
            </w:pPr>
          </w:p>
        </w:tc>
        <w:tc>
          <w:tcPr>
            <w:tcW w:w="512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80" w:type="dxa"/>
            <w:vAlign w:val="bottom"/>
            <w:shd w:val="clear" w:color="auto" w:fill="EDEDED"/>
          </w:tcPr>
          <w:p>
            <w:pPr>
              <w:ind w:left="260"/>
              <w:spacing w:after="0" w:line="159" w:lineRule="exact"/>
              <w:rPr>
                <w:sz w:val="20"/>
                <w:szCs w:val="20"/>
                <w:color w:val="auto"/>
              </w:rPr>
            </w:pPr>
            <w:r>
              <w:rPr>
                <w:rFonts w:ascii="Arial" w:cs="Arial" w:eastAsia="Arial" w:hAnsi="Arial"/>
                <w:sz w:val="14"/>
                <w:szCs w:val="14"/>
                <w:color w:val="435363"/>
              </w:rPr>
              <w:t>providing the Compensation Committee with discretion to recover additional</w:t>
            </w:r>
          </w:p>
        </w:tc>
        <w:tc>
          <w:tcPr>
            <w:tcW w:w="280" w:type="dxa"/>
            <w:vAlign w:val="bottom"/>
            <w:shd w:val="clear" w:color="auto" w:fill="EDEDED"/>
          </w:tcPr>
          <w:p>
            <w:pPr>
              <w:spacing w:after="0"/>
              <w:rPr>
                <w:sz w:val="13"/>
                <w:szCs w:val="13"/>
                <w:color w:val="auto"/>
              </w:rPr>
            </w:pPr>
          </w:p>
        </w:tc>
        <w:tc>
          <w:tcPr>
            <w:tcW w:w="320" w:type="dxa"/>
            <w:vAlign w:val="bottom"/>
            <w:shd w:val="clear" w:color="auto" w:fill="EDEDED"/>
          </w:tcPr>
          <w:p>
            <w:pPr>
              <w:spacing w:after="0"/>
              <w:rPr>
                <w:sz w:val="13"/>
                <w:szCs w:val="13"/>
                <w:color w:val="auto"/>
              </w:rPr>
            </w:pPr>
          </w:p>
        </w:tc>
        <w:tc>
          <w:tcPr>
            <w:tcW w:w="512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80" w:type="dxa"/>
            <w:vAlign w:val="bottom"/>
            <w:shd w:val="clear" w:color="auto" w:fill="EDEDED"/>
          </w:tcPr>
          <w:p>
            <w:pPr>
              <w:ind w:left="260"/>
              <w:spacing w:after="0" w:line="159" w:lineRule="exact"/>
              <w:rPr>
                <w:sz w:val="20"/>
                <w:szCs w:val="20"/>
                <w:color w:val="auto"/>
              </w:rPr>
            </w:pPr>
            <w:r>
              <w:rPr>
                <w:rFonts w:ascii="Arial" w:cs="Arial" w:eastAsia="Arial" w:hAnsi="Arial"/>
                <w:sz w:val="14"/>
                <w:szCs w:val="14"/>
                <w:color w:val="435363"/>
              </w:rPr>
              <w:t>compensation paid under the Company’s STIP, LTIP and other equity</w:t>
            </w:r>
          </w:p>
        </w:tc>
        <w:tc>
          <w:tcPr>
            <w:tcW w:w="280" w:type="dxa"/>
            <w:vAlign w:val="bottom"/>
            <w:shd w:val="clear" w:color="auto" w:fill="EDEDED"/>
          </w:tcPr>
          <w:p>
            <w:pPr>
              <w:spacing w:after="0"/>
              <w:rPr>
                <w:sz w:val="13"/>
                <w:szCs w:val="13"/>
                <w:color w:val="auto"/>
              </w:rPr>
            </w:pPr>
          </w:p>
        </w:tc>
        <w:tc>
          <w:tcPr>
            <w:tcW w:w="320" w:type="dxa"/>
            <w:vAlign w:val="bottom"/>
            <w:shd w:val="clear" w:color="auto" w:fill="EDEDED"/>
          </w:tcPr>
          <w:p>
            <w:pPr>
              <w:spacing w:after="0"/>
              <w:rPr>
                <w:sz w:val="13"/>
                <w:szCs w:val="13"/>
                <w:color w:val="auto"/>
              </w:rPr>
            </w:pPr>
          </w:p>
        </w:tc>
        <w:tc>
          <w:tcPr>
            <w:tcW w:w="5120" w:type="dxa"/>
            <w:vAlign w:val="bottom"/>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shd w:val="clear" w:color="auto" w:fill="EDEDED"/>
          </w:tcPr>
          <w:p>
            <w:pPr>
              <w:ind w:left="260"/>
              <w:spacing w:after="0"/>
              <w:rPr>
                <w:sz w:val="20"/>
                <w:szCs w:val="20"/>
                <w:color w:val="auto"/>
              </w:rPr>
            </w:pPr>
            <w:r>
              <w:rPr>
                <w:rFonts w:ascii="Arial" w:cs="Arial" w:eastAsia="Arial" w:hAnsi="Arial"/>
                <w:sz w:val="14"/>
                <w:szCs w:val="14"/>
                <w:color w:val="435363"/>
              </w:rPr>
              <w:t>incentive awards based on circumstances.</w:t>
            </w:r>
          </w:p>
        </w:tc>
        <w:tc>
          <w:tcPr>
            <w:tcW w:w="280" w:type="dxa"/>
            <w:vAlign w:val="bottom"/>
            <w:shd w:val="clear" w:color="auto" w:fill="EDEDED"/>
          </w:tcPr>
          <w:p>
            <w:pPr>
              <w:spacing w:after="0"/>
              <w:rPr>
                <w:sz w:val="14"/>
                <w:szCs w:val="14"/>
                <w:color w:val="auto"/>
              </w:rPr>
            </w:pPr>
          </w:p>
        </w:tc>
        <w:tc>
          <w:tcPr>
            <w:tcW w:w="320" w:type="dxa"/>
            <w:vAlign w:val="bottom"/>
            <w:shd w:val="clear" w:color="auto" w:fill="EDEDED"/>
          </w:tcPr>
          <w:p>
            <w:pPr>
              <w:spacing w:after="0"/>
              <w:rPr>
                <w:sz w:val="14"/>
                <w:szCs w:val="14"/>
                <w:color w:val="auto"/>
              </w:rPr>
            </w:pPr>
          </w:p>
        </w:tc>
        <w:tc>
          <w:tcPr>
            <w:tcW w:w="51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EDEDED"/>
          </w:tcPr>
          <w:p>
            <w:pPr>
              <w:spacing w:after="0" w:line="161" w:lineRule="exact"/>
              <w:rPr>
                <w:sz w:val="20"/>
                <w:szCs w:val="20"/>
                <w:color w:val="auto"/>
              </w:rPr>
            </w:pPr>
            <w:r>
              <w:rPr>
                <w:rFonts w:ascii="Arial" w:cs="Arial" w:eastAsia="Arial" w:hAnsi="Arial"/>
                <w:sz w:val="14"/>
                <w:szCs w:val="14"/>
                <w:color w:val="435363"/>
              </w:rPr>
              <w:t xml:space="preserve">  </w:t>
            </w:r>
            <w:r>
              <w:rPr>
                <w:rFonts w:ascii="MS PGothic" w:cs="MS PGothic" w:eastAsia="MS PGothic" w:hAnsi="MS PGothic"/>
                <w:sz w:val="14"/>
                <w:szCs w:val="14"/>
                <w:color w:val="3575B3"/>
              </w:rPr>
              <w:t>✓</w:t>
            </w:r>
            <w:r>
              <w:rPr>
                <w:rFonts w:ascii="Arial" w:cs="Arial" w:eastAsia="Arial" w:hAnsi="Arial"/>
                <w:sz w:val="14"/>
                <w:szCs w:val="14"/>
                <w:color w:val="435363"/>
              </w:rPr>
              <w:t xml:space="preserve">   </w:t>
            </w:r>
            <w:r>
              <w:rPr>
                <w:rFonts w:ascii="Arial" w:cs="Arial" w:eastAsia="Arial" w:hAnsi="Arial"/>
                <w:sz w:val="14"/>
                <w:szCs w:val="14"/>
                <w:b w:val="1"/>
                <w:bCs w:val="1"/>
                <w:color w:val="435363"/>
              </w:rPr>
              <w:t>Extensive Stockholder Engagement</w:t>
            </w:r>
            <w:r>
              <w:rPr>
                <w:rFonts w:ascii="Arial" w:cs="Arial" w:eastAsia="Arial" w:hAnsi="Arial"/>
                <w:sz w:val="14"/>
                <w:szCs w:val="14"/>
                <w:color w:val="435363"/>
              </w:rPr>
              <w:t xml:space="preserve"> to solicit investor feedback on our</w:t>
            </w:r>
          </w:p>
        </w:tc>
        <w:tc>
          <w:tcPr>
            <w:tcW w:w="280" w:type="dxa"/>
            <w:vAlign w:val="bottom"/>
            <w:shd w:val="clear" w:color="auto" w:fill="EDEDED"/>
          </w:tcPr>
          <w:p>
            <w:pPr>
              <w:spacing w:after="0"/>
              <w:rPr>
                <w:sz w:val="17"/>
                <w:szCs w:val="17"/>
                <w:color w:val="auto"/>
              </w:rPr>
            </w:pPr>
          </w:p>
        </w:tc>
        <w:tc>
          <w:tcPr>
            <w:tcW w:w="320" w:type="dxa"/>
            <w:vAlign w:val="bottom"/>
            <w:shd w:val="clear" w:color="auto" w:fill="EDEDED"/>
          </w:tcPr>
          <w:p>
            <w:pPr>
              <w:spacing w:after="0"/>
              <w:rPr>
                <w:sz w:val="17"/>
                <w:szCs w:val="17"/>
                <w:color w:val="auto"/>
              </w:rPr>
            </w:pPr>
          </w:p>
        </w:tc>
        <w:tc>
          <w:tcPr>
            <w:tcW w:w="512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tcBorders>
              <w:bottom w:val="single" w:sz="8" w:color="EDEDED"/>
            </w:tcBorders>
            <w:shd w:val="clear" w:color="auto" w:fill="EDEDED"/>
          </w:tcPr>
          <w:p>
            <w:pPr>
              <w:ind w:left="260"/>
              <w:spacing w:after="0"/>
              <w:rPr>
                <w:sz w:val="20"/>
                <w:szCs w:val="20"/>
                <w:color w:val="auto"/>
              </w:rPr>
            </w:pPr>
            <w:r>
              <w:rPr>
                <w:rFonts w:ascii="Arial" w:cs="Arial" w:eastAsia="Arial" w:hAnsi="Arial"/>
                <w:sz w:val="14"/>
                <w:szCs w:val="14"/>
                <w:color w:val="435363"/>
              </w:rPr>
              <w:t>compensation program.</w:t>
            </w:r>
          </w:p>
        </w:tc>
        <w:tc>
          <w:tcPr>
            <w:tcW w:w="280" w:type="dxa"/>
            <w:vAlign w:val="bottom"/>
            <w:tcBorders>
              <w:bottom w:val="single" w:sz="8" w:color="EDEDED"/>
            </w:tcBorders>
            <w:shd w:val="clear" w:color="auto" w:fill="EDEDED"/>
          </w:tcPr>
          <w:p>
            <w:pPr>
              <w:spacing w:after="0"/>
              <w:rPr>
                <w:sz w:val="18"/>
                <w:szCs w:val="18"/>
                <w:color w:val="auto"/>
              </w:rPr>
            </w:pPr>
          </w:p>
        </w:tc>
        <w:tc>
          <w:tcPr>
            <w:tcW w:w="320" w:type="dxa"/>
            <w:vAlign w:val="bottom"/>
            <w:tcBorders>
              <w:bottom w:val="single" w:sz="8" w:color="EDEDED"/>
            </w:tcBorders>
            <w:shd w:val="clear" w:color="auto" w:fill="EDEDED"/>
          </w:tcPr>
          <w:p>
            <w:pPr>
              <w:spacing w:after="0"/>
              <w:rPr>
                <w:sz w:val="18"/>
                <w:szCs w:val="18"/>
                <w:color w:val="auto"/>
              </w:rPr>
            </w:pPr>
          </w:p>
        </w:tc>
        <w:tc>
          <w:tcPr>
            <w:tcW w:w="5120" w:type="dxa"/>
            <w:vAlign w:val="bottom"/>
            <w:tcBorders>
              <w:bottom w:val="single" w:sz="8" w:color="EDEDED"/>
            </w:tcBorders>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20" w:type="dxa"/>
            <w:vAlign w:val="bottom"/>
          </w:tcPr>
          <w:p>
            <w:pPr>
              <w:ind w:left="4920"/>
              <w:spacing w:after="0"/>
              <w:rPr>
                <w:sz w:val="20"/>
                <w:szCs w:val="20"/>
                <w:color w:val="auto"/>
              </w:rPr>
            </w:pPr>
            <w:r>
              <w:rPr>
                <w:rFonts w:ascii="Arial" w:cs="Arial" w:eastAsia="Arial" w:hAnsi="Arial"/>
                <w:sz w:val="16"/>
                <w:szCs w:val="16"/>
                <w:b w:val="1"/>
                <w:bCs w:val="1"/>
                <w:color w:val="435363"/>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-153670</wp:posOffset>
            </wp:positionV>
            <wp:extent cx="5177155" cy="1682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91"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Stockholder Approval of 2022 Executive Compensation</w:t>
      </w:r>
    </w:p>
    <w:p>
      <w:pPr>
        <w:spacing w:after="0" w:line="90" w:lineRule="exact"/>
        <w:rPr>
          <w:sz w:val="20"/>
          <w:szCs w:val="20"/>
          <w:color w:val="auto"/>
        </w:rPr>
      </w:pPr>
    </w:p>
    <w:p>
      <w:pPr>
        <w:ind w:left="220"/>
        <w:spacing w:after="0" w:line="252" w:lineRule="auto"/>
        <w:rPr>
          <w:sz w:val="20"/>
          <w:szCs w:val="20"/>
          <w:color w:val="auto"/>
        </w:rPr>
      </w:pPr>
      <w:r>
        <w:rPr>
          <w:rFonts w:ascii="Arial" w:cs="Arial" w:eastAsia="Arial" w:hAnsi="Arial"/>
          <w:sz w:val="16"/>
          <w:szCs w:val="16"/>
          <w:color w:val="435363"/>
        </w:rPr>
        <w:t>At our 2023 annual meeting of stockholders, our stockholders voted, in a non-binding advisory vote, to approve the compensation of our named executive officers (with an approval representing approximately 96% of the shares represented in person or by proxy at the meeting and entitled to vote on the proposal). Our Compensation Committee reviewed the result of the stockholders’ advisory vote on executive compensation and used it as a guide in establishing our executive compensation program.</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Determination of Executive Compensation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Role of the Compensation Committee and Management in Compensation Decisions</w:t>
      </w:r>
    </w:p>
    <w:p>
      <w:pPr>
        <w:spacing w:after="0" w:line="67" w:lineRule="exact"/>
        <w:rPr>
          <w:sz w:val="20"/>
          <w:szCs w:val="20"/>
          <w:color w:val="auto"/>
        </w:rPr>
      </w:pPr>
    </w:p>
    <w:p>
      <w:pPr>
        <w:ind w:left="220" w:right="120"/>
        <w:spacing w:after="0" w:line="248" w:lineRule="auto"/>
        <w:rPr>
          <w:sz w:val="20"/>
          <w:szCs w:val="20"/>
          <w:color w:val="auto"/>
        </w:rPr>
      </w:pPr>
      <w:r>
        <w:rPr>
          <w:rFonts w:ascii="Arial" w:cs="Arial" w:eastAsia="Arial" w:hAnsi="Arial"/>
          <w:sz w:val="16"/>
          <w:szCs w:val="16"/>
          <w:color w:val="435363"/>
        </w:rPr>
        <w:t>The Compensation Committee administers the compensation program for all officers, including the named executive officers, and is comprised of four independent directors. The Compensation Committee’s overarching goal is to create executive compensation programs that align management and stockholder interests over the long-term and to compensate our executives fairly and appropriately, commensurate with their peers at our competitors. This allows us to recruit and retain a highly capable management team. In creating such programs, the Compensation Committee considers stockholder input, management input and the perspective and guidance of its outside consultant. The independent compensation consultant also provides leading practice data for the airline industry and companies of similar size and revenue to us.</w:t>
      </w:r>
    </w:p>
    <w:p>
      <w:pPr>
        <w:spacing w:after="0" w:line="77" w:lineRule="exact"/>
        <w:rPr>
          <w:sz w:val="20"/>
          <w:szCs w:val="20"/>
          <w:color w:val="auto"/>
        </w:rPr>
      </w:pPr>
    </w:p>
    <w:p>
      <w:pPr>
        <w:ind w:left="220" w:right="60"/>
        <w:spacing w:after="0" w:line="247" w:lineRule="auto"/>
        <w:rPr>
          <w:sz w:val="20"/>
          <w:szCs w:val="20"/>
          <w:color w:val="auto"/>
        </w:rPr>
      </w:pPr>
      <w:r>
        <w:rPr>
          <w:rFonts w:ascii="Arial" w:cs="Arial" w:eastAsia="Arial" w:hAnsi="Arial"/>
          <w:sz w:val="16"/>
          <w:szCs w:val="16"/>
          <w:color w:val="435363"/>
        </w:rPr>
        <w:t>Some of the elements we consider when designing our compensation programs include establishing fair and appropriate compensation consistent with market and industry norms, retention, linking compensation to performance, and aligning our programs with the interests of our stockholders. In addition to providing input on our regular compensation programs, management also will from time to time bring matters to the attention of the Compensation Committee that might require alterations to compensation policies, especially when they have identified specific circumstances that require additional executive talent or unique executive skills that we may not currently have in place. Our Chief Executive Officer and Cole Brown, our Chief People Officer, also provide input and recommendations based on his or her direct knowledge of the other named executive officers’ individual performance and contributions considering the scope of their responsibilities.</w:t>
      </w:r>
    </w:p>
    <w:p>
      <w:pPr>
        <w:spacing w:after="0" w:line="18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Use of Compensation Consultant</w:t>
      </w:r>
    </w:p>
    <w:p>
      <w:pPr>
        <w:spacing w:after="0" w:line="67"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435363"/>
        </w:rPr>
        <w:t>For 2023, the Compensation Committee retained Korn Ferry as its independent compensation consultant. The Compensation Committee has sole authority with regard to the decision to retain and the terms of engagement of the compensation consultant. The compensation consultant reports directly to the Compensation Committee with respect to its executive compensation consulting advice. The Compensation Committee has assessed whether the services provided by Korn Ferry or any other relationships created any conflicts of interest pursuant to SEC and Nasdaq rules, and has concluded that no such conflicts of interest exist.</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During 2023, Korn Ferry provided the following services for or at the request of the Compensation Committee:</w:t>
      </w:r>
    </w:p>
    <w:p>
      <w:pPr>
        <w:spacing w:after="0" w:line="81" w:lineRule="exact"/>
        <w:rPr>
          <w:sz w:val="20"/>
          <w:szCs w:val="20"/>
          <w:color w:val="auto"/>
        </w:rPr>
      </w:pPr>
    </w:p>
    <w:p>
      <w:pPr>
        <w:ind w:left="1080" w:hanging="326"/>
        <w:spacing w:after="0"/>
        <w:tabs>
          <w:tab w:leader="none" w:pos="1080" w:val="left"/>
        </w:tabs>
        <w:numPr>
          <w:ilvl w:val="0"/>
          <w:numId w:val="42"/>
        </w:numPr>
        <w:rPr>
          <w:rFonts w:ascii="Arial" w:cs="Arial" w:eastAsia="Arial" w:hAnsi="Arial"/>
          <w:sz w:val="16"/>
          <w:szCs w:val="16"/>
          <w:color w:val="3575B3"/>
        </w:rPr>
      </w:pPr>
      <w:r>
        <w:rPr>
          <w:rFonts w:ascii="Arial" w:cs="Arial" w:eastAsia="Arial" w:hAnsi="Arial"/>
          <w:sz w:val="16"/>
          <w:szCs w:val="16"/>
          <w:color w:val="435363"/>
        </w:rPr>
        <w:t>reviewed management’s materials prepared for the Compensation Committee;</w:t>
      </w:r>
    </w:p>
    <w:p>
      <w:pPr>
        <w:spacing w:after="0" w:line="80" w:lineRule="exact"/>
        <w:rPr>
          <w:rFonts w:ascii="Arial" w:cs="Arial" w:eastAsia="Arial" w:hAnsi="Arial"/>
          <w:sz w:val="16"/>
          <w:szCs w:val="16"/>
          <w:color w:val="3575B3"/>
        </w:rPr>
      </w:pPr>
    </w:p>
    <w:p>
      <w:pPr>
        <w:ind w:left="1080" w:right="300" w:hanging="326"/>
        <w:spacing w:after="0" w:line="275" w:lineRule="auto"/>
        <w:tabs>
          <w:tab w:leader="none" w:pos="1080" w:val="left"/>
        </w:tabs>
        <w:numPr>
          <w:ilvl w:val="0"/>
          <w:numId w:val="42"/>
        </w:numPr>
        <w:rPr>
          <w:rFonts w:ascii="Arial" w:cs="Arial" w:eastAsia="Arial" w:hAnsi="Arial"/>
          <w:sz w:val="16"/>
          <w:szCs w:val="16"/>
          <w:color w:val="3575B3"/>
        </w:rPr>
      </w:pPr>
      <w:r>
        <w:rPr>
          <w:rFonts w:ascii="Arial" w:cs="Arial" w:eastAsia="Arial" w:hAnsi="Arial"/>
          <w:sz w:val="16"/>
          <w:szCs w:val="16"/>
          <w:color w:val="435363"/>
        </w:rPr>
        <w:t>assisted the Compensation Committee in the design of the executive compensation program, including structure, metric selection, payout opportunities, and establishment of performance targets;</w:t>
      </w:r>
    </w:p>
    <w:p>
      <w:pPr>
        <w:spacing w:after="0" w:line="28" w:lineRule="exact"/>
        <w:rPr>
          <w:rFonts w:ascii="Arial" w:cs="Arial" w:eastAsia="Arial" w:hAnsi="Arial"/>
          <w:sz w:val="16"/>
          <w:szCs w:val="16"/>
          <w:color w:val="3575B3"/>
        </w:rPr>
      </w:pPr>
    </w:p>
    <w:p>
      <w:pPr>
        <w:ind w:left="1080" w:hanging="326"/>
        <w:spacing w:after="0"/>
        <w:tabs>
          <w:tab w:leader="none" w:pos="1080" w:val="left"/>
        </w:tabs>
        <w:numPr>
          <w:ilvl w:val="0"/>
          <w:numId w:val="42"/>
        </w:numPr>
        <w:rPr>
          <w:rFonts w:ascii="Arial" w:cs="Arial" w:eastAsia="Arial" w:hAnsi="Arial"/>
          <w:sz w:val="16"/>
          <w:szCs w:val="16"/>
          <w:color w:val="3575B3"/>
        </w:rPr>
      </w:pPr>
      <w:r>
        <w:rPr>
          <w:rFonts w:ascii="Arial" w:cs="Arial" w:eastAsia="Arial" w:hAnsi="Arial"/>
          <w:sz w:val="16"/>
          <w:szCs w:val="16"/>
          <w:color w:val="435363"/>
        </w:rPr>
        <w:t>benchmarked compensation levels for senior executives and non-executive directors;</w:t>
      </w:r>
    </w:p>
    <w:p>
      <w:pPr>
        <w:spacing w:after="0" w:line="80" w:lineRule="exact"/>
        <w:rPr>
          <w:rFonts w:ascii="Arial" w:cs="Arial" w:eastAsia="Arial" w:hAnsi="Arial"/>
          <w:sz w:val="16"/>
          <w:szCs w:val="16"/>
          <w:color w:val="3575B3"/>
        </w:rPr>
      </w:pPr>
    </w:p>
    <w:p>
      <w:pPr>
        <w:ind w:left="1080" w:hanging="326"/>
        <w:spacing w:after="0"/>
        <w:tabs>
          <w:tab w:leader="none" w:pos="1080" w:val="left"/>
        </w:tabs>
        <w:numPr>
          <w:ilvl w:val="0"/>
          <w:numId w:val="42"/>
        </w:numPr>
        <w:rPr>
          <w:rFonts w:ascii="Arial" w:cs="Arial" w:eastAsia="Arial" w:hAnsi="Arial"/>
          <w:sz w:val="16"/>
          <w:szCs w:val="16"/>
          <w:color w:val="3575B3"/>
        </w:rPr>
      </w:pPr>
      <w:r>
        <w:rPr>
          <w:rFonts w:ascii="Arial" w:cs="Arial" w:eastAsia="Arial" w:hAnsi="Arial"/>
          <w:sz w:val="16"/>
          <w:szCs w:val="16"/>
          <w:color w:val="435363"/>
        </w:rPr>
        <w:t>conducted an annual review of the compensation peer group;</w:t>
      </w:r>
    </w:p>
    <w:p>
      <w:pPr>
        <w:spacing w:after="0" w:line="80" w:lineRule="exact"/>
        <w:rPr>
          <w:rFonts w:ascii="Arial" w:cs="Arial" w:eastAsia="Arial" w:hAnsi="Arial"/>
          <w:sz w:val="16"/>
          <w:szCs w:val="16"/>
          <w:color w:val="3575B3"/>
        </w:rPr>
      </w:pPr>
    </w:p>
    <w:p>
      <w:pPr>
        <w:ind w:left="1080" w:hanging="326"/>
        <w:spacing w:after="0"/>
        <w:tabs>
          <w:tab w:leader="none" w:pos="1080" w:val="left"/>
        </w:tabs>
        <w:numPr>
          <w:ilvl w:val="0"/>
          <w:numId w:val="42"/>
        </w:numPr>
        <w:rPr>
          <w:rFonts w:ascii="Arial" w:cs="Arial" w:eastAsia="Arial" w:hAnsi="Arial"/>
          <w:sz w:val="16"/>
          <w:szCs w:val="16"/>
          <w:color w:val="3575B3"/>
        </w:rPr>
      </w:pPr>
      <w:r>
        <w:rPr>
          <w:rFonts w:ascii="Arial" w:cs="Arial" w:eastAsia="Arial" w:hAnsi="Arial"/>
          <w:sz w:val="16"/>
          <w:szCs w:val="16"/>
          <w:color w:val="435363"/>
        </w:rPr>
        <w:t>attended Compensation Committee meetings; and</w:t>
      </w:r>
    </w:p>
    <w:p>
      <w:pPr>
        <w:spacing w:after="0" w:line="80" w:lineRule="exact"/>
        <w:rPr>
          <w:rFonts w:ascii="Arial" w:cs="Arial" w:eastAsia="Arial" w:hAnsi="Arial"/>
          <w:sz w:val="16"/>
          <w:szCs w:val="16"/>
          <w:color w:val="3575B3"/>
        </w:rPr>
      </w:pPr>
    </w:p>
    <w:p>
      <w:pPr>
        <w:ind w:left="1080" w:hanging="326"/>
        <w:spacing w:after="0"/>
        <w:tabs>
          <w:tab w:leader="none" w:pos="1080" w:val="left"/>
        </w:tabs>
        <w:numPr>
          <w:ilvl w:val="0"/>
          <w:numId w:val="42"/>
        </w:numPr>
        <w:rPr>
          <w:rFonts w:ascii="Arial" w:cs="Arial" w:eastAsia="Arial" w:hAnsi="Arial"/>
          <w:sz w:val="16"/>
          <w:szCs w:val="16"/>
          <w:color w:val="3575B3"/>
        </w:rPr>
      </w:pPr>
      <w:r>
        <w:rPr>
          <w:rFonts w:ascii="Arial" w:cs="Arial" w:eastAsia="Arial" w:hAnsi="Arial"/>
          <w:sz w:val="16"/>
          <w:szCs w:val="16"/>
          <w:color w:val="435363"/>
        </w:rPr>
        <w:t>responded to various other requests from the Compensation Committee.</w:t>
      </w:r>
    </w:p>
    <w:p>
      <w:pPr>
        <w:spacing w:after="0" w:line="107" w:lineRule="exact"/>
        <w:rPr>
          <w:sz w:val="20"/>
          <w:szCs w:val="20"/>
          <w:color w:val="auto"/>
        </w:rPr>
      </w:pPr>
    </w:p>
    <w:p>
      <w:pPr>
        <w:ind w:left="220" w:right="460"/>
        <w:spacing w:after="0" w:line="275" w:lineRule="auto"/>
        <w:rPr>
          <w:sz w:val="20"/>
          <w:szCs w:val="20"/>
          <w:color w:val="auto"/>
        </w:rPr>
      </w:pPr>
      <w:r>
        <w:rPr>
          <w:rFonts w:ascii="Arial" w:cs="Arial" w:eastAsia="Arial" w:hAnsi="Arial"/>
          <w:sz w:val="16"/>
          <w:szCs w:val="16"/>
          <w:color w:val="435363"/>
        </w:rPr>
        <w:t>In 2023, in addition to the executive compensation services Korn Ferry performed for or at the request of the Compensation Committee, Korn Ferry provided limited executive search services and broad-based compensation products to the Company.</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Use of Market Data</w:t>
      </w:r>
    </w:p>
    <w:p>
      <w:pPr>
        <w:spacing w:after="0" w:line="81" w:lineRule="exact"/>
        <w:rPr>
          <w:sz w:val="20"/>
          <w:szCs w:val="20"/>
          <w:color w:val="auto"/>
        </w:rPr>
      </w:pPr>
    </w:p>
    <w:p>
      <w:pPr>
        <w:ind w:left="220" w:right="180"/>
        <w:spacing w:after="0" w:line="275" w:lineRule="auto"/>
        <w:rPr>
          <w:sz w:val="20"/>
          <w:szCs w:val="20"/>
          <w:color w:val="auto"/>
        </w:rPr>
      </w:pPr>
      <w:r>
        <w:rPr>
          <w:rFonts w:ascii="Arial" w:cs="Arial" w:eastAsia="Arial" w:hAnsi="Arial"/>
          <w:sz w:val="16"/>
          <w:szCs w:val="16"/>
          <w:color w:val="435363"/>
        </w:rPr>
        <w:t>In order to ensure a competitive design for our executive compensation program, in 2023, our Compensation Committee, with advice and analysis from its compensation consultant, reviewed our program against those of our largest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186690</wp:posOffset>
            </wp:positionV>
            <wp:extent cx="5177155" cy="1682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3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52</w:t>
      </w:r>
    </w:p>
    <w:p>
      <w:pPr>
        <w:spacing w:after="0" w:line="3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00"/>
          </w:cols>
          <w:pgMar w:left="320" w:top="477" w:right="5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right="140"/>
        <w:spacing w:after="0" w:line="258" w:lineRule="auto"/>
        <w:rPr>
          <w:sz w:val="20"/>
          <w:szCs w:val="20"/>
          <w:color w:val="auto"/>
        </w:rPr>
      </w:pPr>
      <w:r>
        <w:rPr>
          <w:rFonts w:ascii="Arial" w:cs="Arial" w:eastAsia="Arial" w:hAnsi="Arial"/>
          <w:sz w:val="16"/>
          <w:szCs w:val="16"/>
          <w:color w:val="435363"/>
        </w:rPr>
        <w:t>Delta, United, and Southwest Airlines, with an emphasis on Delta and United, our closest peers. The Compensation Committee also reviewed a broader spectrum of compensation pay data, including survey data consisting of Korn Ferry and Equilar Top 25 including 79 organizations with revenue greater than $15 billion with data for 1,972 incumbents.</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Executive Compensation with an Emphasis on Performance-Based Pay</w:t>
      </w:r>
    </w:p>
    <w:p>
      <w:pPr>
        <w:spacing w:after="0" w:line="90" w:lineRule="exact"/>
        <w:rPr>
          <w:sz w:val="20"/>
          <w:szCs w:val="20"/>
          <w:color w:val="auto"/>
        </w:rPr>
      </w:pPr>
    </w:p>
    <w:p>
      <w:pPr>
        <w:ind w:left="220" w:right="20"/>
        <w:spacing w:after="0" w:line="252" w:lineRule="auto"/>
        <w:rPr>
          <w:sz w:val="20"/>
          <w:szCs w:val="20"/>
          <w:color w:val="auto"/>
        </w:rPr>
      </w:pPr>
      <w:r>
        <w:rPr>
          <w:rFonts w:ascii="Arial" w:cs="Arial" w:eastAsia="Arial" w:hAnsi="Arial"/>
          <w:sz w:val="16"/>
          <w:szCs w:val="16"/>
          <w:color w:val="435363"/>
        </w:rPr>
        <w:t>For 2023, the Compensation Committee continued the performance-based STIP and the performance-based components of our LTIP programs for the named executive officers, as described more fully below. As a result, in 2023, our executive compensation structure included both fixed and performance-based pay. Specifically, our 2023 executive compensation structure consisted of three core components which aligned management and stockholder interests:</w:t>
      </w:r>
    </w:p>
    <w:p>
      <w:pPr>
        <w:spacing w:after="0" w:line="88" w:lineRule="exact"/>
        <w:rPr>
          <w:sz w:val="20"/>
          <w:szCs w:val="20"/>
          <w:color w:val="auto"/>
        </w:rPr>
      </w:pPr>
    </w:p>
    <w:p>
      <w:pPr>
        <w:ind w:left="1080" w:hanging="326"/>
        <w:spacing w:after="0"/>
        <w:tabs>
          <w:tab w:leader="none" w:pos="1080" w:val="left"/>
        </w:tabs>
        <w:numPr>
          <w:ilvl w:val="0"/>
          <w:numId w:val="43"/>
        </w:numPr>
        <w:rPr>
          <w:rFonts w:ascii="Arial" w:cs="Arial" w:eastAsia="Arial" w:hAnsi="Arial"/>
          <w:sz w:val="16"/>
          <w:szCs w:val="16"/>
          <w:color w:val="3575B3"/>
        </w:rPr>
      </w:pPr>
      <w:r>
        <w:rPr>
          <w:rFonts w:ascii="Arial" w:cs="Arial" w:eastAsia="Arial" w:hAnsi="Arial"/>
          <w:sz w:val="16"/>
          <w:szCs w:val="16"/>
          <w:color w:val="435363"/>
        </w:rPr>
        <w:t>a base salary paid in cash;</w:t>
      </w:r>
    </w:p>
    <w:p>
      <w:pPr>
        <w:spacing w:after="0" w:line="120" w:lineRule="exact"/>
        <w:rPr>
          <w:rFonts w:ascii="Arial" w:cs="Arial" w:eastAsia="Arial" w:hAnsi="Arial"/>
          <w:sz w:val="16"/>
          <w:szCs w:val="16"/>
          <w:color w:val="3575B3"/>
        </w:rPr>
      </w:pPr>
    </w:p>
    <w:p>
      <w:pPr>
        <w:ind w:left="1080" w:right="60" w:hanging="326"/>
        <w:spacing w:after="0" w:line="275" w:lineRule="auto"/>
        <w:tabs>
          <w:tab w:leader="none" w:pos="1080" w:val="left"/>
        </w:tabs>
        <w:numPr>
          <w:ilvl w:val="0"/>
          <w:numId w:val="43"/>
        </w:numPr>
        <w:rPr>
          <w:rFonts w:ascii="Arial" w:cs="Arial" w:eastAsia="Arial" w:hAnsi="Arial"/>
          <w:sz w:val="16"/>
          <w:szCs w:val="16"/>
          <w:color w:val="3575B3"/>
        </w:rPr>
      </w:pPr>
      <w:r>
        <w:rPr>
          <w:rFonts w:ascii="Arial" w:cs="Arial" w:eastAsia="Arial" w:hAnsi="Arial"/>
          <w:sz w:val="16"/>
          <w:szCs w:val="16"/>
          <w:color w:val="435363"/>
        </w:rPr>
        <w:t>an annual incentive program paid in cash based on achievement of profitability, operational and diversity, equity and inclusion (“DEI”) targets; and</w:t>
      </w:r>
    </w:p>
    <w:p>
      <w:pPr>
        <w:spacing w:after="0" w:line="68" w:lineRule="exact"/>
        <w:rPr>
          <w:rFonts w:ascii="Arial" w:cs="Arial" w:eastAsia="Arial" w:hAnsi="Arial"/>
          <w:sz w:val="16"/>
          <w:szCs w:val="16"/>
          <w:color w:val="3575B3"/>
        </w:rPr>
      </w:pPr>
    </w:p>
    <w:p>
      <w:pPr>
        <w:ind w:left="1080" w:hanging="326"/>
        <w:spacing w:after="0"/>
        <w:tabs>
          <w:tab w:leader="none" w:pos="1080" w:val="left"/>
        </w:tabs>
        <w:numPr>
          <w:ilvl w:val="0"/>
          <w:numId w:val="43"/>
        </w:numPr>
        <w:rPr>
          <w:rFonts w:ascii="Arial" w:cs="Arial" w:eastAsia="Arial" w:hAnsi="Arial"/>
          <w:sz w:val="16"/>
          <w:szCs w:val="16"/>
          <w:color w:val="3575B3"/>
        </w:rPr>
      </w:pPr>
      <w:r>
        <w:rPr>
          <w:rFonts w:ascii="Arial" w:cs="Arial" w:eastAsia="Arial" w:hAnsi="Arial"/>
          <w:sz w:val="16"/>
          <w:szCs w:val="16"/>
          <w:color w:val="435363"/>
        </w:rPr>
        <w:t>a long-term equity incentive program in the form of RSUs that incorporate both performance- and time-vesting components.</w:t>
      </w:r>
    </w:p>
    <w:p>
      <w:pPr>
        <w:spacing w:after="0" w:line="107" w:lineRule="exact"/>
        <w:rPr>
          <w:sz w:val="20"/>
          <w:szCs w:val="20"/>
          <w:color w:val="auto"/>
        </w:rPr>
      </w:pPr>
    </w:p>
    <w:p>
      <w:pPr>
        <w:ind w:left="220" w:right="100"/>
        <w:spacing w:after="0" w:line="309" w:lineRule="auto"/>
        <w:rPr>
          <w:sz w:val="20"/>
          <w:szCs w:val="20"/>
          <w:color w:val="auto"/>
        </w:rPr>
      </w:pPr>
      <w:r>
        <w:rPr>
          <w:rFonts w:ascii="Arial" w:cs="Arial" w:eastAsia="Arial" w:hAnsi="Arial"/>
          <w:sz w:val="15"/>
          <w:szCs w:val="15"/>
          <w:color w:val="435363"/>
        </w:rPr>
        <w:t>The overarching goal was to emphasize pay for performance (such that compensation is paid only if we meet pre-determined performance targets) and align executive and stockholder interests through cash and equity-based compensation tied to our operational (including DEI) and financial performance.</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Base Salary</w:t>
      </w:r>
    </w:p>
    <w:p>
      <w:pPr>
        <w:spacing w:after="0" w:line="77" w:lineRule="exact"/>
        <w:rPr>
          <w:sz w:val="20"/>
          <w:szCs w:val="20"/>
          <w:color w:val="auto"/>
        </w:rPr>
      </w:pPr>
    </w:p>
    <w:p>
      <w:pPr>
        <w:ind w:left="220" w:right="80"/>
        <w:spacing w:after="0" w:line="248" w:lineRule="auto"/>
        <w:rPr>
          <w:sz w:val="20"/>
          <w:szCs w:val="20"/>
          <w:color w:val="auto"/>
        </w:rPr>
      </w:pPr>
      <w:r>
        <w:rPr>
          <w:rFonts w:ascii="Arial" w:cs="Arial" w:eastAsia="Arial" w:hAnsi="Arial"/>
          <w:sz w:val="16"/>
          <w:szCs w:val="16"/>
          <w:color w:val="435363"/>
        </w:rPr>
        <w:t>Base salaries provide a secure, consistent amount of fixed pay that compensates executives for their scope of responsibility, competence and performance. Mr. Isom’s 2023 base salary remained at the same level as in 2022. Mr. Johnson’s base salary was increased by 9.7% to the level set forth in the table below in connection with his appointment as the Company’s Vice Chair and Chief Strategy Officer in May 2023. The base salaries for</w:t>
      </w:r>
    </w:p>
    <w:p>
      <w:pPr>
        <w:spacing w:after="0" w:line="2" w:lineRule="exact"/>
        <w:rPr>
          <w:sz w:val="20"/>
          <w:szCs w:val="20"/>
          <w:color w:val="auto"/>
        </w:rPr>
      </w:pPr>
    </w:p>
    <w:p>
      <w:pPr>
        <w:ind w:left="220" w:right="340"/>
        <w:spacing w:after="0" w:line="254" w:lineRule="auto"/>
        <w:rPr>
          <w:sz w:val="20"/>
          <w:szCs w:val="20"/>
          <w:color w:val="auto"/>
        </w:rPr>
      </w:pPr>
      <w:r>
        <w:rPr>
          <w:rFonts w:ascii="Arial" w:cs="Arial" w:eastAsia="Arial" w:hAnsi="Arial"/>
          <w:sz w:val="16"/>
          <w:szCs w:val="16"/>
          <w:color w:val="435363"/>
        </w:rPr>
        <w:t>Ms. Aiyar and Messrs. May and Raja were increased by 16.8%, 15.8% and 19.2%, respectively, in connection with their promotions to Executive Vice President and to levels that are more competitive with their peers at our competitor airlines, as set forth in the table below.</w:t>
      </w:r>
    </w:p>
    <w:p>
      <w:pPr>
        <w:spacing w:after="0" w:line="203" w:lineRule="exact"/>
        <w:rPr>
          <w:sz w:val="20"/>
          <w:szCs w:val="20"/>
          <w:color w:val="auto"/>
        </w:rPr>
      </w:pPr>
    </w:p>
    <w:tbl>
      <w:tblPr>
        <w:tblLayout w:type="fixed"/>
        <w:tblInd w:w="1960" w:type="dxa"/>
        <w:tblCellMar>
          <w:top w:w="0" w:type="dxa"/>
          <w:left w:w="0" w:type="dxa"/>
          <w:bottom w:w="0" w:type="dxa"/>
          <w:right w:w="0" w:type="dxa"/>
        </w:tblCellMar>
      </w:tblPr>
      <w:tr>
        <w:trPr>
          <w:trHeight w:val="222"/>
        </w:trPr>
        <w:tc>
          <w:tcPr>
            <w:tcW w:w="5280" w:type="dxa"/>
            <w:vAlign w:val="bottom"/>
            <w:tcBorders>
              <w:bottom w:val="single" w:sz="8" w:color="BF0000"/>
            </w:tcBorders>
          </w:tcPr>
          <w:p>
            <w:pPr>
              <w:spacing w:after="0"/>
              <w:rPr>
                <w:sz w:val="20"/>
                <w:szCs w:val="20"/>
                <w:color w:val="auto"/>
              </w:rPr>
            </w:pPr>
            <w:r>
              <w:rPr>
                <w:rFonts w:ascii="Arial" w:cs="Arial" w:eastAsia="Arial" w:hAnsi="Arial"/>
                <w:sz w:val="16"/>
                <w:szCs w:val="16"/>
                <w:b w:val="1"/>
                <w:bCs w:val="1"/>
                <w:color w:val="3575B3"/>
              </w:rPr>
              <w:t>  Named Executive Officer</w:t>
            </w:r>
          </w:p>
        </w:tc>
        <w:tc>
          <w:tcPr>
            <w:tcW w:w="2060" w:type="dxa"/>
            <w:vAlign w:val="bottom"/>
            <w:tcBorders>
              <w:bottom w:val="single" w:sz="8" w:color="BF0000"/>
            </w:tcBorders>
          </w:tcPr>
          <w:p>
            <w:pPr>
              <w:jc w:val="right"/>
              <w:spacing w:after="0"/>
              <w:rPr>
                <w:sz w:val="20"/>
                <w:szCs w:val="20"/>
                <w:color w:val="auto"/>
              </w:rPr>
            </w:pPr>
            <w:r>
              <w:rPr>
                <w:rFonts w:ascii="Arial" w:cs="Arial" w:eastAsia="Arial" w:hAnsi="Arial"/>
                <w:sz w:val="16"/>
                <w:szCs w:val="16"/>
                <w:b w:val="1"/>
                <w:bCs w:val="1"/>
                <w:color w:val="3575B3"/>
              </w:rPr>
              <w:t>2023 Base Salary ($)</w:t>
            </w:r>
          </w:p>
        </w:tc>
      </w:tr>
      <w:tr>
        <w:trPr>
          <w:trHeight w:val="241"/>
        </w:trPr>
        <w:tc>
          <w:tcPr>
            <w:tcW w:w="5280" w:type="dxa"/>
            <w:vAlign w:val="bottom"/>
          </w:tcPr>
          <w:p>
            <w:pPr>
              <w:ind w:left="60"/>
              <w:spacing w:after="0"/>
              <w:rPr>
                <w:sz w:val="20"/>
                <w:szCs w:val="20"/>
                <w:color w:val="auto"/>
              </w:rPr>
            </w:pPr>
            <w:r>
              <w:rPr>
                <w:rFonts w:ascii="Arial" w:cs="Arial" w:eastAsia="Arial" w:hAnsi="Arial"/>
                <w:sz w:val="16"/>
                <w:szCs w:val="16"/>
                <w:b w:val="1"/>
                <w:bCs w:val="1"/>
                <w:color w:val="435363"/>
              </w:rPr>
              <w:t>Robert Isom</w:t>
            </w:r>
          </w:p>
        </w:tc>
        <w:tc>
          <w:tcPr>
            <w:tcW w:w="2060" w:type="dxa"/>
            <w:vAlign w:val="bottom"/>
          </w:tcPr>
          <w:p>
            <w:pPr>
              <w:jc w:val="right"/>
              <w:spacing w:after="0"/>
              <w:rPr>
                <w:sz w:val="20"/>
                <w:szCs w:val="20"/>
                <w:color w:val="auto"/>
              </w:rPr>
            </w:pPr>
            <w:r>
              <w:rPr>
                <w:rFonts w:ascii="Arial" w:cs="Arial" w:eastAsia="Arial" w:hAnsi="Arial"/>
                <w:sz w:val="16"/>
                <w:szCs w:val="16"/>
                <w:color w:val="435363"/>
              </w:rPr>
              <w:t>1,300,000</w:t>
            </w:r>
          </w:p>
        </w:tc>
      </w:tr>
      <w:tr>
        <w:trPr>
          <w:trHeight w:val="35"/>
        </w:trPr>
        <w:tc>
          <w:tcPr>
            <w:tcW w:w="5280" w:type="dxa"/>
            <w:vAlign w:val="bottom"/>
          </w:tcPr>
          <w:p>
            <w:pPr>
              <w:spacing w:after="0"/>
              <w:rPr>
                <w:sz w:val="3"/>
                <w:szCs w:val="3"/>
                <w:color w:val="auto"/>
              </w:rPr>
            </w:pPr>
          </w:p>
        </w:tc>
        <w:tc>
          <w:tcPr>
            <w:tcW w:w="2060" w:type="dxa"/>
            <w:vAlign w:val="bottom"/>
          </w:tcPr>
          <w:p>
            <w:pPr>
              <w:spacing w:after="0"/>
              <w:rPr>
                <w:sz w:val="3"/>
                <w:szCs w:val="3"/>
                <w:color w:val="auto"/>
              </w:rPr>
            </w:pPr>
          </w:p>
        </w:tc>
      </w:tr>
      <w:tr>
        <w:trPr>
          <w:trHeight w:val="271"/>
        </w:trPr>
        <w:tc>
          <w:tcPr>
            <w:tcW w:w="52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Steve Johnson</w:t>
            </w:r>
          </w:p>
        </w:tc>
        <w:tc>
          <w:tcPr>
            <w:tcW w:w="20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850,000</w:t>
            </w:r>
          </w:p>
        </w:tc>
      </w:tr>
      <w:tr>
        <w:trPr>
          <w:trHeight w:val="257"/>
        </w:trPr>
        <w:tc>
          <w:tcPr>
            <w:tcW w:w="5280" w:type="dxa"/>
            <w:vAlign w:val="bottom"/>
          </w:tcPr>
          <w:p>
            <w:pPr>
              <w:ind w:left="60"/>
              <w:spacing w:after="0"/>
              <w:rPr>
                <w:sz w:val="20"/>
                <w:szCs w:val="20"/>
                <w:color w:val="auto"/>
              </w:rPr>
            </w:pPr>
            <w:r>
              <w:rPr>
                <w:rFonts w:ascii="Arial" w:cs="Arial" w:eastAsia="Arial" w:hAnsi="Arial"/>
                <w:sz w:val="16"/>
                <w:szCs w:val="16"/>
                <w:b w:val="1"/>
                <w:bCs w:val="1"/>
                <w:color w:val="435363"/>
              </w:rPr>
              <w:t>Priya Aiyar</w:t>
            </w:r>
          </w:p>
        </w:tc>
        <w:tc>
          <w:tcPr>
            <w:tcW w:w="2060" w:type="dxa"/>
            <w:vAlign w:val="bottom"/>
          </w:tcPr>
          <w:p>
            <w:pPr>
              <w:jc w:val="right"/>
              <w:spacing w:after="0"/>
              <w:rPr>
                <w:sz w:val="20"/>
                <w:szCs w:val="20"/>
                <w:color w:val="auto"/>
              </w:rPr>
            </w:pPr>
            <w:r>
              <w:rPr>
                <w:rFonts w:ascii="Arial" w:cs="Arial" w:eastAsia="Arial" w:hAnsi="Arial"/>
                <w:sz w:val="16"/>
                <w:szCs w:val="16"/>
                <w:color w:val="435363"/>
              </w:rPr>
              <w:t>730,000</w:t>
            </w:r>
          </w:p>
        </w:tc>
      </w:tr>
      <w:tr>
        <w:trPr>
          <w:trHeight w:val="35"/>
        </w:trPr>
        <w:tc>
          <w:tcPr>
            <w:tcW w:w="5280" w:type="dxa"/>
            <w:vAlign w:val="bottom"/>
          </w:tcPr>
          <w:p>
            <w:pPr>
              <w:spacing w:after="0"/>
              <w:rPr>
                <w:sz w:val="3"/>
                <w:szCs w:val="3"/>
                <w:color w:val="auto"/>
              </w:rPr>
            </w:pPr>
          </w:p>
        </w:tc>
        <w:tc>
          <w:tcPr>
            <w:tcW w:w="2060" w:type="dxa"/>
            <w:vAlign w:val="bottom"/>
          </w:tcPr>
          <w:p>
            <w:pPr>
              <w:spacing w:after="0"/>
              <w:rPr>
                <w:sz w:val="3"/>
                <w:szCs w:val="3"/>
                <w:color w:val="auto"/>
              </w:rPr>
            </w:pPr>
          </w:p>
        </w:tc>
      </w:tr>
      <w:tr>
        <w:trPr>
          <w:trHeight w:val="271"/>
        </w:trPr>
        <w:tc>
          <w:tcPr>
            <w:tcW w:w="52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Devon May</w:t>
            </w:r>
          </w:p>
        </w:tc>
        <w:tc>
          <w:tcPr>
            <w:tcW w:w="20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775,000</w:t>
            </w:r>
          </w:p>
        </w:tc>
      </w:tr>
      <w:tr>
        <w:trPr>
          <w:trHeight w:val="257"/>
        </w:trPr>
        <w:tc>
          <w:tcPr>
            <w:tcW w:w="5280" w:type="dxa"/>
            <w:vAlign w:val="bottom"/>
          </w:tcPr>
          <w:p>
            <w:pPr>
              <w:ind w:left="60"/>
              <w:spacing w:after="0"/>
              <w:rPr>
                <w:sz w:val="20"/>
                <w:szCs w:val="20"/>
                <w:color w:val="auto"/>
              </w:rPr>
            </w:pPr>
            <w:r>
              <w:rPr>
                <w:rFonts w:ascii="Arial" w:cs="Arial" w:eastAsia="Arial" w:hAnsi="Arial"/>
                <w:sz w:val="16"/>
                <w:szCs w:val="16"/>
                <w:b w:val="1"/>
                <w:bCs w:val="1"/>
                <w:color w:val="435363"/>
              </w:rPr>
              <w:t>Vasu Raja</w:t>
            </w:r>
          </w:p>
        </w:tc>
        <w:tc>
          <w:tcPr>
            <w:tcW w:w="2060" w:type="dxa"/>
            <w:vAlign w:val="bottom"/>
          </w:tcPr>
          <w:p>
            <w:pPr>
              <w:jc w:val="right"/>
              <w:spacing w:after="0"/>
              <w:rPr>
                <w:sz w:val="20"/>
                <w:szCs w:val="20"/>
                <w:color w:val="auto"/>
              </w:rPr>
            </w:pPr>
            <w:r>
              <w:rPr>
                <w:rFonts w:ascii="Arial" w:cs="Arial" w:eastAsia="Arial" w:hAnsi="Arial"/>
                <w:sz w:val="16"/>
                <w:szCs w:val="16"/>
                <w:color w:val="435363"/>
              </w:rPr>
              <w:t>775,000</w:t>
            </w:r>
          </w:p>
        </w:tc>
      </w:tr>
      <w:tr>
        <w:trPr>
          <w:trHeight w:val="35"/>
        </w:trPr>
        <w:tc>
          <w:tcPr>
            <w:tcW w:w="5280" w:type="dxa"/>
            <w:vAlign w:val="bottom"/>
            <w:tcBorders>
              <w:bottom w:val="single" w:sz="8" w:color="435363"/>
            </w:tcBorders>
          </w:tcPr>
          <w:p>
            <w:pPr>
              <w:spacing w:after="0"/>
              <w:rPr>
                <w:sz w:val="3"/>
                <w:szCs w:val="3"/>
                <w:color w:val="auto"/>
              </w:rPr>
            </w:pPr>
          </w:p>
        </w:tc>
        <w:tc>
          <w:tcPr>
            <w:tcW w:w="2060" w:type="dxa"/>
            <w:vAlign w:val="bottom"/>
            <w:tcBorders>
              <w:bottom w:val="single" w:sz="8" w:color="435363"/>
            </w:tcBorders>
          </w:tcPr>
          <w:p>
            <w:pPr>
              <w:spacing w:after="0"/>
              <w:rPr>
                <w:sz w:val="3"/>
                <w:szCs w:val="3"/>
                <w:color w:val="auto"/>
              </w:rPr>
            </w:pPr>
          </w:p>
        </w:tc>
      </w:tr>
    </w:tbl>
    <w:p>
      <w:pPr>
        <w:spacing w:after="0" w:line="183"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Annual Cash Incentive Program</w:t>
      </w:r>
    </w:p>
    <w:p>
      <w:pPr>
        <w:spacing w:after="0" w:line="77" w:lineRule="exact"/>
        <w:rPr>
          <w:sz w:val="20"/>
          <w:szCs w:val="20"/>
          <w:color w:val="auto"/>
        </w:rPr>
      </w:pPr>
    </w:p>
    <w:p>
      <w:pPr>
        <w:ind w:left="220" w:right="200"/>
        <w:spacing w:after="0" w:line="258" w:lineRule="auto"/>
        <w:rPr>
          <w:sz w:val="20"/>
          <w:szCs w:val="20"/>
          <w:color w:val="auto"/>
        </w:rPr>
      </w:pPr>
      <w:r>
        <w:rPr>
          <w:rFonts w:ascii="Arial" w:cs="Arial" w:eastAsia="Arial" w:hAnsi="Arial"/>
          <w:sz w:val="16"/>
          <w:szCs w:val="16"/>
          <w:color w:val="435363"/>
        </w:rPr>
        <w:t>The second core component of our overall compensation program has been a short-term cash incentive program. The STIP is designed to align management with our goals to run a reliable operation, to return to profitability and to continue to build on our momentum on DEI goals, as summarized further below.</w:t>
      </w:r>
    </w:p>
    <w:p>
      <w:pPr>
        <w:spacing w:after="0" w:line="174" w:lineRule="exact"/>
        <w:rPr>
          <w:sz w:val="20"/>
          <w:szCs w:val="20"/>
          <w:color w:val="auto"/>
        </w:rPr>
      </w:pPr>
    </w:p>
    <w:p>
      <w:pPr>
        <w:ind w:left="220" w:right="120"/>
        <w:spacing w:after="0" w:line="258" w:lineRule="auto"/>
        <w:rPr>
          <w:sz w:val="20"/>
          <w:szCs w:val="20"/>
          <w:color w:val="auto"/>
        </w:rPr>
      </w:pPr>
      <w:r>
        <w:rPr>
          <w:rFonts w:ascii="Arial" w:cs="Arial" w:eastAsia="Arial" w:hAnsi="Arial"/>
          <w:sz w:val="16"/>
          <w:szCs w:val="16"/>
          <w:color w:val="435363"/>
        </w:rPr>
        <w:t>The target cash incentive opportunities for each named executive officer are set forth below. Mr. Johnson’s target payout level was increased from 125% to 150% of base salary in connection with his promotion to the Company’s Vice Chair and Chief Strategy Officer. Our other named executive officers’ target cash incentive opportunities remained unchanged from the prior year.</w:t>
      </w:r>
    </w:p>
    <w:p>
      <w:pPr>
        <w:spacing w:after="0" w:line="201" w:lineRule="exact"/>
        <w:rPr>
          <w:sz w:val="20"/>
          <w:szCs w:val="20"/>
          <w:color w:val="auto"/>
        </w:rPr>
      </w:pPr>
    </w:p>
    <w:tbl>
      <w:tblPr>
        <w:tblLayout w:type="fixed"/>
        <w:tblInd w:w="1960" w:type="dxa"/>
        <w:tblCellMar>
          <w:top w:w="0" w:type="dxa"/>
          <w:left w:w="0" w:type="dxa"/>
          <w:bottom w:w="0" w:type="dxa"/>
          <w:right w:w="0" w:type="dxa"/>
        </w:tblCellMar>
      </w:tblPr>
      <w:tr>
        <w:trPr>
          <w:trHeight w:val="185"/>
        </w:trPr>
        <w:tc>
          <w:tcPr>
            <w:tcW w:w="2940" w:type="dxa"/>
            <w:vAlign w:val="bottom"/>
          </w:tcPr>
          <w:p>
            <w:pPr>
              <w:spacing w:after="0"/>
              <w:rPr>
                <w:sz w:val="16"/>
                <w:szCs w:val="16"/>
                <w:color w:val="auto"/>
              </w:rPr>
            </w:pPr>
          </w:p>
        </w:tc>
        <w:tc>
          <w:tcPr>
            <w:tcW w:w="4400" w:type="dxa"/>
            <w:vAlign w:val="bottom"/>
          </w:tcPr>
          <w:p>
            <w:pPr>
              <w:jc w:val="right"/>
              <w:ind w:right="561"/>
              <w:spacing w:after="0"/>
              <w:rPr>
                <w:sz w:val="20"/>
                <w:szCs w:val="20"/>
                <w:color w:val="auto"/>
              </w:rPr>
            </w:pPr>
            <w:r>
              <w:rPr>
                <w:rFonts w:ascii="Arial" w:cs="Arial" w:eastAsia="Arial" w:hAnsi="Arial"/>
                <w:sz w:val="16"/>
                <w:szCs w:val="16"/>
                <w:b w:val="1"/>
                <w:bCs w:val="1"/>
                <w:color w:val="3575B3"/>
              </w:rPr>
              <w:t>Target Payout Level</w:t>
            </w:r>
          </w:p>
        </w:tc>
      </w:tr>
      <w:tr>
        <w:trPr>
          <w:trHeight w:val="213"/>
        </w:trPr>
        <w:tc>
          <w:tcPr>
            <w:tcW w:w="2940" w:type="dxa"/>
            <w:vAlign w:val="bottom"/>
            <w:tcBorders>
              <w:bottom w:val="single" w:sz="8" w:color="BF0000"/>
            </w:tcBorders>
          </w:tcPr>
          <w:p>
            <w:pPr>
              <w:spacing w:after="0"/>
              <w:rPr>
                <w:sz w:val="20"/>
                <w:szCs w:val="20"/>
                <w:color w:val="auto"/>
              </w:rPr>
            </w:pPr>
            <w:r>
              <w:rPr>
                <w:rFonts w:ascii="Arial" w:cs="Arial" w:eastAsia="Arial" w:hAnsi="Arial"/>
                <w:sz w:val="16"/>
                <w:szCs w:val="16"/>
                <w:b w:val="1"/>
                <w:bCs w:val="1"/>
                <w:color w:val="3575B3"/>
              </w:rPr>
              <w:t>  Named Executive Officer</w:t>
            </w:r>
          </w:p>
        </w:tc>
        <w:tc>
          <w:tcPr>
            <w:tcW w:w="4400" w:type="dxa"/>
            <w:vAlign w:val="bottom"/>
            <w:tcBorders>
              <w:bottom w:val="single" w:sz="8" w:color="BF0000"/>
            </w:tcBorders>
          </w:tcPr>
          <w:p>
            <w:pPr>
              <w:jc w:val="right"/>
              <w:ind w:right="141"/>
              <w:spacing w:after="0"/>
              <w:rPr>
                <w:sz w:val="20"/>
                <w:szCs w:val="20"/>
                <w:color w:val="auto"/>
              </w:rPr>
            </w:pPr>
            <w:r>
              <w:rPr>
                <w:rFonts w:ascii="Arial" w:cs="Arial" w:eastAsia="Arial" w:hAnsi="Arial"/>
                <w:sz w:val="16"/>
                <w:szCs w:val="16"/>
                <w:b w:val="1"/>
                <w:bCs w:val="1"/>
                <w:color w:val="3575B3"/>
              </w:rPr>
              <w:t>as a Percentage of Base Salary</w:t>
            </w:r>
          </w:p>
        </w:tc>
      </w:tr>
      <w:tr>
        <w:trPr>
          <w:trHeight w:val="237"/>
        </w:trPr>
        <w:tc>
          <w:tcPr>
            <w:tcW w:w="2940" w:type="dxa"/>
            <w:vAlign w:val="bottom"/>
          </w:tcPr>
          <w:p>
            <w:pPr>
              <w:ind w:left="60"/>
              <w:spacing w:after="0"/>
              <w:rPr>
                <w:sz w:val="20"/>
                <w:szCs w:val="20"/>
                <w:color w:val="auto"/>
              </w:rPr>
            </w:pPr>
            <w:r>
              <w:rPr>
                <w:rFonts w:ascii="Arial" w:cs="Arial" w:eastAsia="Arial" w:hAnsi="Arial"/>
                <w:sz w:val="16"/>
                <w:szCs w:val="16"/>
                <w:b w:val="1"/>
                <w:bCs w:val="1"/>
                <w:color w:val="435363"/>
              </w:rPr>
              <w:t>Robert Isom</w:t>
            </w:r>
          </w:p>
        </w:tc>
        <w:tc>
          <w:tcPr>
            <w:tcW w:w="4400" w:type="dxa"/>
            <w:vAlign w:val="bottom"/>
          </w:tcPr>
          <w:p>
            <w:pPr>
              <w:jc w:val="right"/>
              <w:spacing w:after="0"/>
              <w:rPr>
                <w:sz w:val="20"/>
                <w:szCs w:val="20"/>
                <w:color w:val="auto"/>
              </w:rPr>
            </w:pPr>
            <w:r>
              <w:rPr>
                <w:rFonts w:ascii="Arial" w:cs="Arial" w:eastAsia="Arial" w:hAnsi="Arial"/>
                <w:sz w:val="16"/>
                <w:szCs w:val="16"/>
                <w:color w:val="435363"/>
              </w:rPr>
              <w:t>200%</w:t>
            </w:r>
          </w:p>
        </w:tc>
      </w:tr>
      <w:tr>
        <w:trPr>
          <w:trHeight w:val="35"/>
        </w:trPr>
        <w:tc>
          <w:tcPr>
            <w:tcW w:w="294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71"/>
        </w:trPr>
        <w:tc>
          <w:tcPr>
            <w:tcW w:w="294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Steve Johnson</w:t>
            </w:r>
          </w:p>
        </w:tc>
        <w:tc>
          <w:tcPr>
            <w:tcW w:w="44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150%</w:t>
            </w:r>
          </w:p>
        </w:tc>
      </w:tr>
      <w:tr>
        <w:trPr>
          <w:trHeight w:val="257"/>
        </w:trPr>
        <w:tc>
          <w:tcPr>
            <w:tcW w:w="2940" w:type="dxa"/>
            <w:vAlign w:val="bottom"/>
          </w:tcPr>
          <w:p>
            <w:pPr>
              <w:ind w:left="60"/>
              <w:spacing w:after="0"/>
              <w:rPr>
                <w:sz w:val="20"/>
                <w:szCs w:val="20"/>
                <w:color w:val="auto"/>
              </w:rPr>
            </w:pPr>
            <w:r>
              <w:rPr>
                <w:rFonts w:ascii="Arial" w:cs="Arial" w:eastAsia="Arial" w:hAnsi="Arial"/>
                <w:sz w:val="16"/>
                <w:szCs w:val="16"/>
                <w:b w:val="1"/>
                <w:bCs w:val="1"/>
                <w:color w:val="435363"/>
              </w:rPr>
              <w:t>Priya Aiyar</w:t>
            </w:r>
          </w:p>
        </w:tc>
        <w:tc>
          <w:tcPr>
            <w:tcW w:w="4400" w:type="dxa"/>
            <w:vAlign w:val="bottom"/>
          </w:tcPr>
          <w:p>
            <w:pPr>
              <w:jc w:val="right"/>
              <w:spacing w:after="0"/>
              <w:rPr>
                <w:sz w:val="20"/>
                <w:szCs w:val="20"/>
                <w:color w:val="auto"/>
              </w:rPr>
            </w:pPr>
            <w:r>
              <w:rPr>
                <w:rFonts w:ascii="Arial" w:cs="Arial" w:eastAsia="Arial" w:hAnsi="Arial"/>
                <w:sz w:val="16"/>
                <w:szCs w:val="16"/>
                <w:color w:val="435363"/>
              </w:rPr>
              <w:t>125%</w:t>
            </w:r>
          </w:p>
        </w:tc>
      </w:tr>
      <w:tr>
        <w:trPr>
          <w:trHeight w:val="35"/>
        </w:trPr>
        <w:tc>
          <w:tcPr>
            <w:tcW w:w="294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71"/>
        </w:trPr>
        <w:tc>
          <w:tcPr>
            <w:tcW w:w="294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Devon May</w:t>
            </w:r>
          </w:p>
        </w:tc>
        <w:tc>
          <w:tcPr>
            <w:tcW w:w="44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125%</w:t>
            </w:r>
          </w:p>
        </w:tc>
      </w:tr>
      <w:tr>
        <w:trPr>
          <w:trHeight w:val="257"/>
        </w:trPr>
        <w:tc>
          <w:tcPr>
            <w:tcW w:w="2940" w:type="dxa"/>
            <w:vAlign w:val="bottom"/>
          </w:tcPr>
          <w:p>
            <w:pPr>
              <w:ind w:left="60"/>
              <w:spacing w:after="0"/>
              <w:rPr>
                <w:sz w:val="20"/>
                <w:szCs w:val="20"/>
                <w:color w:val="auto"/>
              </w:rPr>
            </w:pPr>
            <w:r>
              <w:rPr>
                <w:rFonts w:ascii="Arial" w:cs="Arial" w:eastAsia="Arial" w:hAnsi="Arial"/>
                <w:sz w:val="16"/>
                <w:szCs w:val="16"/>
                <w:b w:val="1"/>
                <w:bCs w:val="1"/>
                <w:color w:val="435363"/>
              </w:rPr>
              <w:t>Vasu Raja</w:t>
            </w:r>
          </w:p>
        </w:tc>
        <w:tc>
          <w:tcPr>
            <w:tcW w:w="4400" w:type="dxa"/>
            <w:vAlign w:val="bottom"/>
          </w:tcPr>
          <w:p>
            <w:pPr>
              <w:jc w:val="right"/>
              <w:spacing w:after="0"/>
              <w:rPr>
                <w:sz w:val="20"/>
                <w:szCs w:val="20"/>
                <w:color w:val="auto"/>
              </w:rPr>
            </w:pPr>
            <w:r>
              <w:rPr>
                <w:rFonts w:ascii="Arial" w:cs="Arial" w:eastAsia="Arial" w:hAnsi="Arial"/>
                <w:sz w:val="16"/>
                <w:szCs w:val="16"/>
                <w:color w:val="435363"/>
              </w:rPr>
              <w:t>125%</w:t>
            </w:r>
          </w:p>
        </w:tc>
      </w:tr>
      <w:tr>
        <w:trPr>
          <w:trHeight w:val="35"/>
        </w:trPr>
        <w:tc>
          <w:tcPr>
            <w:tcW w:w="2940" w:type="dxa"/>
            <w:vAlign w:val="bottom"/>
            <w:tcBorders>
              <w:bottom w:val="single" w:sz="8" w:color="435363"/>
            </w:tcBorders>
          </w:tcPr>
          <w:p>
            <w:pPr>
              <w:spacing w:after="0"/>
              <w:rPr>
                <w:sz w:val="3"/>
                <w:szCs w:val="3"/>
                <w:color w:val="auto"/>
              </w:rPr>
            </w:pPr>
          </w:p>
        </w:tc>
        <w:tc>
          <w:tcPr>
            <w:tcW w:w="4400" w:type="dxa"/>
            <w:vAlign w:val="bottom"/>
            <w:tcBorders>
              <w:bottom w:val="single" w:sz="8" w:color="435363"/>
            </w:tcBorders>
          </w:tcPr>
          <w:p>
            <w:pPr>
              <w:spacing w:after="0"/>
              <w:rPr>
                <w:sz w:val="3"/>
                <w:szCs w:val="3"/>
                <w:color w:val="auto"/>
              </w:rPr>
            </w:pPr>
          </w:p>
        </w:tc>
      </w:tr>
    </w:tbl>
    <w:p>
      <w:pPr>
        <w:spacing w:after="0" w:line="211" w:lineRule="exact"/>
        <w:rPr>
          <w:sz w:val="20"/>
          <w:szCs w:val="20"/>
          <w:color w:val="auto"/>
        </w:rPr>
      </w:pPr>
    </w:p>
    <w:p>
      <w:pPr>
        <w:ind w:left="10840"/>
        <w:spacing w:after="0"/>
        <w:rPr>
          <w:sz w:val="20"/>
          <w:szCs w:val="20"/>
          <w:color w:val="auto"/>
        </w:rPr>
      </w:pPr>
      <w:r>
        <w:rPr>
          <w:rFonts w:ascii="Arial" w:cs="Arial" w:eastAsia="Arial" w:hAnsi="Arial"/>
          <w:sz w:val="16"/>
          <w:szCs w:val="16"/>
          <w:b w:val="1"/>
          <w:bCs w:val="1"/>
          <w:color w:val="435363"/>
        </w:rPr>
        <w:t>53</w:t>
      </w:r>
    </w:p>
    <w:p>
      <w:pPr>
        <w:spacing w:after="0" w:line="244" w:lineRule="exact"/>
        <w:rPr>
          <w:sz w:val="20"/>
          <w:szCs w:val="20"/>
          <w:color w:val="auto"/>
        </w:rPr>
      </w:pPr>
    </w:p>
    <w:p>
      <w:pPr>
        <w:ind w:left="4920"/>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2023 STIP</w:t>
      </w:r>
    </w:p>
    <w:p>
      <w:pPr>
        <w:spacing w:after="0" w:line="81" w:lineRule="exact"/>
        <w:rPr>
          <w:sz w:val="20"/>
          <w:szCs w:val="20"/>
          <w:color w:val="auto"/>
        </w:rPr>
      </w:pPr>
    </w:p>
    <w:p>
      <w:pPr>
        <w:ind w:left="220" w:right="20"/>
        <w:spacing w:after="0" w:line="258" w:lineRule="auto"/>
        <w:rPr>
          <w:sz w:val="20"/>
          <w:szCs w:val="20"/>
          <w:color w:val="auto"/>
        </w:rPr>
      </w:pPr>
      <w:r>
        <w:rPr>
          <w:rFonts w:ascii="Arial" w:cs="Arial" w:eastAsia="Arial" w:hAnsi="Arial"/>
          <w:sz w:val="16"/>
          <w:szCs w:val="16"/>
          <w:color w:val="435363"/>
        </w:rPr>
        <w:t>Under the 2023 STIP, adjusted pre-tax income (which, under the terms of the STIP, is calculated by excluding net special items, expenses associated with profit sharing and STIP and related payroll taxes and 401(k) company contributions) accounted for 60% of the plan’s weighting, while operational reliability accounted for 30% of the plan’s weighting and DEI accounted for 10% of the plan’s weighting, as set forth below.</w:t>
      </w:r>
    </w:p>
    <w:p>
      <w:pPr>
        <w:spacing w:after="0" w:line="68" w:lineRule="exact"/>
        <w:rPr>
          <w:sz w:val="20"/>
          <w:szCs w:val="20"/>
          <w:color w:val="auto"/>
        </w:rPr>
      </w:pPr>
    </w:p>
    <w:p>
      <w:pPr>
        <w:ind w:left="220" w:right="40"/>
        <w:spacing w:after="0" w:line="248" w:lineRule="auto"/>
        <w:rPr>
          <w:sz w:val="20"/>
          <w:szCs w:val="20"/>
          <w:color w:val="auto"/>
        </w:rPr>
      </w:pPr>
      <w:r>
        <w:rPr>
          <w:rFonts w:ascii="Arial" w:cs="Arial" w:eastAsia="Arial" w:hAnsi="Arial"/>
          <w:sz w:val="16"/>
          <w:szCs w:val="16"/>
          <w:color w:val="435363"/>
        </w:rPr>
        <w:t>The Company remains intently focused on profitability and reliability, and the footprint of these two areas continue to comprise 90% of the STIP. To further the Company’s commitment to increasing stockholder value, the Compensation Committee increased focus on profitability, by adjusting the weighting upward from 50% to 60%. The operational component, making up 30% of the STIP, focused on controllable completion factor and on-time departures, the foundational operational metrics that determine reliability. Diversity, equity and inclusion (DEI) engagement and education was implemented as part of the STIP in order to ensure our workplace culture is a competitive advantage that provides team members access to continuous learning, awareness and knowledge.</w:t>
      </w:r>
    </w:p>
    <w:p>
      <w:pPr>
        <w:spacing w:after="0" w:line="209" w:lineRule="exact"/>
        <w:rPr>
          <w:sz w:val="20"/>
          <w:szCs w:val="20"/>
          <w:color w:val="auto"/>
        </w:rPr>
      </w:pPr>
    </w:p>
    <w:tbl>
      <w:tblPr>
        <w:tblLayout w:type="fixed"/>
        <w:tblInd w:w="1960" w:type="dxa"/>
        <w:tblCellMar>
          <w:top w:w="0" w:type="dxa"/>
          <w:left w:w="0" w:type="dxa"/>
          <w:bottom w:w="0" w:type="dxa"/>
          <w:right w:w="0" w:type="dxa"/>
        </w:tblCellMar>
      </w:tblPr>
      <w:tr>
        <w:trPr>
          <w:trHeight w:val="222"/>
        </w:trPr>
        <w:tc>
          <w:tcPr>
            <w:tcW w:w="5780" w:type="dxa"/>
            <w:vAlign w:val="bottom"/>
            <w:tcBorders>
              <w:bottom w:val="single" w:sz="8" w:color="BF0000"/>
            </w:tcBorders>
          </w:tcPr>
          <w:p>
            <w:pPr>
              <w:spacing w:after="0"/>
              <w:rPr>
                <w:sz w:val="20"/>
                <w:szCs w:val="20"/>
                <w:color w:val="auto"/>
              </w:rPr>
            </w:pPr>
            <w:r>
              <w:rPr>
                <w:rFonts w:ascii="Arial" w:cs="Arial" w:eastAsia="Arial" w:hAnsi="Arial"/>
                <w:sz w:val="16"/>
                <w:szCs w:val="16"/>
                <w:b w:val="1"/>
                <w:bCs w:val="1"/>
                <w:color w:val="3575B3"/>
              </w:rPr>
              <w:t>  Performance Metric</w:t>
            </w:r>
          </w:p>
        </w:tc>
        <w:tc>
          <w:tcPr>
            <w:tcW w:w="1560" w:type="dxa"/>
            <w:vAlign w:val="bottom"/>
            <w:tcBorders>
              <w:bottom w:val="single" w:sz="8" w:color="BF0000"/>
            </w:tcBorders>
            <w:gridSpan w:val="7"/>
          </w:tcPr>
          <w:p>
            <w:pPr>
              <w:jc w:val="center"/>
              <w:ind w:left="181"/>
              <w:spacing w:after="0"/>
              <w:rPr>
                <w:sz w:val="20"/>
                <w:szCs w:val="20"/>
                <w:color w:val="auto"/>
              </w:rPr>
            </w:pPr>
            <w:r>
              <w:rPr>
                <w:rFonts w:ascii="Arial" w:cs="Arial" w:eastAsia="Arial" w:hAnsi="Arial"/>
                <w:sz w:val="16"/>
                <w:szCs w:val="16"/>
                <w:b w:val="1"/>
                <w:bCs w:val="1"/>
                <w:color w:val="3575B3"/>
                <w:w w:val="97"/>
              </w:rPr>
              <w:t>Metric Weighting</w:t>
            </w:r>
          </w:p>
        </w:tc>
      </w:tr>
      <w:tr>
        <w:trPr>
          <w:trHeight w:val="196"/>
        </w:trPr>
        <w:tc>
          <w:tcPr>
            <w:tcW w:w="5780" w:type="dxa"/>
            <w:vAlign w:val="bottom"/>
          </w:tcPr>
          <w:p>
            <w:pPr>
              <w:spacing w:after="0"/>
              <w:rPr>
                <w:sz w:val="17"/>
                <w:szCs w:val="17"/>
                <w:color w:val="auto"/>
              </w:rPr>
            </w:pPr>
          </w:p>
        </w:tc>
        <w:tc>
          <w:tcPr>
            <w:tcW w:w="1560" w:type="dxa"/>
            <w:vAlign w:val="bottom"/>
            <w:gridSpan w:val="7"/>
          </w:tcPr>
          <w:p>
            <w:pPr>
              <w:jc w:val="center"/>
              <w:ind w:left="181"/>
              <w:spacing w:after="0"/>
              <w:rPr>
                <w:sz w:val="20"/>
                <w:szCs w:val="20"/>
                <w:color w:val="auto"/>
              </w:rPr>
            </w:pPr>
            <w:r>
              <w:rPr>
                <w:rFonts w:ascii="Arial" w:cs="Arial" w:eastAsia="Arial" w:hAnsi="Arial"/>
                <w:sz w:val="16"/>
                <w:szCs w:val="16"/>
                <w:b w:val="1"/>
                <w:bCs w:val="1"/>
                <w:color w:val="435363"/>
                <w:w w:val="97"/>
              </w:rPr>
              <w:t>PROFITABILITY</w:t>
            </w:r>
          </w:p>
        </w:tc>
      </w:tr>
      <w:tr>
        <w:trPr>
          <w:trHeight w:val="59"/>
        </w:trPr>
        <w:tc>
          <w:tcPr>
            <w:tcW w:w="5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top w:val="single" w:sz="8" w:color="435363"/>
            </w:tcBorders>
          </w:tcPr>
          <w:p>
            <w:pPr>
              <w:spacing w:after="0"/>
              <w:rPr>
                <w:sz w:val="5"/>
                <w:szCs w:val="5"/>
                <w:color w:val="auto"/>
              </w:rPr>
            </w:pPr>
          </w:p>
        </w:tc>
        <w:tc>
          <w:tcPr>
            <w:tcW w:w="360" w:type="dxa"/>
            <w:vAlign w:val="bottom"/>
            <w:tcBorders>
              <w:top w:val="single" w:sz="8" w:color="435363"/>
            </w:tcBorders>
          </w:tcPr>
          <w:p>
            <w:pPr>
              <w:spacing w:after="0"/>
              <w:rPr>
                <w:sz w:val="5"/>
                <w:szCs w:val="5"/>
                <w:color w:val="auto"/>
              </w:rPr>
            </w:pPr>
          </w:p>
        </w:tc>
        <w:tc>
          <w:tcPr>
            <w:tcW w:w="260" w:type="dxa"/>
            <w:vAlign w:val="bottom"/>
            <w:tcBorders>
              <w:top w:val="single" w:sz="8" w:color="435363"/>
            </w:tcBorders>
          </w:tcPr>
          <w:p>
            <w:pPr>
              <w:spacing w:after="0"/>
              <w:rPr>
                <w:sz w:val="5"/>
                <w:szCs w:val="5"/>
                <w:color w:val="auto"/>
              </w:rPr>
            </w:pPr>
          </w:p>
        </w:tc>
        <w:tc>
          <w:tcPr>
            <w:tcW w:w="360" w:type="dxa"/>
            <w:vAlign w:val="bottom"/>
            <w:tcBorders>
              <w:top w:val="single" w:sz="8" w:color="435363"/>
            </w:tcBorders>
          </w:tcPr>
          <w:p>
            <w:pPr>
              <w:spacing w:after="0"/>
              <w:rPr>
                <w:sz w:val="5"/>
                <w:szCs w:val="5"/>
                <w:color w:val="auto"/>
              </w:rPr>
            </w:pPr>
          </w:p>
        </w:tc>
        <w:tc>
          <w:tcPr>
            <w:tcW w:w="100" w:type="dxa"/>
            <w:vAlign w:val="bottom"/>
            <w:tcBorders>
              <w:top w:val="single" w:sz="8" w:color="435363"/>
            </w:tcBorders>
          </w:tcPr>
          <w:p>
            <w:pPr>
              <w:spacing w:after="0"/>
              <w:rPr>
                <w:sz w:val="5"/>
                <w:szCs w:val="5"/>
                <w:color w:val="auto"/>
              </w:rPr>
            </w:pPr>
          </w:p>
        </w:tc>
        <w:tc>
          <w:tcPr>
            <w:tcW w:w="60" w:type="dxa"/>
            <w:vAlign w:val="bottom"/>
          </w:tcPr>
          <w:p>
            <w:pPr>
              <w:spacing w:after="0"/>
              <w:rPr>
                <w:sz w:val="5"/>
                <w:szCs w:val="5"/>
                <w:color w:val="auto"/>
              </w:rPr>
            </w:pPr>
          </w:p>
        </w:tc>
      </w:tr>
      <w:tr>
        <w:trPr>
          <w:trHeight w:val="271"/>
        </w:trPr>
        <w:tc>
          <w:tcPr>
            <w:tcW w:w="57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Adjusted Pre-tax Income</w:t>
            </w:r>
          </w:p>
        </w:tc>
        <w:tc>
          <w:tcPr>
            <w:tcW w:w="1400" w:type="dxa"/>
            <w:vAlign w:val="bottom"/>
            <w:tcBorders>
              <w:bottom w:val="single" w:sz="8" w:color="EDEDED"/>
            </w:tcBorders>
            <w:gridSpan w:val="5"/>
            <w:shd w:val="clear" w:color="auto" w:fill="EDEDED"/>
          </w:tcPr>
          <w:p>
            <w:pPr>
              <w:jc w:val="center"/>
              <w:ind w:left="321"/>
              <w:spacing w:after="0"/>
              <w:rPr>
                <w:sz w:val="20"/>
                <w:szCs w:val="20"/>
                <w:color w:val="auto"/>
              </w:rPr>
            </w:pPr>
            <w:r>
              <w:rPr>
                <w:rFonts w:ascii="Arial" w:cs="Arial" w:eastAsia="Arial" w:hAnsi="Arial"/>
                <w:sz w:val="16"/>
                <w:szCs w:val="16"/>
                <w:color w:val="435363"/>
                <w:w w:val="99"/>
              </w:rPr>
              <w:t>60%</w:t>
            </w:r>
          </w:p>
        </w:tc>
        <w:tc>
          <w:tcPr>
            <w:tcW w:w="10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r>
      <w:tr>
        <w:trPr>
          <w:trHeight w:val="212"/>
        </w:trPr>
        <w:tc>
          <w:tcPr>
            <w:tcW w:w="5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6"/>
          </w:tcPr>
          <w:p>
            <w:pPr>
              <w:jc w:val="center"/>
              <w:ind w:right="60"/>
              <w:spacing w:after="0"/>
              <w:rPr>
                <w:sz w:val="20"/>
                <w:szCs w:val="20"/>
                <w:color w:val="auto"/>
              </w:rPr>
            </w:pPr>
            <w:r>
              <w:rPr>
                <w:rFonts w:ascii="Arial" w:cs="Arial" w:eastAsia="Arial" w:hAnsi="Arial"/>
                <w:sz w:val="16"/>
                <w:szCs w:val="16"/>
                <w:b w:val="1"/>
                <w:bCs w:val="1"/>
                <w:color w:val="435363"/>
                <w:w w:val="99"/>
              </w:rPr>
              <w:t>RELIABILITY</w:t>
            </w:r>
          </w:p>
        </w:tc>
      </w:tr>
      <w:tr>
        <w:trPr>
          <w:trHeight w:val="59"/>
        </w:trPr>
        <w:tc>
          <w:tcPr>
            <w:tcW w:w="5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top w:val="single" w:sz="8" w:color="435363"/>
            </w:tcBorders>
          </w:tcPr>
          <w:p>
            <w:pPr>
              <w:spacing w:after="0"/>
              <w:rPr>
                <w:sz w:val="5"/>
                <w:szCs w:val="5"/>
                <w:color w:val="auto"/>
              </w:rPr>
            </w:pPr>
          </w:p>
        </w:tc>
        <w:tc>
          <w:tcPr>
            <w:tcW w:w="260" w:type="dxa"/>
            <w:vAlign w:val="bottom"/>
            <w:tcBorders>
              <w:top w:val="single" w:sz="8" w:color="435363"/>
            </w:tcBorders>
          </w:tcPr>
          <w:p>
            <w:pPr>
              <w:spacing w:after="0"/>
              <w:rPr>
                <w:sz w:val="5"/>
                <w:szCs w:val="5"/>
                <w:color w:val="auto"/>
              </w:rPr>
            </w:pPr>
          </w:p>
        </w:tc>
        <w:tc>
          <w:tcPr>
            <w:tcW w:w="360" w:type="dxa"/>
            <w:vAlign w:val="bottom"/>
            <w:tcBorders>
              <w:top w:val="single" w:sz="8" w:color="435363"/>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71"/>
        </w:trPr>
        <w:tc>
          <w:tcPr>
            <w:tcW w:w="57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Mainline Controllable Completion Factor (“CCF”)</w:t>
            </w:r>
          </w:p>
        </w:tc>
        <w:tc>
          <w:tcPr>
            <w:tcW w:w="1400" w:type="dxa"/>
            <w:vAlign w:val="bottom"/>
            <w:tcBorders>
              <w:bottom w:val="single" w:sz="8" w:color="EDEDED"/>
            </w:tcBorders>
            <w:gridSpan w:val="5"/>
            <w:shd w:val="clear" w:color="auto" w:fill="EDEDED"/>
          </w:tcPr>
          <w:p>
            <w:pPr>
              <w:jc w:val="center"/>
              <w:ind w:left="321"/>
              <w:spacing w:after="0"/>
              <w:rPr>
                <w:sz w:val="20"/>
                <w:szCs w:val="20"/>
                <w:color w:val="auto"/>
              </w:rPr>
            </w:pPr>
            <w:r>
              <w:rPr>
                <w:rFonts w:ascii="Arial" w:cs="Arial" w:eastAsia="Arial" w:hAnsi="Arial"/>
                <w:sz w:val="16"/>
                <w:szCs w:val="16"/>
                <w:color w:val="435363"/>
                <w:w w:val="99"/>
              </w:rPr>
              <w:t>15%</w:t>
            </w:r>
          </w:p>
        </w:tc>
        <w:tc>
          <w:tcPr>
            <w:tcW w:w="10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r>
      <w:tr>
        <w:trPr>
          <w:trHeight w:val="257"/>
        </w:trPr>
        <w:tc>
          <w:tcPr>
            <w:tcW w:w="5780" w:type="dxa"/>
            <w:vAlign w:val="bottom"/>
          </w:tcPr>
          <w:p>
            <w:pPr>
              <w:ind w:left="60"/>
              <w:spacing w:after="0"/>
              <w:rPr>
                <w:sz w:val="20"/>
                <w:szCs w:val="20"/>
                <w:color w:val="auto"/>
              </w:rPr>
            </w:pPr>
            <w:r>
              <w:rPr>
                <w:rFonts w:ascii="Arial" w:cs="Arial" w:eastAsia="Arial" w:hAnsi="Arial"/>
                <w:sz w:val="16"/>
                <w:szCs w:val="16"/>
                <w:b w:val="1"/>
                <w:bCs w:val="1"/>
                <w:color w:val="435363"/>
              </w:rPr>
              <w:t>Mainline On-time Departure (“D-0”)</w:t>
            </w:r>
          </w:p>
        </w:tc>
        <w:tc>
          <w:tcPr>
            <w:tcW w:w="1040" w:type="dxa"/>
            <w:vAlign w:val="bottom"/>
            <w:gridSpan w:val="4"/>
          </w:tcPr>
          <w:p>
            <w:pPr>
              <w:jc w:val="center"/>
              <w:ind w:left="701"/>
              <w:spacing w:after="0"/>
              <w:rPr>
                <w:sz w:val="20"/>
                <w:szCs w:val="20"/>
                <w:color w:val="auto"/>
              </w:rPr>
            </w:pPr>
            <w:r>
              <w:rPr>
                <w:rFonts w:ascii="Arial" w:cs="Arial" w:eastAsia="Arial" w:hAnsi="Arial"/>
                <w:sz w:val="16"/>
                <w:szCs w:val="16"/>
                <w:color w:val="435363"/>
                <w:w w:val="94"/>
              </w:rPr>
              <w:t>5%</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5"/>
        </w:trPr>
        <w:tc>
          <w:tcPr>
            <w:tcW w:w="5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1"/>
        </w:trPr>
        <w:tc>
          <w:tcPr>
            <w:tcW w:w="57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Regional CCF</w:t>
            </w:r>
          </w:p>
        </w:tc>
        <w:tc>
          <w:tcPr>
            <w:tcW w:w="1400" w:type="dxa"/>
            <w:vAlign w:val="bottom"/>
            <w:tcBorders>
              <w:bottom w:val="single" w:sz="8" w:color="EDEDED"/>
            </w:tcBorders>
            <w:gridSpan w:val="5"/>
            <w:shd w:val="clear" w:color="auto" w:fill="EDEDED"/>
          </w:tcPr>
          <w:p>
            <w:pPr>
              <w:jc w:val="center"/>
              <w:ind w:left="321"/>
              <w:spacing w:after="0"/>
              <w:rPr>
                <w:sz w:val="20"/>
                <w:szCs w:val="20"/>
                <w:color w:val="auto"/>
              </w:rPr>
            </w:pPr>
            <w:r>
              <w:rPr>
                <w:rFonts w:ascii="Arial" w:cs="Arial" w:eastAsia="Arial" w:hAnsi="Arial"/>
                <w:sz w:val="16"/>
                <w:szCs w:val="16"/>
                <w:color w:val="435363"/>
                <w:w w:val="98"/>
              </w:rPr>
              <w:t>7.5%</w:t>
            </w:r>
          </w:p>
        </w:tc>
        <w:tc>
          <w:tcPr>
            <w:tcW w:w="100" w:type="dxa"/>
            <w:vAlign w:val="bottom"/>
            <w:tcBorders>
              <w:bottom w:val="single" w:sz="8" w:color="EDEDED"/>
            </w:tcBorders>
            <w:shd w:val="clear" w:color="auto" w:fill="EDEDED"/>
          </w:tcPr>
          <w:p>
            <w:pPr>
              <w:spacing w:after="0"/>
              <w:rPr>
                <w:sz w:val="23"/>
                <w:szCs w:val="23"/>
                <w:color w:val="auto"/>
              </w:rPr>
            </w:pPr>
          </w:p>
        </w:tc>
        <w:tc>
          <w:tcPr>
            <w:tcW w:w="60" w:type="dxa"/>
            <w:vAlign w:val="bottom"/>
            <w:tcBorders>
              <w:bottom w:val="single" w:sz="8" w:color="EDEDED"/>
            </w:tcBorders>
            <w:shd w:val="clear" w:color="auto" w:fill="EDEDED"/>
          </w:tcPr>
          <w:p>
            <w:pPr>
              <w:spacing w:after="0"/>
              <w:rPr>
                <w:sz w:val="23"/>
                <w:szCs w:val="23"/>
                <w:color w:val="auto"/>
              </w:rPr>
            </w:pPr>
          </w:p>
        </w:tc>
      </w:tr>
      <w:tr>
        <w:trPr>
          <w:trHeight w:val="257"/>
        </w:trPr>
        <w:tc>
          <w:tcPr>
            <w:tcW w:w="5780" w:type="dxa"/>
            <w:vAlign w:val="bottom"/>
          </w:tcPr>
          <w:p>
            <w:pPr>
              <w:ind w:left="60"/>
              <w:spacing w:after="0"/>
              <w:rPr>
                <w:sz w:val="20"/>
                <w:szCs w:val="20"/>
                <w:color w:val="auto"/>
              </w:rPr>
            </w:pPr>
            <w:r>
              <w:rPr>
                <w:rFonts w:ascii="Arial" w:cs="Arial" w:eastAsia="Arial" w:hAnsi="Arial"/>
                <w:sz w:val="16"/>
                <w:szCs w:val="16"/>
                <w:b w:val="1"/>
                <w:bCs w:val="1"/>
                <w:color w:val="435363"/>
              </w:rPr>
              <w:t>Regional D-0</w:t>
            </w:r>
          </w:p>
        </w:tc>
        <w:tc>
          <w:tcPr>
            <w:tcW w:w="1400" w:type="dxa"/>
            <w:vAlign w:val="bottom"/>
            <w:gridSpan w:val="5"/>
          </w:tcPr>
          <w:p>
            <w:pPr>
              <w:jc w:val="center"/>
              <w:ind w:left="321"/>
              <w:spacing w:after="0"/>
              <w:rPr>
                <w:sz w:val="20"/>
                <w:szCs w:val="20"/>
                <w:color w:val="auto"/>
              </w:rPr>
            </w:pPr>
            <w:r>
              <w:rPr>
                <w:rFonts w:ascii="Arial" w:cs="Arial" w:eastAsia="Arial" w:hAnsi="Arial"/>
                <w:sz w:val="16"/>
                <w:szCs w:val="16"/>
                <w:color w:val="435363"/>
                <w:w w:val="98"/>
              </w:rPr>
              <w:t>2.5%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5"/>
        </w:trPr>
        <w:tc>
          <w:tcPr>
            <w:tcW w:w="5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12"/>
        </w:trPr>
        <w:tc>
          <w:tcPr>
            <w:tcW w:w="5780" w:type="dxa"/>
            <w:vAlign w:val="bottom"/>
            <w:shd w:val="clear" w:color="auto" w:fill="EDEDED"/>
          </w:tcPr>
          <w:p>
            <w:pPr>
              <w:spacing w:after="0"/>
              <w:rPr>
                <w:sz w:val="18"/>
                <w:szCs w:val="18"/>
                <w:color w:val="auto"/>
              </w:rPr>
            </w:pPr>
          </w:p>
        </w:tc>
        <w:tc>
          <w:tcPr>
            <w:tcW w:w="320" w:type="dxa"/>
            <w:vAlign w:val="bottom"/>
            <w:shd w:val="clear" w:color="auto" w:fill="EDEDED"/>
          </w:tcPr>
          <w:p>
            <w:pPr>
              <w:spacing w:after="0"/>
              <w:rPr>
                <w:sz w:val="18"/>
                <w:szCs w:val="18"/>
                <w:color w:val="auto"/>
              </w:rPr>
            </w:pPr>
          </w:p>
        </w:tc>
        <w:tc>
          <w:tcPr>
            <w:tcW w:w="100" w:type="dxa"/>
            <w:vAlign w:val="bottom"/>
            <w:shd w:val="clear" w:color="auto" w:fill="EDEDED"/>
          </w:tcPr>
          <w:p>
            <w:pPr>
              <w:spacing w:after="0"/>
              <w:rPr>
                <w:sz w:val="18"/>
                <w:szCs w:val="18"/>
                <w:color w:val="auto"/>
              </w:rPr>
            </w:pPr>
          </w:p>
        </w:tc>
        <w:tc>
          <w:tcPr>
            <w:tcW w:w="360" w:type="dxa"/>
            <w:vAlign w:val="bottom"/>
            <w:shd w:val="clear" w:color="auto" w:fill="EDEDED"/>
          </w:tcPr>
          <w:p>
            <w:pPr>
              <w:spacing w:after="0"/>
              <w:rPr>
                <w:sz w:val="18"/>
                <w:szCs w:val="18"/>
                <w:color w:val="auto"/>
              </w:rPr>
            </w:pPr>
          </w:p>
        </w:tc>
        <w:tc>
          <w:tcPr>
            <w:tcW w:w="780" w:type="dxa"/>
            <w:vAlign w:val="bottom"/>
            <w:gridSpan w:val="4"/>
            <w:shd w:val="clear" w:color="auto" w:fill="EDEDED"/>
          </w:tcPr>
          <w:p>
            <w:pPr>
              <w:jc w:val="center"/>
              <w:ind w:right="520"/>
              <w:spacing w:after="0"/>
              <w:rPr>
                <w:sz w:val="20"/>
                <w:szCs w:val="20"/>
                <w:color w:val="auto"/>
              </w:rPr>
            </w:pPr>
            <w:r>
              <w:rPr>
                <w:rFonts w:ascii="Arial" w:cs="Arial" w:eastAsia="Arial" w:hAnsi="Arial"/>
                <w:sz w:val="16"/>
                <w:szCs w:val="16"/>
                <w:b w:val="1"/>
                <w:bCs w:val="1"/>
                <w:color w:val="435363"/>
                <w:w w:val="97"/>
              </w:rPr>
              <w:t>DEI</w:t>
            </w:r>
          </w:p>
        </w:tc>
      </w:tr>
      <w:tr>
        <w:trPr>
          <w:trHeight w:val="59"/>
        </w:trPr>
        <w:tc>
          <w:tcPr>
            <w:tcW w:w="5780" w:type="dxa"/>
            <w:vAlign w:val="bottom"/>
            <w:tcBorders>
              <w:top w:val="single" w:sz="8" w:color="EDEDED"/>
            </w:tcBorders>
            <w:shd w:val="clear" w:color="auto" w:fill="EDEDED"/>
          </w:tcPr>
          <w:p>
            <w:pPr>
              <w:spacing w:after="0"/>
              <w:rPr>
                <w:sz w:val="5"/>
                <w:szCs w:val="5"/>
                <w:color w:val="auto"/>
              </w:rPr>
            </w:pPr>
          </w:p>
        </w:tc>
        <w:tc>
          <w:tcPr>
            <w:tcW w:w="320" w:type="dxa"/>
            <w:vAlign w:val="bottom"/>
            <w:tcBorders>
              <w:top w:val="single" w:sz="8" w:color="EDEDED"/>
            </w:tcBorders>
            <w:shd w:val="clear" w:color="auto" w:fill="EDEDED"/>
          </w:tcPr>
          <w:p>
            <w:pPr>
              <w:spacing w:after="0"/>
              <w:rPr>
                <w:sz w:val="5"/>
                <w:szCs w:val="5"/>
                <w:color w:val="auto"/>
              </w:rPr>
            </w:pPr>
          </w:p>
        </w:tc>
        <w:tc>
          <w:tcPr>
            <w:tcW w:w="100" w:type="dxa"/>
            <w:vAlign w:val="bottom"/>
            <w:tcBorders>
              <w:top w:val="single" w:sz="8" w:color="EDEDED"/>
            </w:tcBorders>
            <w:shd w:val="clear" w:color="auto" w:fill="EDEDED"/>
          </w:tcPr>
          <w:p>
            <w:pPr>
              <w:spacing w:after="0"/>
              <w:rPr>
                <w:sz w:val="5"/>
                <w:szCs w:val="5"/>
                <w:color w:val="auto"/>
              </w:rPr>
            </w:pPr>
          </w:p>
        </w:tc>
        <w:tc>
          <w:tcPr>
            <w:tcW w:w="360" w:type="dxa"/>
            <w:vAlign w:val="bottom"/>
            <w:tcBorders>
              <w:top w:val="single" w:sz="8" w:color="EDEDED"/>
            </w:tcBorders>
            <w:shd w:val="clear" w:color="auto" w:fill="EDEDED"/>
          </w:tcPr>
          <w:p>
            <w:pPr>
              <w:spacing w:after="0"/>
              <w:rPr>
                <w:sz w:val="5"/>
                <w:szCs w:val="5"/>
                <w:color w:val="auto"/>
              </w:rPr>
            </w:pPr>
          </w:p>
        </w:tc>
        <w:tc>
          <w:tcPr>
            <w:tcW w:w="260" w:type="dxa"/>
            <w:vAlign w:val="bottom"/>
            <w:tcBorders>
              <w:top w:val="single" w:sz="8" w:color="435363"/>
            </w:tcBorders>
            <w:shd w:val="clear" w:color="auto" w:fill="EDEDED"/>
          </w:tcPr>
          <w:p>
            <w:pPr>
              <w:spacing w:after="0"/>
              <w:rPr>
                <w:sz w:val="5"/>
                <w:szCs w:val="5"/>
                <w:color w:val="auto"/>
              </w:rPr>
            </w:pPr>
          </w:p>
        </w:tc>
        <w:tc>
          <w:tcPr>
            <w:tcW w:w="360" w:type="dxa"/>
            <w:vAlign w:val="bottom"/>
            <w:tcBorders>
              <w:top w:val="single" w:sz="8" w:color="EDEDED"/>
            </w:tcBorders>
            <w:shd w:val="clear" w:color="auto" w:fill="EDEDED"/>
          </w:tcPr>
          <w:p>
            <w:pPr>
              <w:spacing w:after="0"/>
              <w:rPr>
                <w:sz w:val="5"/>
                <w:szCs w:val="5"/>
                <w:color w:val="auto"/>
              </w:rPr>
            </w:pPr>
          </w:p>
        </w:tc>
        <w:tc>
          <w:tcPr>
            <w:tcW w:w="100" w:type="dxa"/>
            <w:vAlign w:val="bottom"/>
            <w:tcBorders>
              <w:top w:val="single" w:sz="8" w:color="EDEDED"/>
            </w:tcBorders>
            <w:shd w:val="clear" w:color="auto" w:fill="EDEDED"/>
          </w:tcPr>
          <w:p>
            <w:pPr>
              <w:spacing w:after="0"/>
              <w:rPr>
                <w:sz w:val="5"/>
                <w:szCs w:val="5"/>
                <w:color w:val="auto"/>
              </w:rPr>
            </w:pPr>
          </w:p>
        </w:tc>
        <w:tc>
          <w:tcPr>
            <w:tcW w:w="60" w:type="dxa"/>
            <w:vAlign w:val="bottom"/>
            <w:tcBorders>
              <w:top w:val="single" w:sz="8" w:color="EDEDED"/>
            </w:tcBorders>
            <w:shd w:val="clear" w:color="auto" w:fill="EDEDED"/>
          </w:tcPr>
          <w:p>
            <w:pPr>
              <w:spacing w:after="0"/>
              <w:rPr>
                <w:sz w:val="5"/>
                <w:szCs w:val="5"/>
                <w:color w:val="auto"/>
              </w:rPr>
            </w:pPr>
          </w:p>
        </w:tc>
      </w:tr>
      <w:tr>
        <w:trPr>
          <w:trHeight w:val="257"/>
        </w:trPr>
        <w:tc>
          <w:tcPr>
            <w:tcW w:w="5780" w:type="dxa"/>
            <w:vAlign w:val="bottom"/>
          </w:tcPr>
          <w:p>
            <w:pPr>
              <w:ind w:left="60"/>
              <w:spacing w:after="0"/>
              <w:rPr>
                <w:sz w:val="20"/>
                <w:szCs w:val="20"/>
                <w:color w:val="auto"/>
              </w:rPr>
            </w:pPr>
            <w:r>
              <w:rPr>
                <w:rFonts w:ascii="Arial" w:cs="Arial" w:eastAsia="Arial" w:hAnsi="Arial"/>
                <w:sz w:val="16"/>
                <w:szCs w:val="16"/>
                <w:b w:val="1"/>
                <w:bCs w:val="1"/>
                <w:color w:val="435363"/>
              </w:rPr>
              <w:t>Diversity, Equity and Inclusion</w:t>
            </w:r>
          </w:p>
        </w:tc>
        <w:tc>
          <w:tcPr>
            <w:tcW w:w="1400" w:type="dxa"/>
            <w:vAlign w:val="bottom"/>
            <w:gridSpan w:val="5"/>
          </w:tcPr>
          <w:p>
            <w:pPr>
              <w:jc w:val="center"/>
              <w:ind w:left="321"/>
              <w:spacing w:after="0"/>
              <w:rPr>
                <w:sz w:val="20"/>
                <w:szCs w:val="20"/>
                <w:color w:val="auto"/>
              </w:rPr>
            </w:pPr>
            <w:r>
              <w:rPr>
                <w:rFonts w:ascii="Arial" w:cs="Arial" w:eastAsia="Arial" w:hAnsi="Arial"/>
                <w:sz w:val="16"/>
                <w:szCs w:val="16"/>
                <w:color w:val="435363"/>
                <w:w w:val="99"/>
              </w:rPr>
              <w:t>10%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5"/>
        </w:trPr>
        <w:tc>
          <w:tcPr>
            <w:tcW w:w="5780" w:type="dxa"/>
            <w:vAlign w:val="bottom"/>
            <w:tcBorders>
              <w:bottom w:val="single" w:sz="8" w:color="435363"/>
            </w:tcBorders>
          </w:tcPr>
          <w:p>
            <w:pPr>
              <w:spacing w:after="0"/>
              <w:rPr>
                <w:sz w:val="3"/>
                <w:szCs w:val="3"/>
                <w:color w:val="auto"/>
              </w:rPr>
            </w:pPr>
          </w:p>
        </w:tc>
        <w:tc>
          <w:tcPr>
            <w:tcW w:w="320" w:type="dxa"/>
            <w:vAlign w:val="bottom"/>
            <w:tcBorders>
              <w:bottom w:val="single" w:sz="8" w:color="435363"/>
            </w:tcBorders>
          </w:tcPr>
          <w:p>
            <w:pPr>
              <w:spacing w:after="0"/>
              <w:rPr>
                <w:sz w:val="3"/>
                <w:szCs w:val="3"/>
                <w:color w:val="auto"/>
              </w:rPr>
            </w:pPr>
          </w:p>
        </w:tc>
        <w:tc>
          <w:tcPr>
            <w:tcW w:w="100" w:type="dxa"/>
            <w:vAlign w:val="bottom"/>
            <w:tcBorders>
              <w:bottom w:val="single" w:sz="8" w:color="435363"/>
            </w:tcBorders>
          </w:tcPr>
          <w:p>
            <w:pPr>
              <w:spacing w:after="0"/>
              <w:rPr>
                <w:sz w:val="3"/>
                <w:szCs w:val="3"/>
                <w:color w:val="auto"/>
              </w:rPr>
            </w:pPr>
          </w:p>
        </w:tc>
        <w:tc>
          <w:tcPr>
            <w:tcW w:w="360" w:type="dxa"/>
            <w:vAlign w:val="bottom"/>
            <w:tcBorders>
              <w:bottom w:val="single" w:sz="8" w:color="435363"/>
            </w:tcBorders>
          </w:tcPr>
          <w:p>
            <w:pPr>
              <w:spacing w:after="0"/>
              <w:rPr>
                <w:sz w:val="3"/>
                <w:szCs w:val="3"/>
                <w:color w:val="auto"/>
              </w:rPr>
            </w:pPr>
          </w:p>
        </w:tc>
        <w:tc>
          <w:tcPr>
            <w:tcW w:w="260" w:type="dxa"/>
            <w:vAlign w:val="bottom"/>
            <w:tcBorders>
              <w:bottom w:val="single" w:sz="8" w:color="435363"/>
            </w:tcBorders>
          </w:tcPr>
          <w:p>
            <w:pPr>
              <w:spacing w:after="0"/>
              <w:rPr>
                <w:sz w:val="3"/>
                <w:szCs w:val="3"/>
                <w:color w:val="auto"/>
              </w:rPr>
            </w:pPr>
          </w:p>
        </w:tc>
        <w:tc>
          <w:tcPr>
            <w:tcW w:w="360" w:type="dxa"/>
            <w:vAlign w:val="bottom"/>
            <w:tcBorders>
              <w:bottom w:val="single" w:sz="8" w:color="435363"/>
            </w:tcBorders>
          </w:tcPr>
          <w:p>
            <w:pPr>
              <w:spacing w:after="0"/>
              <w:rPr>
                <w:sz w:val="3"/>
                <w:szCs w:val="3"/>
                <w:color w:val="auto"/>
              </w:rPr>
            </w:pPr>
          </w:p>
        </w:tc>
        <w:tc>
          <w:tcPr>
            <w:tcW w:w="100" w:type="dxa"/>
            <w:vAlign w:val="bottom"/>
            <w:tcBorders>
              <w:bottom w:val="single" w:sz="8" w:color="435363"/>
            </w:tcBorders>
          </w:tcPr>
          <w:p>
            <w:pPr>
              <w:spacing w:after="0"/>
              <w:rPr>
                <w:sz w:val="3"/>
                <w:szCs w:val="3"/>
                <w:color w:val="auto"/>
              </w:rPr>
            </w:pPr>
          </w:p>
        </w:tc>
        <w:tc>
          <w:tcPr>
            <w:tcW w:w="60" w:type="dxa"/>
            <w:vAlign w:val="bottom"/>
            <w:tcBorders>
              <w:bottom w:val="single" w:sz="8" w:color="435363"/>
            </w:tcBorders>
          </w:tcPr>
          <w:p>
            <w:pPr>
              <w:spacing w:after="0"/>
              <w:rPr>
                <w:sz w:val="3"/>
                <w:szCs w:val="3"/>
                <w:color w:val="auto"/>
              </w:rPr>
            </w:pPr>
          </w:p>
        </w:tc>
      </w:tr>
    </w:tbl>
    <w:p>
      <w:pPr>
        <w:spacing w:after="0" w:line="92" w:lineRule="exact"/>
        <w:rPr>
          <w:sz w:val="20"/>
          <w:szCs w:val="20"/>
          <w:color w:val="auto"/>
        </w:rPr>
      </w:pPr>
    </w:p>
    <w:p>
      <w:pPr>
        <w:jc w:val="both"/>
        <w:ind w:left="220" w:right="240"/>
        <w:spacing w:after="0" w:line="252" w:lineRule="auto"/>
        <w:rPr>
          <w:sz w:val="20"/>
          <w:szCs w:val="20"/>
          <w:color w:val="auto"/>
        </w:rPr>
      </w:pPr>
      <w:r>
        <w:rPr>
          <w:rFonts w:ascii="Arial" w:cs="Arial" w:eastAsia="Arial" w:hAnsi="Arial"/>
          <w:sz w:val="16"/>
          <w:szCs w:val="16"/>
          <w:color w:val="435363"/>
        </w:rPr>
        <w:t>Threshold, target and maximum goals for adjusted pre-tax income are shown below, along with the associated payouts as a percentage of target. The adjusted pre-tax income goal of $2.5 billion was set in January 2023 following a pre-tax loss excluding net special items of nearly $7 billion in 2021 and our 2022 pre-tax income excluding net special items of $458 million (See Appendix B for a reconciliation of pre-tax income (loss) excluding net special items, a non-GAAP measure).</w:t>
      </w: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1680" w:type="dxa"/>
            <w:vAlign w:val="bottom"/>
          </w:tcPr>
          <w:p>
            <w:pPr>
              <w:jc w:val="center"/>
              <w:ind w:left="161"/>
              <w:spacing w:after="0"/>
              <w:rPr>
                <w:sz w:val="20"/>
                <w:szCs w:val="20"/>
                <w:color w:val="auto"/>
              </w:rPr>
            </w:pPr>
            <w:r>
              <w:rPr>
                <w:rFonts w:ascii="Arial" w:cs="Arial" w:eastAsia="Arial" w:hAnsi="Arial"/>
                <w:sz w:val="16"/>
                <w:szCs w:val="16"/>
                <w:b w:val="1"/>
                <w:bCs w:val="1"/>
                <w:color w:val="3575B3"/>
                <w:w w:val="99"/>
              </w:rPr>
              <w:t>Below-</w:t>
            </w:r>
          </w:p>
        </w:tc>
        <w:tc>
          <w:tcPr>
            <w:tcW w:w="1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5"/>
        </w:trPr>
        <w:tc>
          <w:tcPr>
            <w:tcW w:w="5000" w:type="dxa"/>
            <w:vAlign w:val="bottom"/>
          </w:tcPr>
          <w:p>
            <w:pPr>
              <w:spacing w:after="0"/>
              <w:rPr>
                <w:sz w:val="16"/>
                <w:szCs w:val="16"/>
                <w:color w:val="auto"/>
              </w:rPr>
            </w:pPr>
          </w:p>
        </w:tc>
        <w:tc>
          <w:tcPr>
            <w:tcW w:w="1680" w:type="dxa"/>
            <w:vAlign w:val="bottom"/>
          </w:tcPr>
          <w:p>
            <w:pPr>
              <w:jc w:val="center"/>
              <w:ind w:left="181"/>
              <w:spacing w:after="0"/>
              <w:rPr>
                <w:sz w:val="20"/>
                <w:szCs w:val="20"/>
                <w:color w:val="auto"/>
              </w:rPr>
            </w:pPr>
            <w:r>
              <w:rPr>
                <w:rFonts w:ascii="Arial" w:cs="Arial" w:eastAsia="Arial" w:hAnsi="Arial"/>
                <w:sz w:val="16"/>
                <w:szCs w:val="16"/>
                <w:b w:val="1"/>
                <w:bCs w:val="1"/>
                <w:color w:val="3575B3"/>
              </w:rPr>
              <w:t>Threshold</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3575B3"/>
              </w:rPr>
              <w:t>Threshold</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3575B3"/>
                <w:w w:val="93"/>
              </w:rPr>
              <w:t>Target</w:t>
            </w:r>
          </w:p>
        </w:tc>
        <w:tc>
          <w:tcPr>
            <w:tcW w:w="1220" w:type="dxa"/>
            <w:vAlign w:val="bottom"/>
          </w:tcPr>
          <w:p>
            <w:pPr>
              <w:jc w:val="center"/>
              <w:ind w:left="121"/>
              <w:spacing w:after="0"/>
              <w:rPr>
                <w:sz w:val="20"/>
                <w:szCs w:val="20"/>
                <w:color w:val="auto"/>
              </w:rPr>
            </w:pPr>
            <w:r>
              <w:rPr>
                <w:rFonts w:ascii="Arial" w:cs="Arial" w:eastAsia="Arial" w:hAnsi="Arial"/>
                <w:sz w:val="16"/>
                <w:szCs w:val="16"/>
                <w:b w:val="1"/>
                <w:bCs w:val="1"/>
                <w:color w:val="3575B3"/>
              </w:rPr>
              <w:t>Maximum</w:t>
            </w:r>
          </w:p>
        </w:tc>
      </w:tr>
      <w:tr>
        <w:trPr>
          <w:trHeight w:val="213"/>
        </w:trPr>
        <w:tc>
          <w:tcPr>
            <w:tcW w:w="5000" w:type="dxa"/>
            <w:vAlign w:val="bottom"/>
            <w:tcBorders>
              <w:bottom w:val="single" w:sz="8" w:color="BF0000"/>
            </w:tcBorders>
          </w:tcPr>
          <w:p>
            <w:pPr>
              <w:spacing w:after="0"/>
              <w:rPr>
                <w:sz w:val="18"/>
                <w:szCs w:val="18"/>
                <w:color w:val="auto"/>
              </w:rPr>
            </w:pPr>
          </w:p>
        </w:tc>
        <w:tc>
          <w:tcPr>
            <w:tcW w:w="1680" w:type="dxa"/>
            <w:vAlign w:val="bottom"/>
            <w:tcBorders>
              <w:bottom w:val="single" w:sz="8" w:color="BF0000"/>
            </w:tcBorders>
          </w:tcPr>
          <w:p>
            <w:pPr>
              <w:jc w:val="center"/>
              <w:ind w:left="181"/>
              <w:spacing w:after="0"/>
              <w:rPr>
                <w:sz w:val="20"/>
                <w:szCs w:val="20"/>
                <w:color w:val="auto"/>
              </w:rPr>
            </w:pPr>
            <w:r>
              <w:rPr>
                <w:rFonts w:ascii="Arial" w:cs="Arial" w:eastAsia="Arial" w:hAnsi="Arial"/>
                <w:sz w:val="16"/>
                <w:szCs w:val="16"/>
                <w:b w:val="1"/>
                <w:bCs w:val="1"/>
                <w:color w:val="3575B3"/>
              </w:rPr>
              <w:t>Performance</w:t>
            </w:r>
          </w:p>
        </w:tc>
        <w:tc>
          <w:tcPr>
            <w:tcW w:w="1460" w:type="dxa"/>
            <w:vAlign w:val="bottom"/>
            <w:tcBorders>
              <w:bottom w:val="single" w:sz="8" w:color="BF0000"/>
            </w:tcBorders>
          </w:tcPr>
          <w:p>
            <w:pPr>
              <w:jc w:val="center"/>
              <w:spacing w:after="0"/>
              <w:rPr>
                <w:sz w:val="20"/>
                <w:szCs w:val="20"/>
                <w:color w:val="auto"/>
              </w:rPr>
            </w:pPr>
            <w:r>
              <w:rPr>
                <w:rFonts w:ascii="Arial" w:cs="Arial" w:eastAsia="Arial" w:hAnsi="Arial"/>
                <w:sz w:val="16"/>
                <w:szCs w:val="16"/>
                <w:b w:val="1"/>
                <w:bCs w:val="1"/>
                <w:color w:val="3575B3"/>
              </w:rPr>
              <w:t>Performance</w:t>
            </w:r>
          </w:p>
        </w:tc>
        <w:tc>
          <w:tcPr>
            <w:tcW w:w="1440" w:type="dxa"/>
            <w:vAlign w:val="bottom"/>
            <w:tcBorders>
              <w:bottom w:val="single" w:sz="8" w:color="BF0000"/>
            </w:tcBorders>
          </w:tcPr>
          <w:p>
            <w:pPr>
              <w:jc w:val="center"/>
              <w:spacing w:after="0"/>
              <w:rPr>
                <w:sz w:val="20"/>
                <w:szCs w:val="20"/>
                <w:color w:val="auto"/>
              </w:rPr>
            </w:pPr>
            <w:r>
              <w:rPr>
                <w:rFonts w:ascii="Arial" w:cs="Arial" w:eastAsia="Arial" w:hAnsi="Arial"/>
                <w:sz w:val="16"/>
                <w:szCs w:val="16"/>
                <w:b w:val="1"/>
                <w:bCs w:val="1"/>
                <w:color w:val="3575B3"/>
              </w:rPr>
              <w:t>Performance</w:t>
            </w:r>
          </w:p>
        </w:tc>
        <w:tc>
          <w:tcPr>
            <w:tcW w:w="1220" w:type="dxa"/>
            <w:vAlign w:val="bottom"/>
            <w:tcBorders>
              <w:bottom w:val="single" w:sz="8" w:color="BF0000"/>
            </w:tcBorders>
          </w:tcPr>
          <w:p>
            <w:pPr>
              <w:jc w:val="center"/>
              <w:ind w:left="121"/>
              <w:spacing w:after="0"/>
              <w:rPr>
                <w:sz w:val="20"/>
                <w:szCs w:val="20"/>
                <w:color w:val="auto"/>
              </w:rPr>
            </w:pPr>
            <w:r>
              <w:rPr>
                <w:rFonts w:ascii="Arial" w:cs="Arial" w:eastAsia="Arial" w:hAnsi="Arial"/>
                <w:sz w:val="16"/>
                <w:szCs w:val="16"/>
                <w:b w:val="1"/>
                <w:bCs w:val="1"/>
                <w:color w:val="3575B3"/>
              </w:rPr>
              <w:t>Performance</w:t>
            </w:r>
          </w:p>
        </w:tc>
      </w:tr>
      <w:tr>
        <w:trPr>
          <w:trHeight w:val="229"/>
        </w:trPr>
        <w:tc>
          <w:tcPr>
            <w:tcW w:w="5000" w:type="dxa"/>
            <w:vAlign w:val="bottom"/>
          </w:tcPr>
          <w:p>
            <w:pPr>
              <w:ind w:left="60"/>
              <w:spacing w:after="0"/>
              <w:rPr>
                <w:sz w:val="20"/>
                <w:szCs w:val="20"/>
                <w:color w:val="auto"/>
              </w:rPr>
            </w:pPr>
            <w:r>
              <w:rPr>
                <w:rFonts w:ascii="Arial" w:cs="Arial" w:eastAsia="Arial" w:hAnsi="Arial"/>
                <w:sz w:val="16"/>
                <w:szCs w:val="16"/>
                <w:color w:val="435363"/>
              </w:rPr>
              <w:t>Adjusted Pre-tax Income</w:t>
            </w:r>
          </w:p>
        </w:tc>
        <w:tc>
          <w:tcPr>
            <w:tcW w:w="1680" w:type="dxa"/>
            <w:vAlign w:val="bottom"/>
          </w:tcPr>
          <w:p>
            <w:pPr>
              <w:jc w:val="center"/>
              <w:ind w:left="181"/>
              <w:spacing w:after="0"/>
              <w:rPr>
                <w:sz w:val="20"/>
                <w:szCs w:val="20"/>
                <w:color w:val="auto"/>
              </w:rPr>
            </w:pPr>
            <w:r>
              <w:rPr>
                <w:rFonts w:ascii="Arial" w:cs="Arial" w:eastAsia="Arial" w:hAnsi="Arial"/>
                <w:sz w:val="16"/>
                <w:szCs w:val="16"/>
                <w:color w:val="435363"/>
              </w:rPr>
              <w:t>&lt;$1.0 billion</w:t>
            </w:r>
          </w:p>
        </w:tc>
        <w:tc>
          <w:tcPr>
            <w:tcW w:w="1460" w:type="dxa"/>
            <w:vAlign w:val="bottom"/>
          </w:tcPr>
          <w:p>
            <w:pPr>
              <w:jc w:val="center"/>
              <w:spacing w:after="0"/>
              <w:rPr>
                <w:sz w:val="20"/>
                <w:szCs w:val="20"/>
                <w:color w:val="auto"/>
              </w:rPr>
            </w:pPr>
            <w:r>
              <w:rPr>
                <w:rFonts w:ascii="Arial" w:cs="Arial" w:eastAsia="Arial" w:hAnsi="Arial"/>
                <w:sz w:val="16"/>
                <w:szCs w:val="16"/>
                <w:color w:val="435363"/>
                <w:w w:val="99"/>
              </w:rPr>
              <w:t>$1.0 billion</w:t>
            </w:r>
          </w:p>
        </w:tc>
        <w:tc>
          <w:tcPr>
            <w:tcW w:w="1440" w:type="dxa"/>
            <w:vAlign w:val="bottom"/>
          </w:tcPr>
          <w:p>
            <w:pPr>
              <w:jc w:val="center"/>
              <w:spacing w:after="0"/>
              <w:rPr>
                <w:sz w:val="20"/>
                <w:szCs w:val="20"/>
                <w:color w:val="auto"/>
              </w:rPr>
            </w:pPr>
            <w:r>
              <w:rPr>
                <w:rFonts w:ascii="Arial" w:cs="Arial" w:eastAsia="Arial" w:hAnsi="Arial"/>
                <w:sz w:val="16"/>
                <w:szCs w:val="16"/>
                <w:color w:val="435363"/>
                <w:w w:val="99"/>
              </w:rPr>
              <w:t>$2.5 billion</w:t>
            </w:r>
          </w:p>
        </w:tc>
        <w:tc>
          <w:tcPr>
            <w:tcW w:w="1220" w:type="dxa"/>
            <w:vAlign w:val="bottom"/>
          </w:tcPr>
          <w:p>
            <w:pPr>
              <w:jc w:val="center"/>
              <w:ind w:left="141"/>
              <w:spacing w:after="0"/>
              <w:rPr>
                <w:sz w:val="20"/>
                <w:szCs w:val="20"/>
                <w:color w:val="auto"/>
              </w:rPr>
            </w:pPr>
            <w:r>
              <w:rPr>
                <w:rFonts w:ascii="Arial" w:cs="Arial" w:eastAsia="Arial" w:hAnsi="Arial"/>
                <w:sz w:val="16"/>
                <w:szCs w:val="16"/>
                <w:color w:val="435363"/>
                <w:w w:val="99"/>
              </w:rPr>
              <w:t>$4.0 billion</w:t>
            </w:r>
          </w:p>
        </w:tc>
      </w:tr>
      <w:tr>
        <w:trPr>
          <w:trHeight w:val="43"/>
        </w:trPr>
        <w:tc>
          <w:tcPr>
            <w:tcW w:w="50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71"/>
        </w:trPr>
        <w:tc>
          <w:tcPr>
            <w:tcW w:w="50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435363"/>
              </w:rPr>
              <w:t>Payout as a Percentage of Target</w:t>
            </w:r>
          </w:p>
        </w:tc>
        <w:tc>
          <w:tcPr>
            <w:tcW w:w="1680" w:type="dxa"/>
            <w:vAlign w:val="bottom"/>
            <w:tcBorders>
              <w:bottom w:val="single" w:sz="8" w:color="EDEDED"/>
            </w:tcBorders>
            <w:shd w:val="clear" w:color="auto" w:fill="EDEDED"/>
          </w:tcPr>
          <w:p>
            <w:pPr>
              <w:jc w:val="center"/>
              <w:ind w:left="181"/>
              <w:spacing w:after="0"/>
              <w:rPr>
                <w:sz w:val="20"/>
                <w:szCs w:val="20"/>
                <w:color w:val="auto"/>
              </w:rPr>
            </w:pPr>
            <w:r>
              <w:rPr>
                <w:rFonts w:ascii="Arial" w:cs="Arial" w:eastAsia="Arial" w:hAnsi="Arial"/>
                <w:sz w:val="16"/>
                <w:szCs w:val="16"/>
                <w:color w:val="435363"/>
                <w:w w:val="94"/>
              </w:rPr>
              <w:t>0%</w:t>
            </w:r>
          </w:p>
        </w:tc>
        <w:tc>
          <w:tcPr>
            <w:tcW w:w="14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435363"/>
                <w:w w:val="99"/>
              </w:rPr>
              <w:t>50%</w:t>
            </w:r>
          </w:p>
        </w:tc>
        <w:tc>
          <w:tcPr>
            <w:tcW w:w="14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435363"/>
              </w:rPr>
              <w:t>100%</w:t>
            </w:r>
          </w:p>
        </w:tc>
        <w:tc>
          <w:tcPr>
            <w:tcW w:w="1220" w:type="dxa"/>
            <w:vAlign w:val="bottom"/>
            <w:tcBorders>
              <w:bottom w:val="single" w:sz="8" w:color="EDEDED"/>
            </w:tcBorders>
            <w:shd w:val="clear" w:color="auto" w:fill="EDEDED"/>
          </w:tcPr>
          <w:p>
            <w:pPr>
              <w:jc w:val="center"/>
              <w:ind w:left="141"/>
              <w:spacing w:after="0"/>
              <w:rPr>
                <w:sz w:val="20"/>
                <w:szCs w:val="20"/>
                <w:color w:val="auto"/>
              </w:rPr>
            </w:pPr>
            <w:r>
              <w:rPr>
                <w:rFonts w:ascii="Arial" w:cs="Arial" w:eastAsia="Arial" w:hAnsi="Arial"/>
                <w:sz w:val="16"/>
                <w:szCs w:val="16"/>
                <w:color w:val="435363"/>
                <w:w w:val="97"/>
              </w:rPr>
              <w:t>200%</w:t>
            </w:r>
          </w:p>
        </w:tc>
      </w:tr>
      <w:tr>
        <w:trPr>
          <w:trHeight w:val="20"/>
        </w:trPr>
        <w:tc>
          <w:tcPr>
            <w:tcW w:w="5000" w:type="dxa"/>
            <w:vAlign w:val="bottom"/>
            <w:shd w:val="clear" w:color="auto" w:fill="435363"/>
          </w:tcPr>
          <w:p>
            <w:pPr>
              <w:spacing w:after="0" w:line="20" w:lineRule="exact"/>
              <w:rPr>
                <w:sz w:val="1"/>
                <w:szCs w:val="1"/>
                <w:color w:val="auto"/>
              </w:rPr>
            </w:pPr>
          </w:p>
        </w:tc>
        <w:tc>
          <w:tcPr>
            <w:tcW w:w="1680" w:type="dxa"/>
            <w:vAlign w:val="bottom"/>
            <w:shd w:val="clear" w:color="auto" w:fill="435363"/>
          </w:tcPr>
          <w:p>
            <w:pPr>
              <w:spacing w:after="0" w:line="20" w:lineRule="exact"/>
              <w:rPr>
                <w:sz w:val="1"/>
                <w:szCs w:val="1"/>
                <w:color w:val="auto"/>
              </w:rPr>
            </w:pPr>
          </w:p>
        </w:tc>
        <w:tc>
          <w:tcPr>
            <w:tcW w:w="1460" w:type="dxa"/>
            <w:vAlign w:val="bottom"/>
            <w:shd w:val="clear" w:color="auto" w:fill="435363"/>
          </w:tcPr>
          <w:p>
            <w:pPr>
              <w:spacing w:after="0" w:line="20" w:lineRule="exact"/>
              <w:rPr>
                <w:sz w:val="1"/>
                <w:szCs w:val="1"/>
                <w:color w:val="auto"/>
              </w:rPr>
            </w:pPr>
          </w:p>
        </w:tc>
        <w:tc>
          <w:tcPr>
            <w:tcW w:w="1440" w:type="dxa"/>
            <w:vAlign w:val="bottom"/>
            <w:shd w:val="clear" w:color="auto" w:fill="435363"/>
          </w:tcPr>
          <w:p>
            <w:pPr>
              <w:spacing w:after="0" w:line="20" w:lineRule="exact"/>
              <w:rPr>
                <w:sz w:val="1"/>
                <w:szCs w:val="1"/>
                <w:color w:val="auto"/>
              </w:rPr>
            </w:pPr>
          </w:p>
        </w:tc>
        <w:tc>
          <w:tcPr>
            <w:tcW w:w="1220" w:type="dxa"/>
            <w:vAlign w:val="bottom"/>
            <w:shd w:val="clear" w:color="auto" w:fill="435363"/>
          </w:tcPr>
          <w:p>
            <w:pPr>
              <w:spacing w:after="0" w:line="20" w:lineRule="exact"/>
              <w:rPr>
                <w:sz w:val="1"/>
                <w:szCs w:val="1"/>
                <w:color w:val="auto"/>
              </w:rPr>
            </w:pPr>
          </w:p>
        </w:tc>
      </w:tr>
    </w:tbl>
    <w:p>
      <w:pPr>
        <w:spacing w:after="0" w:line="92" w:lineRule="exact"/>
        <w:rPr>
          <w:sz w:val="20"/>
          <w:szCs w:val="20"/>
          <w:color w:val="auto"/>
        </w:rPr>
      </w:pPr>
    </w:p>
    <w:p>
      <w:pPr>
        <w:ind w:left="220" w:right="100"/>
        <w:spacing w:after="0" w:line="258" w:lineRule="auto"/>
        <w:rPr>
          <w:sz w:val="20"/>
          <w:szCs w:val="20"/>
          <w:color w:val="auto"/>
        </w:rPr>
      </w:pPr>
      <w:r>
        <w:rPr>
          <w:rFonts w:ascii="Arial" w:cs="Arial" w:eastAsia="Arial" w:hAnsi="Arial"/>
          <w:sz w:val="16"/>
          <w:szCs w:val="16"/>
          <w:color w:val="435363"/>
        </w:rPr>
        <w:t>Any performance falling between threshold, target and maximum levels would result in an adjustment of funding level based on straight-line interpolation. In addition, for any payout under the STIP, the threshold adjusted pre-tax income goal of $1.0 billion would need to be attained. Payouts for the named executive officers were tied solely to our corporate performance.</w:t>
      </w:r>
    </w:p>
    <w:p>
      <w:pPr>
        <w:spacing w:after="0" w:line="68" w:lineRule="exact"/>
        <w:rPr>
          <w:sz w:val="20"/>
          <w:szCs w:val="20"/>
          <w:color w:val="auto"/>
        </w:rPr>
      </w:pPr>
    </w:p>
    <w:p>
      <w:pPr>
        <w:ind w:left="220" w:right="120"/>
        <w:spacing w:after="0" w:line="248" w:lineRule="auto"/>
        <w:rPr>
          <w:sz w:val="20"/>
          <w:szCs w:val="20"/>
          <w:color w:val="auto"/>
        </w:rPr>
      </w:pPr>
      <w:r>
        <w:rPr>
          <w:rFonts w:ascii="Arial" w:cs="Arial" w:eastAsia="Arial" w:hAnsi="Arial"/>
          <w:sz w:val="16"/>
          <w:szCs w:val="16"/>
          <w:color w:val="435363"/>
        </w:rPr>
        <w:t>For fiscal year 2023, we attained adjusted pre-tax income of $2.9 billion, an achievement level of 125.1% of target. Adjusted pre-tax income represents pre-tax income for the year ended December 31, 2023, excluding net special items (See Appendix B for a reconciliation of pre-tax income excluding net special items, a non-GAAP measure), expenses associated with profit sharing and the STIP and related payroll taxes and 401(k) company contributions. The Company excludes expenses associated with profit sharing and the STIP from the calculation of adjusted pre-tax income as these items are themselves calculated based on the measure. The STIP goals are established at the beginning of the performance period and account for these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200660</wp:posOffset>
            </wp:positionV>
            <wp:extent cx="5177155" cy="1682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6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54</w:t>
      </w:r>
    </w:p>
    <w:p>
      <w:pPr>
        <w:spacing w:after="0" w:line="3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The following table shows actual performance in respect of our operational goals (as a percentage of target levels).</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60" w:type="dxa"/>
            <w:vAlign w:val="bottom"/>
            <w:vMerge w:val="restart"/>
          </w:tcPr>
          <w:p>
            <w:pPr>
              <w:jc w:val="right"/>
              <w:ind w:right="601"/>
              <w:spacing w:after="0"/>
              <w:rPr>
                <w:sz w:val="20"/>
                <w:szCs w:val="20"/>
                <w:color w:val="auto"/>
              </w:rPr>
            </w:pPr>
            <w:r>
              <w:rPr>
                <w:rFonts w:ascii="Arial" w:cs="Arial" w:eastAsia="Arial" w:hAnsi="Arial"/>
                <w:sz w:val="16"/>
                <w:szCs w:val="16"/>
                <w:b w:val="1"/>
                <w:bCs w:val="1"/>
                <w:color w:val="3575B3"/>
              </w:rPr>
              <w:t>Target</w:t>
            </w:r>
          </w:p>
        </w:tc>
        <w:tc>
          <w:tcPr>
            <w:tcW w:w="1660" w:type="dxa"/>
            <w:vAlign w:val="bottom"/>
          </w:tcPr>
          <w:p>
            <w:pPr>
              <w:spacing w:after="0"/>
              <w:rPr>
                <w:sz w:val="16"/>
                <w:szCs w:val="16"/>
                <w:color w:val="auto"/>
              </w:rPr>
            </w:pPr>
          </w:p>
        </w:tc>
        <w:tc>
          <w:tcPr>
            <w:tcW w:w="1660" w:type="dxa"/>
            <w:vAlign w:val="bottom"/>
            <w:vMerge w:val="restart"/>
          </w:tcPr>
          <w:p>
            <w:pPr>
              <w:jc w:val="right"/>
              <w:ind w:right="581"/>
              <w:spacing w:after="0"/>
              <w:rPr>
                <w:sz w:val="20"/>
                <w:szCs w:val="20"/>
                <w:color w:val="auto"/>
              </w:rPr>
            </w:pPr>
            <w:r>
              <w:rPr>
                <w:rFonts w:ascii="Arial" w:cs="Arial" w:eastAsia="Arial" w:hAnsi="Arial"/>
                <w:sz w:val="16"/>
                <w:szCs w:val="16"/>
                <w:b w:val="1"/>
                <w:bCs w:val="1"/>
                <w:color w:val="3575B3"/>
              </w:rPr>
              <w:t>Actual</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3575B3"/>
                <w:w w:val="98"/>
              </w:rPr>
              <w:t>Achievement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80" w:type="dxa"/>
            <w:vAlign w:val="bottom"/>
          </w:tcPr>
          <w:p>
            <w:pPr>
              <w:jc w:val="right"/>
              <w:ind w:right="441"/>
              <w:spacing w:after="0" w:line="172" w:lineRule="exact"/>
              <w:rPr>
                <w:sz w:val="20"/>
                <w:szCs w:val="20"/>
                <w:color w:val="auto"/>
              </w:rPr>
            </w:pPr>
            <w:r>
              <w:rPr>
                <w:rFonts w:ascii="Arial" w:cs="Arial" w:eastAsia="Arial" w:hAnsi="Arial"/>
                <w:sz w:val="16"/>
                <w:szCs w:val="16"/>
                <w:b w:val="1"/>
                <w:bCs w:val="1"/>
                <w:color w:val="3575B3"/>
              </w:rPr>
              <w:t>Threshold</w:t>
            </w:r>
          </w:p>
        </w:tc>
        <w:tc>
          <w:tcPr>
            <w:tcW w:w="1660" w:type="dxa"/>
            <w:vAlign w:val="bottom"/>
            <w:vMerge w:val="continue"/>
          </w:tcPr>
          <w:p>
            <w:pPr>
              <w:spacing w:after="0"/>
              <w:rPr>
                <w:sz w:val="14"/>
                <w:szCs w:val="14"/>
                <w:color w:val="auto"/>
              </w:rPr>
            </w:pPr>
          </w:p>
        </w:tc>
        <w:tc>
          <w:tcPr>
            <w:tcW w:w="1660" w:type="dxa"/>
            <w:vAlign w:val="bottom"/>
          </w:tcPr>
          <w:p>
            <w:pPr>
              <w:jc w:val="right"/>
              <w:ind w:right="461"/>
              <w:spacing w:after="0" w:line="172" w:lineRule="exact"/>
              <w:rPr>
                <w:sz w:val="20"/>
                <w:szCs w:val="20"/>
                <w:color w:val="auto"/>
              </w:rPr>
            </w:pPr>
            <w:r>
              <w:rPr>
                <w:rFonts w:ascii="Arial" w:cs="Arial" w:eastAsia="Arial" w:hAnsi="Arial"/>
                <w:sz w:val="16"/>
                <w:szCs w:val="16"/>
                <w:b w:val="1"/>
                <w:bCs w:val="1"/>
                <w:color w:val="3575B3"/>
              </w:rPr>
              <w:t>Maximum</w:t>
            </w:r>
          </w:p>
        </w:tc>
        <w:tc>
          <w:tcPr>
            <w:tcW w:w="1660" w:type="dxa"/>
            <w:vAlign w:val="bottom"/>
            <w:vMerge w:val="continue"/>
          </w:tcPr>
          <w:p>
            <w:pPr>
              <w:spacing w:after="0"/>
              <w:rPr>
                <w:sz w:val="14"/>
                <w:szCs w:val="14"/>
                <w:color w:val="auto"/>
              </w:rPr>
            </w:pPr>
          </w:p>
        </w:tc>
        <w:tc>
          <w:tcPr>
            <w:tcW w:w="1480" w:type="dxa"/>
            <w:vAlign w:val="bottom"/>
          </w:tcPr>
          <w:p>
            <w:pPr>
              <w:jc w:val="center"/>
              <w:spacing w:after="0" w:line="172" w:lineRule="exact"/>
              <w:rPr>
                <w:sz w:val="20"/>
                <w:szCs w:val="20"/>
                <w:color w:val="auto"/>
              </w:rPr>
            </w:pPr>
            <w:r>
              <w:rPr>
                <w:rFonts w:ascii="Arial" w:cs="Arial" w:eastAsia="Arial" w:hAnsi="Arial"/>
                <w:sz w:val="16"/>
                <w:szCs w:val="16"/>
                <w:b w:val="1"/>
                <w:bCs w:val="1"/>
                <w:color w:val="3575B3"/>
              </w:rPr>
              <w:t>Level (as a</w:t>
            </w:r>
          </w:p>
        </w:tc>
        <w:tc>
          <w:tcPr>
            <w:tcW w:w="0" w:type="dxa"/>
            <w:vAlign w:val="bottom"/>
          </w:tcPr>
          <w:p>
            <w:pPr>
              <w:spacing w:after="0"/>
              <w:rPr>
                <w:sz w:val="1"/>
                <w:szCs w:val="1"/>
                <w:color w:val="auto"/>
              </w:rPr>
            </w:pPr>
          </w:p>
        </w:tc>
      </w:tr>
      <w:tr>
        <w:trPr>
          <w:trHeight w:val="213"/>
        </w:trPr>
        <w:tc>
          <w:tcPr>
            <w:tcW w:w="2480" w:type="dxa"/>
            <w:vAlign w:val="bottom"/>
            <w:gridSpan w:val="2"/>
          </w:tcPr>
          <w:p>
            <w:pPr>
              <w:spacing w:after="0"/>
              <w:rPr>
                <w:sz w:val="20"/>
                <w:szCs w:val="20"/>
                <w:color w:val="auto"/>
              </w:rPr>
            </w:pPr>
            <w:r>
              <w:rPr>
                <w:rFonts w:ascii="Arial" w:cs="Arial" w:eastAsia="Arial" w:hAnsi="Arial"/>
                <w:sz w:val="16"/>
                <w:szCs w:val="16"/>
                <w:b w:val="1"/>
                <w:bCs w:val="1"/>
                <w:color w:val="3575B3"/>
              </w:rPr>
              <w:t>  Operational Performance Goal</w:t>
            </w:r>
          </w:p>
        </w:tc>
        <w:tc>
          <w:tcPr>
            <w:tcW w:w="1880" w:type="dxa"/>
            <w:vAlign w:val="bottom"/>
          </w:tcPr>
          <w:p>
            <w:pPr>
              <w:jc w:val="right"/>
              <w:ind w:right="341"/>
              <w:spacing w:after="0"/>
              <w:rPr>
                <w:sz w:val="20"/>
                <w:szCs w:val="20"/>
                <w:color w:val="auto"/>
              </w:rPr>
            </w:pPr>
            <w:r>
              <w:rPr>
                <w:rFonts w:ascii="Arial" w:cs="Arial" w:eastAsia="Arial" w:hAnsi="Arial"/>
                <w:sz w:val="16"/>
                <w:szCs w:val="16"/>
                <w:b w:val="1"/>
                <w:bCs w:val="1"/>
                <w:color w:val="3575B3"/>
              </w:rPr>
              <w:t>Performance</w:t>
            </w:r>
          </w:p>
        </w:tc>
        <w:tc>
          <w:tcPr>
            <w:tcW w:w="1660" w:type="dxa"/>
            <w:vAlign w:val="bottom"/>
          </w:tcPr>
          <w:p>
            <w:pPr>
              <w:jc w:val="right"/>
              <w:ind w:right="341"/>
              <w:spacing w:after="0"/>
              <w:rPr>
                <w:sz w:val="20"/>
                <w:szCs w:val="20"/>
                <w:color w:val="auto"/>
              </w:rPr>
            </w:pPr>
            <w:r>
              <w:rPr>
                <w:rFonts w:ascii="Arial" w:cs="Arial" w:eastAsia="Arial" w:hAnsi="Arial"/>
                <w:sz w:val="16"/>
                <w:szCs w:val="16"/>
                <w:b w:val="1"/>
                <w:bCs w:val="1"/>
                <w:color w:val="3575B3"/>
              </w:rPr>
              <w:t>Performance</w:t>
            </w:r>
          </w:p>
        </w:tc>
        <w:tc>
          <w:tcPr>
            <w:tcW w:w="1660" w:type="dxa"/>
            <w:vAlign w:val="bottom"/>
          </w:tcPr>
          <w:p>
            <w:pPr>
              <w:jc w:val="right"/>
              <w:ind w:right="341"/>
              <w:spacing w:after="0"/>
              <w:rPr>
                <w:sz w:val="20"/>
                <w:szCs w:val="20"/>
                <w:color w:val="auto"/>
              </w:rPr>
            </w:pPr>
            <w:r>
              <w:rPr>
                <w:rFonts w:ascii="Arial" w:cs="Arial" w:eastAsia="Arial" w:hAnsi="Arial"/>
                <w:sz w:val="16"/>
                <w:szCs w:val="16"/>
                <w:b w:val="1"/>
                <w:bCs w:val="1"/>
                <w:color w:val="3575B3"/>
              </w:rPr>
              <w:t>Performance</w:t>
            </w:r>
          </w:p>
        </w:tc>
        <w:tc>
          <w:tcPr>
            <w:tcW w:w="1660" w:type="dxa"/>
            <w:vAlign w:val="bottom"/>
          </w:tcPr>
          <w:p>
            <w:pPr>
              <w:jc w:val="right"/>
              <w:ind w:right="341"/>
              <w:spacing w:after="0"/>
              <w:rPr>
                <w:sz w:val="20"/>
                <w:szCs w:val="20"/>
                <w:color w:val="auto"/>
              </w:rPr>
            </w:pPr>
            <w:r>
              <w:rPr>
                <w:rFonts w:ascii="Arial" w:cs="Arial" w:eastAsia="Arial" w:hAnsi="Arial"/>
                <w:sz w:val="16"/>
                <w:szCs w:val="16"/>
                <w:b w:val="1"/>
                <w:bCs w:val="1"/>
                <w:color w:val="3575B3"/>
              </w:rPr>
              <w:t>Performance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3575B3"/>
                <w:w w:val="97"/>
              </w:rPr>
              <w:t>% of Target)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tcBorders>
              <w:top w:val="single" w:sz="8" w:color="BF0000"/>
            </w:tcBorders>
          </w:tcPr>
          <w:p>
            <w:pPr>
              <w:ind w:left="60"/>
              <w:spacing w:after="0"/>
              <w:rPr>
                <w:sz w:val="20"/>
                <w:szCs w:val="20"/>
                <w:color w:val="auto"/>
              </w:rPr>
            </w:pPr>
            <w:r>
              <w:rPr>
                <w:rFonts w:ascii="Arial" w:cs="Arial" w:eastAsia="Arial" w:hAnsi="Arial"/>
                <w:sz w:val="16"/>
                <w:szCs w:val="16"/>
                <w:color w:val="435363"/>
              </w:rPr>
              <w:t>Mainline CCF</w:t>
            </w:r>
          </w:p>
        </w:tc>
        <w:tc>
          <w:tcPr>
            <w:tcW w:w="1880" w:type="dxa"/>
            <w:vAlign w:val="bottom"/>
            <w:tcBorders>
              <w:top w:val="single" w:sz="8" w:color="BF0000"/>
            </w:tcBorders>
          </w:tcPr>
          <w:p>
            <w:pPr>
              <w:jc w:val="right"/>
              <w:ind w:right="201"/>
              <w:spacing w:after="0"/>
              <w:rPr>
                <w:sz w:val="20"/>
                <w:szCs w:val="20"/>
                <w:color w:val="auto"/>
              </w:rPr>
            </w:pPr>
            <w:r>
              <w:rPr>
                <w:rFonts w:ascii="Arial" w:cs="Arial" w:eastAsia="Arial" w:hAnsi="Arial"/>
                <w:sz w:val="16"/>
                <w:szCs w:val="16"/>
                <w:color w:val="435363"/>
              </w:rPr>
              <w:t>99.3%</w:t>
            </w:r>
          </w:p>
        </w:tc>
        <w:tc>
          <w:tcPr>
            <w:tcW w:w="1660" w:type="dxa"/>
            <w:vAlign w:val="bottom"/>
            <w:tcBorders>
              <w:top w:val="single" w:sz="8" w:color="BF0000"/>
            </w:tcBorders>
          </w:tcPr>
          <w:p>
            <w:pPr>
              <w:jc w:val="right"/>
              <w:ind w:right="201"/>
              <w:spacing w:after="0"/>
              <w:rPr>
                <w:sz w:val="20"/>
                <w:szCs w:val="20"/>
                <w:color w:val="auto"/>
              </w:rPr>
            </w:pPr>
            <w:r>
              <w:rPr>
                <w:rFonts w:ascii="Arial" w:cs="Arial" w:eastAsia="Arial" w:hAnsi="Arial"/>
                <w:sz w:val="16"/>
                <w:szCs w:val="16"/>
                <w:color w:val="435363"/>
              </w:rPr>
              <w:t>99.5%</w:t>
            </w:r>
          </w:p>
        </w:tc>
        <w:tc>
          <w:tcPr>
            <w:tcW w:w="1660" w:type="dxa"/>
            <w:vAlign w:val="bottom"/>
            <w:tcBorders>
              <w:top w:val="single" w:sz="8" w:color="BF0000"/>
            </w:tcBorders>
          </w:tcPr>
          <w:p>
            <w:pPr>
              <w:jc w:val="right"/>
              <w:ind w:right="201"/>
              <w:spacing w:after="0"/>
              <w:rPr>
                <w:sz w:val="20"/>
                <w:szCs w:val="20"/>
                <w:color w:val="auto"/>
              </w:rPr>
            </w:pPr>
            <w:r>
              <w:rPr>
                <w:rFonts w:ascii="Arial" w:cs="Arial" w:eastAsia="Arial" w:hAnsi="Arial"/>
                <w:sz w:val="16"/>
                <w:szCs w:val="16"/>
                <w:color w:val="435363"/>
              </w:rPr>
              <w:t>99.7%</w:t>
            </w:r>
          </w:p>
        </w:tc>
        <w:tc>
          <w:tcPr>
            <w:tcW w:w="1660" w:type="dxa"/>
            <w:vAlign w:val="bottom"/>
            <w:tcBorders>
              <w:top w:val="single" w:sz="8" w:color="BF0000"/>
            </w:tcBorders>
          </w:tcPr>
          <w:p>
            <w:pPr>
              <w:jc w:val="right"/>
              <w:ind w:right="201"/>
              <w:spacing w:after="0"/>
              <w:rPr>
                <w:sz w:val="20"/>
                <w:szCs w:val="20"/>
                <w:color w:val="auto"/>
              </w:rPr>
            </w:pPr>
            <w:r>
              <w:rPr>
                <w:rFonts w:ascii="Arial" w:cs="Arial" w:eastAsia="Arial" w:hAnsi="Arial"/>
                <w:sz w:val="16"/>
                <w:szCs w:val="16"/>
                <w:color w:val="435363"/>
              </w:rPr>
              <w:t>99.9%</w:t>
            </w:r>
          </w:p>
        </w:tc>
        <w:tc>
          <w:tcPr>
            <w:tcW w:w="1480" w:type="dxa"/>
            <w:vAlign w:val="bottom"/>
            <w:tcBorders>
              <w:top w:val="single" w:sz="8" w:color="BF0000"/>
            </w:tcBorders>
          </w:tcPr>
          <w:p>
            <w:pPr>
              <w:jc w:val="right"/>
              <w:ind w:right="1"/>
              <w:spacing w:after="0"/>
              <w:rPr>
                <w:sz w:val="20"/>
                <w:szCs w:val="20"/>
                <w:color w:val="auto"/>
              </w:rPr>
            </w:pPr>
            <w:r>
              <w:rPr>
                <w:rFonts w:ascii="Arial" w:cs="Arial" w:eastAsia="Arial" w:hAnsi="Arial"/>
                <w:sz w:val="16"/>
                <w:szCs w:val="16"/>
                <w:color w:val="435363"/>
              </w:rPr>
              <w:t>200.0%</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4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435363"/>
              </w:rPr>
              <w:t>Mainline D-0</w:t>
            </w:r>
          </w:p>
        </w:tc>
        <w:tc>
          <w:tcPr>
            <w:tcW w:w="1880" w:type="dxa"/>
            <w:vAlign w:val="bottom"/>
            <w:tcBorders>
              <w:bottom w:val="single" w:sz="8" w:color="EDEDED"/>
            </w:tcBorders>
            <w:shd w:val="clear" w:color="auto" w:fill="EDEDED"/>
          </w:tcPr>
          <w:p>
            <w:pPr>
              <w:jc w:val="right"/>
              <w:ind w:right="201"/>
              <w:spacing w:after="0"/>
              <w:rPr>
                <w:sz w:val="20"/>
                <w:szCs w:val="20"/>
                <w:color w:val="auto"/>
              </w:rPr>
            </w:pPr>
            <w:r>
              <w:rPr>
                <w:rFonts w:ascii="Arial" w:cs="Arial" w:eastAsia="Arial" w:hAnsi="Arial"/>
                <w:sz w:val="16"/>
                <w:szCs w:val="16"/>
                <w:color w:val="435363"/>
              </w:rPr>
              <w:t>61.0%</w:t>
            </w:r>
          </w:p>
        </w:tc>
        <w:tc>
          <w:tcPr>
            <w:tcW w:w="1660" w:type="dxa"/>
            <w:vAlign w:val="bottom"/>
            <w:tcBorders>
              <w:bottom w:val="single" w:sz="8" w:color="EDEDED"/>
            </w:tcBorders>
            <w:shd w:val="clear" w:color="auto" w:fill="EDEDED"/>
          </w:tcPr>
          <w:p>
            <w:pPr>
              <w:jc w:val="right"/>
              <w:ind w:right="201"/>
              <w:spacing w:after="0"/>
              <w:rPr>
                <w:sz w:val="20"/>
                <w:szCs w:val="20"/>
                <w:color w:val="auto"/>
              </w:rPr>
            </w:pPr>
            <w:r>
              <w:rPr>
                <w:rFonts w:ascii="Arial" w:cs="Arial" w:eastAsia="Arial" w:hAnsi="Arial"/>
                <w:sz w:val="16"/>
                <w:szCs w:val="16"/>
                <w:color w:val="435363"/>
              </w:rPr>
              <w:t>63.0%</w:t>
            </w:r>
          </w:p>
        </w:tc>
        <w:tc>
          <w:tcPr>
            <w:tcW w:w="1660" w:type="dxa"/>
            <w:vAlign w:val="bottom"/>
            <w:tcBorders>
              <w:bottom w:val="single" w:sz="8" w:color="EDEDED"/>
            </w:tcBorders>
            <w:shd w:val="clear" w:color="auto" w:fill="EDEDED"/>
          </w:tcPr>
          <w:p>
            <w:pPr>
              <w:jc w:val="right"/>
              <w:ind w:right="201"/>
              <w:spacing w:after="0"/>
              <w:rPr>
                <w:sz w:val="20"/>
                <w:szCs w:val="20"/>
                <w:color w:val="auto"/>
              </w:rPr>
            </w:pPr>
            <w:r>
              <w:rPr>
                <w:rFonts w:ascii="Arial" w:cs="Arial" w:eastAsia="Arial" w:hAnsi="Arial"/>
                <w:sz w:val="16"/>
                <w:szCs w:val="16"/>
                <w:color w:val="435363"/>
              </w:rPr>
              <w:t>65.0%</w:t>
            </w:r>
          </w:p>
        </w:tc>
        <w:tc>
          <w:tcPr>
            <w:tcW w:w="1660" w:type="dxa"/>
            <w:vAlign w:val="bottom"/>
            <w:tcBorders>
              <w:bottom w:val="single" w:sz="8" w:color="EDEDED"/>
            </w:tcBorders>
            <w:shd w:val="clear" w:color="auto" w:fill="EDEDED"/>
          </w:tcPr>
          <w:p>
            <w:pPr>
              <w:jc w:val="right"/>
              <w:ind w:right="201"/>
              <w:spacing w:after="0"/>
              <w:rPr>
                <w:sz w:val="20"/>
                <w:szCs w:val="20"/>
                <w:color w:val="auto"/>
              </w:rPr>
            </w:pPr>
            <w:r>
              <w:rPr>
                <w:rFonts w:ascii="Arial" w:cs="Arial" w:eastAsia="Arial" w:hAnsi="Arial"/>
                <w:sz w:val="16"/>
                <w:szCs w:val="16"/>
                <w:color w:val="435363"/>
              </w:rPr>
              <w:t>63.3%</w:t>
            </w:r>
          </w:p>
        </w:tc>
        <w:tc>
          <w:tcPr>
            <w:tcW w:w="1480" w:type="dxa"/>
            <w:vAlign w:val="bottom"/>
            <w:tcBorders>
              <w:bottom w:val="single" w:sz="8" w:color="EDEDED"/>
            </w:tcBorders>
            <w:shd w:val="clear" w:color="auto" w:fill="EDEDED"/>
          </w:tcPr>
          <w:p>
            <w:pPr>
              <w:jc w:val="right"/>
              <w:ind w:right="1"/>
              <w:spacing w:after="0"/>
              <w:rPr>
                <w:sz w:val="20"/>
                <w:szCs w:val="20"/>
                <w:color w:val="auto"/>
              </w:rPr>
            </w:pPr>
            <w:r>
              <w:rPr>
                <w:rFonts w:ascii="Arial" w:cs="Arial" w:eastAsia="Arial" w:hAnsi="Arial"/>
                <w:sz w:val="16"/>
                <w:szCs w:val="16"/>
                <w:color w:val="435363"/>
              </w:rPr>
              <w:t>115.8%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60" w:type="dxa"/>
            <w:vAlign w:val="bottom"/>
          </w:tcPr>
          <w:p>
            <w:pPr>
              <w:ind w:left="60"/>
              <w:spacing w:after="0"/>
              <w:rPr>
                <w:sz w:val="20"/>
                <w:szCs w:val="20"/>
                <w:color w:val="auto"/>
              </w:rPr>
            </w:pPr>
            <w:r>
              <w:rPr>
                <w:rFonts w:ascii="Arial" w:cs="Arial" w:eastAsia="Arial" w:hAnsi="Arial"/>
                <w:sz w:val="16"/>
                <w:szCs w:val="16"/>
                <w:color w:val="435363"/>
              </w:rPr>
              <w:t>Regional CCF</w:t>
            </w:r>
          </w:p>
        </w:tc>
        <w:tc>
          <w:tcPr>
            <w:tcW w:w="1880" w:type="dxa"/>
            <w:vAlign w:val="bottom"/>
          </w:tcPr>
          <w:p>
            <w:pPr>
              <w:jc w:val="right"/>
              <w:ind w:right="201"/>
              <w:spacing w:after="0"/>
              <w:rPr>
                <w:sz w:val="20"/>
                <w:szCs w:val="20"/>
                <w:color w:val="auto"/>
              </w:rPr>
            </w:pPr>
            <w:r>
              <w:rPr>
                <w:rFonts w:ascii="Arial" w:cs="Arial" w:eastAsia="Arial" w:hAnsi="Arial"/>
                <w:sz w:val="16"/>
                <w:szCs w:val="16"/>
                <w:color w:val="435363"/>
              </w:rPr>
              <w:t>99.3%</w:t>
            </w:r>
          </w:p>
        </w:tc>
        <w:tc>
          <w:tcPr>
            <w:tcW w:w="1660" w:type="dxa"/>
            <w:vAlign w:val="bottom"/>
          </w:tcPr>
          <w:p>
            <w:pPr>
              <w:jc w:val="right"/>
              <w:ind w:right="201"/>
              <w:spacing w:after="0"/>
              <w:rPr>
                <w:sz w:val="20"/>
                <w:szCs w:val="20"/>
                <w:color w:val="auto"/>
              </w:rPr>
            </w:pPr>
            <w:r>
              <w:rPr>
                <w:rFonts w:ascii="Arial" w:cs="Arial" w:eastAsia="Arial" w:hAnsi="Arial"/>
                <w:sz w:val="16"/>
                <w:szCs w:val="16"/>
                <w:color w:val="435363"/>
              </w:rPr>
              <w:t>99.5%</w:t>
            </w:r>
          </w:p>
        </w:tc>
        <w:tc>
          <w:tcPr>
            <w:tcW w:w="1660" w:type="dxa"/>
            <w:vAlign w:val="bottom"/>
          </w:tcPr>
          <w:p>
            <w:pPr>
              <w:jc w:val="right"/>
              <w:ind w:right="201"/>
              <w:spacing w:after="0"/>
              <w:rPr>
                <w:sz w:val="20"/>
                <w:szCs w:val="20"/>
                <w:color w:val="auto"/>
              </w:rPr>
            </w:pPr>
            <w:r>
              <w:rPr>
                <w:rFonts w:ascii="Arial" w:cs="Arial" w:eastAsia="Arial" w:hAnsi="Arial"/>
                <w:sz w:val="16"/>
                <w:szCs w:val="16"/>
                <w:color w:val="435363"/>
              </w:rPr>
              <w:t>99.7%</w:t>
            </w:r>
          </w:p>
        </w:tc>
        <w:tc>
          <w:tcPr>
            <w:tcW w:w="1660" w:type="dxa"/>
            <w:vAlign w:val="bottom"/>
          </w:tcPr>
          <w:p>
            <w:pPr>
              <w:jc w:val="right"/>
              <w:ind w:right="201"/>
              <w:spacing w:after="0"/>
              <w:rPr>
                <w:sz w:val="20"/>
                <w:szCs w:val="20"/>
                <w:color w:val="auto"/>
              </w:rPr>
            </w:pPr>
            <w:r>
              <w:rPr>
                <w:rFonts w:ascii="Arial" w:cs="Arial" w:eastAsia="Arial" w:hAnsi="Arial"/>
                <w:sz w:val="16"/>
                <w:szCs w:val="16"/>
                <w:color w:val="435363"/>
              </w:rPr>
              <w:t>99.9%</w:t>
            </w:r>
          </w:p>
        </w:tc>
        <w:tc>
          <w:tcPr>
            <w:tcW w:w="1480" w:type="dxa"/>
            <w:vAlign w:val="bottom"/>
          </w:tcPr>
          <w:p>
            <w:pPr>
              <w:jc w:val="right"/>
              <w:ind w:right="1"/>
              <w:spacing w:after="0"/>
              <w:rPr>
                <w:sz w:val="20"/>
                <w:szCs w:val="20"/>
                <w:color w:val="auto"/>
              </w:rPr>
            </w:pPr>
            <w:r>
              <w:rPr>
                <w:rFonts w:ascii="Arial" w:cs="Arial" w:eastAsia="Arial" w:hAnsi="Arial"/>
                <w:sz w:val="16"/>
                <w:szCs w:val="16"/>
                <w:color w:val="435363"/>
              </w:rPr>
              <w:t>200.0%</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4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435363"/>
              </w:rPr>
              <w:t>Regional D-0</w:t>
            </w:r>
          </w:p>
        </w:tc>
        <w:tc>
          <w:tcPr>
            <w:tcW w:w="1880" w:type="dxa"/>
            <w:vAlign w:val="bottom"/>
            <w:tcBorders>
              <w:bottom w:val="single" w:sz="8" w:color="EDEDED"/>
            </w:tcBorders>
            <w:shd w:val="clear" w:color="auto" w:fill="EDEDED"/>
          </w:tcPr>
          <w:p>
            <w:pPr>
              <w:jc w:val="right"/>
              <w:ind w:right="201"/>
              <w:spacing w:after="0"/>
              <w:rPr>
                <w:sz w:val="20"/>
                <w:szCs w:val="20"/>
                <w:color w:val="auto"/>
              </w:rPr>
            </w:pPr>
            <w:r>
              <w:rPr>
                <w:rFonts w:ascii="Arial" w:cs="Arial" w:eastAsia="Arial" w:hAnsi="Arial"/>
                <w:sz w:val="16"/>
                <w:szCs w:val="16"/>
                <w:color w:val="435363"/>
              </w:rPr>
              <w:t>69.0%</w:t>
            </w:r>
          </w:p>
        </w:tc>
        <w:tc>
          <w:tcPr>
            <w:tcW w:w="1660" w:type="dxa"/>
            <w:vAlign w:val="bottom"/>
            <w:tcBorders>
              <w:bottom w:val="single" w:sz="8" w:color="EDEDED"/>
            </w:tcBorders>
            <w:shd w:val="clear" w:color="auto" w:fill="EDEDED"/>
          </w:tcPr>
          <w:p>
            <w:pPr>
              <w:jc w:val="right"/>
              <w:ind w:right="201"/>
              <w:spacing w:after="0"/>
              <w:rPr>
                <w:sz w:val="20"/>
                <w:szCs w:val="20"/>
                <w:color w:val="auto"/>
              </w:rPr>
            </w:pPr>
            <w:r>
              <w:rPr>
                <w:rFonts w:ascii="Arial" w:cs="Arial" w:eastAsia="Arial" w:hAnsi="Arial"/>
                <w:sz w:val="16"/>
                <w:szCs w:val="16"/>
                <w:color w:val="435363"/>
              </w:rPr>
              <w:t>71.0%</w:t>
            </w:r>
          </w:p>
        </w:tc>
        <w:tc>
          <w:tcPr>
            <w:tcW w:w="1660" w:type="dxa"/>
            <w:vAlign w:val="bottom"/>
            <w:tcBorders>
              <w:bottom w:val="single" w:sz="8" w:color="EDEDED"/>
            </w:tcBorders>
            <w:shd w:val="clear" w:color="auto" w:fill="EDEDED"/>
          </w:tcPr>
          <w:p>
            <w:pPr>
              <w:jc w:val="right"/>
              <w:ind w:right="201"/>
              <w:spacing w:after="0"/>
              <w:rPr>
                <w:sz w:val="20"/>
                <w:szCs w:val="20"/>
                <w:color w:val="auto"/>
              </w:rPr>
            </w:pPr>
            <w:r>
              <w:rPr>
                <w:rFonts w:ascii="Arial" w:cs="Arial" w:eastAsia="Arial" w:hAnsi="Arial"/>
                <w:sz w:val="16"/>
                <w:szCs w:val="16"/>
                <w:color w:val="435363"/>
              </w:rPr>
              <w:t>73.0%</w:t>
            </w:r>
          </w:p>
        </w:tc>
        <w:tc>
          <w:tcPr>
            <w:tcW w:w="1660" w:type="dxa"/>
            <w:vAlign w:val="bottom"/>
            <w:tcBorders>
              <w:bottom w:val="single" w:sz="8" w:color="EDEDED"/>
            </w:tcBorders>
            <w:shd w:val="clear" w:color="auto" w:fill="EDEDED"/>
          </w:tcPr>
          <w:p>
            <w:pPr>
              <w:jc w:val="right"/>
              <w:ind w:right="201"/>
              <w:spacing w:after="0"/>
              <w:rPr>
                <w:sz w:val="20"/>
                <w:szCs w:val="20"/>
                <w:color w:val="auto"/>
              </w:rPr>
            </w:pPr>
            <w:r>
              <w:rPr>
                <w:rFonts w:ascii="Arial" w:cs="Arial" w:eastAsia="Arial" w:hAnsi="Arial"/>
                <w:sz w:val="16"/>
                <w:szCs w:val="16"/>
                <w:color w:val="435363"/>
              </w:rPr>
              <w:t>75.9%</w:t>
            </w:r>
          </w:p>
        </w:tc>
        <w:tc>
          <w:tcPr>
            <w:tcW w:w="1480" w:type="dxa"/>
            <w:vAlign w:val="bottom"/>
            <w:tcBorders>
              <w:bottom w:val="single" w:sz="8" w:color="EDEDED"/>
            </w:tcBorders>
            <w:shd w:val="clear" w:color="auto" w:fill="EDEDED"/>
          </w:tcPr>
          <w:p>
            <w:pPr>
              <w:jc w:val="right"/>
              <w:ind w:right="1"/>
              <w:spacing w:after="0"/>
              <w:rPr>
                <w:sz w:val="20"/>
                <w:szCs w:val="20"/>
                <w:color w:val="auto"/>
              </w:rPr>
            </w:pPr>
            <w:r>
              <w:rPr>
                <w:rFonts w:ascii="Arial" w:cs="Arial" w:eastAsia="Arial" w:hAnsi="Arial"/>
                <w:sz w:val="16"/>
                <w:szCs w:val="16"/>
                <w:color w:val="435363"/>
              </w:rPr>
              <w:t>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435363"/>
          </w:tcPr>
          <w:p>
            <w:pPr>
              <w:spacing w:after="0" w:line="20" w:lineRule="exact"/>
              <w:rPr>
                <w:sz w:val="1"/>
                <w:szCs w:val="1"/>
                <w:color w:val="auto"/>
              </w:rPr>
            </w:pPr>
          </w:p>
        </w:tc>
        <w:tc>
          <w:tcPr>
            <w:tcW w:w="1880" w:type="dxa"/>
            <w:vAlign w:val="bottom"/>
            <w:shd w:val="clear" w:color="auto" w:fill="435363"/>
          </w:tcPr>
          <w:p>
            <w:pPr>
              <w:spacing w:after="0" w:line="20" w:lineRule="exact"/>
              <w:rPr>
                <w:sz w:val="1"/>
                <w:szCs w:val="1"/>
                <w:color w:val="auto"/>
              </w:rPr>
            </w:pPr>
          </w:p>
        </w:tc>
        <w:tc>
          <w:tcPr>
            <w:tcW w:w="1660" w:type="dxa"/>
            <w:vAlign w:val="bottom"/>
            <w:shd w:val="clear" w:color="auto" w:fill="435363"/>
          </w:tcPr>
          <w:p>
            <w:pPr>
              <w:spacing w:after="0" w:line="20" w:lineRule="exact"/>
              <w:rPr>
                <w:sz w:val="1"/>
                <w:szCs w:val="1"/>
                <w:color w:val="auto"/>
              </w:rPr>
            </w:pPr>
          </w:p>
        </w:tc>
        <w:tc>
          <w:tcPr>
            <w:tcW w:w="1660" w:type="dxa"/>
            <w:vAlign w:val="bottom"/>
            <w:shd w:val="clear" w:color="auto" w:fill="435363"/>
          </w:tcPr>
          <w:p>
            <w:pPr>
              <w:spacing w:after="0" w:line="20" w:lineRule="exact"/>
              <w:rPr>
                <w:sz w:val="1"/>
                <w:szCs w:val="1"/>
                <w:color w:val="auto"/>
              </w:rPr>
            </w:pPr>
          </w:p>
        </w:tc>
        <w:tc>
          <w:tcPr>
            <w:tcW w:w="1660" w:type="dxa"/>
            <w:vAlign w:val="bottom"/>
            <w:shd w:val="clear" w:color="auto" w:fill="435363"/>
          </w:tcPr>
          <w:p>
            <w:pPr>
              <w:spacing w:after="0" w:line="20" w:lineRule="exact"/>
              <w:rPr>
                <w:sz w:val="1"/>
                <w:szCs w:val="1"/>
                <w:color w:val="auto"/>
              </w:rPr>
            </w:pPr>
          </w:p>
        </w:tc>
        <w:tc>
          <w:tcPr>
            <w:tcW w:w="1480" w:type="dxa"/>
            <w:vAlign w:val="bottom"/>
            <w:shd w:val="clear" w:color="auto" w:fill="4353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220" w:right="160"/>
        <w:spacing w:after="0" w:line="258" w:lineRule="auto"/>
        <w:rPr>
          <w:sz w:val="20"/>
          <w:szCs w:val="20"/>
          <w:color w:val="auto"/>
        </w:rPr>
      </w:pPr>
      <w:r>
        <w:rPr>
          <w:rFonts w:ascii="Arial" w:cs="Arial" w:eastAsia="Arial" w:hAnsi="Arial"/>
          <w:sz w:val="16"/>
          <w:szCs w:val="16"/>
          <w:color w:val="435363"/>
        </w:rPr>
        <w:t>We also achieved our DEI goals (weighted 10%) at an achievement level of 200%. Based on these weightings and the actual attainment levels, which were reviewed by a third party internal audit consulting firm, each named executive officer received an STIP award equal to 150.86% of target under the 2023 STIP, resulting in the dollar amounts set forth in the table below.</w:t>
      </w:r>
    </w:p>
    <w:p>
      <w:pPr>
        <w:spacing w:after="0" w:line="201" w:lineRule="exact"/>
        <w:rPr>
          <w:sz w:val="20"/>
          <w:szCs w:val="20"/>
          <w:color w:val="auto"/>
        </w:rPr>
      </w:pPr>
    </w:p>
    <w:tbl>
      <w:tblPr>
        <w:tblLayout w:type="fixed"/>
        <w:tblInd w:w="1960" w:type="dxa"/>
        <w:tblCellMar>
          <w:top w:w="0" w:type="dxa"/>
          <w:left w:w="0" w:type="dxa"/>
          <w:bottom w:w="0" w:type="dxa"/>
          <w:right w:w="0" w:type="dxa"/>
        </w:tblCellMar>
      </w:tblPr>
      <w:tr>
        <w:trPr>
          <w:trHeight w:val="199"/>
        </w:trPr>
        <w:tc>
          <w:tcPr>
            <w:tcW w:w="4500" w:type="dxa"/>
            <w:vAlign w:val="bottom"/>
            <w:tcBorders>
              <w:bottom w:val="single" w:sz="8" w:color="BF0000"/>
            </w:tcBorders>
          </w:tcPr>
          <w:p>
            <w:pPr>
              <w:spacing w:after="0"/>
              <w:rPr>
                <w:sz w:val="20"/>
                <w:szCs w:val="20"/>
                <w:color w:val="auto"/>
              </w:rPr>
            </w:pPr>
            <w:r>
              <w:rPr>
                <w:rFonts w:ascii="Arial" w:cs="Arial" w:eastAsia="Arial" w:hAnsi="Arial"/>
                <w:sz w:val="16"/>
                <w:szCs w:val="16"/>
                <w:b w:val="1"/>
                <w:bCs w:val="1"/>
                <w:color w:val="3575B3"/>
              </w:rPr>
              <w:t>  Named Executive Officer</w:t>
            </w:r>
          </w:p>
        </w:tc>
        <w:tc>
          <w:tcPr>
            <w:tcW w:w="2840" w:type="dxa"/>
            <w:vAlign w:val="bottom"/>
            <w:tcBorders>
              <w:bottom w:val="single" w:sz="8" w:color="BF0000"/>
            </w:tcBorders>
          </w:tcPr>
          <w:p>
            <w:pPr>
              <w:jc w:val="right"/>
              <w:spacing w:after="0"/>
              <w:rPr>
                <w:sz w:val="20"/>
                <w:szCs w:val="20"/>
                <w:color w:val="auto"/>
              </w:rPr>
            </w:pPr>
            <w:r>
              <w:rPr>
                <w:rFonts w:ascii="Arial" w:cs="Arial" w:eastAsia="Arial" w:hAnsi="Arial"/>
                <w:sz w:val="16"/>
                <w:szCs w:val="16"/>
                <w:b w:val="1"/>
                <w:bCs w:val="1"/>
                <w:color w:val="3575B3"/>
              </w:rPr>
              <w:t>2023 STIP Payout ($)</w:t>
            </w:r>
          </w:p>
        </w:tc>
      </w:tr>
      <w:tr>
        <w:trPr>
          <w:trHeight w:val="237"/>
        </w:trPr>
        <w:tc>
          <w:tcPr>
            <w:tcW w:w="4500" w:type="dxa"/>
            <w:vAlign w:val="bottom"/>
          </w:tcPr>
          <w:p>
            <w:pPr>
              <w:ind w:left="60"/>
              <w:spacing w:after="0"/>
              <w:rPr>
                <w:sz w:val="20"/>
                <w:szCs w:val="20"/>
                <w:color w:val="auto"/>
              </w:rPr>
            </w:pPr>
            <w:r>
              <w:rPr>
                <w:rFonts w:ascii="Arial" w:cs="Arial" w:eastAsia="Arial" w:hAnsi="Arial"/>
                <w:sz w:val="16"/>
                <w:szCs w:val="16"/>
                <w:b w:val="1"/>
                <w:bCs w:val="1"/>
                <w:color w:val="435363"/>
              </w:rPr>
              <w:t>Robert Isom</w:t>
            </w:r>
          </w:p>
        </w:tc>
        <w:tc>
          <w:tcPr>
            <w:tcW w:w="2840" w:type="dxa"/>
            <w:vAlign w:val="bottom"/>
          </w:tcPr>
          <w:p>
            <w:pPr>
              <w:jc w:val="right"/>
              <w:spacing w:after="0"/>
              <w:rPr>
                <w:sz w:val="20"/>
                <w:szCs w:val="20"/>
                <w:color w:val="auto"/>
              </w:rPr>
            </w:pPr>
            <w:r>
              <w:rPr>
                <w:rFonts w:ascii="Arial" w:cs="Arial" w:eastAsia="Arial" w:hAnsi="Arial"/>
                <w:sz w:val="16"/>
                <w:szCs w:val="16"/>
                <w:color w:val="435363"/>
              </w:rPr>
              <w:t>3,922,360</w:t>
            </w:r>
          </w:p>
        </w:tc>
      </w:tr>
      <w:tr>
        <w:trPr>
          <w:trHeight w:val="35"/>
        </w:trPr>
        <w:tc>
          <w:tcPr>
            <w:tcW w:w="45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71"/>
        </w:trPr>
        <w:tc>
          <w:tcPr>
            <w:tcW w:w="45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Steve Johnson</w:t>
            </w:r>
          </w:p>
        </w:tc>
        <w:tc>
          <w:tcPr>
            <w:tcW w:w="28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1,787,085</w:t>
            </w:r>
          </w:p>
        </w:tc>
      </w:tr>
      <w:tr>
        <w:trPr>
          <w:trHeight w:val="257"/>
        </w:trPr>
        <w:tc>
          <w:tcPr>
            <w:tcW w:w="4500" w:type="dxa"/>
            <w:vAlign w:val="bottom"/>
          </w:tcPr>
          <w:p>
            <w:pPr>
              <w:ind w:left="60"/>
              <w:spacing w:after="0"/>
              <w:rPr>
                <w:sz w:val="20"/>
                <w:szCs w:val="20"/>
                <w:color w:val="auto"/>
              </w:rPr>
            </w:pPr>
            <w:r>
              <w:rPr>
                <w:rFonts w:ascii="Arial" w:cs="Arial" w:eastAsia="Arial" w:hAnsi="Arial"/>
                <w:sz w:val="16"/>
                <w:szCs w:val="16"/>
                <w:b w:val="1"/>
                <w:bCs w:val="1"/>
                <w:color w:val="435363"/>
              </w:rPr>
              <w:t>Priya Aiyar</w:t>
            </w:r>
          </w:p>
        </w:tc>
        <w:tc>
          <w:tcPr>
            <w:tcW w:w="2840" w:type="dxa"/>
            <w:vAlign w:val="bottom"/>
          </w:tcPr>
          <w:p>
            <w:pPr>
              <w:jc w:val="right"/>
              <w:spacing w:after="0"/>
              <w:rPr>
                <w:sz w:val="20"/>
                <w:szCs w:val="20"/>
                <w:color w:val="auto"/>
              </w:rPr>
            </w:pPr>
            <w:r>
              <w:rPr>
                <w:rFonts w:ascii="Arial" w:cs="Arial" w:eastAsia="Arial" w:hAnsi="Arial"/>
                <w:sz w:val="16"/>
                <w:szCs w:val="16"/>
                <w:color w:val="435363"/>
              </w:rPr>
              <w:t>1,376,634</w:t>
            </w:r>
          </w:p>
        </w:tc>
      </w:tr>
      <w:tr>
        <w:trPr>
          <w:trHeight w:val="35"/>
        </w:trPr>
        <w:tc>
          <w:tcPr>
            <w:tcW w:w="45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71"/>
        </w:trPr>
        <w:tc>
          <w:tcPr>
            <w:tcW w:w="45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Devon May</w:t>
            </w:r>
          </w:p>
        </w:tc>
        <w:tc>
          <w:tcPr>
            <w:tcW w:w="28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1,461,495</w:t>
            </w:r>
          </w:p>
        </w:tc>
      </w:tr>
      <w:tr>
        <w:trPr>
          <w:trHeight w:val="257"/>
        </w:trPr>
        <w:tc>
          <w:tcPr>
            <w:tcW w:w="4500" w:type="dxa"/>
            <w:vAlign w:val="bottom"/>
          </w:tcPr>
          <w:p>
            <w:pPr>
              <w:ind w:left="60"/>
              <w:spacing w:after="0"/>
              <w:rPr>
                <w:sz w:val="20"/>
                <w:szCs w:val="20"/>
                <w:color w:val="auto"/>
              </w:rPr>
            </w:pPr>
            <w:r>
              <w:rPr>
                <w:rFonts w:ascii="Arial" w:cs="Arial" w:eastAsia="Arial" w:hAnsi="Arial"/>
                <w:sz w:val="16"/>
                <w:szCs w:val="16"/>
                <w:b w:val="1"/>
                <w:bCs w:val="1"/>
                <w:color w:val="435363"/>
              </w:rPr>
              <w:t>Vasu Raja</w:t>
            </w:r>
          </w:p>
        </w:tc>
        <w:tc>
          <w:tcPr>
            <w:tcW w:w="2840" w:type="dxa"/>
            <w:vAlign w:val="bottom"/>
          </w:tcPr>
          <w:p>
            <w:pPr>
              <w:jc w:val="right"/>
              <w:spacing w:after="0"/>
              <w:rPr>
                <w:sz w:val="20"/>
                <w:szCs w:val="20"/>
                <w:color w:val="auto"/>
              </w:rPr>
            </w:pPr>
            <w:r>
              <w:rPr>
                <w:rFonts w:ascii="Arial" w:cs="Arial" w:eastAsia="Arial" w:hAnsi="Arial"/>
                <w:sz w:val="16"/>
                <w:szCs w:val="16"/>
                <w:color w:val="435363"/>
              </w:rPr>
              <w:t>1,461,495</w:t>
            </w:r>
          </w:p>
        </w:tc>
      </w:tr>
      <w:tr>
        <w:trPr>
          <w:trHeight w:val="35"/>
        </w:trPr>
        <w:tc>
          <w:tcPr>
            <w:tcW w:w="4500" w:type="dxa"/>
            <w:vAlign w:val="bottom"/>
            <w:tcBorders>
              <w:bottom w:val="single" w:sz="8" w:color="435363"/>
            </w:tcBorders>
          </w:tcPr>
          <w:p>
            <w:pPr>
              <w:spacing w:after="0"/>
              <w:rPr>
                <w:sz w:val="3"/>
                <w:szCs w:val="3"/>
                <w:color w:val="auto"/>
              </w:rPr>
            </w:pPr>
          </w:p>
        </w:tc>
        <w:tc>
          <w:tcPr>
            <w:tcW w:w="2840" w:type="dxa"/>
            <w:vAlign w:val="bottom"/>
            <w:tcBorders>
              <w:bottom w:val="single" w:sz="8" w:color="435363"/>
            </w:tcBorders>
          </w:tcPr>
          <w:p>
            <w:pPr>
              <w:spacing w:after="0"/>
              <w:rPr>
                <w:sz w:val="3"/>
                <w:szCs w:val="3"/>
                <w:color w:val="auto"/>
              </w:rPr>
            </w:pPr>
          </w:p>
        </w:tc>
      </w:tr>
    </w:tbl>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Reporting of STIP Program Payouts</w:t>
      </w:r>
    </w:p>
    <w:p>
      <w:pPr>
        <w:spacing w:after="0" w:line="107" w:lineRule="exact"/>
        <w:rPr>
          <w:sz w:val="20"/>
          <w:szCs w:val="20"/>
          <w:color w:val="auto"/>
        </w:rPr>
      </w:pPr>
    </w:p>
    <w:p>
      <w:pPr>
        <w:ind w:left="220" w:right="80"/>
        <w:spacing w:after="0" w:line="248" w:lineRule="auto"/>
        <w:rPr>
          <w:sz w:val="20"/>
          <w:szCs w:val="20"/>
          <w:color w:val="auto"/>
        </w:rPr>
      </w:pPr>
      <w:r>
        <w:rPr>
          <w:rFonts w:ascii="Arial" w:cs="Arial" w:eastAsia="Arial" w:hAnsi="Arial"/>
          <w:sz w:val="16"/>
          <w:szCs w:val="16"/>
          <w:color w:val="435363"/>
        </w:rPr>
        <w:t>As we disclosed in our proxy statement last year, for 2022 the Compensation Committee re-established the performance-based STIP. In light of the unprecedented business challenges resulting from the COVID-19 pandemic, the 2020 STIP had been terminated and our named executive officers did not participate in the 2021 STIP. Accordingly, no payouts were made under the STIP to our named executive officers for 2020 or 2021. While the Compensation Committee re-established the STIP program for 2022, it reset both the STIP program and the Company’s 2022 profit sharing programs for front-line employees to a 12-month cycle commencing at the end of the first quarter of 2022 and running through the first quarter of 2023. This change was made to incentivize performance beginning at the point in time when the most significant impacts of the pandemic had finally concluded.</w:t>
      </w:r>
    </w:p>
    <w:p>
      <w:pPr>
        <w:spacing w:after="0" w:line="77" w:lineRule="exact"/>
        <w:rPr>
          <w:sz w:val="20"/>
          <w:szCs w:val="20"/>
          <w:color w:val="auto"/>
        </w:rPr>
      </w:pPr>
    </w:p>
    <w:p>
      <w:pPr>
        <w:ind w:left="220" w:right="600"/>
        <w:spacing w:after="0" w:line="275" w:lineRule="auto"/>
        <w:rPr>
          <w:sz w:val="20"/>
          <w:szCs w:val="20"/>
          <w:color w:val="auto"/>
        </w:rPr>
      </w:pPr>
      <w:r>
        <w:rPr>
          <w:rFonts w:ascii="Arial" w:cs="Arial" w:eastAsia="Arial" w:hAnsi="Arial"/>
          <w:sz w:val="16"/>
          <w:szCs w:val="16"/>
          <w:color w:val="435363"/>
        </w:rPr>
        <w:t>For 2023, the Compensation Committee resumed our standard calendar year performance-based STIP, reflecting the stabilization of our business following our emergence from the pandemic.</w:t>
      </w:r>
    </w:p>
    <w:p>
      <w:pPr>
        <w:spacing w:after="0" w:line="55" w:lineRule="exact"/>
        <w:rPr>
          <w:sz w:val="20"/>
          <w:szCs w:val="20"/>
          <w:color w:val="auto"/>
        </w:rPr>
      </w:pPr>
    </w:p>
    <w:p>
      <w:pPr>
        <w:ind w:left="220" w:right="200"/>
        <w:spacing w:after="0" w:line="256" w:lineRule="auto"/>
        <w:rPr>
          <w:sz w:val="20"/>
          <w:szCs w:val="20"/>
          <w:color w:val="auto"/>
        </w:rPr>
      </w:pPr>
      <w:r>
        <w:rPr>
          <w:rFonts w:ascii="Arial" w:cs="Arial" w:eastAsia="Arial" w:hAnsi="Arial"/>
          <w:sz w:val="16"/>
          <w:szCs w:val="16"/>
          <w:color w:val="435363"/>
        </w:rPr>
        <w:t xml:space="preserve">In compliance with SEC reporting requirements, payments under both programs, one of which was almost entirely attributable to performance in 2022, are included in the Summary Compensation Table total compensation for 2023. No portion of the payout under either program was included in the Summary Compensation Table total compensation for 2022. As a result, </w:t>
      </w:r>
      <w:r>
        <w:rPr>
          <w:rFonts w:ascii="Arial" w:cs="Arial" w:eastAsia="Arial" w:hAnsi="Arial"/>
          <w:sz w:val="16"/>
          <w:szCs w:val="16"/>
          <w:b w:val="1"/>
          <w:bCs w:val="1"/>
          <w:color w:val="435363"/>
        </w:rPr>
        <w:t>the 2023 Summary Compensation Table includes two STIP payments due</w:t>
      </w:r>
      <w:r>
        <w:rPr>
          <w:rFonts w:ascii="Arial" w:cs="Arial" w:eastAsia="Arial" w:hAnsi="Arial"/>
          <w:sz w:val="16"/>
          <w:szCs w:val="16"/>
          <w:color w:val="435363"/>
        </w:rPr>
        <w:t xml:space="preserve"> </w:t>
      </w:r>
      <w:r>
        <w:rPr>
          <w:rFonts w:ascii="Arial" w:cs="Arial" w:eastAsia="Arial" w:hAnsi="Arial"/>
          <w:sz w:val="16"/>
          <w:szCs w:val="16"/>
          <w:b w:val="1"/>
          <w:bCs w:val="1"/>
          <w:color w:val="435363"/>
        </w:rPr>
        <w:t>to how they fell on the adjusted calendar applied to the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132715</wp:posOffset>
            </wp:positionV>
            <wp:extent cx="5269230" cy="24790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269230" cy="247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435363"/>
        </w:rPr>
        <w:t>55</w:t>
      </w: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2022 STIP</w:t>
      </w:r>
    </w:p>
    <w:p>
      <w:pPr>
        <w:spacing w:after="0" w:line="81" w:lineRule="exact"/>
        <w:rPr>
          <w:sz w:val="20"/>
          <w:szCs w:val="20"/>
          <w:color w:val="auto"/>
        </w:rPr>
      </w:pPr>
    </w:p>
    <w:p>
      <w:pPr>
        <w:ind w:left="220" w:right="140"/>
        <w:spacing w:after="0" w:line="275" w:lineRule="auto"/>
        <w:rPr>
          <w:sz w:val="20"/>
          <w:szCs w:val="20"/>
          <w:color w:val="auto"/>
        </w:rPr>
      </w:pPr>
      <w:r>
        <w:rPr>
          <w:rFonts w:ascii="Arial" w:cs="Arial" w:eastAsia="Arial" w:hAnsi="Arial"/>
          <w:sz w:val="15"/>
          <w:szCs w:val="15"/>
          <w:color w:val="435363"/>
        </w:rPr>
        <w:t>For the period from April 1, 2022 through April 1, 2023, the target adjusted pre-tax income goal (weighted 50%) was set at $400 million, at a time when we were just emerging from the pandemic. The goal for this period was set on the heels of very challenging financial results in 2021 and the first quarter of 2022 – a pre-tax loss excluding net special items of nearly $7 billion for fiscal year 2021, and a pre-tax loss excluding net special items of nearly $2 billion for the first fiscal quarter of 2022 (See Appendix B for a reconciliation of pre-tax income (loss) excluding net special items, a non-GAAP measure).</w:t>
      </w:r>
    </w:p>
    <w:p>
      <w:pPr>
        <w:spacing w:after="0" w:line="56" w:lineRule="exact"/>
        <w:rPr>
          <w:sz w:val="20"/>
          <w:szCs w:val="20"/>
          <w:color w:val="auto"/>
        </w:rPr>
      </w:pPr>
    </w:p>
    <w:p>
      <w:pPr>
        <w:ind w:left="220" w:right="40"/>
        <w:spacing w:after="0" w:line="258" w:lineRule="auto"/>
        <w:rPr>
          <w:sz w:val="20"/>
          <w:szCs w:val="20"/>
          <w:color w:val="auto"/>
        </w:rPr>
      </w:pPr>
      <w:r>
        <w:rPr>
          <w:rFonts w:ascii="Arial" w:cs="Arial" w:eastAsia="Arial" w:hAnsi="Arial"/>
          <w:sz w:val="16"/>
          <w:szCs w:val="16"/>
          <w:color w:val="435363"/>
        </w:rPr>
        <w:t>For the period from April 1, 2022 through April 1, 2023, we attained adjusted pre-tax income of $2.8 billion, an achievement level of 200% of target. Adjusted pre-tax income represents pre-tax income, excluding net special items, expenses associated with profit sharing and the STIP and related payroll taxes and 401(k) company contributions.</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The following table shows actual performance in respect of our operational goals (as a percentage of target levels).</w:t>
      </w: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480" w:type="dxa"/>
            <w:vAlign w:val="bottom"/>
            <w:gridSpan w:val="2"/>
            <w:vMerge w:val="restart"/>
          </w:tcPr>
          <w:p>
            <w:pPr>
              <w:spacing w:after="0"/>
              <w:rPr>
                <w:sz w:val="20"/>
                <w:szCs w:val="20"/>
                <w:color w:val="auto"/>
              </w:rPr>
            </w:pPr>
            <w:r>
              <w:rPr>
                <w:rFonts w:ascii="Arial" w:cs="Arial" w:eastAsia="Arial" w:hAnsi="Arial"/>
                <w:sz w:val="16"/>
                <w:szCs w:val="16"/>
                <w:b w:val="1"/>
                <w:bCs w:val="1"/>
                <w:color w:val="3575B3"/>
              </w:rPr>
              <w:t>  Operational Performance Goal</w:t>
            </w:r>
          </w:p>
        </w:tc>
        <w:tc>
          <w:tcPr>
            <w:tcW w:w="1880" w:type="dxa"/>
            <w:vAlign w:val="bottom"/>
          </w:tcPr>
          <w:p>
            <w:pPr>
              <w:spacing w:after="0"/>
              <w:rPr>
                <w:sz w:val="16"/>
                <w:szCs w:val="16"/>
                <w:color w:val="auto"/>
              </w:rPr>
            </w:pPr>
          </w:p>
        </w:tc>
        <w:tc>
          <w:tcPr>
            <w:tcW w:w="1660" w:type="dxa"/>
            <w:vAlign w:val="bottom"/>
            <w:vMerge w:val="restart"/>
          </w:tcPr>
          <w:p>
            <w:pPr>
              <w:jc w:val="right"/>
              <w:ind w:right="601"/>
              <w:spacing w:after="0"/>
              <w:rPr>
                <w:sz w:val="20"/>
                <w:szCs w:val="20"/>
                <w:color w:val="auto"/>
              </w:rPr>
            </w:pPr>
            <w:r>
              <w:rPr>
                <w:rFonts w:ascii="Arial" w:cs="Arial" w:eastAsia="Arial" w:hAnsi="Arial"/>
                <w:sz w:val="16"/>
                <w:szCs w:val="16"/>
                <w:b w:val="1"/>
                <w:bCs w:val="1"/>
                <w:color w:val="3575B3"/>
              </w:rPr>
              <w:t>Target</w:t>
            </w:r>
          </w:p>
        </w:tc>
        <w:tc>
          <w:tcPr>
            <w:tcW w:w="1660" w:type="dxa"/>
            <w:vAlign w:val="bottom"/>
          </w:tcPr>
          <w:p>
            <w:pPr>
              <w:spacing w:after="0"/>
              <w:rPr>
                <w:sz w:val="16"/>
                <w:szCs w:val="16"/>
                <w:color w:val="auto"/>
              </w:rPr>
            </w:pPr>
          </w:p>
        </w:tc>
        <w:tc>
          <w:tcPr>
            <w:tcW w:w="1660" w:type="dxa"/>
            <w:vAlign w:val="bottom"/>
            <w:vMerge w:val="restart"/>
          </w:tcPr>
          <w:p>
            <w:pPr>
              <w:jc w:val="right"/>
              <w:ind w:right="581"/>
              <w:spacing w:after="0"/>
              <w:rPr>
                <w:sz w:val="20"/>
                <w:szCs w:val="20"/>
                <w:color w:val="auto"/>
              </w:rPr>
            </w:pPr>
            <w:r>
              <w:rPr>
                <w:rFonts w:ascii="Arial" w:cs="Arial" w:eastAsia="Arial" w:hAnsi="Arial"/>
                <w:sz w:val="16"/>
                <w:szCs w:val="16"/>
                <w:b w:val="1"/>
                <w:bCs w:val="1"/>
                <w:color w:val="3575B3"/>
              </w:rPr>
              <w:t>Actual</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3575B3"/>
                <w:w w:val="98"/>
              </w:rPr>
              <w:t>Achievement</w:t>
            </w:r>
          </w:p>
        </w:tc>
        <w:tc>
          <w:tcPr>
            <w:tcW w:w="0" w:type="dxa"/>
            <w:vAlign w:val="bottom"/>
          </w:tcPr>
          <w:p>
            <w:pPr>
              <w:spacing w:after="0"/>
              <w:rPr>
                <w:sz w:val="1"/>
                <w:szCs w:val="1"/>
                <w:color w:val="auto"/>
              </w:rPr>
            </w:pPr>
          </w:p>
        </w:tc>
      </w:tr>
      <w:tr>
        <w:trPr>
          <w:trHeight w:val="172"/>
        </w:trPr>
        <w:tc>
          <w:tcPr>
            <w:tcW w:w="2480" w:type="dxa"/>
            <w:vAlign w:val="bottom"/>
            <w:gridSpan w:val="2"/>
            <w:vMerge w:val="continue"/>
          </w:tcPr>
          <w:p>
            <w:pPr>
              <w:spacing w:after="0"/>
              <w:rPr>
                <w:sz w:val="14"/>
                <w:szCs w:val="14"/>
                <w:color w:val="auto"/>
              </w:rPr>
            </w:pPr>
          </w:p>
        </w:tc>
        <w:tc>
          <w:tcPr>
            <w:tcW w:w="1880" w:type="dxa"/>
            <w:vAlign w:val="bottom"/>
          </w:tcPr>
          <w:p>
            <w:pPr>
              <w:jc w:val="right"/>
              <w:ind w:right="441"/>
              <w:spacing w:after="0" w:line="172" w:lineRule="exact"/>
              <w:rPr>
                <w:sz w:val="20"/>
                <w:szCs w:val="20"/>
                <w:color w:val="auto"/>
              </w:rPr>
            </w:pPr>
            <w:r>
              <w:rPr>
                <w:rFonts w:ascii="Arial" w:cs="Arial" w:eastAsia="Arial" w:hAnsi="Arial"/>
                <w:sz w:val="16"/>
                <w:szCs w:val="16"/>
                <w:b w:val="1"/>
                <w:bCs w:val="1"/>
                <w:color w:val="3575B3"/>
              </w:rPr>
              <w:t>Threshold</w:t>
            </w:r>
          </w:p>
        </w:tc>
        <w:tc>
          <w:tcPr>
            <w:tcW w:w="1660" w:type="dxa"/>
            <w:vAlign w:val="bottom"/>
            <w:vMerge w:val="continue"/>
          </w:tcPr>
          <w:p>
            <w:pPr>
              <w:spacing w:after="0"/>
              <w:rPr>
                <w:sz w:val="14"/>
                <w:szCs w:val="14"/>
                <w:color w:val="auto"/>
              </w:rPr>
            </w:pPr>
          </w:p>
        </w:tc>
        <w:tc>
          <w:tcPr>
            <w:tcW w:w="1660" w:type="dxa"/>
            <w:vAlign w:val="bottom"/>
          </w:tcPr>
          <w:p>
            <w:pPr>
              <w:jc w:val="right"/>
              <w:ind w:right="461"/>
              <w:spacing w:after="0" w:line="172" w:lineRule="exact"/>
              <w:rPr>
                <w:sz w:val="20"/>
                <w:szCs w:val="20"/>
                <w:color w:val="auto"/>
              </w:rPr>
            </w:pPr>
            <w:r>
              <w:rPr>
                <w:rFonts w:ascii="Arial" w:cs="Arial" w:eastAsia="Arial" w:hAnsi="Arial"/>
                <w:sz w:val="16"/>
                <w:szCs w:val="16"/>
                <w:b w:val="1"/>
                <w:bCs w:val="1"/>
                <w:color w:val="3575B3"/>
              </w:rPr>
              <w:t>Maximum</w:t>
            </w:r>
          </w:p>
        </w:tc>
        <w:tc>
          <w:tcPr>
            <w:tcW w:w="1660" w:type="dxa"/>
            <w:vAlign w:val="bottom"/>
            <w:vMerge w:val="continue"/>
          </w:tcPr>
          <w:p>
            <w:pPr>
              <w:spacing w:after="0"/>
              <w:rPr>
                <w:sz w:val="14"/>
                <w:szCs w:val="14"/>
                <w:color w:val="auto"/>
              </w:rPr>
            </w:pPr>
          </w:p>
        </w:tc>
        <w:tc>
          <w:tcPr>
            <w:tcW w:w="1480" w:type="dxa"/>
            <w:vAlign w:val="bottom"/>
          </w:tcPr>
          <w:p>
            <w:pPr>
              <w:jc w:val="center"/>
              <w:spacing w:after="0" w:line="172" w:lineRule="exact"/>
              <w:rPr>
                <w:sz w:val="20"/>
                <w:szCs w:val="20"/>
                <w:color w:val="auto"/>
              </w:rPr>
            </w:pPr>
            <w:r>
              <w:rPr>
                <w:rFonts w:ascii="Arial" w:cs="Arial" w:eastAsia="Arial" w:hAnsi="Arial"/>
                <w:sz w:val="16"/>
                <w:szCs w:val="16"/>
                <w:b w:val="1"/>
                <w:bCs w:val="1"/>
                <w:color w:val="3575B3"/>
              </w:rPr>
              <w:t>Level (as a</w:t>
            </w:r>
          </w:p>
        </w:tc>
        <w:tc>
          <w:tcPr>
            <w:tcW w:w="0" w:type="dxa"/>
            <w:vAlign w:val="bottom"/>
          </w:tcPr>
          <w:p>
            <w:pPr>
              <w:spacing w:after="0"/>
              <w:rPr>
                <w:sz w:val="1"/>
                <w:szCs w:val="1"/>
                <w:color w:val="auto"/>
              </w:rPr>
            </w:pPr>
          </w:p>
        </w:tc>
      </w:tr>
      <w:tr>
        <w:trPr>
          <w:trHeight w:val="213"/>
        </w:trPr>
        <w:tc>
          <w:tcPr>
            <w:tcW w:w="2480" w:type="dxa"/>
            <w:vAlign w:val="bottom"/>
            <w:gridSpan w:val="2"/>
          </w:tcPr>
          <w:p>
            <w:pPr>
              <w:spacing w:after="0"/>
              <w:rPr>
                <w:sz w:val="20"/>
                <w:szCs w:val="20"/>
                <w:color w:val="auto"/>
              </w:rPr>
            </w:pPr>
            <w:r>
              <w:rPr>
                <w:rFonts w:ascii="Arial" w:cs="Arial" w:eastAsia="Arial" w:hAnsi="Arial"/>
                <w:sz w:val="16"/>
                <w:szCs w:val="16"/>
                <w:b w:val="1"/>
                <w:bCs w:val="1"/>
                <w:color w:val="3575B3"/>
              </w:rPr>
              <w:t>  (weighting %)</w:t>
            </w:r>
          </w:p>
        </w:tc>
        <w:tc>
          <w:tcPr>
            <w:tcW w:w="1880" w:type="dxa"/>
            <w:vAlign w:val="bottom"/>
          </w:tcPr>
          <w:p>
            <w:pPr>
              <w:jc w:val="right"/>
              <w:ind w:right="341"/>
              <w:spacing w:after="0"/>
              <w:rPr>
                <w:sz w:val="20"/>
                <w:szCs w:val="20"/>
                <w:color w:val="auto"/>
              </w:rPr>
            </w:pPr>
            <w:r>
              <w:rPr>
                <w:rFonts w:ascii="Arial" w:cs="Arial" w:eastAsia="Arial" w:hAnsi="Arial"/>
                <w:sz w:val="16"/>
                <w:szCs w:val="16"/>
                <w:b w:val="1"/>
                <w:bCs w:val="1"/>
                <w:color w:val="3575B3"/>
              </w:rPr>
              <w:t>Performance</w:t>
            </w:r>
          </w:p>
        </w:tc>
        <w:tc>
          <w:tcPr>
            <w:tcW w:w="1660" w:type="dxa"/>
            <w:vAlign w:val="bottom"/>
          </w:tcPr>
          <w:p>
            <w:pPr>
              <w:jc w:val="right"/>
              <w:ind w:right="341"/>
              <w:spacing w:after="0"/>
              <w:rPr>
                <w:sz w:val="20"/>
                <w:szCs w:val="20"/>
                <w:color w:val="auto"/>
              </w:rPr>
            </w:pPr>
            <w:r>
              <w:rPr>
                <w:rFonts w:ascii="Arial" w:cs="Arial" w:eastAsia="Arial" w:hAnsi="Arial"/>
                <w:sz w:val="16"/>
                <w:szCs w:val="16"/>
                <w:b w:val="1"/>
                <w:bCs w:val="1"/>
                <w:color w:val="3575B3"/>
              </w:rPr>
              <w:t>Performance</w:t>
            </w:r>
          </w:p>
        </w:tc>
        <w:tc>
          <w:tcPr>
            <w:tcW w:w="1660" w:type="dxa"/>
            <w:vAlign w:val="bottom"/>
          </w:tcPr>
          <w:p>
            <w:pPr>
              <w:jc w:val="right"/>
              <w:ind w:right="341"/>
              <w:spacing w:after="0"/>
              <w:rPr>
                <w:sz w:val="20"/>
                <w:szCs w:val="20"/>
                <w:color w:val="auto"/>
              </w:rPr>
            </w:pPr>
            <w:r>
              <w:rPr>
                <w:rFonts w:ascii="Arial" w:cs="Arial" w:eastAsia="Arial" w:hAnsi="Arial"/>
                <w:sz w:val="16"/>
                <w:szCs w:val="16"/>
                <w:b w:val="1"/>
                <w:bCs w:val="1"/>
                <w:color w:val="3575B3"/>
              </w:rPr>
              <w:t>Performance</w:t>
            </w:r>
          </w:p>
        </w:tc>
        <w:tc>
          <w:tcPr>
            <w:tcW w:w="1660" w:type="dxa"/>
            <w:vAlign w:val="bottom"/>
          </w:tcPr>
          <w:p>
            <w:pPr>
              <w:jc w:val="right"/>
              <w:ind w:right="341"/>
              <w:spacing w:after="0"/>
              <w:rPr>
                <w:sz w:val="20"/>
                <w:szCs w:val="20"/>
                <w:color w:val="auto"/>
              </w:rPr>
            </w:pPr>
            <w:r>
              <w:rPr>
                <w:rFonts w:ascii="Arial" w:cs="Arial" w:eastAsia="Arial" w:hAnsi="Arial"/>
                <w:sz w:val="16"/>
                <w:szCs w:val="16"/>
                <w:b w:val="1"/>
                <w:bCs w:val="1"/>
                <w:color w:val="3575B3"/>
              </w:rPr>
              <w:t>Performance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3575B3"/>
                <w:w w:val="97"/>
              </w:rPr>
              <w:t>% of Target)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60" w:type="dxa"/>
            <w:vAlign w:val="bottom"/>
            <w:tcBorders>
              <w:top w:val="single" w:sz="8" w:color="BF0000"/>
            </w:tcBorders>
          </w:tcPr>
          <w:p>
            <w:pPr>
              <w:ind w:left="60"/>
              <w:spacing w:after="0"/>
              <w:rPr>
                <w:sz w:val="20"/>
                <w:szCs w:val="20"/>
                <w:color w:val="auto"/>
              </w:rPr>
            </w:pPr>
            <w:r>
              <w:rPr>
                <w:rFonts w:ascii="Arial" w:cs="Arial" w:eastAsia="Arial" w:hAnsi="Arial"/>
                <w:sz w:val="16"/>
                <w:szCs w:val="16"/>
                <w:color w:val="435363"/>
              </w:rPr>
              <w:t>Mainline CCF (15%)</w:t>
            </w:r>
          </w:p>
        </w:tc>
        <w:tc>
          <w:tcPr>
            <w:tcW w:w="1880" w:type="dxa"/>
            <w:vAlign w:val="bottom"/>
            <w:tcBorders>
              <w:top w:val="single" w:sz="8" w:color="BF0000"/>
            </w:tcBorders>
          </w:tcPr>
          <w:p>
            <w:pPr>
              <w:jc w:val="right"/>
              <w:ind w:right="201"/>
              <w:spacing w:after="0"/>
              <w:rPr>
                <w:sz w:val="20"/>
                <w:szCs w:val="20"/>
                <w:color w:val="auto"/>
              </w:rPr>
            </w:pPr>
            <w:r>
              <w:rPr>
                <w:rFonts w:ascii="Arial" w:cs="Arial" w:eastAsia="Arial" w:hAnsi="Arial"/>
                <w:sz w:val="16"/>
                <w:szCs w:val="16"/>
                <w:color w:val="435363"/>
              </w:rPr>
              <w:t>99.1%</w:t>
            </w:r>
          </w:p>
        </w:tc>
        <w:tc>
          <w:tcPr>
            <w:tcW w:w="1660" w:type="dxa"/>
            <w:vAlign w:val="bottom"/>
            <w:tcBorders>
              <w:top w:val="single" w:sz="8" w:color="BF0000"/>
            </w:tcBorders>
          </w:tcPr>
          <w:p>
            <w:pPr>
              <w:jc w:val="right"/>
              <w:ind w:right="201"/>
              <w:spacing w:after="0"/>
              <w:rPr>
                <w:sz w:val="20"/>
                <w:szCs w:val="20"/>
                <w:color w:val="auto"/>
              </w:rPr>
            </w:pPr>
            <w:r>
              <w:rPr>
                <w:rFonts w:ascii="Arial" w:cs="Arial" w:eastAsia="Arial" w:hAnsi="Arial"/>
                <w:sz w:val="16"/>
                <w:szCs w:val="16"/>
                <w:color w:val="435363"/>
              </w:rPr>
              <w:t>99.4%</w:t>
            </w:r>
          </w:p>
        </w:tc>
        <w:tc>
          <w:tcPr>
            <w:tcW w:w="1660" w:type="dxa"/>
            <w:vAlign w:val="bottom"/>
            <w:tcBorders>
              <w:top w:val="single" w:sz="8" w:color="BF0000"/>
            </w:tcBorders>
          </w:tcPr>
          <w:p>
            <w:pPr>
              <w:jc w:val="right"/>
              <w:ind w:right="201"/>
              <w:spacing w:after="0"/>
              <w:rPr>
                <w:sz w:val="20"/>
                <w:szCs w:val="20"/>
                <w:color w:val="auto"/>
              </w:rPr>
            </w:pPr>
            <w:r>
              <w:rPr>
                <w:rFonts w:ascii="Arial" w:cs="Arial" w:eastAsia="Arial" w:hAnsi="Arial"/>
                <w:sz w:val="16"/>
                <w:szCs w:val="16"/>
                <w:color w:val="435363"/>
              </w:rPr>
              <w:t>99.7%</w:t>
            </w:r>
          </w:p>
        </w:tc>
        <w:tc>
          <w:tcPr>
            <w:tcW w:w="1660" w:type="dxa"/>
            <w:vAlign w:val="bottom"/>
            <w:tcBorders>
              <w:top w:val="single" w:sz="8" w:color="BF0000"/>
            </w:tcBorders>
          </w:tcPr>
          <w:p>
            <w:pPr>
              <w:jc w:val="right"/>
              <w:ind w:right="201"/>
              <w:spacing w:after="0"/>
              <w:rPr>
                <w:sz w:val="20"/>
                <w:szCs w:val="20"/>
                <w:color w:val="auto"/>
              </w:rPr>
            </w:pPr>
            <w:r>
              <w:rPr>
                <w:rFonts w:ascii="Arial" w:cs="Arial" w:eastAsia="Arial" w:hAnsi="Arial"/>
                <w:sz w:val="16"/>
                <w:szCs w:val="16"/>
                <w:color w:val="435363"/>
              </w:rPr>
              <w:t>99.3%</w:t>
            </w:r>
          </w:p>
        </w:tc>
        <w:tc>
          <w:tcPr>
            <w:tcW w:w="1480" w:type="dxa"/>
            <w:vAlign w:val="bottom"/>
            <w:tcBorders>
              <w:top w:val="single" w:sz="8" w:color="BF0000"/>
            </w:tcBorders>
          </w:tcPr>
          <w:p>
            <w:pPr>
              <w:jc w:val="right"/>
              <w:ind w:right="1"/>
              <w:spacing w:after="0"/>
              <w:rPr>
                <w:sz w:val="20"/>
                <w:szCs w:val="20"/>
                <w:color w:val="auto"/>
              </w:rPr>
            </w:pPr>
            <w:r>
              <w:rPr>
                <w:rFonts w:ascii="Arial" w:cs="Arial" w:eastAsia="Arial" w:hAnsi="Arial"/>
                <w:sz w:val="16"/>
                <w:szCs w:val="16"/>
                <w:color w:val="435363"/>
              </w:rPr>
              <w:t>92.2%</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4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435363"/>
              </w:rPr>
              <w:t>Mainline D-0 (15%)</w:t>
            </w:r>
          </w:p>
        </w:tc>
        <w:tc>
          <w:tcPr>
            <w:tcW w:w="1880" w:type="dxa"/>
            <w:vAlign w:val="bottom"/>
            <w:tcBorders>
              <w:bottom w:val="single" w:sz="8" w:color="EDEDED"/>
            </w:tcBorders>
            <w:shd w:val="clear" w:color="auto" w:fill="EDEDED"/>
          </w:tcPr>
          <w:p>
            <w:pPr>
              <w:jc w:val="right"/>
              <w:ind w:right="201"/>
              <w:spacing w:after="0"/>
              <w:rPr>
                <w:sz w:val="20"/>
                <w:szCs w:val="20"/>
                <w:color w:val="auto"/>
              </w:rPr>
            </w:pPr>
            <w:r>
              <w:rPr>
                <w:rFonts w:ascii="Arial" w:cs="Arial" w:eastAsia="Arial" w:hAnsi="Arial"/>
                <w:sz w:val="16"/>
                <w:szCs w:val="16"/>
                <w:color w:val="435363"/>
              </w:rPr>
              <w:t>63.0%</w:t>
            </w:r>
          </w:p>
        </w:tc>
        <w:tc>
          <w:tcPr>
            <w:tcW w:w="1660" w:type="dxa"/>
            <w:vAlign w:val="bottom"/>
            <w:tcBorders>
              <w:bottom w:val="single" w:sz="8" w:color="EDEDED"/>
            </w:tcBorders>
            <w:shd w:val="clear" w:color="auto" w:fill="EDEDED"/>
          </w:tcPr>
          <w:p>
            <w:pPr>
              <w:jc w:val="right"/>
              <w:ind w:right="201"/>
              <w:spacing w:after="0"/>
              <w:rPr>
                <w:sz w:val="20"/>
                <w:szCs w:val="20"/>
                <w:color w:val="auto"/>
              </w:rPr>
            </w:pPr>
            <w:r>
              <w:rPr>
                <w:rFonts w:ascii="Arial" w:cs="Arial" w:eastAsia="Arial" w:hAnsi="Arial"/>
                <w:sz w:val="16"/>
                <w:szCs w:val="16"/>
                <w:color w:val="435363"/>
              </w:rPr>
              <w:t>64.5%</w:t>
            </w:r>
          </w:p>
        </w:tc>
        <w:tc>
          <w:tcPr>
            <w:tcW w:w="1660" w:type="dxa"/>
            <w:vAlign w:val="bottom"/>
            <w:tcBorders>
              <w:bottom w:val="single" w:sz="8" w:color="EDEDED"/>
            </w:tcBorders>
            <w:shd w:val="clear" w:color="auto" w:fill="EDEDED"/>
          </w:tcPr>
          <w:p>
            <w:pPr>
              <w:jc w:val="right"/>
              <w:ind w:right="201"/>
              <w:spacing w:after="0"/>
              <w:rPr>
                <w:sz w:val="20"/>
                <w:szCs w:val="20"/>
                <w:color w:val="auto"/>
              </w:rPr>
            </w:pPr>
            <w:r>
              <w:rPr>
                <w:rFonts w:ascii="Arial" w:cs="Arial" w:eastAsia="Arial" w:hAnsi="Arial"/>
                <w:sz w:val="16"/>
                <w:szCs w:val="16"/>
                <w:color w:val="435363"/>
              </w:rPr>
              <w:t>66.0%</w:t>
            </w:r>
          </w:p>
        </w:tc>
        <w:tc>
          <w:tcPr>
            <w:tcW w:w="1660" w:type="dxa"/>
            <w:vAlign w:val="bottom"/>
            <w:tcBorders>
              <w:bottom w:val="single" w:sz="8" w:color="EDEDED"/>
            </w:tcBorders>
            <w:shd w:val="clear" w:color="auto" w:fill="EDEDED"/>
          </w:tcPr>
          <w:p>
            <w:pPr>
              <w:jc w:val="right"/>
              <w:ind w:right="201"/>
              <w:spacing w:after="0"/>
              <w:rPr>
                <w:sz w:val="20"/>
                <w:szCs w:val="20"/>
                <w:color w:val="auto"/>
              </w:rPr>
            </w:pPr>
            <w:r>
              <w:rPr>
                <w:rFonts w:ascii="Arial" w:cs="Arial" w:eastAsia="Arial" w:hAnsi="Arial"/>
                <w:sz w:val="16"/>
                <w:szCs w:val="16"/>
                <w:color w:val="435363"/>
              </w:rPr>
              <w:t>61.3%</w:t>
            </w:r>
          </w:p>
        </w:tc>
        <w:tc>
          <w:tcPr>
            <w:tcW w:w="1480" w:type="dxa"/>
            <w:vAlign w:val="bottom"/>
            <w:tcBorders>
              <w:bottom w:val="single" w:sz="8" w:color="EDEDED"/>
            </w:tcBorders>
            <w:shd w:val="clear" w:color="auto" w:fill="EDEDED"/>
          </w:tcPr>
          <w:p>
            <w:pPr>
              <w:jc w:val="right"/>
              <w:ind w:right="1"/>
              <w:spacing w:after="0"/>
              <w:rPr>
                <w:sz w:val="20"/>
                <w:szCs w:val="20"/>
                <w:color w:val="auto"/>
              </w:rPr>
            </w:pPr>
            <w:r>
              <w:rPr>
                <w:rFonts w:ascii="Arial" w:cs="Arial" w:eastAsia="Arial" w:hAnsi="Arial"/>
                <w:sz w:val="16"/>
                <w:szCs w:val="16"/>
                <w:color w:val="435363"/>
              </w:rPr>
              <w:t>0.0%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60" w:type="dxa"/>
            <w:vAlign w:val="bottom"/>
          </w:tcPr>
          <w:p>
            <w:pPr>
              <w:ind w:left="60"/>
              <w:spacing w:after="0"/>
              <w:rPr>
                <w:sz w:val="20"/>
                <w:szCs w:val="20"/>
                <w:color w:val="auto"/>
              </w:rPr>
            </w:pPr>
            <w:r>
              <w:rPr>
                <w:rFonts w:ascii="Arial" w:cs="Arial" w:eastAsia="Arial" w:hAnsi="Arial"/>
                <w:sz w:val="16"/>
                <w:szCs w:val="16"/>
                <w:color w:val="435363"/>
              </w:rPr>
              <w:t>Regional CCF (5%)</w:t>
            </w:r>
          </w:p>
        </w:tc>
        <w:tc>
          <w:tcPr>
            <w:tcW w:w="1880" w:type="dxa"/>
            <w:vAlign w:val="bottom"/>
          </w:tcPr>
          <w:p>
            <w:pPr>
              <w:jc w:val="right"/>
              <w:ind w:right="201"/>
              <w:spacing w:after="0"/>
              <w:rPr>
                <w:sz w:val="20"/>
                <w:szCs w:val="20"/>
                <w:color w:val="auto"/>
              </w:rPr>
            </w:pPr>
            <w:r>
              <w:rPr>
                <w:rFonts w:ascii="Arial" w:cs="Arial" w:eastAsia="Arial" w:hAnsi="Arial"/>
                <w:sz w:val="16"/>
                <w:szCs w:val="16"/>
                <w:color w:val="435363"/>
              </w:rPr>
              <w:t>99.1%</w:t>
            </w:r>
          </w:p>
        </w:tc>
        <w:tc>
          <w:tcPr>
            <w:tcW w:w="1660" w:type="dxa"/>
            <w:vAlign w:val="bottom"/>
          </w:tcPr>
          <w:p>
            <w:pPr>
              <w:jc w:val="right"/>
              <w:ind w:right="201"/>
              <w:spacing w:after="0"/>
              <w:rPr>
                <w:sz w:val="20"/>
                <w:szCs w:val="20"/>
                <w:color w:val="auto"/>
              </w:rPr>
            </w:pPr>
            <w:r>
              <w:rPr>
                <w:rFonts w:ascii="Arial" w:cs="Arial" w:eastAsia="Arial" w:hAnsi="Arial"/>
                <w:sz w:val="16"/>
                <w:szCs w:val="16"/>
                <w:color w:val="435363"/>
              </w:rPr>
              <w:t>99.4%</w:t>
            </w:r>
          </w:p>
        </w:tc>
        <w:tc>
          <w:tcPr>
            <w:tcW w:w="1660" w:type="dxa"/>
            <w:vAlign w:val="bottom"/>
          </w:tcPr>
          <w:p>
            <w:pPr>
              <w:jc w:val="right"/>
              <w:ind w:right="201"/>
              <w:spacing w:after="0"/>
              <w:rPr>
                <w:sz w:val="20"/>
                <w:szCs w:val="20"/>
                <w:color w:val="auto"/>
              </w:rPr>
            </w:pPr>
            <w:r>
              <w:rPr>
                <w:rFonts w:ascii="Arial" w:cs="Arial" w:eastAsia="Arial" w:hAnsi="Arial"/>
                <w:sz w:val="16"/>
                <w:szCs w:val="16"/>
                <w:color w:val="435363"/>
              </w:rPr>
              <w:t>99.7%</w:t>
            </w:r>
          </w:p>
        </w:tc>
        <w:tc>
          <w:tcPr>
            <w:tcW w:w="1660" w:type="dxa"/>
            <w:vAlign w:val="bottom"/>
          </w:tcPr>
          <w:p>
            <w:pPr>
              <w:jc w:val="right"/>
              <w:ind w:right="201"/>
              <w:spacing w:after="0"/>
              <w:rPr>
                <w:sz w:val="20"/>
                <w:szCs w:val="20"/>
                <w:color w:val="auto"/>
              </w:rPr>
            </w:pPr>
            <w:r>
              <w:rPr>
                <w:rFonts w:ascii="Arial" w:cs="Arial" w:eastAsia="Arial" w:hAnsi="Arial"/>
                <w:sz w:val="16"/>
                <w:szCs w:val="16"/>
                <w:color w:val="435363"/>
              </w:rPr>
              <w:t>99.9%</w:t>
            </w:r>
          </w:p>
        </w:tc>
        <w:tc>
          <w:tcPr>
            <w:tcW w:w="1480" w:type="dxa"/>
            <w:vAlign w:val="bottom"/>
          </w:tcPr>
          <w:p>
            <w:pPr>
              <w:jc w:val="right"/>
              <w:ind w:right="1"/>
              <w:spacing w:after="0"/>
              <w:rPr>
                <w:sz w:val="20"/>
                <w:szCs w:val="20"/>
                <w:color w:val="auto"/>
              </w:rPr>
            </w:pPr>
            <w:r>
              <w:rPr>
                <w:rFonts w:ascii="Arial" w:cs="Arial" w:eastAsia="Arial" w:hAnsi="Arial"/>
                <w:sz w:val="16"/>
                <w:szCs w:val="16"/>
                <w:color w:val="435363"/>
              </w:rPr>
              <w:t>200.0%</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4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435363"/>
              </w:rPr>
              <w:t>Regional D-0 (5%)</w:t>
            </w:r>
          </w:p>
        </w:tc>
        <w:tc>
          <w:tcPr>
            <w:tcW w:w="1880" w:type="dxa"/>
            <w:vAlign w:val="bottom"/>
            <w:tcBorders>
              <w:bottom w:val="single" w:sz="8" w:color="EDEDED"/>
            </w:tcBorders>
            <w:shd w:val="clear" w:color="auto" w:fill="EDEDED"/>
          </w:tcPr>
          <w:p>
            <w:pPr>
              <w:jc w:val="right"/>
              <w:ind w:right="201"/>
              <w:spacing w:after="0"/>
              <w:rPr>
                <w:sz w:val="20"/>
                <w:szCs w:val="20"/>
                <w:color w:val="auto"/>
              </w:rPr>
            </w:pPr>
            <w:r>
              <w:rPr>
                <w:rFonts w:ascii="Arial" w:cs="Arial" w:eastAsia="Arial" w:hAnsi="Arial"/>
                <w:sz w:val="16"/>
                <w:szCs w:val="16"/>
                <w:color w:val="435363"/>
              </w:rPr>
              <w:t>69.0%</w:t>
            </w:r>
          </w:p>
        </w:tc>
        <w:tc>
          <w:tcPr>
            <w:tcW w:w="1660" w:type="dxa"/>
            <w:vAlign w:val="bottom"/>
            <w:tcBorders>
              <w:bottom w:val="single" w:sz="8" w:color="EDEDED"/>
            </w:tcBorders>
            <w:shd w:val="clear" w:color="auto" w:fill="EDEDED"/>
          </w:tcPr>
          <w:p>
            <w:pPr>
              <w:jc w:val="right"/>
              <w:ind w:right="201"/>
              <w:spacing w:after="0"/>
              <w:rPr>
                <w:sz w:val="20"/>
                <w:szCs w:val="20"/>
                <w:color w:val="auto"/>
              </w:rPr>
            </w:pPr>
            <w:r>
              <w:rPr>
                <w:rFonts w:ascii="Arial" w:cs="Arial" w:eastAsia="Arial" w:hAnsi="Arial"/>
                <w:sz w:val="16"/>
                <w:szCs w:val="16"/>
                <w:color w:val="435363"/>
              </w:rPr>
              <w:t>70.0%</w:t>
            </w:r>
          </w:p>
        </w:tc>
        <w:tc>
          <w:tcPr>
            <w:tcW w:w="1660" w:type="dxa"/>
            <w:vAlign w:val="bottom"/>
            <w:tcBorders>
              <w:bottom w:val="single" w:sz="8" w:color="EDEDED"/>
            </w:tcBorders>
            <w:shd w:val="clear" w:color="auto" w:fill="EDEDED"/>
          </w:tcPr>
          <w:p>
            <w:pPr>
              <w:jc w:val="right"/>
              <w:ind w:right="201"/>
              <w:spacing w:after="0"/>
              <w:rPr>
                <w:sz w:val="20"/>
                <w:szCs w:val="20"/>
                <w:color w:val="auto"/>
              </w:rPr>
            </w:pPr>
            <w:r>
              <w:rPr>
                <w:rFonts w:ascii="Arial" w:cs="Arial" w:eastAsia="Arial" w:hAnsi="Arial"/>
                <w:sz w:val="16"/>
                <w:szCs w:val="16"/>
                <w:color w:val="435363"/>
              </w:rPr>
              <w:t>71.0%</w:t>
            </w:r>
          </w:p>
        </w:tc>
        <w:tc>
          <w:tcPr>
            <w:tcW w:w="1660" w:type="dxa"/>
            <w:vAlign w:val="bottom"/>
            <w:tcBorders>
              <w:bottom w:val="single" w:sz="8" w:color="EDEDED"/>
            </w:tcBorders>
            <w:shd w:val="clear" w:color="auto" w:fill="EDEDED"/>
          </w:tcPr>
          <w:p>
            <w:pPr>
              <w:jc w:val="right"/>
              <w:ind w:right="201"/>
              <w:spacing w:after="0"/>
              <w:rPr>
                <w:sz w:val="20"/>
                <w:szCs w:val="20"/>
                <w:color w:val="auto"/>
              </w:rPr>
            </w:pPr>
            <w:r>
              <w:rPr>
                <w:rFonts w:ascii="Arial" w:cs="Arial" w:eastAsia="Arial" w:hAnsi="Arial"/>
                <w:sz w:val="16"/>
                <w:szCs w:val="16"/>
                <w:color w:val="435363"/>
              </w:rPr>
              <w:t>74.2%</w:t>
            </w:r>
          </w:p>
        </w:tc>
        <w:tc>
          <w:tcPr>
            <w:tcW w:w="1480" w:type="dxa"/>
            <w:vAlign w:val="bottom"/>
            <w:tcBorders>
              <w:bottom w:val="single" w:sz="8" w:color="EDEDED"/>
            </w:tcBorders>
            <w:shd w:val="clear" w:color="auto" w:fill="EDEDED"/>
          </w:tcPr>
          <w:p>
            <w:pPr>
              <w:jc w:val="right"/>
              <w:ind w:right="1"/>
              <w:spacing w:after="0"/>
              <w:rPr>
                <w:sz w:val="20"/>
                <w:szCs w:val="20"/>
                <w:color w:val="auto"/>
              </w:rPr>
            </w:pPr>
            <w:r>
              <w:rPr>
                <w:rFonts w:ascii="Arial" w:cs="Arial" w:eastAsia="Arial" w:hAnsi="Arial"/>
                <w:sz w:val="16"/>
                <w:szCs w:val="16"/>
                <w:color w:val="435363"/>
              </w:rPr>
              <w:t>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435363"/>
          </w:tcPr>
          <w:p>
            <w:pPr>
              <w:spacing w:after="0" w:line="20" w:lineRule="exact"/>
              <w:rPr>
                <w:sz w:val="1"/>
                <w:szCs w:val="1"/>
                <w:color w:val="auto"/>
              </w:rPr>
            </w:pPr>
          </w:p>
        </w:tc>
        <w:tc>
          <w:tcPr>
            <w:tcW w:w="1880" w:type="dxa"/>
            <w:vAlign w:val="bottom"/>
            <w:shd w:val="clear" w:color="auto" w:fill="435363"/>
          </w:tcPr>
          <w:p>
            <w:pPr>
              <w:spacing w:after="0" w:line="20" w:lineRule="exact"/>
              <w:rPr>
                <w:sz w:val="1"/>
                <w:szCs w:val="1"/>
                <w:color w:val="auto"/>
              </w:rPr>
            </w:pPr>
          </w:p>
        </w:tc>
        <w:tc>
          <w:tcPr>
            <w:tcW w:w="1660" w:type="dxa"/>
            <w:vAlign w:val="bottom"/>
            <w:shd w:val="clear" w:color="auto" w:fill="435363"/>
          </w:tcPr>
          <w:p>
            <w:pPr>
              <w:spacing w:after="0" w:line="20" w:lineRule="exact"/>
              <w:rPr>
                <w:sz w:val="1"/>
                <w:szCs w:val="1"/>
                <w:color w:val="auto"/>
              </w:rPr>
            </w:pPr>
          </w:p>
        </w:tc>
        <w:tc>
          <w:tcPr>
            <w:tcW w:w="1660" w:type="dxa"/>
            <w:vAlign w:val="bottom"/>
            <w:shd w:val="clear" w:color="auto" w:fill="435363"/>
          </w:tcPr>
          <w:p>
            <w:pPr>
              <w:spacing w:after="0" w:line="20" w:lineRule="exact"/>
              <w:rPr>
                <w:sz w:val="1"/>
                <w:szCs w:val="1"/>
                <w:color w:val="auto"/>
              </w:rPr>
            </w:pPr>
          </w:p>
        </w:tc>
        <w:tc>
          <w:tcPr>
            <w:tcW w:w="1660" w:type="dxa"/>
            <w:vAlign w:val="bottom"/>
            <w:shd w:val="clear" w:color="auto" w:fill="435363"/>
          </w:tcPr>
          <w:p>
            <w:pPr>
              <w:spacing w:after="0" w:line="20" w:lineRule="exact"/>
              <w:rPr>
                <w:sz w:val="1"/>
                <w:szCs w:val="1"/>
                <w:color w:val="auto"/>
              </w:rPr>
            </w:pPr>
          </w:p>
        </w:tc>
        <w:tc>
          <w:tcPr>
            <w:tcW w:w="1480" w:type="dxa"/>
            <w:vAlign w:val="bottom"/>
            <w:shd w:val="clear" w:color="auto" w:fill="43536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20" w:right="60"/>
        <w:spacing w:after="0" w:line="258" w:lineRule="auto"/>
        <w:rPr>
          <w:sz w:val="20"/>
          <w:szCs w:val="20"/>
          <w:color w:val="auto"/>
        </w:rPr>
      </w:pPr>
      <w:r>
        <w:rPr>
          <w:rFonts w:ascii="Arial" w:cs="Arial" w:eastAsia="Arial" w:hAnsi="Arial"/>
          <w:sz w:val="16"/>
          <w:szCs w:val="16"/>
          <w:color w:val="435363"/>
        </w:rPr>
        <w:t>We also achieved our DEI goals (weighted 10%) at an achievement level of 144% of target. Based on these weightings and the actual attainment levels, which were reviewed by a third party internal audit consulting firm, each named executive officer received an STIP award equal to 148.3% of target under the 2022 STIP, resulting in the dollar amounts set forth in the table below.</w:t>
      </w:r>
    </w:p>
    <w:p>
      <w:pPr>
        <w:spacing w:after="0" w:line="201" w:lineRule="exact"/>
        <w:rPr>
          <w:sz w:val="20"/>
          <w:szCs w:val="20"/>
          <w:color w:val="auto"/>
        </w:rPr>
      </w:pPr>
    </w:p>
    <w:tbl>
      <w:tblPr>
        <w:tblLayout w:type="fixed"/>
        <w:tblInd w:w="1960" w:type="dxa"/>
        <w:tblCellMar>
          <w:top w:w="0" w:type="dxa"/>
          <w:left w:w="0" w:type="dxa"/>
          <w:bottom w:w="0" w:type="dxa"/>
          <w:right w:w="0" w:type="dxa"/>
        </w:tblCellMar>
      </w:tblPr>
      <w:tr>
        <w:trPr>
          <w:trHeight w:val="199"/>
        </w:trPr>
        <w:tc>
          <w:tcPr>
            <w:tcW w:w="4500" w:type="dxa"/>
            <w:vAlign w:val="bottom"/>
            <w:tcBorders>
              <w:bottom w:val="single" w:sz="8" w:color="BF0000"/>
            </w:tcBorders>
          </w:tcPr>
          <w:p>
            <w:pPr>
              <w:spacing w:after="0"/>
              <w:rPr>
                <w:sz w:val="20"/>
                <w:szCs w:val="20"/>
                <w:color w:val="auto"/>
              </w:rPr>
            </w:pPr>
            <w:r>
              <w:rPr>
                <w:rFonts w:ascii="Arial" w:cs="Arial" w:eastAsia="Arial" w:hAnsi="Arial"/>
                <w:sz w:val="16"/>
                <w:szCs w:val="16"/>
                <w:b w:val="1"/>
                <w:bCs w:val="1"/>
                <w:color w:val="3575B3"/>
              </w:rPr>
              <w:t>  Named Executive Officer</w:t>
            </w:r>
          </w:p>
        </w:tc>
        <w:tc>
          <w:tcPr>
            <w:tcW w:w="2840" w:type="dxa"/>
            <w:vAlign w:val="bottom"/>
            <w:tcBorders>
              <w:bottom w:val="single" w:sz="8" w:color="BF0000"/>
            </w:tcBorders>
          </w:tcPr>
          <w:p>
            <w:pPr>
              <w:jc w:val="right"/>
              <w:spacing w:after="0"/>
              <w:rPr>
                <w:sz w:val="20"/>
                <w:szCs w:val="20"/>
                <w:color w:val="auto"/>
              </w:rPr>
            </w:pPr>
            <w:r>
              <w:rPr>
                <w:rFonts w:ascii="Arial" w:cs="Arial" w:eastAsia="Arial" w:hAnsi="Arial"/>
                <w:sz w:val="16"/>
                <w:szCs w:val="16"/>
                <w:b w:val="1"/>
                <w:bCs w:val="1"/>
                <w:color w:val="3575B3"/>
              </w:rPr>
              <w:t>2022 STIP Payout ($)</w:t>
            </w:r>
          </w:p>
        </w:tc>
      </w:tr>
      <w:tr>
        <w:trPr>
          <w:trHeight w:val="237"/>
        </w:trPr>
        <w:tc>
          <w:tcPr>
            <w:tcW w:w="4500" w:type="dxa"/>
            <w:vAlign w:val="bottom"/>
          </w:tcPr>
          <w:p>
            <w:pPr>
              <w:ind w:left="60"/>
              <w:spacing w:after="0"/>
              <w:rPr>
                <w:sz w:val="20"/>
                <w:szCs w:val="20"/>
                <w:color w:val="auto"/>
              </w:rPr>
            </w:pPr>
            <w:r>
              <w:rPr>
                <w:rFonts w:ascii="Arial" w:cs="Arial" w:eastAsia="Arial" w:hAnsi="Arial"/>
                <w:sz w:val="16"/>
                <w:szCs w:val="16"/>
                <w:b w:val="1"/>
                <w:bCs w:val="1"/>
                <w:color w:val="435363"/>
              </w:rPr>
              <w:t>Robert Isom</w:t>
            </w:r>
          </w:p>
        </w:tc>
        <w:tc>
          <w:tcPr>
            <w:tcW w:w="2840" w:type="dxa"/>
            <w:vAlign w:val="bottom"/>
          </w:tcPr>
          <w:p>
            <w:pPr>
              <w:jc w:val="right"/>
              <w:spacing w:after="0"/>
              <w:rPr>
                <w:sz w:val="20"/>
                <w:szCs w:val="20"/>
                <w:color w:val="auto"/>
              </w:rPr>
            </w:pPr>
            <w:r>
              <w:rPr>
                <w:rFonts w:ascii="Arial" w:cs="Arial" w:eastAsia="Arial" w:hAnsi="Arial"/>
                <w:sz w:val="16"/>
                <w:szCs w:val="16"/>
                <w:color w:val="435363"/>
              </w:rPr>
              <w:t>3,855,800</w:t>
            </w:r>
          </w:p>
        </w:tc>
      </w:tr>
      <w:tr>
        <w:trPr>
          <w:trHeight w:val="35"/>
        </w:trPr>
        <w:tc>
          <w:tcPr>
            <w:tcW w:w="45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71"/>
        </w:trPr>
        <w:tc>
          <w:tcPr>
            <w:tcW w:w="45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Steve Johnson</w:t>
            </w:r>
          </w:p>
        </w:tc>
        <w:tc>
          <w:tcPr>
            <w:tcW w:w="28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1,483,040</w:t>
            </w:r>
          </w:p>
        </w:tc>
      </w:tr>
      <w:tr>
        <w:trPr>
          <w:trHeight w:val="257"/>
        </w:trPr>
        <w:tc>
          <w:tcPr>
            <w:tcW w:w="4500" w:type="dxa"/>
            <w:vAlign w:val="bottom"/>
          </w:tcPr>
          <w:p>
            <w:pPr>
              <w:ind w:left="60"/>
              <w:spacing w:after="0"/>
              <w:rPr>
                <w:sz w:val="20"/>
                <w:szCs w:val="20"/>
                <w:color w:val="auto"/>
              </w:rPr>
            </w:pPr>
            <w:r>
              <w:rPr>
                <w:rFonts w:ascii="Arial" w:cs="Arial" w:eastAsia="Arial" w:hAnsi="Arial"/>
                <w:sz w:val="16"/>
                <w:szCs w:val="16"/>
                <w:b w:val="1"/>
                <w:bCs w:val="1"/>
                <w:color w:val="435363"/>
              </w:rPr>
              <w:t>Priya Aiyar</w:t>
            </w:r>
          </w:p>
        </w:tc>
        <w:tc>
          <w:tcPr>
            <w:tcW w:w="2840" w:type="dxa"/>
            <w:vAlign w:val="bottom"/>
          </w:tcPr>
          <w:p>
            <w:pPr>
              <w:jc w:val="right"/>
              <w:spacing w:after="0"/>
              <w:rPr>
                <w:sz w:val="20"/>
                <w:szCs w:val="20"/>
                <w:color w:val="auto"/>
              </w:rPr>
            </w:pPr>
            <w:r>
              <w:rPr>
                <w:rFonts w:ascii="Arial" w:cs="Arial" w:eastAsia="Arial" w:hAnsi="Arial"/>
                <w:sz w:val="16"/>
                <w:szCs w:val="16"/>
                <w:color w:val="435363"/>
              </w:rPr>
              <w:t>1,353,274</w:t>
            </w:r>
          </w:p>
        </w:tc>
      </w:tr>
      <w:tr>
        <w:trPr>
          <w:trHeight w:val="35"/>
        </w:trPr>
        <w:tc>
          <w:tcPr>
            <w:tcW w:w="4500" w:type="dxa"/>
            <w:vAlign w:val="bottom"/>
          </w:tcPr>
          <w:p>
            <w:pPr>
              <w:spacing w:after="0"/>
              <w:rPr>
                <w:sz w:val="3"/>
                <w:szCs w:val="3"/>
                <w:color w:val="auto"/>
              </w:rPr>
            </w:pPr>
          </w:p>
        </w:tc>
        <w:tc>
          <w:tcPr>
            <w:tcW w:w="2840" w:type="dxa"/>
            <w:vAlign w:val="bottom"/>
          </w:tcPr>
          <w:p>
            <w:pPr>
              <w:spacing w:after="0"/>
              <w:rPr>
                <w:sz w:val="3"/>
                <w:szCs w:val="3"/>
                <w:color w:val="auto"/>
              </w:rPr>
            </w:pPr>
          </w:p>
        </w:tc>
      </w:tr>
      <w:tr>
        <w:trPr>
          <w:trHeight w:val="271"/>
        </w:trPr>
        <w:tc>
          <w:tcPr>
            <w:tcW w:w="45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Devon May</w:t>
            </w:r>
          </w:p>
        </w:tc>
        <w:tc>
          <w:tcPr>
            <w:tcW w:w="28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879,417</w:t>
            </w:r>
          </w:p>
        </w:tc>
      </w:tr>
      <w:tr>
        <w:trPr>
          <w:trHeight w:val="257"/>
        </w:trPr>
        <w:tc>
          <w:tcPr>
            <w:tcW w:w="4500" w:type="dxa"/>
            <w:vAlign w:val="bottom"/>
          </w:tcPr>
          <w:p>
            <w:pPr>
              <w:ind w:left="60"/>
              <w:spacing w:after="0"/>
              <w:rPr>
                <w:sz w:val="20"/>
                <w:szCs w:val="20"/>
                <w:color w:val="auto"/>
              </w:rPr>
            </w:pPr>
            <w:r>
              <w:rPr>
                <w:rFonts w:ascii="Arial" w:cs="Arial" w:eastAsia="Arial" w:hAnsi="Arial"/>
                <w:sz w:val="16"/>
                <w:szCs w:val="16"/>
                <w:b w:val="1"/>
                <w:bCs w:val="1"/>
                <w:color w:val="435363"/>
              </w:rPr>
              <w:t>Vasu Raja</w:t>
            </w:r>
          </w:p>
        </w:tc>
        <w:tc>
          <w:tcPr>
            <w:tcW w:w="2840" w:type="dxa"/>
            <w:vAlign w:val="bottom"/>
          </w:tcPr>
          <w:p>
            <w:pPr>
              <w:jc w:val="right"/>
              <w:spacing w:after="0"/>
              <w:rPr>
                <w:sz w:val="20"/>
                <w:szCs w:val="20"/>
                <w:color w:val="auto"/>
              </w:rPr>
            </w:pPr>
            <w:r>
              <w:rPr>
                <w:rFonts w:ascii="Arial" w:cs="Arial" w:eastAsia="Arial" w:hAnsi="Arial"/>
                <w:sz w:val="16"/>
                <w:szCs w:val="16"/>
                <w:color w:val="435363"/>
              </w:rPr>
              <w:t>1,436,695</w:t>
            </w:r>
          </w:p>
        </w:tc>
      </w:tr>
      <w:tr>
        <w:trPr>
          <w:trHeight w:val="35"/>
        </w:trPr>
        <w:tc>
          <w:tcPr>
            <w:tcW w:w="4500" w:type="dxa"/>
            <w:vAlign w:val="bottom"/>
            <w:tcBorders>
              <w:bottom w:val="single" w:sz="8" w:color="435363"/>
            </w:tcBorders>
          </w:tcPr>
          <w:p>
            <w:pPr>
              <w:spacing w:after="0"/>
              <w:rPr>
                <w:sz w:val="3"/>
                <w:szCs w:val="3"/>
                <w:color w:val="auto"/>
              </w:rPr>
            </w:pPr>
          </w:p>
        </w:tc>
        <w:tc>
          <w:tcPr>
            <w:tcW w:w="2840" w:type="dxa"/>
            <w:vAlign w:val="bottom"/>
            <w:tcBorders>
              <w:bottom w:val="single" w:sz="8" w:color="435363"/>
            </w:tcBorders>
          </w:tcPr>
          <w:p>
            <w:pPr>
              <w:spacing w:after="0"/>
              <w:rPr>
                <w:sz w:val="3"/>
                <w:szCs w:val="3"/>
                <w:color w:val="auto"/>
              </w:rPr>
            </w:pPr>
          </w:p>
        </w:tc>
      </w:tr>
    </w:tbl>
    <w:p>
      <w:pPr>
        <w:spacing w:after="0" w:line="183"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Long-Term Incentive Programs</w:t>
      </w:r>
    </w:p>
    <w:p>
      <w:pPr>
        <w:spacing w:after="0" w:line="77" w:lineRule="exact"/>
        <w:rPr>
          <w:sz w:val="20"/>
          <w:szCs w:val="20"/>
          <w:color w:val="auto"/>
        </w:rPr>
      </w:pPr>
    </w:p>
    <w:p>
      <w:pPr>
        <w:ind w:left="220" w:right="40"/>
        <w:spacing w:after="0" w:line="250" w:lineRule="auto"/>
        <w:rPr>
          <w:sz w:val="20"/>
          <w:szCs w:val="20"/>
          <w:color w:val="auto"/>
        </w:rPr>
      </w:pPr>
      <w:r>
        <w:rPr>
          <w:rFonts w:ascii="Arial" w:cs="Arial" w:eastAsia="Arial" w:hAnsi="Arial"/>
          <w:sz w:val="16"/>
          <w:szCs w:val="16"/>
          <w:color w:val="435363"/>
        </w:rPr>
        <w:t>The third core component of our overall compensation program is a long-term equity incentive program that focuses our executives on our performance over time and further links their interests with stockholders. Stock-based awards, coupled with performance- and time-vesting requirements, provide an appropriate incentive to our executives to remain with the Company and meet the long-term goal of significantly increasing stockholder value. Consistent with our emphasis on pay-for-performance and our commitment to long-term value creation for our stockholders, our named executive officers’ total target direct compensation is weighted heavily toward long-term equity awards.</w:t>
      </w:r>
    </w:p>
    <w:p>
      <w:pPr>
        <w:spacing w:after="0" w:line="74" w:lineRule="exact"/>
        <w:rPr>
          <w:sz w:val="20"/>
          <w:szCs w:val="20"/>
          <w:color w:val="auto"/>
        </w:rPr>
      </w:pPr>
    </w:p>
    <w:p>
      <w:pPr>
        <w:ind w:left="220" w:right="140"/>
        <w:spacing w:after="0" w:line="258" w:lineRule="auto"/>
        <w:rPr>
          <w:sz w:val="20"/>
          <w:szCs w:val="20"/>
          <w:color w:val="auto"/>
        </w:rPr>
      </w:pPr>
      <w:r>
        <w:rPr>
          <w:rFonts w:ascii="Arial" w:cs="Arial" w:eastAsia="Arial" w:hAnsi="Arial"/>
          <w:sz w:val="16"/>
          <w:szCs w:val="16"/>
          <w:color w:val="435363"/>
        </w:rPr>
        <w:t>The Compensation Committee determines the value of long-term equity awards to be granted to an executive officer based upon the executive’s level of responsibility and job classification level and the results of compensation market analyses. Historically, including for 2023, our LTIP included both performance- and time-vesting RSUs, each weighted 50% by target value.</w:t>
      </w:r>
    </w:p>
    <w:p>
      <w:pPr>
        <w:spacing w:after="0" w:line="68" w:lineRule="exact"/>
        <w:rPr>
          <w:sz w:val="20"/>
          <w:szCs w:val="20"/>
          <w:color w:val="auto"/>
        </w:rPr>
      </w:pPr>
    </w:p>
    <w:p>
      <w:pPr>
        <w:jc w:val="both"/>
        <w:ind w:left="220" w:right="440"/>
        <w:spacing w:after="0" w:line="258" w:lineRule="auto"/>
        <w:rPr>
          <w:sz w:val="20"/>
          <w:szCs w:val="20"/>
          <w:color w:val="auto"/>
        </w:rPr>
      </w:pPr>
      <w:r>
        <w:rPr>
          <w:rFonts w:ascii="Arial" w:cs="Arial" w:eastAsia="Arial" w:hAnsi="Arial"/>
          <w:sz w:val="16"/>
          <w:szCs w:val="16"/>
          <w:color w:val="435363"/>
        </w:rPr>
        <w:t>Our 2023 LTIP for our named executive officers continued to include both performance-and time-vesting components, with the performance-vesting component weighted 50% by target value tied to attainment of total debt reduction (50% weighting) and relative pre-tax income margin improvement versus our industry peers (50% weighting), as summarized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194945</wp:posOffset>
            </wp:positionV>
            <wp:extent cx="5177155" cy="1682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5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56</w:t>
      </w:r>
    </w:p>
    <w:p>
      <w:pPr>
        <w:spacing w:after="0" w:line="3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below. The performance goals align to our long-term strategy to improve profitability and reduce total debt by $15 billion by the end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161290</wp:posOffset>
            </wp:positionV>
            <wp:extent cx="5084445" cy="18319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084445" cy="183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2023 Performance Metrics</w:t>
      </w:r>
    </w:p>
    <w:p>
      <w:pPr>
        <w:spacing w:after="0" w:line="107" w:lineRule="exact"/>
        <w:rPr>
          <w:sz w:val="20"/>
          <w:szCs w:val="20"/>
          <w:color w:val="auto"/>
        </w:rPr>
      </w:pPr>
    </w:p>
    <w:p>
      <w:pPr>
        <w:ind w:left="220" w:right="160"/>
        <w:spacing w:after="0" w:line="252" w:lineRule="auto"/>
        <w:rPr>
          <w:sz w:val="20"/>
          <w:szCs w:val="20"/>
          <w:color w:val="auto"/>
        </w:rPr>
      </w:pPr>
      <w:r>
        <w:rPr>
          <w:rFonts w:ascii="Arial" w:cs="Arial" w:eastAsia="Arial" w:hAnsi="Arial"/>
          <w:sz w:val="16"/>
          <w:szCs w:val="16"/>
          <w:color w:val="435363"/>
        </w:rPr>
        <w:t>The total debt reduction metric under our 2023 LTIP reflects the Company’s commitment to stockholders to improve our balance sheet and reduce leverage levels. In 2021, we announced a five-year plan to pay down $15 billion of total debt. The 2023 total debt reduction metric concludes the remaining years (three, four and five) of the five-year plan and requires a reduction of $7 billion. The relative pre-tax income margin improvement metric measures American’s competitive financial performance relative to its peers and requires the Company to continue to narrow the margin gap.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140335</wp:posOffset>
            </wp:positionV>
            <wp:extent cx="4840605" cy="16135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840605" cy="1613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220" w:right="100"/>
        <w:spacing w:after="0" w:line="258" w:lineRule="auto"/>
        <w:rPr>
          <w:sz w:val="20"/>
          <w:szCs w:val="20"/>
          <w:color w:val="auto"/>
        </w:rPr>
      </w:pPr>
      <w:r>
        <w:rPr>
          <w:rFonts w:ascii="Arial" w:cs="Arial" w:eastAsia="Arial" w:hAnsi="Arial"/>
          <w:sz w:val="16"/>
          <w:szCs w:val="16"/>
          <w:color w:val="435363"/>
        </w:rPr>
        <w:t>Mr. Isom’s 2023 annual target grant value is significantly below the last reported values for the CEOs at Delta (2022) and United (2023), our two closest peers. The values for the other named executive officers were set in connection with their promotions to be competitive with their peers at our competitor airlines.</w:t>
      </w:r>
    </w:p>
    <w:p>
      <w:pPr>
        <w:spacing w:after="0" w:line="201" w:lineRule="exact"/>
        <w:rPr>
          <w:sz w:val="20"/>
          <w:szCs w:val="20"/>
          <w:color w:val="auto"/>
        </w:rPr>
      </w:pPr>
    </w:p>
    <w:tbl>
      <w:tblPr>
        <w:tblLayout w:type="fixed"/>
        <w:tblInd w:w="196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1820" w:type="dxa"/>
            <w:vAlign w:val="bottom"/>
          </w:tcPr>
          <w:p>
            <w:pPr>
              <w:jc w:val="center"/>
              <w:ind w:left="481"/>
              <w:spacing w:after="0"/>
              <w:rPr>
                <w:sz w:val="20"/>
                <w:szCs w:val="20"/>
                <w:color w:val="auto"/>
              </w:rPr>
            </w:pPr>
            <w:r>
              <w:rPr>
                <w:rFonts w:ascii="Arial" w:cs="Arial" w:eastAsia="Arial" w:hAnsi="Arial"/>
                <w:sz w:val="16"/>
                <w:szCs w:val="16"/>
                <w:b w:val="1"/>
                <w:bCs w:val="1"/>
                <w:color w:val="3575B3"/>
                <w:w w:val="99"/>
              </w:rPr>
              <w:t>2023 Annual</w:t>
            </w:r>
          </w:p>
        </w:tc>
      </w:tr>
      <w:tr>
        <w:trPr>
          <w:trHeight w:val="185"/>
        </w:trPr>
        <w:tc>
          <w:tcPr>
            <w:tcW w:w="5520" w:type="dxa"/>
            <w:vAlign w:val="bottom"/>
          </w:tcPr>
          <w:p>
            <w:pPr>
              <w:spacing w:after="0"/>
              <w:rPr>
                <w:sz w:val="16"/>
                <w:szCs w:val="16"/>
                <w:color w:val="auto"/>
              </w:rPr>
            </w:pPr>
          </w:p>
        </w:tc>
        <w:tc>
          <w:tcPr>
            <w:tcW w:w="1820" w:type="dxa"/>
            <w:vAlign w:val="bottom"/>
          </w:tcPr>
          <w:p>
            <w:pPr>
              <w:jc w:val="center"/>
              <w:ind w:left="501"/>
              <w:spacing w:after="0"/>
              <w:rPr>
                <w:sz w:val="20"/>
                <w:szCs w:val="20"/>
                <w:color w:val="auto"/>
              </w:rPr>
            </w:pPr>
            <w:r>
              <w:rPr>
                <w:rFonts w:ascii="Arial" w:cs="Arial" w:eastAsia="Arial" w:hAnsi="Arial"/>
                <w:sz w:val="16"/>
                <w:szCs w:val="16"/>
                <w:b w:val="1"/>
                <w:bCs w:val="1"/>
                <w:color w:val="3575B3"/>
                <w:w w:val="98"/>
              </w:rPr>
              <w:t>Target</w:t>
            </w:r>
          </w:p>
        </w:tc>
      </w:tr>
      <w:tr>
        <w:trPr>
          <w:trHeight w:val="199"/>
        </w:trPr>
        <w:tc>
          <w:tcPr>
            <w:tcW w:w="5520" w:type="dxa"/>
            <w:vAlign w:val="bottom"/>
            <w:tcBorders>
              <w:bottom w:val="single" w:sz="8" w:color="BF0000"/>
            </w:tcBorders>
          </w:tcPr>
          <w:p>
            <w:pPr>
              <w:spacing w:after="0"/>
              <w:rPr>
                <w:sz w:val="20"/>
                <w:szCs w:val="20"/>
                <w:color w:val="auto"/>
              </w:rPr>
            </w:pPr>
            <w:r>
              <w:rPr>
                <w:rFonts w:ascii="Arial" w:cs="Arial" w:eastAsia="Arial" w:hAnsi="Arial"/>
                <w:sz w:val="16"/>
                <w:szCs w:val="16"/>
                <w:b w:val="1"/>
                <w:bCs w:val="1"/>
                <w:color w:val="3575B3"/>
              </w:rPr>
              <w:t>  Named Executive Officer</w:t>
            </w:r>
          </w:p>
        </w:tc>
        <w:tc>
          <w:tcPr>
            <w:tcW w:w="1820" w:type="dxa"/>
            <w:vAlign w:val="bottom"/>
            <w:tcBorders>
              <w:bottom w:val="single" w:sz="8" w:color="BF0000"/>
            </w:tcBorders>
          </w:tcPr>
          <w:p>
            <w:pPr>
              <w:jc w:val="center"/>
              <w:ind w:left="501"/>
              <w:spacing w:after="0"/>
              <w:rPr>
                <w:sz w:val="20"/>
                <w:szCs w:val="20"/>
                <w:color w:val="auto"/>
              </w:rPr>
            </w:pPr>
            <w:r>
              <w:rPr>
                <w:rFonts w:ascii="Arial" w:cs="Arial" w:eastAsia="Arial" w:hAnsi="Arial"/>
                <w:sz w:val="16"/>
                <w:szCs w:val="16"/>
                <w:b w:val="1"/>
                <w:bCs w:val="1"/>
                <w:color w:val="3575B3"/>
                <w:w w:val="98"/>
              </w:rPr>
              <w:t>Grant Value ($)</w:t>
            </w:r>
          </w:p>
        </w:tc>
      </w:tr>
      <w:tr>
        <w:trPr>
          <w:trHeight w:val="237"/>
        </w:trPr>
        <w:tc>
          <w:tcPr>
            <w:tcW w:w="5520" w:type="dxa"/>
            <w:vAlign w:val="bottom"/>
          </w:tcPr>
          <w:p>
            <w:pPr>
              <w:ind w:left="60"/>
              <w:spacing w:after="0"/>
              <w:rPr>
                <w:sz w:val="20"/>
                <w:szCs w:val="20"/>
                <w:color w:val="auto"/>
              </w:rPr>
            </w:pPr>
            <w:r>
              <w:rPr>
                <w:rFonts w:ascii="Arial" w:cs="Arial" w:eastAsia="Arial" w:hAnsi="Arial"/>
                <w:sz w:val="16"/>
                <w:szCs w:val="16"/>
                <w:b w:val="1"/>
                <w:bCs w:val="1"/>
                <w:color w:val="435363"/>
              </w:rPr>
              <w:t>Robert Isom</w:t>
            </w:r>
          </w:p>
        </w:tc>
        <w:tc>
          <w:tcPr>
            <w:tcW w:w="1820" w:type="dxa"/>
            <w:vAlign w:val="bottom"/>
          </w:tcPr>
          <w:p>
            <w:pPr>
              <w:jc w:val="right"/>
              <w:spacing w:after="0"/>
              <w:rPr>
                <w:sz w:val="20"/>
                <w:szCs w:val="20"/>
                <w:color w:val="auto"/>
              </w:rPr>
            </w:pPr>
            <w:r>
              <w:rPr>
                <w:rFonts w:ascii="Arial" w:cs="Arial" w:eastAsia="Arial" w:hAnsi="Arial"/>
                <w:sz w:val="16"/>
                <w:szCs w:val="16"/>
                <w:color w:val="435363"/>
              </w:rPr>
              <w:t>11,250,000</w:t>
            </w:r>
          </w:p>
        </w:tc>
      </w:tr>
      <w:tr>
        <w:trPr>
          <w:trHeight w:val="35"/>
        </w:trPr>
        <w:tc>
          <w:tcPr>
            <w:tcW w:w="552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71"/>
        </w:trPr>
        <w:tc>
          <w:tcPr>
            <w:tcW w:w="55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Steve Johnson</w:t>
            </w:r>
          </w:p>
        </w:tc>
        <w:tc>
          <w:tcPr>
            <w:tcW w:w="18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3,875,000</w:t>
            </w:r>
          </w:p>
        </w:tc>
      </w:tr>
      <w:tr>
        <w:trPr>
          <w:trHeight w:val="257"/>
        </w:trPr>
        <w:tc>
          <w:tcPr>
            <w:tcW w:w="5520" w:type="dxa"/>
            <w:vAlign w:val="bottom"/>
          </w:tcPr>
          <w:p>
            <w:pPr>
              <w:ind w:left="60"/>
              <w:spacing w:after="0"/>
              <w:rPr>
                <w:sz w:val="20"/>
                <w:szCs w:val="20"/>
                <w:color w:val="auto"/>
              </w:rPr>
            </w:pPr>
            <w:r>
              <w:rPr>
                <w:rFonts w:ascii="Arial" w:cs="Arial" w:eastAsia="Arial" w:hAnsi="Arial"/>
                <w:sz w:val="16"/>
                <w:szCs w:val="16"/>
                <w:b w:val="1"/>
                <w:bCs w:val="1"/>
                <w:color w:val="435363"/>
              </w:rPr>
              <w:t>Priya Aiyar</w:t>
            </w:r>
          </w:p>
        </w:tc>
        <w:tc>
          <w:tcPr>
            <w:tcW w:w="1820" w:type="dxa"/>
            <w:vAlign w:val="bottom"/>
          </w:tcPr>
          <w:p>
            <w:pPr>
              <w:jc w:val="right"/>
              <w:spacing w:after="0"/>
              <w:rPr>
                <w:sz w:val="20"/>
                <w:szCs w:val="20"/>
                <w:color w:val="auto"/>
              </w:rPr>
            </w:pPr>
            <w:r>
              <w:rPr>
                <w:rFonts w:ascii="Arial" w:cs="Arial" w:eastAsia="Arial" w:hAnsi="Arial"/>
                <w:sz w:val="16"/>
                <w:szCs w:val="16"/>
                <w:color w:val="435363"/>
              </w:rPr>
              <w:t>2,360,000</w:t>
            </w:r>
          </w:p>
        </w:tc>
      </w:tr>
      <w:tr>
        <w:trPr>
          <w:trHeight w:val="35"/>
        </w:trPr>
        <w:tc>
          <w:tcPr>
            <w:tcW w:w="552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71"/>
        </w:trPr>
        <w:tc>
          <w:tcPr>
            <w:tcW w:w="55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Devon May</w:t>
            </w:r>
          </w:p>
        </w:tc>
        <w:tc>
          <w:tcPr>
            <w:tcW w:w="18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2,360,000</w:t>
            </w:r>
          </w:p>
        </w:tc>
      </w:tr>
      <w:tr>
        <w:trPr>
          <w:trHeight w:val="257"/>
        </w:trPr>
        <w:tc>
          <w:tcPr>
            <w:tcW w:w="5520" w:type="dxa"/>
            <w:vAlign w:val="bottom"/>
          </w:tcPr>
          <w:p>
            <w:pPr>
              <w:ind w:left="60"/>
              <w:spacing w:after="0"/>
              <w:rPr>
                <w:sz w:val="20"/>
                <w:szCs w:val="20"/>
                <w:color w:val="auto"/>
              </w:rPr>
            </w:pPr>
            <w:r>
              <w:rPr>
                <w:rFonts w:ascii="Arial" w:cs="Arial" w:eastAsia="Arial" w:hAnsi="Arial"/>
                <w:sz w:val="16"/>
                <w:szCs w:val="16"/>
                <w:b w:val="1"/>
                <w:bCs w:val="1"/>
                <w:color w:val="435363"/>
              </w:rPr>
              <w:t>Vasu Raja</w:t>
            </w:r>
          </w:p>
        </w:tc>
        <w:tc>
          <w:tcPr>
            <w:tcW w:w="1820" w:type="dxa"/>
            <w:vAlign w:val="bottom"/>
          </w:tcPr>
          <w:p>
            <w:pPr>
              <w:jc w:val="right"/>
              <w:spacing w:after="0"/>
              <w:rPr>
                <w:sz w:val="20"/>
                <w:szCs w:val="20"/>
                <w:color w:val="auto"/>
              </w:rPr>
            </w:pPr>
            <w:r>
              <w:rPr>
                <w:rFonts w:ascii="Arial" w:cs="Arial" w:eastAsia="Arial" w:hAnsi="Arial"/>
                <w:sz w:val="16"/>
                <w:szCs w:val="16"/>
                <w:color w:val="435363"/>
              </w:rPr>
              <w:t>2,860,000</w:t>
            </w:r>
          </w:p>
        </w:tc>
      </w:tr>
      <w:tr>
        <w:trPr>
          <w:trHeight w:val="35"/>
        </w:trPr>
        <w:tc>
          <w:tcPr>
            <w:tcW w:w="5520" w:type="dxa"/>
            <w:vAlign w:val="bottom"/>
            <w:tcBorders>
              <w:bottom w:val="single" w:sz="8" w:color="435363"/>
            </w:tcBorders>
          </w:tcPr>
          <w:p>
            <w:pPr>
              <w:spacing w:after="0"/>
              <w:rPr>
                <w:sz w:val="3"/>
                <w:szCs w:val="3"/>
                <w:color w:val="auto"/>
              </w:rPr>
            </w:pPr>
          </w:p>
        </w:tc>
        <w:tc>
          <w:tcPr>
            <w:tcW w:w="1820" w:type="dxa"/>
            <w:vAlign w:val="bottom"/>
            <w:tcBorders>
              <w:bottom w:val="single" w:sz="8" w:color="435363"/>
            </w:tcBorders>
          </w:tcPr>
          <w:p>
            <w:pPr>
              <w:spacing w:after="0"/>
              <w:rPr>
                <w:sz w:val="3"/>
                <w:szCs w:val="3"/>
                <w:color w:val="auto"/>
              </w:rPr>
            </w:pPr>
          </w:p>
        </w:tc>
      </w:tr>
    </w:tbl>
    <w:p>
      <w:pPr>
        <w:spacing w:after="0" w:line="211" w:lineRule="exact"/>
        <w:rPr>
          <w:sz w:val="20"/>
          <w:szCs w:val="20"/>
          <w:color w:val="auto"/>
        </w:rPr>
      </w:pPr>
    </w:p>
    <w:p>
      <w:pPr>
        <w:ind w:left="10840"/>
        <w:spacing w:after="0"/>
        <w:rPr>
          <w:sz w:val="20"/>
          <w:szCs w:val="20"/>
          <w:color w:val="auto"/>
        </w:rPr>
      </w:pPr>
      <w:r>
        <w:rPr>
          <w:rFonts w:ascii="Arial" w:cs="Arial" w:eastAsia="Arial" w:hAnsi="Arial"/>
          <w:sz w:val="16"/>
          <w:szCs w:val="16"/>
          <w:b w:val="1"/>
          <w:bCs w:val="1"/>
          <w:color w:val="435363"/>
        </w:rPr>
        <w:t>57</w:t>
      </w:r>
    </w:p>
    <w:p>
      <w:pPr>
        <w:spacing w:after="0" w:line="244" w:lineRule="exact"/>
        <w:rPr>
          <w:sz w:val="20"/>
          <w:szCs w:val="20"/>
          <w:color w:val="auto"/>
        </w:rPr>
      </w:pPr>
    </w:p>
    <w:p>
      <w:pPr>
        <w:ind w:left="4920"/>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spacing w:after="0" w:line="245" w:lineRule="auto"/>
        <w:rPr>
          <w:sz w:val="20"/>
          <w:szCs w:val="20"/>
          <w:color w:val="auto"/>
        </w:rPr>
      </w:pPr>
      <w:r>
        <w:rPr>
          <w:rFonts w:ascii="Arial" w:cs="Arial" w:eastAsia="Arial" w:hAnsi="Arial"/>
          <w:sz w:val="16"/>
          <w:szCs w:val="16"/>
          <w:color w:val="435363"/>
        </w:rPr>
        <w:t>In September 2023, the Compensation Committee also granted to Mr. Johnson a one-time promotion grant of 181,554 RSUs valued at $2.4 million in connection with his appointment as the Company’s Vice Chair and Chief Strategy Officer in May 2023. This grant, which vests ratably over three years, was awarded to reflect Mr. Johnson’s leadership during and the Company’s success in enduring and emerging from the pandemic and the significant increase in responsibility associated with his new position. It was intended to create incentives for Mr. Johnson to remain with the Company and to assist with the successful design, implementation and execution of its post-pandemic strategies and the implementation of the management succession plan. In connection with that award, Mr. Johnson entered into an agreement to not compete for 18 months following termination of employment for any reason and irrespective of whether Mr. Johnson would be entitled to severance. In July 2023, the Compensation Committee approved a grant of 39,905 RSUs and 65,323 RSUs to Ms. Aiyar and Mr. Raja, respectively, in connection with the expansion of their roles to Executive Vice President and Chief Legal Officer and Executive Vice President and Chief Commercial Officer, respectively. These grants include both performance-and time-vesting components, with the performance-vesting component weighted 50% by target value tied to attainment of total debt reduction (50% weighting) and relative pre-tax income margin improvement versus our industry peers (50% weighting).</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See below for a full discussion of Mr. Isom’s 2023 target annual compensation and non-recurring awards and the Compensation Committee’s process.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Equity Grant Policy</w:t>
      </w:r>
    </w:p>
    <w:p>
      <w:pPr>
        <w:spacing w:after="0" w:line="81" w:lineRule="exact"/>
        <w:rPr>
          <w:sz w:val="20"/>
          <w:szCs w:val="20"/>
          <w:color w:val="auto"/>
        </w:rPr>
      </w:pPr>
    </w:p>
    <w:p>
      <w:pPr>
        <w:ind w:left="220" w:right="20"/>
        <w:spacing w:after="0" w:line="248" w:lineRule="auto"/>
        <w:rPr>
          <w:sz w:val="20"/>
          <w:szCs w:val="20"/>
          <w:color w:val="auto"/>
        </w:rPr>
      </w:pPr>
      <w:r>
        <w:rPr>
          <w:rFonts w:ascii="Arial" w:cs="Arial" w:eastAsia="Arial" w:hAnsi="Arial"/>
          <w:sz w:val="16"/>
          <w:szCs w:val="16"/>
          <w:color w:val="435363"/>
        </w:rPr>
        <w:t>The Compensation Committee has adopted an equity grant policy to standardize the timing, practices and procedures in granting equity awards. The policy provides that equity awards, other than new hire and promotion grants, will be granted once per year at a regularly scheduled meeting of the Compensation Committee. We have made exceptions to our equity grant policy in unique circumstances, such as during the restriction period imposed by the Coronavirus Aid, Relief and Economic Security Act (the “CARES Act”) and the payroll support agreement under Subtitle A of Title IV of Division N of the Consolidated Appropriations Act, 2021 (“PSP2”) and the payroll support agreement under section 7301 of the American Rescue Plan Act of 2021 (“PSP3,” and collectively, the “CARES Act and related legislation”).</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Non-Recurring Compensation Elements Reported in 2023</w:t>
      </w:r>
    </w:p>
    <w:p>
      <w:pPr>
        <w:spacing w:after="0" w:line="77" w:lineRule="exact"/>
        <w:rPr>
          <w:sz w:val="20"/>
          <w:szCs w:val="20"/>
          <w:color w:val="auto"/>
        </w:rPr>
      </w:pPr>
    </w:p>
    <w:p>
      <w:pPr>
        <w:ind w:left="220" w:right="300"/>
        <w:spacing w:after="0" w:line="285" w:lineRule="auto"/>
        <w:rPr>
          <w:sz w:val="20"/>
          <w:szCs w:val="20"/>
          <w:color w:val="auto"/>
        </w:rPr>
      </w:pPr>
      <w:r>
        <w:rPr>
          <w:rFonts w:ascii="Arial" w:cs="Arial" w:eastAsia="Arial" w:hAnsi="Arial"/>
          <w:sz w:val="16"/>
          <w:szCs w:val="16"/>
          <w:b w:val="1"/>
          <w:bCs w:val="1"/>
          <w:color w:val="435363"/>
        </w:rPr>
        <w:t>Our 2023 Summary Compensation Table reflects multiple key executive leadership transitions during, and our response, to severe industry disruptions caused by the pandemic.</w:t>
      </w:r>
    </w:p>
    <w:p>
      <w:pPr>
        <w:spacing w:after="0" w:line="39" w:lineRule="exact"/>
        <w:rPr>
          <w:sz w:val="20"/>
          <w:szCs w:val="20"/>
          <w:color w:val="auto"/>
        </w:rPr>
      </w:pPr>
    </w:p>
    <w:p>
      <w:pPr>
        <w:ind w:left="220" w:right="340"/>
        <w:spacing w:after="0" w:line="252" w:lineRule="auto"/>
        <w:rPr>
          <w:sz w:val="20"/>
          <w:szCs w:val="20"/>
          <w:color w:val="auto"/>
        </w:rPr>
      </w:pPr>
      <w:r>
        <w:rPr>
          <w:rFonts w:ascii="Arial" w:cs="Arial" w:eastAsia="Arial" w:hAnsi="Arial"/>
          <w:sz w:val="16"/>
          <w:szCs w:val="16"/>
          <w:color w:val="435363"/>
        </w:rPr>
        <w:t>The COVID-19 pandemic was the most challenging time in our industry’s history. It resulted in drastic disruptions in global demand for air travel and a severe decline in our business. Despite these challenges, we remained consistent in our approach and philosophy that our executive compensation programs provide fair pay and pay for performance, support retention, and align with the interests of stockholders. Those circumstances required a thoughtful approach to ensure the fairness of our compensation programs, especially with respect to promotions.</w:t>
      </w:r>
    </w:p>
    <w:p>
      <w:pPr>
        <w:spacing w:after="0" w:line="74" w:lineRule="exact"/>
        <w:rPr>
          <w:sz w:val="20"/>
          <w:szCs w:val="20"/>
          <w:color w:val="auto"/>
        </w:rPr>
      </w:pPr>
    </w:p>
    <w:p>
      <w:pPr>
        <w:jc w:val="both"/>
        <w:ind w:left="220" w:right="80"/>
        <w:spacing w:after="0" w:line="258" w:lineRule="auto"/>
        <w:rPr>
          <w:sz w:val="20"/>
          <w:szCs w:val="20"/>
          <w:color w:val="auto"/>
        </w:rPr>
      </w:pPr>
      <w:r>
        <w:rPr>
          <w:rFonts w:ascii="Arial" w:cs="Arial" w:eastAsia="Arial" w:hAnsi="Arial"/>
          <w:sz w:val="16"/>
          <w:szCs w:val="16"/>
          <w:color w:val="435363"/>
        </w:rPr>
        <w:t>The CARES Act and related legislation required that, beginning in March 2020, we implement significant reductions and caps on the total compensation of many of our most senior and most impactful team members. Over the three years that it was in effect (the “CARES restriction period”), the CARES Act and related legislation presented extraordinary incentive and retention challenges, including:</w:t>
      </w:r>
    </w:p>
    <w:p>
      <w:pPr>
        <w:spacing w:after="0" w:line="42" w:lineRule="exact"/>
        <w:rPr>
          <w:sz w:val="20"/>
          <w:szCs w:val="20"/>
          <w:color w:val="auto"/>
        </w:rPr>
      </w:pPr>
    </w:p>
    <w:p>
      <w:pPr>
        <w:ind w:left="1080" w:right="60" w:hanging="326"/>
        <w:spacing w:after="0" w:line="275" w:lineRule="auto"/>
        <w:tabs>
          <w:tab w:leader="none" w:pos="1080" w:val="left"/>
        </w:tabs>
        <w:numPr>
          <w:ilvl w:val="0"/>
          <w:numId w:val="44"/>
        </w:numPr>
        <w:rPr>
          <w:rFonts w:ascii="Arial" w:cs="Arial" w:eastAsia="Arial" w:hAnsi="Arial"/>
          <w:sz w:val="16"/>
          <w:szCs w:val="16"/>
          <w:color w:val="3575B3"/>
        </w:rPr>
      </w:pPr>
      <w:r>
        <w:rPr>
          <w:rFonts w:ascii="Arial" w:cs="Arial" w:eastAsia="Arial" w:hAnsi="Arial"/>
          <w:sz w:val="16"/>
          <w:szCs w:val="16"/>
          <w:color w:val="435363"/>
        </w:rPr>
        <w:t xml:space="preserve">The legislation did not include </w:t>
      </w:r>
      <w:r>
        <w:rPr>
          <w:rFonts w:ascii="Arial" w:cs="Arial" w:eastAsia="Arial" w:hAnsi="Arial"/>
          <w:sz w:val="16"/>
          <w:szCs w:val="16"/>
          <w:b w:val="1"/>
          <w:bCs w:val="1"/>
          <w:i w:val="1"/>
          <w:iCs w:val="1"/>
          <w:u w:val="single" w:color="auto"/>
          <w:color w:val="435363"/>
        </w:rPr>
        <w:t>any</w:t>
      </w:r>
      <w:r>
        <w:rPr>
          <w:rFonts w:ascii="Arial" w:cs="Arial" w:eastAsia="Arial" w:hAnsi="Arial"/>
          <w:sz w:val="16"/>
          <w:szCs w:val="16"/>
          <w:color w:val="435363"/>
        </w:rPr>
        <w:t xml:space="preserve"> exceptions to provide for compensation increases that we and our competitors have customarily offered in connection with officer-level promotions.</w:t>
      </w:r>
    </w:p>
    <w:p>
      <w:pPr>
        <w:spacing w:after="0" w:line="28" w:lineRule="exact"/>
        <w:rPr>
          <w:rFonts w:ascii="Arial" w:cs="Arial" w:eastAsia="Arial" w:hAnsi="Arial"/>
          <w:sz w:val="16"/>
          <w:szCs w:val="16"/>
          <w:color w:val="3575B3"/>
        </w:rPr>
      </w:pPr>
    </w:p>
    <w:p>
      <w:pPr>
        <w:ind w:left="1080" w:right="660" w:hanging="326"/>
        <w:spacing w:after="0" w:line="258" w:lineRule="auto"/>
        <w:tabs>
          <w:tab w:leader="none" w:pos="1080" w:val="left"/>
        </w:tabs>
        <w:numPr>
          <w:ilvl w:val="0"/>
          <w:numId w:val="44"/>
        </w:numPr>
        <w:rPr>
          <w:rFonts w:ascii="Arial" w:cs="Arial" w:eastAsia="Arial" w:hAnsi="Arial"/>
          <w:sz w:val="16"/>
          <w:szCs w:val="16"/>
          <w:color w:val="3575B3"/>
        </w:rPr>
      </w:pPr>
      <w:r>
        <w:rPr>
          <w:rFonts w:ascii="Arial" w:cs="Arial" w:eastAsia="Arial" w:hAnsi="Arial"/>
          <w:sz w:val="16"/>
          <w:szCs w:val="16"/>
          <w:color w:val="435363"/>
        </w:rPr>
        <w:t>The compensation limitations applied only to airline employees and did not apply to newly hired employees, hence any of our named executive officers could have left the Company for a position at another employer, even another airline, without being subject to any compensation restrictions.</w:t>
      </w:r>
    </w:p>
    <w:p>
      <w:pPr>
        <w:spacing w:after="0" w:line="68"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435363"/>
        </w:rPr>
        <w:t>Against this backdrop, the Compensation Committee and the Board executed a comprehensive succession plan that resulted in the appointment of a new senior management team, completing an initiative that had begun before the onset of the pandemic. In furtherance of that plan, the Compensation Committee undertook multiple key executive transitions and promotions to significantly expanded roles which would be effected, but could not be compensated for, during the pandemic. The execution of this succession plan included the promotion of Mr. Isom as our new CEO, Mr. May as our CFO, Ms. Aiyar as our Chief Legal Officer, and Mr. Raja as our Chief Commercial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198755</wp:posOffset>
            </wp:positionV>
            <wp:extent cx="5177155" cy="1682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5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58</w:t>
      </w:r>
    </w:p>
    <w:p>
      <w:pPr>
        <w:spacing w:after="0" w:line="3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435363"/>
        </w:rPr>
        <w:t>The amounts reported in the Summary Compensation table reflect several non-recurring items that are unrelated to 2023 annual compensation. They include non-recurring compensation elements associated with those executive promotions which occurred over the prior three years during the CARES restriction period and cash incentive program payouts that are almost entirely attributed to 2022 but were paid in 2023, significantly increasing the reported compensation in this year’s Summary Compensation Table. These amounts reflect the Compensation Committee’s judgments as to the best way to achieve its strategic, retention and incentive objectives.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Compensation Reported for Mr. Isom in the 2023 Summary Compensation Table</w:t>
      </w:r>
    </w:p>
    <w:p>
      <w:pPr>
        <w:spacing w:after="0" w:line="81" w:lineRule="exact"/>
        <w:rPr>
          <w:sz w:val="20"/>
          <w:szCs w:val="20"/>
          <w:color w:val="auto"/>
        </w:rPr>
      </w:pPr>
    </w:p>
    <w:p>
      <w:pPr>
        <w:ind w:left="220" w:right="200"/>
        <w:spacing w:after="0" w:line="245" w:lineRule="auto"/>
        <w:rPr>
          <w:sz w:val="20"/>
          <w:szCs w:val="20"/>
          <w:color w:val="auto"/>
        </w:rPr>
      </w:pPr>
      <w:r>
        <w:rPr>
          <w:rFonts w:ascii="Arial" w:cs="Arial" w:eastAsia="Arial" w:hAnsi="Arial"/>
          <w:sz w:val="16"/>
          <w:szCs w:val="16"/>
          <w:color w:val="435363"/>
        </w:rPr>
        <w:t>The Board’s CEO succession planning process began in 2016 when Mr. Isom was promoted to President and was completed when he was appointed Chief Executive Officer in March 2022, one year before the expiry of the CARES legislation compensation limits. Despite this, because Mr. Isom’s promotion occurred one year before the expiry of the CARES legislation compensation limits, in compliance with those regulations, his total annual compensation remained capped at $5.0 million. Mr. Isom’s total compensation in 2022 (as reported in the Summary Compensation Table) was $4.9 million, considerably below what his CEO peers at Delta and United earned in 2022 ($9.6 million and $9.8 million, respectively), and even at a level materially below what he earned in 2019 for his service as President ($7.1 million). The Compensation Committee recognized the critical need to retain Mr. Isom as the Board’s long-standing choice for CEO and the most important element of the broad senior leadership succession plan. The Compensation Committee and the Board also recognized the acute retention challenges created by Mr. Isom’s performance and significantly increased profile as an executive leader of a large, complex enterprise.</w:t>
      </w:r>
    </w:p>
    <w:p>
      <w:pPr>
        <w:spacing w:after="0" w:line="83" w:lineRule="exact"/>
        <w:rPr>
          <w:sz w:val="20"/>
          <w:szCs w:val="20"/>
          <w:color w:val="auto"/>
        </w:rPr>
      </w:pPr>
    </w:p>
    <w:p>
      <w:pPr>
        <w:ind w:left="220" w:right="40"/>
        <w:spacing w:after="0" w:line="275" w:lineRule="auto"/>
        <w:rPr>
          <w:sz w:val="20"/>
          <w:szCs w:val="20"/>
          <w:color w:val="auto"/>
        </w:rPr>
      </w:pPr>
      <w:r>
        <w:rPr>
          <w:rFonts w:ascii="Arial" w:cs="Arial" w:eastAsia="Arial" w:hAnsi="Arial"/>
          <w:sz w:val="16"/>
          <w:szCs w:val="16"/>
          <w:color w:val="435363"/>
        </w:rPr>
        <w:t>In September 2023, following a year-long process in close consultation with its independent compensation consultant, the Compensation Committee took action to address Mr. Isom’s compensation as CEO. In setting his compensation, the Compensation Committee considered:</w:t>
      </w:r>
    </w:p>
    <w:p>
      <w:pPr>
        <w:spacing w:after="0" w:line="28" w:lineRule="exact"/>
        <w:rPr>
          <w:sz w:val="20"/>
          <w:szCs w:val="20"/>
          <w:color w:val="auto"/>
        </w:rPr>
      </w:pPr>
    </w:p>
    <w:p>
      <w:pPr>
        <w:ind w:left="1080" w:hanging="326"/>
        <w:spacing w:after="0"/>
        <w:tabs>
          <w:tab w:leader="none" w:pos="1080" w:val="left"/>
        </w:tabs>
        <w:numPr>
          <w:ilvl w:val="0"/>
          <w:numId w:val="45"/>
        </w:numPr>
        <w:rPr>
          <w:rFonts w:ascii="Arial" w:cs="Arial" w:eastAsia="Arial" w:hAnsi="Arial"/>
          <w:sz w:val="16"/>
          <w:szCs w:val="16"/>
          <w:color w:val="3575B3"/>
        </w:rPr>
      </w:pPr>
      <w:r>
        <w:rPr>
          <w:rFonts w:ascii="Arial" w:cs="Arial" w:eastAsia="Arial" w:hAnsi="Arial"/>
          <w:sz w:val="16"/>
          <w:szCs w:val="16"/>
          <w:color w:val="435363"/>
        </w:rPr>
        <w:t>That Mr. Isom had been promoted to CEO in 2022 but had not been compensated as such for over 18 months.</w:t>
      </w:r>
    </w:p>
    <w:p>
      <w:pPr>
        <w:spacing w:after="0" w:line="80" w:lineRule="exact"/>
        <w:rPr>
          <w:rFonts w:ascii="Arial" w:cs="Arial" w:eastAsia="Arial" w:hAnsi="Arial"/>
          <w:sz w:val="16"/>
          <w:szCs w:val="16"/>
          <w:color w:val="3575B3"/>
        </w:rPr>
      </w:pPr>
    </w:p>
    <w:p>
      <w:pPr>
        <w:ind w:left="1080" w:right="20" w:hanging="326"/>
        <w:spacing w:after="0" w:line="275" w:lineRule="auto"/>
        <w:tabs>
          <w:tab w:leader="none" w:pos="1080" w:val="left"/>
        </w:tabs>
        <w:numPr>
          <w:ilvl w:val="0"/>
          <w:numId w:val="45"/>
        </w:numPr>
        <w:rPr>
          <w:rFonts w:ascii="Arial" w:cs="Arial" w:eastAsia="Arial" w:hAnsi="Arial"/>
          <w:sz w:val="16"/>
          <w:szCs w:val="16"/>
          <w:color w:val="3575B3"/>
        </w:rPr>
      </w:pPr>
      <w:r>
        <w:rPr>
          <w:rFonts w:ascii="Arial" w:cs="Arial" w:eastAsia="Arial" w:hAnsi="Arial"/>
          <w:sz w:val="16"/>
          <w:szCs w:val="16"/>
          <w:color w:val="435363"/>
        </w:rPr>
        <w:t>Compensating Mr. Isom fairly and appropriately for his service as CEO, including relative to his peers at Delta and United, and addressing the concern that Mr. Isom’s equity holdings were significantly below those peers.</w:t>
      </w:r>
    </w:p>
    <w:p>
      <w:pPr>
        <w:spacing w:after="0" w:line="28" w:lineRule="exact"/>
        <w:rPr>
          <w:rFonts w:ascii="Arial" w:cs="Arial" w:eastAsia="Arial" w:hAnsi="Arial"/>
          <w:sz w:val="16"/>
          <w:szCs w:val="16"/>
          <w:color w:val="3575B3"/>
        </w:rPr>
      </w:pPr>
    </w:p>
    <w:p>
      <w:pPr>
        <w:ind w:left="1080" w:right="80" w:hanging="326"/>
        <w:spacing w:after="0" w:line="275" w:lineRule="auto"/>
        <w:tabs>
          <w:tab w:leader="none" w:pos="1080" w:val="left"/>
        </w:tabs>
        <w:numPr>
          <w:ilvl w:val="0"/>
          <w:numId w:val="45"/>
        </w:numPr>
        <w:rPr>
          <w:rFonts w:ascii="Arial" w:cs="Arial" w:eastAsia="Arial" w:hAnsi="Arial"/>
          <w:sz w:val="16"/>
          <w:szCs w:val="16"/>
          <w:color w:val="3575B3"/>
        </w:rPr>
      </w:pPr>
      <w:r>
        <w:rPr>
          <w:rFonts w:ascii="Arial" w:cs="Arial" w:eastAsia="Arial" w:hAnsi="Arial"/>
          <w:sz w:val="16"/>
          <w:szCs w:val="16"/>
          <w:color w:val="435363"/>
        </w:rPr>
        <w:t>Aligning Mr. Isom’s compensation and incentives with Company performance and the interests of our stockholders, recognizing that his long-term incentive compensation had not increased since 2020, notwithstanding his subsequent promotion from President to CEO.</w:t>
      </w:r>
    </w:p>
    <w:p>
      <w:pPr>
        <w:spacing w:after="0" w:line="28" w:lineRule="exact"/>
        <w:rPr>
          <w:rFonts w:ascii="Arial" w:cs="Arial" w:eastAsia="Arial" w:hAnsi="Arial"/>
          <w:sz w:val="16"/>
          <w:szCs w:val="16"/>
          <w:color w:val="3575B3"/>
        </w:rPr>
      </w:pPr>
    </w:p>
    <w:p>
      <w:pPr>
        <w:ind w:left="1080" w:right="220" w:hanging="326"/>
        <w:spacing w:after="0" w:line="275" w:lineRule="auto"/>
        <w:tabs>
          <w:tab w:leader="none" w:pos="1080" w:val="left"/>
        </w:tabs>
        <w:numPr>
          <w:ilvl w:val="0"/>
          <w:numId w:val="45"/>
        </w:numPr>
        <w:rPr>
          <w:rFonts w:ascii="Arial" w:cs="Arial" w:eastAsia="Arial" w:hAnsi="Arial"/>
          <w:sz w:val="16"/>
          <w:szCs w:val="16"/>
          <w:color w:val="3575B3"/>
        </w:rPr>
      </w:pPr>
      <w:r>
        <w:rPr>
          <w:rFonts w:ascii="Arial" w:cs="Arial" w:eastAsia="Arial" w:hAnsi="Arial"/>
          <w:sz w:val="16"/>
          <w:szCs w:val="16"/>
          <w:color w:val="435363"/>
        </w:rPr>
        <w:t>Creating appropriate incentives for Mr. Isom to continue to lead our positive business momentum following the Company’s successful post-pandemic transformation, which has driven profitability, strong operational reliability and a strengthened financial position.</w:t>
      </w:r>
    </w:p>
    <w:p>
      <w:pPr>
        <w:spacing w:after="0" w:line="28" w:lineRule="exact"/>
        <w:rPr>
          <w:rFonts w:ascii="Arial" w:cs="Arial" w:eastAsia="Arial" w:hAnsi="Arial"/>
          <w:sz w:val="16"/>
          <w:szCs w:val="16"/>
          <w:color w:val="3575B3"/>
        </w:rPr>
      </w:pPr>
    </w:p>
    <w:p>
      <w:pPr>
        <w:ind w:left="1080" w:right="40" w:hanging="326"/>
        <w:spacing w:after="0" w:line="275" w:lineRule="auto"/>
        <w:tabs>
          <w:tab w:leader="none" w:pos="1080" w:val="left"/>
        </w:tabs>
        <w:numPr>
          <w:ilvl w:val="0"/>
          <w:numId w:val="45"/>
        </w:numPr>
        <w:rPr>
          <w:rFonts w:ascii="Arial" w:cs="Arial" w:eastAsia="Arial" w:hAnsi="Arial"/>
          <w:sz w:val="16"/>
          <w:szCs w:val="16"/>
          <w:color w:val="3575B3"/>
        </w:rPr>
      </w:pPr>
      <w:r>
        <w:rPr>
          <w:rFonts w:ascii="Arial" w:cs="Arial" w:eastAsia="Arial" w:hAnsi="Arial"/>
          <w:sz w:val="16"/>
          <w:szCs w:val="16"/>
          <w:color w:val="435363"/>
        </w:rPr>
        <w:t>Acknowledging Mr. Isom’s outstanding leadership during and as we emerged from the pandemic, his qualifications and capability for the CEO role, and his successful execution of the comprehensive management succession plan.</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To address the foregoing considerations and ensure Mr. Isom’s retention, the Compensation Committee:</w:t>
      </w:r>
    </w:p>
    <w:p>
      <w:pPr>
        <w:spacing w:after="0" w:line="81" w:lineRule="exact"/>
        <w:rPr>
          <w:sz w:val="20"/>
          <w:szCs w:val="20"/>
          <w:color w:val="auto"/>
        </w:rPr>
      </w:pPr>
    </w:p>
    <w:p>
      <w:pPr>
        <w:ind w:left="1080" w:right="20" w:hanging="326"/>
        <w:spacing w:after="0" w:line="245" w:lineRule="auto"/>
        <w:tabs>
          <w:tab w:leader="none" w:pos="1080" w:val="left"/>
        </w:tabs>
        <w:numPr>
          <w:ilvl w:val="0"/>
          <w:numId w:val="46"/>
        </w:numPr>
        <w:rPr>
          <w:rFonts w:ascii="Arial" w:cs="Arial" w:eastAsia="Arial" w:hAnsi="Arial"/>
          <w:sz w:val="16"/>
          <w:szCs w:val="16"/>
          <w:color w:val="3575B3"/>
        </w:rPr>
      </w:pPr>
      <w:r>
        <w:rPr>
          <w:rFonts w:ascii="Arial" w:cs="Arial" w:eastAsia="Arial" w:hAnsi="Arial"/>
          <w:sz w:val="16"/>
          <w:szCs w:val="16"/>
          <w:color w:val="435363"/>
        </w:rPr>
        <w:t>Established Mr. Isom’s 2023 total target annual compensation at $15.2 million to reflect his promotion to CEO, including an annual target LTIP grant of $11.3 million. Approximately 91% of Mr. Isom’s annual target compensation is at risk and half of his 2023 LTIP grant is subject to performance-vesting conditions tied to attaining the Company’s total debt reduction goal and relative pre-tax income margin improvement versus the Company’s industry peers over a three-year performance period. The Compensation Committee determined that these compensation arrangements were appropriate given the significant increase in responsibility associated with his new position, to increase incentives for Mr. Isom to remain with the Company and successfully design, implement and execute our post-pandemic strategies.</w:t>
      </w:r>
    </w:p>
    <w:p>
      <w:pPr>
        <w:ind w:left="1080" w:right="480"/>
        <w:spacing w:after="0" w:line="254" w:lineRule="auto"/>
        <w:rPr>
          <w:rFonts w:ascii="Arial" w:cs="Arial" w:eastAsia="Arial" w:hAnsi="Arial"/>
          <w:sz w:val="16"/>
          <w:szCs w:val="16"/>
          <w:color w:val="3575B3"/>
        </w:rPr>
      </w:pPr>
      <w:r>
        <w:rPr>
          <w:rFonts w:ascii="Arial" w:cs="Arial" w:eastAsia="Arial" w:hAnsi="Arial"/>
          <w:sz w:val="16"/>
          <w:szCs w:val="16"/>
          <w:color w:val="435363"/>
        </w:rPr>
        <w:t>Mr. Isom’s annual compensation was set at a level $1.7 million below the last-reported annual target compensation of the CEO of Delta (2022).</w:t>
      </w:r>
    </w:p>
    <w:p>
      <w:pPr>
        <w:spacing w:after="0" w:line="44" w:lineRule="exact"/>
        <w:rPr>
          <w:rFonts w:ascii="Arial" w:cs="Arial" w:eastAsia="Arial" w:hAnsi="Arial"/>
          <w:sz w:val="16"/>
          <w:szCs w:val="16"/>
          <w:color w:val="3575B3"/>
        </w:rPr>
      </w:pPr>
    </w:p>
    <w:p>
      <w:pPr>
        <w:ind w:left="1080" w:right="120" w:hanging="326"/>
        <w:spacing w:after="0" w:line="248" w:lineRule="auto"/>
        <w:tabs>
          <w:tab w:leader="none" w:pos="1080" w:val="left"/>
        </w:tabs>
        <w:numPr>
          <w:ilvl w:val="0"/>
          <w:numId w:val="46"/>
        </w:numPr>
        <w:rPr>
          <w:rFonts w:ascii="Arial" w:cs="Arial" w:eastAsia="Arial" w:hAnsi="Arial"/>
          <w:sz w:val="16"/>
          <w:szCs w:val="16"/>
          <w:color w:val="3575B3"/>
        </w:rPr>
      </w:pPr>
      <w:r>
        <w:rPr>
          <w:rFonts w:ascii="Arial" w:cs="Arial" w:eastAsia="Arial" w:hAnsi="Arial"/>
          <w:sz w:val="16"/>
          <w:szCs w:val="16"/>
          <w:color w:val="435363"/>
        </w:rPr>
        <w:t>Granted to Mr. Isom $11.0 million in awards which reflects the difference between Mr. Isom’s new CEO target compensation and the amount of compensation he actually received following his promotion to CEO on March 31, 2022. This amount includes a one-time cash payment of $2.75 million and a one-time grant of 631,699 RSUs valued at $8.25 million, subject to the same terms and conditions and vesting as the 2023 LTIP grant, except that two-thirds of the RSUs are subject to attaining the Company’s total debt reduction goal and relative pre-tax income margin improvement versus the Company’s industry peers. In practical effect, Mr. Isom was paid for service as the Company’s CEO for both 2022 and 2023 during 2023 but in a form that has a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107950</wp:posOffset>
            </wp:positionV>
            <wp:extent cx="5177155" cy="1682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59</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1080" w:right="220"/>
        <w:spacing w:after="0" w:line="258" w:lineRule="auto"/>
        <w:rPr>
          <w:sz w:val="20"/>
          <w:szCs w:val="20"/>
          <w:color w:val="auto"/>
        </w:rPr>
      </w:pPr>
      <w:r>
        <w:rPr>
          <w:rFonts w:ascii="Arial" w:cs="Arial" w:eastAsia="Arial" w:hAnsi="Arial"/>
          <w:sz w:val="16"/>
          <w:szCs w:val="16"/>
          <w:color w:val="435363"/>
        </w:rPr>
        <w:t>performance-based equity component and will incentivize Mr. Isom to continue to build on the Company’s momentum and strong operating and financial performance for the next three years. Further, the equity-based component provides Mr. Isom an opportunity to increase his ownership of Company stock and further his alignment with stockholders.</w:t>
      </w:r>
    </w:p>
    <w:p>
      <w:pPr>
        <w:spacing w:after="0" w:line="42" w:lineRule="exact"/>
        <w:rPr>
          <w:sz w:val="20"/>
          <w:szCs w:val="20"/>
          <w:color w:val="auto"/>
        </w:rPr>
      </w:pPr>
    </w:p>
    <w:p>
      <w:pPr>
        <w:ind w:left="1080" w:hanging="326"/>
        <w:spacing w:after="0" w:line="250" w:lineRule="auto"/>
        <w:tabs>
          <w:tab w:leader="none" w:pos="1080" w:val="left"/>
        </w:tabs>
        <w:numPr>
          <w:ilvl w:val="0"/>
          <w:numId w:val="47"/>
        </w:numPr>
        <w:rPr>
          <w:rFonts w:ascii="Arial" w:cs="Arial" w:eastAsia="Arial" w:hAnsi="Arial"/>
          <w:sz w:val="16"/>
          <w:szCs w:val="16"/>
          <w:color w:val="3575B3"/>
        </w:rPr>
      </w:pPr>
      <w:r>
        <w:rPr>
          <w:rFonts w:ascii="Arial" w:cs="Arial" w:eastAsia="Arial" w:hAnsi="Arial"/>
          <w:sz w:val="16"/>
          <w:szCs w:val="16"/>
          <w:color w:val="435363"/>
        </w:rPr>
        <w:t>Requested and Mr. Isom agreed to enter into an agreement that included a covenant to not compete with the Company for 24 months following termination of employment for any reason, to further incentivize his commitment to the Company and ensure his retention. The non-compete restriction applies irrespective of whether Mr. Isom would be entitled to severance, adding new protections for the Company and its investors. Given Mr. Isom’s performance at the Company and his profile in the airline industry, the Compensation Committee and Mr. Isom considered that a meaningful and material commitment.</w:t>
      </w:r>
    </w:p>
    <w:p>
      <w:pPr>
        <w:spacing w:after="0" w:line="180" w:lineRule="exact"/>
        <w:rPr>
          <w:sz w:val="20"/>
          <w:szCs w:val="20"/>
          <w:color w:val="auto"/>
        </w:rPr>
      </w:pPr>
    </w:p>
    <w:p>
      <w:pPr>
        <w:jc w:val="both"/>
        <w:ind w:left="220" w:right="40"/>
        <w:spacing w:after="0" w:line="258" w:lineRule="auto"/>
        <w:rPr>
          <w:sz w:val="20"/>
          <w:szCs w:val="20"/>
          <w:color w:val="auto"/>
        </w:rPr>
      </w:pPr>
      <w:r>
        <w:rPr>
          <w:rFonts w:ascii="Arial" w:cs="Arial" w:eastAsia="Arial" w:hAnsi="Arial"/>
          <w:sz w:val="16"/>
          <w:szCs w:val="16"/>
          <w:color w:val="435363"/>
        </w:rPr>
        <w:t>The following table presents the components of Mr. Isom’s total compensation as reported in the Summary Compensation Table for 2023 consisting of: (i) his 2023 annual compensation, (ii) his 2022 STIP payout that was almost entirely attributed to 2022 but was paid in and reported as 2023 compensation, and (iii) the non-recurring incentives awarded to Mr. Isom in connection with his promotion to CEO in March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136525</wp:posOffset>
            </wp:positionV>
            <wp:extent cx="4933315" cy="28822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933315" cy="288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Compensation Reported for Ms. Aiyar and Messrs. May and Raja</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During the CARES restriction period:</w:t>
      </w:r>
    </w:p>
    <w:p>
      <w:pPr>
        <w:spacing w:after="0" w:line="81" w:lineRule="exact"/>
        <w:rPr>
          <w:sz w:val="20"/>
          <w:szCs w:val="20"/>
          <w:color w:val="auto"/>
        </w:rPr>
      </w:pPr>
    </w:p>
    <w:p>
      <w:pPr>
        <w:ind w:left="1080" w:right="700" w:hanging="326"/>
        <w:spacing w:after="0" w:line="275" w:lineRule="auto"/>
        <w:tabs>
          <w:tab w:leader="none" w:pos="1080" w:val="left"/>
        </w:tabs>
        <w:numPr>
          <w:ilvl w:val="0"/>
          <w:numId w:val="48"/>
        </w:numPr>
        <w:rPr>
          <w:rFonts w:ascii="Arial" w:cs="Arial" w:eastAsia="Arial" w:hAnsi="Arial"/>
          <w:sz w:val="16"/>
          <w:szCs w:val="16"/>
          <w:color w:val="3575B3"/>
        </w:rPr>
      </w:pPr>
      <w:r>
        <w:rPr>
          <w:rFonts w:ascii="Arial" w:cs="Arial" w:eastAsia="Arial" w:hAnsi="Arial"/>
          <w:sz w:val="16"/>
          <w:szCs w:val="16"/>
          <w:color w:val="435363"/>
        </w:rPr>
        <w:t>Mr. Raja was promoted to Senior Vice President and Chief Revenue Officer in June 2020 and to Executive Vice President and Chief Commercial Officer in April 2022.</w:t>
      </w:r>
    </w:p>
    <w:p>
      <w:pPr>
        <w:spacing w:after="0" w:line="28" w:lineRule="exact"/>
        <w:rPr>
          <w:rFonts w:ascii="Arial" w:cs="Arial" w:eastAsia="Arial" w:hAnsi="Arial"/>
          <w:sz w:val="16"/>
          <w:szCs w:val="16"/>
          <w:color w:val="3575B3"/>
        </w:rPr>
      </w:pPr>
    </w:p>
    <w:p>
      <w:pPr>
        <w:ind w:left="1080" w:right="340" w:hanging="326"/>
        <w:spacing w:after="0" w:line="275" w:lineRule="auto"/>
        <w:tabs>
          <w:tab w:leader="none" w:pos="1080" w:val="left"/>
        </w:tabs>
        <w:numPr>
          <w:ilvl w:val="0"/>
          <w:numId w:val="48"/>
        </w:numPr>
        <w:rPr>
          <w:rFonts w:ascii="Arial" w:cs="Arial" w:eastAsia="Arial" w:hAnsi="Arial"/>
          <w:sz w:val="16"/>
          <w:szCs w:val="16"/>
          <w:color w:val="3575B3"/>
        </w:rPr>
      </w:pPr>
      <w:r>
        <w:rPr>
          <w:rFonts w:ascii="Arial" w:cs="Arial" w:eastAsia="Arial" w:hAnsi="Arial"/>
          <w:sz w:val="16"/>
          <w:szCs w:val="16"/>
          <w:color w:val="435363"/>
        </w:rPr>
        <w:t>Mr. May was promoted to Senior Vice President of Finance and Investor Relations in February 2022 and to Executive Vice President and Chief Financial Officer in January 2023.</w:t>
      </w:r>
    </w:p>
    <w:p>
      <w:pPr>
        <w:spacing w:after="0" w:line="28" w:lineRule="exact"/>
        <w:rPr>
          <w:rFonts w:ascii="Arial" w:cs="Arial" w:eastAsia="Arial" w:hAnsi="Arial"/>
          <w:sz w:val="16"/>
          <w:szCs w:val="16"/>
          <w:color w:val="3575B3"/>
        </w:rPr>
      </w:pPr>
    </w:p>
    <w:p>
      <w:pPr>
        <w:ind w:left="1080" w:hanging="326"/>
        <w:spacing w:after="0"/>
        <w:tabs>
          <w:tab w:leader="none" w:pos="1080" w:val="left"/>
        </w:tabs>
        <w:numPr>
          <w:ilvl w:val="0"/>
          <w:numId w:val="48"/>
        </w:numPr>
        <w:rPr>
          <w:rFonts w:ascii="Arial" w:cs="Arial" w:eastAsia="Arial" w:hAnsi="Arial"/>
          <w:sz w:val="16"/>
          <w:szCs w:val="16"/>
          <w:color w:val="3575B3"/>
        </w:rPr>
      </w:pPr>
      <w:r>
        <w:rPr>
          <w:rFonts w:ascii="Arial" w:cs="Arial" w:eastAsia="Arial" w:hAnsi="Arial"/>
          <w:sz w:val="16"/>
          <w:szCs w:val="16"/>
          <w:color w:val="435363"/>
        </w:rPr>
        <w:t>Ms. Aiyar was promoted to Executive Vice President and Chief Legal Officer in April 2022.</w:t>
      </w:r>
    </w:p>
    <w:p>
      <w:pPr>
        <w:spacing w:after="0" w:line="107" w:lineRule="exact"/>
        <w:rPr>
          <w:sz w:val="20"/>
          <w:szCs w:val="20"/>
          <w:color w:val="auto"/>
        </w:rPr>
      </w:pPr>
    </w:p>
    <w:p>
      <w:pPr>
        <w:ind w:left="220" w:right="20"/>
        <w:spacing w:after="0" w:line="252" w:lineRule="auto"/>
        <w:rPr>
          <w:sz w:val="20"/>
          <w:szCs w:val="20"/>
          <w:color w:val="auto"/>
        </w:rPr>
      </w:pPr>
      <w:r>
        <w:rPr>
          <w:rFonts w:ascii="Arial" w:cs="Arial" w:eastAsia="Arial" w:hAnsi="Arial"/>
          <w:sz w:val="16"/>
          <w:szCs w:val="16"/>
          <w:color w:val="435363"/>
        </w:rPr>
        <w:t>These executives had been identified as key members of our next generation leadership team and each of these promotions was an important element of the Company’s comprehensive senior leadership succession plan. However, we were unable to provide immediate compensation increases or equity awards in connection with their promotions, despite each executive’s total compensation being significantly below their predecessors at American and their peers at Delta and 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198755</wp:posOffset>
            </wp:positionV>
            <wp:extent cx="5177155" cy="1682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5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60</w:t>
      </w:r>
    </w:p>
    <w:p>
      <w:pPr>
        <w:spacing w:after="0" w:line="3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right="580"/>
        <w:spacing w:after="0" w:line="270" w:lineRule="auto"/>
        <w:rPr>
          <w:sz w:val="20"/>
          <w:szCs w:val="20"/>
          <w:color w:val="auto"/>
        </w:rPr>
      </w:pPr>
      <w:r>
        <w:rPr>
          <w:rFonts w:ascii="Arial" w:cs="Arial" w:eastAsia="Arial" w:hAnsi="Arial"/>
          <w:sz w:val="15"/>
          <w:szCs w:val="15"/>
          <w:color w:val="435363"/>
        </w:rPr>
        <w:t>At the time of those promotions, in recognition of the acute retention challenge and the need for each executive to be compensated fairly and appropriately for their new responsibilities, we granted retention awards to Ms. Aiyar and Messrs. May and Raja. Those awards reflected amounts customarily established by the Company for similar promotions and were payable in April 2023 subject to each executive’s continued employment through that date. The amounts paid under those retention awards were consistent with the CARES Act and related legislation limitations and our compensation philosophy. The payments to Ms. Aiyar and Messrs. May and Raja were $1.2 million, $2.4 million and $4.5 million, respectively.</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Stockholder Engagement on Executive Compensation</w:t>
      </w:r>
    </w:p>
    <w:p>
      <w:pPr>
        <w:spacing w:after="0" w:line="90" w:lineRule="exact"/>
        <w:rPr>
          <w:sz w:val="20"/>
          <w:szCs w:val="20"/>
          <w:color w:val="auto"/>
        </w:rPr>
      </w:pPr>
    </w:p>
    <w:p>
      <w:pPr>
        <w:ind w:left="220" w:right="180"/>
        <w:spacing w:after="0" w:line="252" w:lineRule="auto"/>
        <w:rPr>
          <w:sz w:val="20"/>
          <w:szCs w:val="20"/>
          <w:color w:val="auto"/>
        </w:rPr>
      </w:pPr>
      <w:r>
        <w:rPr>
          <w:rFonts w:ascii="Arial" w:cs="Arial" w:eastAsia="Arial" w:hAnsi="Arial"/>
          <w:sz w:val="16"/>
          <w:szCs w:val="16"/>
          <w:color w:val="435363"/>
        </w:rPr>
        <w:t>As more fully described under “Information About the Board of Directors and Corporate Governance—Stockholder Engagement” starting on page 41, in 2023, we contacted stockholders representing approximately 40% of our outstanding shares, and held discussions with investors representing nearly 20% of our outstanding shares. We also held engagement sessions with leading proxy advisory firms. Greg Smith, our Independent Chairman, and Denise O’Leary, our Compensation Committee Chair, participated in select engagements.</w:t>
      </w:r>
    </w:p>
    <w:p>
      <w:pPr>
        <w:spacing w:after="0" w:line="74"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435363"/>
        </w:rPr>
        <w:t>We discussed our executive compensation program in all off-season engagements. We engaged in productive dialogue with investors who wanted to better understand our CEO compensation program, and in particular, the context for the non-recurring compensation that we awarded to Mr. Isom in 2023 and its relationship to the timing of his appointment as CEO in March 2022. We highlighted that our CEO’s compensation level had been considerably below-market as compared to his peers at Delta and United during the COVID-19 pandemic and the acute retention challenges we faced during that period.</w:t>
      </w:r>
    </w:p>
    <w:p>
      <w:pPr>
        <w:spacing w:after="0" w:line="74" w:lineRule="exact"/>
        <w:rPr>
          <w:sz w:val="20"/>
          <w:szCs w:val="20"/>
          <w:color w:val="auto"/>
        </w:rPr>
      </w:pPr>
    </w:p>
    <w:p>
      <w:pPr>
        <w:ind w:left="220" w:right="80"/>
        <w:spacing w:after="0" w:line="258" w:lineRule="auto"/>
        <w:rPr>
          <w:sz w:val="20"/>
          <w:szCs w:val="20"/>
          <w:color w:val="auto"/>
        </w:rPr>
      </w:pPr>
      <w:r>
        <w:rPr>
          <w:rFonts w:ascii="Arial" w:cs="Arial" w:eastAsia="Arial" w:hAnsi="Arial"/>
          <w:sz w:val="16"/>
          <w:szCs w:val="16"/>
          <w:color w:val="435363"/>
        </w:rPr>
        <w:t>Stockholders expressed no major concerns with respect to the Committee’s determination of Mr. Isom’s go-forward target annual compensation quantum and program structure. A few stockholders inquired about how we expect to evolve the measures in our STI and LTI programs as we continue to make progress on our strategic priorities and debt reduction goals.</w:t>
      </w:r>
    </w:p>
    <w:p>
      <w:pPr>
        <w:spacing w:after="0" w:line="68" w:lineRule="exact"/>
        <w:rPr>
          <w:sz w:val="20"/>
          <w:szCs w:val="20"/>
          <w:color w:val="auto"/>
        </w:rPr>
      </w:pPr>
    </w:p>
    <w:p>
      <w:pPr>
        <w:ind w:left="220"/>
        <w:spacing w:after="0" w:line="266" w:lineRule="auto"/>
        <w:rPr>
          <w:sz w:val="20"/>
          <w:szCs w:val="20"/>
          <w:color w:val="auto"/>
        </w:rPr>
      </w:pPr>
      <w:r>
        <w:rPr>
          <w:rFonts w:ascii="Arial" w:cs="Arial" w:eastAsia="Arial" w:hAnsi="Arial"/>
          <w:sz w:val="15"/>
          <w:szCs w:val="15"/>
          <w:color w:val="435363"/>
        </w:rPr>
        <w:t>Stockholders acknowledged the unique circumstances facing American and its Board of Directors in executing a long-term CEO and senior management succession plan during the COVID-19 pandemic and against the backdrop of the retention challenges imposed by the CARES Act legislation restrictions. They also acknowledged that the context of Mr. Isom’s promotion to CEO during this unique time period would serve as an important part of their analysis. Stockholders understood the Board’s concern that Mr. Isom had served as CEO from March 2022 until September 2023 without an increase in compensation. They also understood the Committee’s determination to structure Mr. Isom’s compensation largely as time- and performance-vested equity to increase his incentives and further his alignment with stockholders. They also recognized the value in Mr. Isom’s agreement to a 24-month non-competition and non-solicitation period following departure from American, regardless of whether he is entitled to severance.</w:t>
      </w:r>
    </w:p>
    <w:p>
      <w:pPr>
        <w:spacing w:after="0" w:line="171" w:lineRule="exact"/>
        <w:rPr>
          <w:sz w:val="20"/>
          <w:szCs w:val="20"/>
          <w:color w:val="auto"/>
        </w:rPr>
      </w:pPr>
    </w:p>
    <w:p>
      <w:pPr>
        <w:ind w:left="220" w:right="160"/>
        <w:spacing w:after="0" w:line="258" w:lineRule="auto"/>
        <w:rPr>
          <w:sz w:val="20"/>
          <w:szCs w:val="20"/>
          <w:color w:val="auto"/>
        </w:rPr>
      </w:pPr>
      <w:r>
        <w:rPr>
          <w:rFonts w:ascii="Arial" w:cs="Arial" w:eastAsia="Arial" w:hAnsi="Arial"/>
          <w:sz w:val="16"/>
          <w:szCs w:val="16"/>
          <w:color w:val="435363"/>
        </w:rPr>
        <w:t>Lastly, stockholders encouraged us to provide detailed, transparent disclosure regarding the considerations in establishing the quantum, mix and performance conditions of Mr. Isom’s non-recurring award, which we have provided in this proxy statement. Please see “–Non-Recurring Compensation Elements Reported in 2023” on page 58.</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Severance Benefits and Post Termination Restrictive Covenants</w:t>
      </w:r>
    </w:p>
    <w:p>
      <w:pPr>
        <w:spacing w:after="0" w:line="77" w:lineRule="exact"/>
        <w:rPr>
          <w:sz w:val="20"/>
          <w:szCs w:val="20"/>
          <w:color w:val="auto"/>
        </w:rPr>
      </w:pPr>
    </w:p>
    <w:p>
      <w:pPr>
        <w:ind w:left="220" w:right="60"/>
        <w:spacing w:after="0" w:line="248" w:lineRule="auto"/>
        <w:rPr>
          <w:sz w:val="20"/>
          <w:szCs w:val="20"/>
          <w:color w:val="auto"/>
        </w:rPr>
      </w:pPr>
      <w:r>
        <w:rPr>
          <w:rFonts w:ascii="Arial" w:cs="Arial" w:eastAsia="Arial" w:hAnsi="Arial"/>
          <w:sz w:val="16"/>
          <w:szCs w:val="16"/>
          <w:color w:val="435363"/>
        </w:rPr>
        <w:t>Change in control and severance benefits are a customary component of executive compensation, which are generally used to reinforce and encourage executives’ continued attention and dedication to their assigned duties without the distraction arising from the possibility of a change in control. Beginning in 2023, following consultation with its independent compensation consultant and in line with market practices, the Compensation Committee approved entering into severance agreements with our executive officers that are triggered on certain involuntary terminations of their employment. These agreements were only entered into with those executives who also agreed to post-termination restrictive covenants to protect the Company and its investors.</w:t>
      </w:r>
    </w:p>
    <w:p>
      <w:pPr>
        <w:spacing w:after="0" w:line="77" w:lineRule="exact"/>
        <w:rPr>
          <w:sz w:val="20"/>
          <w:szCs w:val="20"/>
          <w:color w:val="auto"/>
        </w:rPr>
      </w:pPr>
    </w:p>
    <w:p>
      <w:pPr>
        <w:ind w:left="220" w:right="40"/>
        <w:spacing w:after="0" w:line="252" w:lineRule="auto"/>
        <w:rPr>
          <w:sz w:val="20"/>
          <w:szCs w:val="20"/>
          <w:color w:val="auto"/>
        </w:rPr>
      </w:pPr>
      <w:r>
        <w:rPr>
          <w:rFonts w:ascii="Arial" w:cs="Arial" w:eastAsia="Arial" w:hAnsi="Arial"/>
          <w:sz w:val="16"/>
          <w:szCs w:val="16"/>
          <w:color w:val="435363"/>
        </w:rPr>
        <w:t>Messrs. Isom, Johnson and May and Ms. Aiyar have agreed to these post-employment restrictive covenants, including non-competition for a period of 24 months in the case of Mr. Isom and 18 months in the case of the other executives, and non-solicitation for a period of 24 months following the date the executive terminates employment with the Company. These restrictive covenants are in place irrespective of whether these executives receive severance in connection with their termination of employment.</w:t>
      </w:r>
    </w:p>
    <w:p>
      <w:pPr>
        <w:spacing w:after="0" w:line="74" w:lineRule="exact"/>
        <w:rPr>
          <w:sz w:val="20"/>
          <w:szCs w:val="20"/>
          <w:color w:val="auto"/>
        </w:rPr>
      </w:pPr>
    </w:p>
    <w:p>
      <w:pPr>
        <w:ind w:left="220" w:right="20"/>
        <w:spacing w:after="0" w:line="275" w:lineRule="auto"/>
        <w:rPr>
          <w:sz w:val="20"/>
          <w:szCs w:val="20"/>
          <w:color w:val="auto"/>
        </w:rPr>
      </w:pPr>
      <w:r>
        <w:rPr>
          <w:rFonts w:ascii="Arial" w:cs="Arial" w:eastAsia="Arial" w:hAnsi="Arial"/>
          <w:sz w:val="16"/>
          <w:szCs w:val="16"/>
          <w:color w:val="435363"/>
        </w:rPr>
        <w:t>Mr. Isom’s severance agreement provides that in the event his employment is terminated by the Company without “cause” or he resigns for “good reason” (each as defined in the severance agreements, and collectively, an “Involuntary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93980</wp:posOffset>
            </wp:positionV>
            <wp:extent cx="5177155" cy="1682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61</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right="20"/>
        <w:spacing w:after="0" w:line="244" w:lineRule="auto"/>
        <w:rPr>
          <w:sz w:val="20"/>
          <w:szCs w:val="20"/>
          <w:color w:val="auto"/>
        </w:rPr>
      </w:pPr>
      <w:r>
        <w:rPr>
          <w:rFonts w:ascii="Arial" w:cs="Arial" w:eastAsia="Arial" w:hAnsi="Arial"/>
          <w:sz w:val="16"/>
          <w:szCs w:val="16"/>
          <w:color w:val="435363"/>
        </w:rPr>
        <w:t>Termination”), he will be entitled to: (i) a cash severance payment equal to 24 months of his base salary plus two times his annual target cash incentive (payable in substantially equal installments over 24 months), (ii) a payment equal to 24 months’ COBRA premiums and (iii) continued vesting of outstanding equity awards for 24 months following the termination date, except as set forth in Mr. Isom’s grant agreements described below. In addition, Messrs. Johnson and May and Ms. Aiyar have entered into severance agreements that provide that in the event of an Involuntary Termination, the executive will be entitled to: (i) a cash severance payment equal to 18 months of the executive’s base salary plus 1.5 times the executive’s annual target cash incentive (payable in substantially equal installments over 18 months), (ii) a payment equal to 18 months’ COBRA premiums and (iii) continued vesting of outstanding equity awards for 18 months following the termination date, except, in the case of Mr. Johnson, which is subject to acceleration as set forth in his grant agreements described below. The agreements also provide for travel privileges for the executive and eligible family members, pursuant to the terms of the Company’s travel policy for officers during the 18-month period following the termination date. If the executive has become eligible for retiree travel, the executive will continue to be eligible to receive retiree travel privileges in accordance with the terms of our retiree travel policy. Messrs. Isom, Johnson, and May previously vested into lifetime travel benefits. Each severance agreement also provides for acceleration of equity awards in the event of an Involuntary Termination within the 24 month period following a change in control, with equity awards subject to performance-vesting conditions vesting at the greater of target or the expected attainment level based on performance as of the termination date. The severance agreements require entering into an effective release of claims.</w:t>
      </w:r>
    </w:p>
    <w:p>
      <w:pPr>
        <w:spacing w:after="0" w:line="81" w:lineRule="exact"/>
        <w:rPr>
          <w:sz w:val="20"/>
          <w:szCs w:val="20"/>
          <w:color w:val="auto"/>
        </w:rPr>
      </w:pPr>
    </w:p>
    <w:p>
      <w:pPr>
        <w:ind w:left="220"/>
        <w:spacing w:after="0" w:line="245" w:lineRule="auto"/>
        <w:rPr>
          <w:sz w:val="20"/>
          <w:szCs w:val="20"/>
          <w:color w:val="auto"/>
        </w:rPr>
      </w:pPr>
      <w:r>
        <w:rPr>
          <w:rFonts w:ascii="Arial" w:cs="Arial" w:eastAsia="Arial" w:hAnsi="Arial"/>
          <w:sz w:val="16"/>
          <w:szCs w:val="16"/>
          <w:color w:val="435363"/>
        </w:rPr>
        <w:t>Pursuant to the grant agreements under our equity incentive plans, our employees, including our named executive officers, are entitled to full acceleration of their RSUs in the event of (i) a termination due to death or “disability” or (ii) a “change in control” (each, as defined in the applicable plan and award agreements). In addition, subject to compliance with the post-employment restrictive covenants and delivery of an effective release of claims, because Mr. Johnson is retirement eligible (age of 55 and has ten or more years of service), under his grant agreements the vesting of each time-vesting RSU award granted to Mr. Johnson will accelerate in full in the event of his separation from service from the Company (other than a termination by the Company for “cause”), with performance-vesting RSUs remaining outstanding and eligible to vest based on actual performance through the end of the performance period. Subject to compliance with the post-employment restrictive covenants and delivery of an effective release of claims, Mr. Isom’s grant agreements provide that RSUs granted to Mr. Isom will remain outstanding and will continue to vest upon termination (not including termination by the Company for “cause”), provided that equity awards granted within 12 months prior to the termination will only remain eligible to vest on a pro-rated basis and performance-vesting RSUs remain subject to the performance conditions.</w:t>
      </w:r>
    </w:p>
    <w:p>
      <w:pPr>
        <w:spacing w:after="0" w:line="81" w:lineRule="exact"/>
        <w:rPr>
          <w:sz w:val="20"/>
          <w:szCs w:val="20"/>
          <w:color w:val="auto"/>
        </w:rPr>
      </w:pPr>
    </w:p>
    <w:p>
      <w:pPr>
        <w:ind w:left="220" w:right="80"/>
        <w:spacing w:after="0" w:line="309" w:lineRule="auto"/>
        <w:rPr>
          <w:sz w:val="20"/>
          <w:szCs w:val="20"/>
          <w:color w:val="auto"/>
        </w:rPr>
      </w:pPr>
      <w:r>
        <w:rPr>
          <w:rFonts w:ascii="Arial" w:cs="Arial" w:eastAsia="Arial" w:hAnsi="Arial"/>
          <w:sz w:val="15"/>
          <w:szCs w:val="15"/>
          <w:color w:val="435363"/>
        </w:rPr>
        <w:t>Under the STIP, if an employee separates from service with us and our affiliates while actively employed due to death or disability prior to the payment of the award, but is otherwise eligible for the award, the employee will be treated as having been actively employed on the date of payment of the award.</w:t>
      </w:r>
    </w:p>
    <w:p>
      <w:pPr>
        <w:spacing w:after="0" w:line="32" w:lineRule="exact"/>
        <w:rPr>
          <w:sz w:val="20"/>
          <w:szCs w:val="20"/>
          <w:color w:val="auto"/>
        </w:rPr>
      </w:pPr>
    </w:p>
    <w:p>
      <w:pPr>
        <w:ind w:left="220" w:right="40"/>
        <w:spacing w:after="0" w:line="258" w:lineRule="auto"/>
        <w:rPr>
          <w:sz w:val="20"/>
          <w:szCs w:val="20"/>
          <w:color w:val="auto"/>
        </w:rPr>
      </w:pPr>
      <w:r>
        <w:rPr>
          <w:rFonts w:ascii="Arial" w:cs="Arial" w:eastAsia="Arial" w:hAnsi="Arial"/>
          <w:sz w:val="16"/>
          <w:szCs w:val="16"/>
          <w:color w:val="435363"/>
        </w:rPr>
        <w:t>Information on the estimated payments and benefits that our named executive officers would have been eligible to receive in the event of a termination or change in control as of December 31, 2023 pursuant to their equity awards, the STIP and other arrangements are set forth in “Potential Payments Upon Termination or Change in Control” on page 73.</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Other Benefits and Perquisites</w:t>
      </w:r>
    </w:p>
    <w:p>
      <w:pPr>
        <w:spacing w:after="0" w:line="90" w:lineRule="exact"/>
        <w:rPr>
          <w:sz w:val="20"/>
          <w:szCs w:val="20"/>
          <w:color w:val="auto"/>
        </w:rPr>
      </w:pPr>
    </w:p>
    <w:p>
      <w:pPr>
        <w:ind w:left="220" w:right="280"/>
        <w:spacing w:after="0" w:line="258" w:lineRule="auto"/>
        <w:rPr>
          <w:sz w:val="20"/>
          <w:szCs w:val="20"/>
          <w:color w:val="auto"/>
        </w:rPr>
      </w:pPr>
      <w:r>
        <w:rPr>
          <w:rFonts w:ascii="Arial" w:cs="Arial" w:eastAsia="Arial" w:hAnsi="Arial"/>
          <w:sz w:val="16"/>
          <w:szCs w:val="16"/>
          <w:color w:val="435363"/>
        </w:rPr>
        <w:t>We maintain broad-based employee benefit plans in which all employees, including the named executive officers, participate, such as group life and health insurance plans and a 401(k) plan. These benefits are provided as part of the basic conditions of employment that we offer to other U.S.-based team members.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Other Benefits</w:t>
      </w:r>
    </w:p>
    <w:p>
      <w:pPr>
        <w:spacing w:after="0" w:line="67" w:lineRule="exact"/>
        <w:rPr>
          <w:sz w:val="20"/>
          <w:szCs w:val="20"/>
          <w:color w:val="auto"/>
        </w:rPr>
      </w:pPr>
    </w:p>
    <w:p>
      <w:pPr>
        <w:ind w:left="220"/>
        <w:spacing w:after="0" w:line="247" w:lineRule="auto"/>
        <w:rPr>
          <w:sz w:val="20"/>
          <w:szCs w:val="20"/>
          <w:color w:val="auto"/>
        </w:rPr>
      </w:pPr>
      <w:r>
        <w:rPr>
          <w:rFonts w:ascii="Arial" w:cs="Arial" w:eastAsia="Arial" w:hAnsi="Arial"/>
          <w:sz w:val="16"/>
          <w:szCs w:val="16"/>
          <w:color w:val="435363"/>
        </w:rPr>
        <w:t>We continue to provide certain benefits to our named executive officers that are common in the airline industry. The incremental cost to us of providing these benefits is not material. Following standard airline industry practice, we provide certain flight privileges to our employees. Free flights on our airline are available to all employees, and “positive space” flight privileges are provided to our senior executives, including the named executive officers. We believe that providing such flight privileges is consistent with airline industry practice and that competitive flight privileges are needed for the recruitment and retention of the most senior employees. By providing positive space flight privileges to our executives, we are able to offer a unique and highly-valued benefit at a low cost. This benefit also encourages executives to travel on the airline frequently, and while doing so, meet and listen to employees, solicit feedback from employees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201295</wp:posOffset>
            </wp:positionV>
            <wp:extent cx="5177155" cy="1682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6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62</w:t>
      </w:r>
    </w:p>
    <w:p>
      <w:pPr>
        <w:spacing w:after="0" w:line="33"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00"/>
          </w:cols>
          <w:pgMar w:left="320" w:top="477" w:right="5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right="520"/>
        <w:spacing w:after="0" w:line="258" w:lineRule="auto"/>
        <w:rPr>
          <w:sz w:val="20"/>
          <w:szCs w:val="20"/>
          <w:color w:val="auto"/>
        </w:rPr>
      </w:pPr>
      <w:r>
        <w:rPr>
          <w:rFonts w:ascii="Arial" w:cs="Arial" w:eastAsia="Arial" w:hAnsi="Arial"/>
          <w:sz w:val="16"/>
          <w:szCs w:val="16"/>
          <w:color w:val="435363"/>
        </w:rPr>
        <w:t>audit aircraft and facility appearance and quality, and monitor operational performance throughout the domestic and international route system. In addition, as in prior years, we cover the income tax liabilities of our senior executives, including the named executive officers, related to those flight privileges, which is consistent with industry practice.</w:t>
      </w:r>
    </w:p>
    <w:p>
      <w:pPr>
        <w:spacing w:after="0" w:line="68" w:lineRule="exact"/>
        <w:rPr>
          <w:sz w:val="20"/>
          <w:szCs w:val="20"/>
          <w:color w:val="auto"/>
        </w:rPr>
      </w:pPr>
    </w:p>
    <w:p>
      <w:pPr>
        <w:ind w:left="220" w:right="20"/>
        <w:spacing w:after="0" w:line="247" w:lineRule="auto"/>
        <w:rPr>
          <w:sz w:val="20"/>
          <w:szCs w:val="20"/>
          <w:color w:val="auto"/>
        </w:rPr>
      </w:pPr>
      <w:r>
        <w:rPr>
          <w:rFonts w:ascii="Arial" w:cs="Arial" w:eastAsia="Arial" w:hAnsi="Arial"/>
          <w:sz w:val="15"/>
          <w:szCs w:val="15"/>
          <w:color w:val="435363"/>
        </w:rPr>
        <w:t>The positive space flight privileges provided to our officers, including the named executive officers, include unlimited reserved travel in any class of service for the officer and his or her immediate family, including eligible dependent children, for personal purposes. Officers and their immediate families, including eligible dependent children, also have access to our Admirals Club</w:t>
      </w:r>
      <w:r>
        <w:rPr>
          <w:rFonts w:ascii="Arial" w:cs="Arial" w:eastAsia="Arial" w:hAnsi="Arial"/>
          <w:sz w:val="22"/>
          <w:szCs w:val="22"/>
          <w:color w:val="435363"/>
          <w:vertAlign w:val="superscript"/>
        </w:rPr>
        <w:t>®</w:t>
      </w:r>
      <w:r>
        <w:rPr>
          <w:rFonts w:ascii="Arial" w:cs="Arial" w:eastAsia="Arial" w:hAnsi="Arial"/>
          <w:sz w:val="15"/>
          <w:szCs w:val="15"/>
          <w:color w:val="435363"/>
        </w:rPr>
        <w:t xml:space="preserve"> travel lounges at various airports and have AAdvantage Executive Platinum status. Officers are also eligible for 12 free round-trip passes or 24 free one-way passes each year for reserved travel for non-eligible family members and friends, and we cover the income tax liability related to these flight privileges. Officers are required to pay any international fees and taxes, if applicable. In addition, each of Messrs. Isom, Johnson and May are vested into the foregoing lifetime travel benefits and are entitled to continued receipt of these benefits upon their termination of employment, other than coverage of income tax liability. Mr. Raja is eligible for lifetime space available travel benefits.</w:t>
      </w:r>
    </w:p>
    <w:p>
      <w:pPr>
        <w:spacing w:after="0" w:line="77" w:lineRule="exact"/>
        <w:rPr>
          <w:sz w:val="20"/>
          <w:szCs w:val="20"/>
          <w:color w:val="auto"/>
        </w:rPr>
      </w:pPr>
    </w:p>
    <w:p>
      <w:pPr>
        <w:ind w:left="220" w:right="120"/>
        <w:spacing w:after="0" w:line="252" w:lineRule="auto"/>
        <w:rPr>
          <w:sz w:val="20"/>
          <w:szCs w:val="20"/>
          <w:color w:val="auto"/>
        </w:rPr>
      </w:pPr>
      <w:r>
        <w:rPr>
          <w:rFonts w:ascii="Arial" w:cs="Arial" w:eastAsia="Arial" w:hAnsi="Arial"/>
          <w:sz w:val="16"/>
          <w:szCs w:val="16"/>
          <w:color w:val="435363"/>
        </w:rPr>
        <w:t>We also offer our named executive officers perquisites in the form of financial advisory services and executive physicals. We will reimburse up to $4,500 annually for their personal tax planning, estate planning and retirement planning services from a certified financial planner, certified public accountant, or attorney. We will pay the full cost of their annual physicals and additional diagnostic tests recommended by the provider. In 2023, we also reimbursed legal expenses incurred by Mr. Isom in connection with the negotiation of his CEO compensation.</w:t>
      </w:r>
    </w:p>
    <w:p>
      <w:pPr>
        <w:spacing w:after="0" w:line="74" w:lineRule="exact"/>
        <w:rPr>
          <w:sz w:val="20"/>
          <w:szCs w:val="20"/>
          <w:color w:val="auto"/>
        </w:rPr>
      </w:pPr>
    </w:p>
    <w:p>
      <w:pPr>
        <w:ind w:left="220" w:right="920"/>
        <w:spacing w:after="0" w:line="275" w:lineRule="auto"/>
        <w:rPr>
          <w:sz w:val="20"/>
          <w:szCs w:val="20"/>
          <w:color w:val="auto"/>
        </w:rPr>
      </w:pPr>
      <w:r>
        <w:rPr>
          <w:rFonts w:ascii="Arial" w:cs="Arial" w:eastAsia="Arial" w:hAnsi="Arial"/>
          <w:sz w:val="16"/>
          <w:szCs w:val="16"/>
          <w:color w:val="435363"/>
        </w:rPr>
        <w:t>For additional information on any benefits provided to the named executive officers on an individual basis, see the section entitled “Executive Compensation—Summary Compensation Table” beginning on page 68.</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Continuing Focus on Leading Practices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Stock Ownership Guidelines</w:t>
      </w:r>
    </w:p>
    <w:p>
      <w:pPr>
        <w:spacing w:after="0" w:line="107" w:lineRule="exact"/>
        <w:rPr>
          <w:sz w:val="20"/>
          <w:szCs w:val="20"/>
          <w:color w:val="auto"/>
        </w:rPr>
      </w:pPr>
    </w:p>
    <w:p>
      <w:pPr>
        <w:ind w:left="220"/>
        <w:spacing w:after="0" w:line="245" w:lineRule="auto"/>
        <w:rPr>
          <w:sz w:val="20"/>
          <w:szCs w:val="20"/>
          <w:color w:val="auto"/>
        </w:rPr>
      </w:pPr>
      <w:r>
        <w:rPr>
          <w:rFonts w:ascii="Arial" w:cs="Arial" w:eastAsia="Arial" w:hAnsi="Arial"/>
          <w:sz w:val="16"/>
          <w:szCs w:val="16"/>
          <w:color w:val="435363"/>
        </w:rPr>
        <w:t>We have implemented stock ownership guidelines for our executive officers. Executives are required to hold a number of shares of stock equal to the lesser of either (i) a fixed number of shares or (ii) a number of shares with a total value equal to a designated multiple of their base salary, as provided in the table below. Ownership is determined based on the combined value of the following executive holdings: (a) shares owned outright or by immediate family members residing in the same household or in a trust for the benefit of the executive or an immediate family member; (b) Common Stock, stock units or other stock equivalents obtained through the exercise of SARs/stock options or vesting of equity awards; (c) unvested equity awards granted under any equity and deferral plans; and (d) other stock or stock equivalent awards determined by the CGPR Committee. Executives have five years from the time of hire to comply with the ownership guidelines. Under the guidelines, until an executive has reached the minimum ownership guideline, such executive may not sell or otherwise dispose of shares of Common Stock acquired upon the exercise, vesting or settlement of any equity awards granted by us except to the extent such sales do not cumulatively exceed 50% of such shares. Each of our executive officers currently owns shares that exceed the minimum ownership guidelines. The stock ownership guidelines are set forth below.</w:t>
      </w:r>
    </w:p>
    <w:p>
      <w:pPr>
        <w:spacing w:after="0" w:line="186" w:lineRule="exact"/>
        <w:rPr>
          <w:sz w:val="20"/>
          <w:szCs w:val="20"/>
          <w:color w:val="auto"/>
        </w:rPr>
      </w:pPr>
    </w:p>
    <w:tbl>
      <w:tblPr>
        <w:tblLayout w:type="fixed"/>
        <w:tblInd w:w="1100" w:type="dxa"/>
        <w:tblCellMar>
          <w:top w:w="0" w:type="dxa"/>
          <w:left w:w="0" w:type="dxa"/>
          <w:bottom w:w="0" w:type="dxa"/>
          <w:right w:w="0" w:type="dxa"/>
        </w:tblCellMar>
      </w:tblPr>
      <w:tr>
        <w:trPr>
          <w:trHeight w:val="218"/>
        </w:trPr>
        <w:tc>
          <w:tcPr>
            <w:tcW w:w="3040" w:type="dxa"/>
            <w:vAlign w:val="bottom"/>
          </w:tcPr>
          <w:p>
            <w:pPr>
              <w:spacing w:after="0"/>
              <w:rPr>
                <w:sz w:val="18"/>
                <w:szCs w:val="18"/>
                <w:color w:val="auto"/>
              </w:rPr>
            </w:pPr>
          </w:p>
        </w:tc>
        <w:tc>
          <w:tcPr>
            <w:tcW w:w="4160" w:type="dxa"/>
            <w:vAlign w:val="bottom"/>
          </w:tcPr>
          <w:p>
            <w:pPr>
              <w:jc w:val="right"/>
              <w:ind w:right="1521"/>
              <w:spacing w:after="0"/>
              <w:rPr>
                <w:sz w:val="20"/>
                <w:szCs w:val="20"/>
                <w:color w:val="auto"/>
              </w:rPr>
            </w:pPr>
            <w:r>
              <w:rPr>
                <w:rFonts w:ascii="Arial" w:cs="Arial" w:eastAsia="Arial" w:hAnsi="Arial"/>
                <w:sz w:val="16"/>
                <w:szCs w:val="16"/>
                <w:b w:val="1"/>
                <w:bCs w:val="1"/>
                <w:color w:val="435363"/>
              </w:rPr>
              <w:t>Stock Ownership Guidelines</w:t>
            </w:r>
          </w:p>
        </w:tc>
        <w:tc>
          <w:tcPr>
            <w:tcW w:w="1860" w:type="dxa"/>
            <w:vAlign w:val="bottom"/>
          </w:tcPr>
          <w:p>
            <w:pPr>
              <w:spacing w:after="0"/>
              <w:rPr>
                <w:sz w:val="18"/>
                <w:szCs w:val="18"/>
                <w:color w:val="auto"/>
              </w:rPr>
            </w:pPr>
          </w:p>
        </w:tc>
      </w:tr>
      <w:tr>
        <w:trPr>
          <w:trHeight w:val="391"/>
        </w:trPr>
        <w:tc>
          <w:tcPr>
            <w:tcW w:w="3040" w:type="dxa"/>
            <w:vAlign w:val="bottom"/>
          </w:tcPr>
          <w:p>
            <w:pPr>
              <w:spacing w:after="0"/>
              <w:rPr>
                <w:sz w:val="24"/>
                <w:szCs w:val="24"/>
                <w:color w:val="auto"/>
              </w:rPr>
            </w:pPr>
          </w:p>
        </w:tc>
        <w:tc>
          <w:tcPr>
            <w:tcW w:w="4160" w:type="dxa"/>
            <w:vAlign w:val="bottom"/>
          </w:tcPr>
          <w:p>
            <w:pPr>
              <w:jc w:val="right"/>
              <w:ind w:right="581"/>
              <w:spacing w:after="0"/>
              <w:rPr>
                <w:sz w:val="20"/>
                <w:szCs w:val="20"/>
                <w:color w:val="auto"/>
              </w:rPr>
            </w:pPr>
            <w:r>
              <w:rPr>
                <w:rFonts w:ascii="Arial" w:cs="Arial" w:eastAsia="Arial" w:hAnsi="Arial"/>
                <w:sz w:val="16"/>
                <w:szCs w:val="16"/>
                <w:b w:val="1"/>
                <w:bCs w:val="1"/>
                <w:color w:val="3575B3"/>
              </w:rPr>
              <w:t>Multiple of</w:t>
            </w:r>
          </w:p>
        </w:tc>
        <w:tc>
          <w:tcPr>
            <w:tcW w:w="1860" w:type="dxa"/>
            <w:vAlign w:val="bottom"/>
          </w:tcPr>
          <w:p>
            <w:pPr>
              <w:jc w:val="right"/>
              <w:ind w:right="681"/>
              <w:spacing w:after="0"/>
              <w:rPr>
                <w:sz w:val="20"/>
                <w:szCs w:val="20"/>
                <w:color w:val="auto"/>
              </w:rPr>
            </w:pPr>
            <w:r>
              <w:rPr>
                <w:rFonts w:ascii="Arial" w:cs="Arial" w:eastAsia="Arial" w:hAnsi="Arial"/>
                <w:sz w:val="16"/>
                <w:szCs w:val="16"/>
                <w:b w:val="1"/>
                <w:bCs w:val="1"/>
                <w:color w:val="3575B3"/>
              </w:rPr>
              <w:t>Fixed</w:t>
            </w:r>
          </w:p>
        </w:tc>
      </w:tr>
      <w:tr>
        <w:trPr>
          <w:trHeight w:val="231"/>
        </w:trPr>
        <w:tc>
          <w:tcPr>
            <w:tcW w:w="3040" w:type="dxa"/>
            <w:vAlign w:val="bottom"/>
          </w:tcPr>
          <w:p>
            <w:pPr>
              <w:ind w:left="60"/>
              <w:spacing w:after="0"/>
              <w:rPr>
                <w:sz w:val="20"/>
                <w:szCs w:val="20"/>
                <w:color w:val="auto"/>
              </w:rPr>
            </w:pPr>
            <w:r>
              <w:rPr>
                <w:rFonts w:ascii="Arial" w:cs="Arial" w:eastAsia="Arial" w:hAnsi="Arial"/>
                <w:sz w:val="16"/>
                <w:szCs w:val="16"/>
                <w:b w:val="1"/>
                <w:bCs w:val="1"/>
                <w:color w:val="3575B3"/>
              </w:rPr>
              <w:t>Position/Levels</w:t>
            </w:r>
          </w:p>
        </w:tc>
        <w:tc>
          <w:tcPr>
            <w:tcW w:w="4160" w:type="dxa"/>
            <w:vAlign w:val="bottom"/>
          </w:tcPr>
          <w:p>
            <w:pPr>
              <w:jc w:val="right"/>
              <w:ind w:right="541"/>
              <w:spacing w:after="0"/>
              <w:rPr>
                <w:sz w:val="20"/>
                <w:szCs w:val="20"/>
                <w:color w:val="auto"/>
              </w:rPr>
            </w:pPr>
            <w:r>
              <w:rPr>
                <w:rFonts w:ascii="Arial" w:cs="Arial" w:eastAsia="Arial" w:hAnsi="Arial"/>
                <w:sz w:val="16"/>
                <w:szCs w:val="16"/>
                <w:b w:val="1"/>
                <w:bCs w:val="1"/>
                <w:color w:val="3575B3"/>
              </w:rPr>
              <w:t>Base Salary</w:t>
            </w:r>
          </w:p>
        </w:tc>
        <w:tc>
          <w:tcPr>
            <w:tcW w:w="1860" w:type="dxa"/>
            <w:vAlign w:val="bottom"/>
          </w:tcPr>
          <w:p>
            <w:pPr>
              <w:jc w:val="right"/>
              <w:ind w:right="641"/>
              <w:spacing w:after="0"/>
              <w:rPr>
                <w:sz w:val="20"/>
                <w:szCs w:val="20"/>
                <w:color w:val="auto"/>
              </w:rPr>
            </w:pPr>
            <w:r>
              <w:rPr>
                <w:rFonts w:ascii="Arial" w:cs="Arial" w:eastAsia="Arial" w:hAnsi="Arial"/>
                <w:sz w:val="16"/>
                <w:szCs w:val="16"/>
                <w:b w:val="1"/>
                <w:bCs w:val="1"/>
                <w:color w:val="3575B3"/>
              </w:rPr>
              <w:t>Shares</w:t>
            </w:r>
          </w:p>
        </w:tc>
      </w:tr>
      <w:tr>
        <w:trPr>
          <w:trHeight w:val="35"/>
        </w:trPr>
        <w:tc>
          <w:tcPr>
            <w:tcW w:w="3040" w:type="dxa"/>
            <w:vAlign w:val="bottom"/>
            <w:tcBorders>
              <w:bottom w:val="single" w:sz="8" w:color="BF0000"/>
            </w:tcBorders>
          </w:tcPr>
          <w:p>
            <w:pPr>
              <w:spacing w:after="0"/>
              <w:rPr>
                <w:sz w:val="3"/>
                <w:szCs w:val="3"/>
                <w:color w:val="auto"/>
              </w:rPr>
            </w:pPr>
          </w:p>
        </w:tc>
        <w:tc>
          <w:tcPr>
            <w:tcW w:w="4160" w:type="dxa"/>
            <w:vAlign w:val="bottom"/>
            <w:tcBorders>
              <w:bottom w:val="single" w:sz="8" w:color="BF0000"/>
            </w:tcBorders>
          </w:tcPr>
          <w:p>
            <w:pPr>
              <w:spacing w:after="0"/>
              <w:rPr>
                <w:sz w:val="3"/>
                <w:szCs w:val="3"/>
                <w:color w:val="auto"/>
              </w:rPr>
            </w:pPr>
          </w:p>
        </w:tc>
        <w:tc>
          <w:tcPr>
            <w:tcW w:w="1860" w:type="dxa"/>
            <w:vAlign w:val="bottom"/>
            <w:tcBorders>
              <w:bottom w:val="single" w:sz="8" w:color="BF0000"/>
            </w:tcBorders>
          </w:tcPr>
          <w:p>
            <w:pPr>
              <w:spacing w:after="0"/>
              <w:rPr>
                <w:sz w:val="3"/>
                <w:szCs w:val="3"/>
                <w:color w:val="auto"/>
              </w:rPr>
            </w:pPr>
          </w:p>
        </w:tc>
      </w:tr>
      <w:tr>
        <w:trPr>
          <w:trHeight w:val="229"/>
        </w:trPr>
        <w:tc>
          <w:tcPr>
            <w:tcW w:w="3040" w:type="dxa"/>
            <w:vAlign w:val="bottom"/>
          </w:tcPr>
          <w:p>
            <w:pPr>
              <w:ind w:left="60"/>
              <w:spacing w:after="0"/>
              <w:rPr>
                <w:sz w:val="20"/>
                <w:szCs w:val="20"/>
                <w:color w:val="auto"/>
              </w:rPr>
            </w:pPr>
            <w:r>
              <w:rPr>
                <w:rFonts w:ascii="Arial" w:cs="Arial" w:eastAsia="Arial" w:hAnsi="Arial"/>
                <w:sz w:val="16"/>
                <w:szCs w:val="16"/>
                <w:color w:val="435363"/>
              </w:rPr>
              <w:t>Chief Executive Officer</w:t>
            </w:r>
          </w:p>
        </w:tc>
        <w:tc>
          <w:tcPr>
            <w:tcW w:w="4160" w:type="dxa"/>
            <w:vAlign w:val="bottom"/>
          </w:tcPr>
          <w:p>
            <w:pPr>
              <w:jc w:val="right"/>
              <w:ind w:right="521"/>
              <w:spacing w:after="0"/>
              <w:rPr>
                <w:sz w:val="20"/>
                <w:szCs w:val="20"/>
                <w:color w:val="auto"/>
              </w:rPr>
            </w:pPr>
            <w:r>
              <w:rPr>
                <w:rFonts w:ascii="Arial" w:cs="Arial" w:eastAsia="Arial" w:hAnsi="Arial"/>
                <w:sz w:val="16"/>
                <w:szCs w:val="16"/>
                <w:color w:val="435363"/>
              </w:rPr>
              <w:t>6x</w:t>
            </w:r>
          </w:p>
        </w:tc>
        <w:tc>
          <w:tcPr>
            <w:tcW w:w="1860" w:type="dxa"/>
            <w:vAlign w:val="bottom"/>
          </w:tcPr>
          <w:p>
            <w:pPr>
              <w:jc w:val="right"/>
              <w:ind w:right="581"/>
              <w:spacing w:after="0"/>
              <w:rPr>
                <w:sz w:val="20"/>
                <w:szCs w:val="20"/>
                <w:color w:val="auto"/>
              </w:rPr>
            </w:pPr>
            <w:r>
              <w:rPr>
                <w:rFonts w:ascii="Arial" w:cs="Arial" w:eastAsia="Arial" w:hAnsi="Arial"/>
                <w:sz w:val="16"/>
                <w:szCs w:val="16"/>
                <w:color w:val="435363"/>
              </w:rPr>
              <w:t>116,667</w:t>
            </w:r>
          </w:p>
        </w:tc>
      </w:tr>
      <w:tr>
        <w:trPr>
          <w:trHeight w:val="43"/>
        </w:trPr>
        <w:tc>
          <w:tcPr>
            <w:tcW w:w="304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71"/>
        </w:trPr>
        <w:tc>
          <w:tcPr>
            <w:tcW w:w="304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435363"/>
              </w:rPr>
              <w:t>Vice Chair; Executive Vice President</w:t>
            </w:r>
          </w:p>
        </w:tc>
        <w:tc>
          <w:tcPr>
            <w:tcW w:w="4160" w:type="dxa"/>
            <w:vAlign w:val="bottom"/>
            <w:tcBorders>
              <w:bottom w:val="single" w:sz="8" w:color="EDEDED"/>
            </w:tcBorders>
            <w:shd w:val="clear" w:color="auto" w:fill="EDEDED"/>
          </w:tcPr>
          <w:p>
            <w:pPr>
              <w:jc w:val="right"/>
              <w:ind w:right="521"/>
              <w:spacing w:after="0"/>
              <w:rPr>
                <w:sz w:val="20"/>
                <w:szCs w:val="20"/>
                <w:color w:val="auto"/>
              </w:rPr>
            </w:pPr>
            <w:r>
              <w:rPr>
                <w:rFonts w:ascii="Arial" w:cs="Arial" w:eastAsia="Arial" w:hAnsi="Arial"/>
                <w:sz w:val="16"/>
                <w:szCs w:val="16"/>
                <w:color w:val="435363"/>
              </w:rPr>
              <w:t>3x</w:t>
            </w:r>
          </w:p>
        </w:tc>
        <w:tc>
          <w:tcPr>
            <w:tcW w:w="1860" w:type="dxa"/>
            <w:vAlign w:val="bottom"/>
            <w:tcBorders>
              <w:bottom w:val="single" w:sz="8" w:color="EDEDED"/>
            </w:tcBorders>
            <w:shd w:val="clear" w:color="auto" w:fill="EDEDED"/>
          </w:tcPr>
          <w:p>
            <w:pPr>
              <w:jc w:val="right"/>
              <w:ind w:right="581"/>
              <w:spacing w:after="0"/>
              <w:rPr>
                <w:sz w:val="20"/>
                <w:szCs w:val="20"/>
                <w:color w:val="auto"/>
              </w:rPr>
            </w:pPr>
            <w:r>
              <w:rPr>
                <w:rFonts w:ascii="Arial" w:cs="Arial" w:eastAsia="Arial" w:hAnsi="Arial"/>
                <w:sz w:val="16"/>
                <w:szCs w:val="16"/>
                <w:color w:val="435363"/>
              </w:rPr>
              <w:t>47,917</w:t>
            </w:r>
          </w:p>
        </w:tc>
      </w:tr>
      <w:tr>
        <w:trPr>
          <w:trHeight w:val="20"/>
        </w:trPr>
        <w:tc>
          <w:tcPr>
            <w:tcW w:w="3040" w:type="dxa"/>
            <w:vAlign w:val="bottom"/>
            <w:shd w:val="clear" w:color="auto" w:fill="435363"/>
          </w:tcPr>
          <w:p>
            <w:pPr>
              <w:spacing w:after="0" w:line="20" w:lineRule="exact"/>
              <w:rPr>
                <w:sz w:val="1"/>
                <w:szCs w:val="1"/>
                <w:color w:val="auto"/>
              </w:rPr>
            </w:pPr>
          </w:p>
        </w:tc>
        <w:tc>
          <w:tcPr>
            <w:tcW w:w="4160" w:type="dxa"/>
            <w:vAlign w:val="bottom"/>
            <w:shd w:val="clear" w:color="auto" w:fill="435363"/>
          </w:tcPr>
          <w:p>
            <w:pPr>
              <w:spacing w:after="0" w:line="20" w:lineRule="exact"/>
              <w:rPr>
                <w:sz w:val="1"/>
                <w:szCs w:val="1"/>
                <w:color w:val="auto"/>
              </w:rPr>
            </w:pPr>
          </w:p>
        </w:tc>
        <w:tc>
          <w:tcPr>
            <w:tcW w:w="1860" w:type="dxa"/>
            <w:vAlign w:val="bottom"/>
            <w:shd w:val="clear" w:color="auto" w:fill="435363"/>
          </w:tcPr>
          <w:p>
            <w:pPr>
              <w:spacing w:after="0" w:line="20" w:lineRule="exact"/>
              <w:rPr>
                <w:sz w:val="1"/>
                <w:szCs w:val="1"/>
                <w:color w:val="auto"/>
              </w:rPr>
            </w:pPr>
          </w:p>
        </w:tc>
      </w:tr>
    </w:tbl>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Clawback Policy</w:t>
      </w:r>
    </w:p>
    <w:p>
      <w:pPr>
        <w:spacing w:after="0" w:line="81" w:lineRule="exact"/>
        <w:rPr>
          <w:sz w:val="20"/>
          <w:szCs w:val="20"/>
          <w:color w:val="auto"/>
        </w:rPr>
      </w:pPr>
    </w:p>
    <w:p>
      <w:pPr>
        <w:ind w:left="220" w:right="140"/>
        <w:spacing w:after="0" w:line="250" w:lineRule="auto"/>
        <w:rPr>
          <w:sz w:val="20"/>
          <w:szCs w:val="20"/>
          <w:color w:val="auto"/>
        </w:rPr>
      </w:pPr>
      <w:r>
        <w:rPr>
          <w:rFonts w:ascii="Arial" w:cs="Arial" w:eastAsia="Arial" w:hAnsi="Arial"/>
          <w:sz w:val="16"/>
          <w:szCs w:val="16"/>
          <w:color w:val="435363"/>
        </w:rPr>
        <w:t>Effective October 2023, our Board adopted a Policy for Recovery of Erroneously Awarded Compensation (the “Clawback Policy”) to implement final clawback rules issued by the SEC. The Clawback Policy applies to our current and former executive officers and subjects their incentive-based compensation received on or after October 2, 2023 to clawback in the event our company is required to prepare an accounting restatement to correct its material noncompliance with any financial reporting requirement under U.S. securities laws. In these circumstances, the Clawback Policy requires the Company to recover, reasonably promptly, the portion of incentive-based compensation that is deemed to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106680</wp:posOffset>
            </wp:positionV>
            <wp:extent cx="5177155" cy="1682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63</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spacing w:after="0" w:line="250" w:lineRule="auto"/>
        <w:rPr>
          <w:sz w:val="20"/>
          <w:szCs w:val="20"/>
          <w:color w:val="auto"/>
        </w:rPr>
      </w:pPr>
      <w:r>
        <w:rPr>
          <w:rFonts w:ascii="Arial" w:cs="Arial" w:eastAsia="Arial" w:hAnsi="Arial"/>
          <w:sz w:val="16"/>
          <w:szCs w:val="16"/>
          <w:color w:val="435363"/>
        </w:rPr>
        <w:t>erroneously awarded, unless the Compensation Committee (which administers the policy) determines that recovery would be impracticable and that one or more of the allowable impracticability conditions under SEC rules has been met. Recovery is required whether or not the applicable officer engaged in misconduct or otherwise caused or contributed to the requirement for the restatement. In addition to these requirements, the Clawback Policy continues to provide the Compensation Committee with broad discretion as to what actions may be taken based on circumstances leading to the restatement, including recovery of compensation paid under the Company’s STIP or LTIP and other equity incentive awards.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Prohibition on Hedging and Pledging</w:t>
      </w:r>
    </w:p>
    <w:p>
      <w:pPr>
        <w:spacing w:after="0" w:line="81" w:lineRule="exact"/>
        <w:rPr>
          <w:sz w:val="20"/>
          <w:szCs w:val="20"/>
          <w:color w:val="auto"/>
        </w:rPr>
      </w:pPr>
    </w:p>
    <w:p>
      <w:pPr>
        <w:ind w:left="220" w:right="40"/>
        <w:spacing w:after="0" w:line="275" w:lineRule="auto"/>
        <w:rPr>
          <w:sz w:val="20"/>
          <w:szCs w:val="20"/>
          <w:color w:val="auto"/>
        </w:rPr>
      </w:pPr>
      <w:r>
        <w:rPr>
          <w:rFonts w:ascii="Arial" w:cs="Arial" w:eastAsia="Arial" w:hAnsi="Arial"/>
          <w:sz w:val="16"/>
          <w:szCs w:val="16"/>
          <w:color w:val="435363"/>
        </w:rPr>
        <w:t>As described more fully under the section “Information About the Board of Directors and Corporate Governance—Prohibition on Hedging and Pledging,” we prohibit our executive officers from engaging in hedging transactions or using our stock as collateral for loans.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Section 280G/Section 4999 Policy</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We do not provide any tax gross-ups to cover excise taxes under Section 4999 in connection 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219710</wp:posOffset>
            </wp:positionV>
            <wp:extent cx="5177155" cy="1682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92"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64</w:t>
      </w:r>
    </w:p>
    <w:p>
      <w:pPr>
        <w:spacing w:after="0" w:line="33"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0920"/>
          </w:cols>
          <w:pgMar w:left="320" w:top="477" w:right="6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200660</wp:posOffset>
            </wp:positionV>
            <wp:extent cx="6193790" cy="2857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right="2340"/>
        <w:spacing w:after="0" w:line="276" w:lineRule="auto"/>
        <w:rPr>
          <w:sz w:val="20"/>
          <w:szCs w:val="20"/>
          <w:color w:val="auto"/>
        </w:rPr>
      </w:pPr>
      <w:r>
        <w:rPr>
          <w:rFonts w:ascii="Arial" w:cs="Arial" w:eastAsia="Arial" w:hAnsi="Arial"/>
          <w:sz w:val="32"/>
          <w:szCs w:val="32"/>
          <w:color w:val="66AFDA"/>
        </w:rPr>
        <w:t>REPORT OF THE COMPENSATION COMMITTEE OF THE BOARD OF DIRECTORS</w:t>
      </w:r>
    </w:p>
    <w:p>
      <w:pPr>
        <w:spacing w:after="0" w:line="121" w:lineRule="exact"/>
        <w:rPr>
          <w:sz w:val="20"/>
          <w:szCs w:val="20"/>
          <w:color w:val="auto"/>
        </w:rPr>
      </w:pPr>
    </w:p>
    <w:p>
      <w:pPr>
        <w:ind w:left="220" w:right="180"/>
        <w:spacing w:after="0" w:line="283" w:lineRule="auto"/>
        <w:rPr>
          <w:sz w:val="20"/>
          <w:szCs w:val="20"/>
          <w:color w:val="auto"/>
        </w:rPr>
      </w:pPr>
      <w:r>
        <w:rPr>
          <w:rFonts w:ascii="Arial" w:cs="Arial" w:eastAsia="Arial" w:hAnsi="Arial"/>
          <w:sz w:val="15"/>
          <w:szCs w:val="15"/>
          <w:color w:val="435363"/>
        </w:rPr>
        <w:t>The Compensation Committee has reviewed and discussed with management the Compensation Discussion and Analysis included in this Proxy Statement. Based on this review and discussion, the Compensation Committee recommended to the Board that the Compensation Discussion and Analysis be included in this Proxy Statement and incorporated by reference in our Annual Report on Form 10-K for the year ended December 31, 2023.</w:t>
      </w:r>
    </w:p>
    <w:p>
      <w:pPr>
        <w:spacing w:after="0" w:line="52" w:lineRule="exact"/>
        <w:rPr>
          <w:sz w:val="20"/>
          <w:szCs w:val="20"/>
          <w:color w:val="auto"/>
        </w:rPr>
      </w:pPr>
    </w:p>
    <w:p>
      <w:pPr>
        <w:ind w:left="7360"/>
        <w:spacing w:after="0"/>
        <w:rPr>
          <w:sz w:val="20"/>
          <w:szCs w:val="20"/>
          <w:color w:val="auto"/>
        </w:rPr>
      </w:pPr>
      <w:r>
        <w:rPr>
          <w:rFonts w:ascii="Arial" w:cs="Arial" w:eastAsia="Arial" w:hAnsi="Arial"/>
          <w:sz w:val="16"/>
          <w:szCs w:val="16"/>
          <w:color w:val="435363"/>
        </w:rPr>
        <w:t>Respectfully submitted,</w:t>
      </w:r>
    </w:p>
    <w:p>
      <w:pPr>
        <w:spacing w:after="0" w:line="107"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435363"/>
        </w:rPr>
        <w:t>Compensation Committee</w:t>
      </w:r>
    </w:p>
    <w:p>
      <w:pPr>
        <w:spacing w:after="0" w:line="17" w:lineRule="exact"/>
        <w:rPr>
          <w:sz w:val="20"/>
          <w:szCs w:val="20"/>
          <w:color w:val="auto"/>
        </w:rPr>
      </w:pPr>
    </w:p>
    <w:p>
      <w:pPr>
        <w:ind w:left="7360"/>
        <w:spacing w:after="0"/>
        <w:rPr>
          <w:sz w:val="20"/>
          <w:szCs w:val="20"/>
          <w:color w:val="auto"/>
        </w:rPr>
      </w:pPr>
      <w:r>
        <w:rPr>
          <w:rFonts w:ascii="Arial" w:cs="Arial" w:eastAsia="Arial" w:hAnsi="Arial"/>
          <w:sz w:val="16"/>
          <w:szCs w:val="16"/>
          <w:color w:val="435363"/>
        </w:rPr>
        <w:t>Denise O’Leary (Chair)</w:t>
      </w:r>
    </w:p>
    <w:p>
      <w:pPr>
        <w:spacing w:after="0" w:line="1" w:lineRule="exact"/>
        <w:rPr>
          <w:sz w:val="20"/>
          <w:szCs w:val="20"/>
          <w:color w:val="auto"/>
        </w:rPr>
      </w:pPr>
    </w:p>
    <w:p>
      <w:pPr>
        <w:ind w:left="7360"/>
        <w:spacing w:after="0"/>
        <w:rPr>
          <w:sz w:val="20"/>
          <w:szCs w:val="20"/>
          <w:color w:val="auto"/>
        </w:rPr>
      </w:pPr>
      <w:r>
        <w:rPr>
          <w:rFonts w:ascii="Arial" w:cs="Arial" w:eastAsia="Arial" w:hAnsi="Arial"/>
          <w:sz w:val="16"/>
          <w:szCs w:val="16"/>
          <w:color w:val="435363"/>
        </w:rPr>
        <w:t>Jeff Benjamin</w:t>
      </w:r>
    </w:p>
    <w:p>
      <w:pPr>
        <w:spacing w:after="0" w:line="1" w:lineRule="exact"/>
        <w:rPr>
          <w:sz w:val="20"/>
          <w:szCs w:val="20"/>
          <w:color w:val="auto"/>
        </w:rPr>
      </w:pPr>
    </w:p>
    <w:p>
      <w:pPr>
        <w:ind w:left="7360"/>
        <w:spacing w:after="0"/>
        <w:rPr>
          <w:sz w:val="20"/>
          <w:szCs w:val="20"/>
          <w:color w:val="auto"/>
        </w:rPr>
      </w:pPr>
      <w:r>
        <w:rPr>
          <w:rFonts w:ascii="Arial" w:cs="Arial" w:eastAsia="Arial" w:hAnsi="Arial"/>
          <w:sz w:val="16"/>
          <w:szCs w:val="16"/>
          <w:color w:val="435363"/>
        </w:rPr>
        <w:t>Vicente Reynal</w:t>
      </w:r>
    </w:p>
    <w:p>
      <w:pPr>
        <w:spacing w:after="0" w:line="1" w:lineRule="exact"/>
        <w:rPr>
          <w:sz w:val="20"/>
          <w:szCs w:val="20"/>
          <w:color w:val="auto"/>
        </w:rPr>
      </w:pPr>
    </w:p>
    <w:p>
      <w:pPr>
        <w:ind w:left="7360"/>
        <w:spacing w:after="0"/>
        <w:rPr>
          <w:sz w:val="20"/>
          <w:szCs w:val="20"/>
          <w:color w:val="auto"/>
        </w:rPr>
      </w:pPr>
      <w:r>
        <w:rPr>
          <w:rFonts w:ascii="Arial" w:cs="Arial" w:eastAsia="Arial" w:hAnsi="Arial"/>
          <w:sz w:val="16"/>
          <w:szCs w:val="16"/>
          <w:color w:val="435363"/>
        </w:rPr>
        <w:t>Doug Steenland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310515</wp:posOffset>
            </wp:positionV>
            <wp:extent cx="4471035" cy="10255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471035" cy="102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320" w:right="300"/>
        <w:spacing w:after="0" w:line="252" w:lineRule="auto"/>
        <w:rPr>
          <w:sz w:val="20"/>
          <w:szCs w:val="20"/>
          <w:color w:val="auto"/>
        </w:rPr>
      </w:pPr>
      <w:r>
        <w:rPr>
          <w:rFonts w:ascii="Arial" w:cs="Arial" w:eastAsia="Arial" w:hAnsi="Arial"/>
          <w:sz w:val="16"/>
          <w:szCs w:val="16"/>
          <w:b w:val="1"/>
          <w:bCs w:val="1"/>
          <w:color w:val="3575B3"/>
        </w:rPr>
        <w:t>This report of the Compensation Committee is not deemed to be “soliciting material” or to be “filed” with the SEC or subject to the SEC’s proxy rules or the liabilities of Section 18 of the Exchange Act, and the report shall not be deemed to be incorporated by reference into any prior or subsequent filing by us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328295</wp:posOffset>
            </wp:positionV>
            <wp:extent cx="5177155" cy="1682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65</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200660</wp:posOffset>
            </wp:positionV>
            <wp:extent cx="6193790" cy="2857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32"/>
          <w:szCs w:val="32"/>
          <w:color w:val="66AFDA"/>
        </w:rPr>
        <w:t>EXECUTIVE OFFICERS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The following table lists AAG’s executive officers as of April    , 2024, including their ages and principal occupations.</w:t>
      </w:r>
    </w:p>
    <w:p>
      <w:pPr>
        <w:spacing w:after="0" w:line="240" w:lineRule="exact"/>
        <w:rPr>
          <w:sz w:val="20"/>
          <w:szCs w:val="20"/>
          <w:color w:val="auto"/>
        </w:rPr>
      </w:pPr>
    </w:p>
    <w:tbl>
      <w:tblPr>
        <w:tblLayout w:type="fixed"/>
        <w:tblInd w:w="240" w:type="dxa"/>
        <w:tblCellMar>
          <w:top w:w="0" w:type="dxa"/>
          <w:left w:w="0" w:type="dxa"/>
          <w:bottom w:w="0" w:type="dxa"/>
          <w:right w:w="0" w:type="dxa"/>
        </w:tblCellMar>
      </w:tblPr>
      <w:tr>
        <w:trPr>
          <w:trHeight w:val="199"/>
        </w:trPr>
        <w:tc>
          <w:tcPr>
            <w:tcW w:w="2460" w:type="dxa"/>
            <w:vAlign w:val="bottom"/>
            <w:tcBorders>
              <w:bottom w:val="single" w:sz="8" w:color="BF0000"/>
            </w:tcBorders>
          </w:tcPr>
          <w:p>
            <w:pPr>
              <w:ind w:left="60"/>
              <w:spacing w:after="0"/>
              <w:rPr>
                <w:sz w:val="20"/>
                <w:szCs w:val="20"/>
                <w:color w:val="auto"/>
              </w:rPr>
            </w:pPr>
            <w:r>
              <w:rPr>
                <w:rFonts w:ascii="Arial" w:cs="Arial" w:eastAsia="Arial" w:hAnsi="Arial"/>
                <w:sz w:val="16"/>
                <w:szCs w:val="16"/>
                <w:b w:val="1"/>
                <w:bCs w:val="1"/>
                <w:color w:val="3575B3"/>
              </w:rPr>
              <w:t>Name</w:t>
            </w:r>
          </w:p>
        </w:tc>
        <w:tc>
          <w:tcPr>
            <w:tcW w:w="1580" w:type="dxa"/>
            <w:vAlign w:val="bottom"/>
            <w:tcBorders>
              <w:bottom w:val="single" w:sz="8" w:color="BF0000"/>
            </w:tcBorders>
          </w:tcPr>
          <w:p>
            <w:pPr>
              <w:jc w:val="right"/>
              <w:ind w:right="301"/>
              <w:spacing w:after="0"/>
              <w:rPr>
                <w:sz w:val="20"/>
                <w:szCs w:val="20"/>
                <w:color w:val="auto"/>
              </w:rPr>
            </w:pPr>
            <w:r>
              <w:rPr>
                <w:rFonts w:ascii="Arial" w:cs="Arial" w:eastAsia="Arial" w:hAnsi="Arial"/>
                <w:sz w:val="16"/>
                <w:szCs w:val="16"/>
                <w:b w:val="1"/>
                <w:bCs w:val="1"/>
                <w:color w:val="3575B3"/>
              </w:rPr>
              <w:t>Age</w:t>
            </w:r>
          </w:p>
        </w:tc>
        <w:tc>
          <w:tcPr>
            <w:tcW w:w="6760" w:type="dxa"/>
            <w:vAlign w:val="bottom"/>
            <w:tcBorders>
              <w:bottom w:val="single" w:sz="8" w:color="BF0000"/>
            </w:tcBorders>
          </w:tcPr>
          <w:p>
            <w:pPr>
              <w:ind w:left="360"/>
              <w:spacing w:after="0"/>
              <w:rPr>
                <w:sz w:val="20"/>
                <w:szCs w:val="20"/>
                <w:color w:val="auto"/>
              </w:rPr>
            </w:pPr>
            <w:r>
              <w:rPr>
                <w:rFonts w:ascii="Arial" w:cs="Arial" w:eastAsia="Arial" w:hAnsi="Arial"/>
                <w:sz w:val="16"/>
                <w:szCs w:val="16"/>
                <w:b w:val="1"/>
                <w:bCs w:val="1"/>
                <w:color w:val="3575B3"/>
              </w:rPr>
              <w:t>Title</w:t>
            </w:r>
          </w:p>
        </w:tc>
      </w:tr>
      <w:tr>
        <w:trPr>
          <w:trHeight w:val="179"/>
        </w:trPr>
        <w:tc>
          <w:tcPr>
            <w:tcW w:w="2460" w:type="dxa"/>
            <w:vAlign w:val="bottom"/>
          </w:tcPr>
          <w:p>
            <w:pPr>
              <w:ind w:left="60"/>
              <w:spacing w:after="0" w:line="178" w:lineRule="exact"/>
              <w:rPr>
                <w:sz w:val="20"/>
                <w:szCs w:val="20"/>
                <w:color w:val="auto"/>
              </w:rPr>
            </w:pPr>
            <w:r>
              <w:rPr>
                <w:rFonts w:ascii="Arial" w:cs="Arial" w:eastAsia="Arial" w:hAnsi="Arial"/>
                <w:sz w:val="16"/>
                <w:szCs w:val="16"/>
                <w:b w:val="1"/>
                <w:bCs w:val="1"/>
                <w:color w:val="435363"/>
              </w:rPr>
              <w:t>Robert D. Isom, Jr</w:t>
            </w:r>
          </w:p>
        </w:tc>
        <w:tc>
          <w:tcPr>
            <w:tcW w:w="1580" w:type="dxa"/>
            <w:vAlign w:val="bottom"/>
          </w:tcPr>
          <w:p>
            <w:pPr>
              <w:jc w:val="right"/>
              <w:ind w:right="301"/>
              <w:spacing w:after="0" w:line="178" w:lineRule="exact"/>
              <w:rPr>
                <w:sz w:val="20"/>
                <w:szCs w:val="20"/>
                <w:color w:val="auto"/>
              </w:rPr>
            </w:pPr>
            <w:r>
              <w:rPr>
                <w:rFonts w:ascii="Arial" w:cs="Arial" w:eastAsia="Arial" w:hAnsi="Arial"/>
                <w:sz w:val="16"/>
                <w:szCs w:val="16"/>
                <w:color w:val="435363"/>
              </w:rPr>
              <w:t>60</w:t>
            </w:r>
          </w:p>
        </w:tc>
        <w:tc>
          <w:tcPr>
            <w:tcW w:w="6760" w:type="dxa"/>
            <w:vAlign w:val="bottom"/>
          </w:tcPr>
          <w:p>
            <w:pPr>
              <w:ind w:left="360"/>
              <w:spacing w:after="0" w:line="178" w:lineRule="exact"/>
              <w:rPr>
                <w:sz w:val="20"/>
                <w:szCs w:val="20"/>
                <w:color w:val="auto"/>
              </w:rPr>
            </w:pPr>
            <w:r>
              <w:rPr>
                <w:rFonts w:ascii="Arial" w:cs="Arial" w:eastAsia="Arial" w:hAnsi="Arial"/>
                <w:sz w:val="16"/>
                <w:szCs w:val="16"/>
                <w:color w:val="435363"/>
              </w:rPr>
              <w:t>Chief Executive Officer and Director</w:t>
            </w:r>
          </w:p>
        </w:tc>
      </w:tr>
      <w:tr>
        <w:trPr>
          <w:trHeight w:val="185"/>
        </w:trPr>
        <w:tc>
          <w:tcPr>
            <w:tcW w:w="246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435363"/>
              </w:rPr>
              <w:t>Stephen L. Johnson</w:t>
            </w:r>
          </w:p>
        </w:tc>
        <w:tc>
          <w:tcPr>
            <w:tcW w:w="1580" w:type="dxa"/>
            <w:vAlign w:val="bottom"/>
            <w:shd w:val="clear" w:color="auto" w:fill="EDEDED"/>
          </w:tcPr>
          <w:p>
            <w:pPr>
              <w:jc w:val="right"/>
              <w:ind w:right="301"/>
              <w:spacing w:after="0"/>
              <w:rPr>
                <w:sz w:val="20"/>
                <w:szCs w:val="20"/>
                <w:color w:val="auto"/>
              </w:rPr>
            </w:pPr>
            <w:r>
              <w:rPr>
                <w:rFonts w:ascii="Arial" w:cs="Arial" w:eastAsia="Arial" w:hAnsi="Arial"/>
                <w:sz w:val="16"/>
                <w:szCs w:val="16"/>
                <w:color w:val="435363"/>
              </w:rPr>
              <w:t>67</w:t>
            </w:r>
          </w:p>
        </w:tc>
        <w:tc>
          <w:tcPr>
            <w:tcW w:w="6760" w:type="dxa"/>
            <w:vAlign w:val="bottom"/>
            <w:shd w:val="clear" w:color="auto" w:fill="EDEDED"/>
          </w:tcPr>
          <w:p>
            <w:pPr>
              <w:ind w:left="360"/>
              <w:spacing w:after="0"/>
              <w:rPr>
                <w:sz w:val="20"/>
                <w:szCs w:val="20"/>
                <w:color w:val="auto"/>
              </w:rPr>
            </w:pPr>
            <w:r>
              <w:rPr>
                <w:rFonts w:ascii="Arial" w:cs="Arial" w:eastAsia="Arial" w:hAnsi="Arial"/>
                <w:sz w:val="16"/>
                <w:szCs w:val="16"/>
                <w:color w:val="435363"/>
              </w:rPr>
              <w:t>Vice Chair and Chief Strategy Officer</w:t>
            </w:r>
          </w:p>
        </w:tc>
      </w:tr>
      <w:tr>
        <w:trPr>
          <w:trHeight w:val="185"/>
        </w:trPr>
        <w:tc>
          <w:tcPr>
            <w:tcW w:w="2460" w:type="dxa"/>
            <w:vAlign w:val="bottom"/>
          </w:tcPr>
          <w:p>
            <w:pPr>
              <w:ind w:left="60"/>
              <w:spacing w:after="0"/>
              <w:rPr>
                <w:sz w:val="20"/>
                <w:szCs w:val="20"/>
                <w:color w:val="auto"/>
              </w:rPr>
            </w:pPr>
            <w:r>
              <w:rPr>
                <w:rFonts w:ascii="Arial" w:cs="Arial" w:eastAsia="Arial" w:hAnsi="Arial"/>
                <w:sz w:val="16"/>
                <w:szCs w:val="16"/>
                <w:b w:val="1"/>
                <w:bCs w:val="1"/>
                <w:color w:val="435363"/>
              </w:rPr>
              <w:t>Priya R. Aiyar</w:t>
            </w:r>
          </w:p>
        </w:tc>
        <w:tc>
          <w:tcPr>
            <w:tcW w:w="1580" w:type="dxa"/>
            <w:vAlign w:val="bottom"/>
          </w:tcPr>
          <w:p>
            <w:pPr>
              <w:jc w:val="right"/>
              <w:ind w:right="301"/>
              <w:spacing w:after="0"/>
              <w:rPr>
                <w:sz w:val="20"/>
                <w:szCs w:val="20"/>
                <w:color w:val="auto"/>
              </w:rPr>
            </w:pPr>
            <w:r>
              <w:rPr>
                <w:rFonts w:ascii="Arial" w:cs="Arial" w:eastAsia="Arial" w:hAnsi="Arial"/>
                <w:sz w:val="16"/>
                <w:szCs w:val="16"/>
                <w:color w:val="435363"/>
              </w:rPr>
              <w:t>49</w:t>
            </w:r>
          </w:p>
        </w:tc>
        <w:tc>
          <w:tcPr>
            <w:tcW w:w="6760" w:type="dxa"/>
            <w:vAlign w:val="bottom"/>
          </w:tcPr>
          <w:p>
            <w:pPr>
              <w:ind w:left="360"/>
              <w:spacing w:after="0"/>
              <w:rPr>
                <w:sz w:val="20"/>
                <w:szCs w:val="20"/>
                <w:color w:val="auto"/>
              </w:rPr>
            </w:pPr>
            <w:r>
              <w:rPr>
                <w:rFonts w:ascii="Arial" w:cs="Arial" w:eastAsia="Arial" w:hAnsi="Arial"/>
                <w:sz w:val="16"/>
                <w:szCs w:val="16"/>
                <w:color w:val="435363"/>
              </w:rPr>
              <w:t>Executive Vice President and Chief Legal Officer</w:t>
            </w:r>
          </w:p>
        </w:tc>
      </w:tr>
      <w:tr>
        <w:trPr>
          <w:trHeight w:val="185"/>
        </w:trPr>
        <w:tc>
          <w:tcPr>
            <w:tcW w:w="246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435363"/>
              </w:rPr>
              <w:t>Devon E. May</w:t>
            </w:r>
          </w:p>
        </w:tc>
        <w:tc>
          <w:tcPr>
            <w:tcW w:w="1580" w:type="dxa"/>
            <w:vAlign w:val="bottom"/>
            <w:shd w:val="clear" w:color="auto" w:fill="EDEDED"/>
          </w:tcPr>
          <w:p>
            <w:pPr>
              <w:jc w:val="right"/>
              <w:ind w:right="301"/>
              <w:spacing w:after="0"/>
              <w:rPr>
                <w:sz w:val="20"/>
                <w:szCs w:val="20"/>
                <w:color w:val="auto"/>
              </w:rPr>
            </w:pPr>
            <w:r>
              <w:rPr>
                <w:rFonts w:ascii="Arial" w:cs="Arial" w:eastAsia="Arial" w:hAnsi="Arial"/>
                <w:sz w:val="16"/>
                <w:szCs w:val="16"/>
                <w:color w:val="435363"/>
              </w:rPr>
              <w:t>49</w:t>
            </w:r>
          </w:p>
        </w:tc>
        <w:tc>
          <w:tcPr>
            <w:tcW w:w="6760" w:type="dxa"/>
            <w:vAlign w:val="bottom"/>
            <w:shd w:val="clear" w:color="auto" w:fill="EDEDED"/>
          </w:tcPr>
          <w:p>
            <w:pPr>
              <w:ind w:left="360"/>
              <w:spacing w:after="0"/>
              <w:rPr>
                <w:sz w:val="20"/>
                <w:szCs w:val="20"/>
                <w:color w:val="auto"/>
              </w:rPr>
            </w:pPr>
            <w:r>
              <w:rPr>
                <w:rFonts w:ascii="Arial" w:cs="Arial" w:eastAsia="Arial" w:hAnsi="Arial"/>
                <w:sz w:val="16"/>
                <w:szCs w:val="16"/>
                <w:color w:val="435363"/>
              </w:rPr>
              <w:t>Executive Vice President and Chief Financial Officer</w:t>
            </w:r>
          </w:p>
        </w:tc>
      </w:tr>
      <w:tr>
        <w:trPr>
          <w:trHeight w:val="185"/>
        </w:trPr>
        <w:tc>
          <w:tcPr>
            <w:tcW w:w="2460" w:type="dxa"/>
            <w:vAlign w:val="bottom"/>
          </w:tcPr>
          <w:p>
            <w:pPr>
              <w:ind w:left="60"/>
              <w:spacing w:after="0"/>
              <w:rPr>
                <w:sz w:val="20"/>
                <w:szCs w:val="20"/>
                <w:color w:val="auto"/>
              </w:rPr>
            </w:pPr>
            <w:r>
              <w:rPr>
                <w:rFonts w:ascii="Arial" w:cs="Arial" w:eastAsia="Arial" w:hAnsi="Arial"/>
                <w:sz w:val="16"/>
                <w:szCs w:val="16"/>
                <w:b w:val="1"/>
                <w:bCs w:val="1"/>
                <w:color w:val="435363"/>
              </w:rPr>
              <w:t>Vasu S. Raja</w:t>
            </w:r>
          </w:p>
        </w:tc>
        <w:tc>
          <w:tcPr>
            <w:tcW w:w="1580" w:type="dxa"/>
            <w:vAlign w:val="bottom"/>
          </w:tcPr>
          <w:p>
            <w:pPr>
              <w:jc w:val="right"/>
              <w:ind w:right="301"/>
              <w:spacing w:after="0"/>
              <w:rPr>
                <w:sz w:val="20"/>
                <w:szCs w:val="20"/>
                <w:color w:val="auto"/>
              </w:rPr>
            </w:pPr>
            <w:r>
              <w:rPr>
                <w:rFonts w:ascii="Arial" w:cs="Arial" w:eastAsia="Arial" w:hAnsi="Arial"/>
                <w:sz w:val="16"/>
                <w:szCs w:val="16"/>
                <w:color w:val="435363"/>
              </w:rPr>
              <w:t>47</w:t>
            </w:r>
          </w:p>
        </w:tc>
        <w:tc>
          <w:tcPr>
            <w:tcW w:w="6760" w:type="dxa"/>
            <w:vAlign w:val="bottom"/>
          </w:tcPr>
          <w:p>
            <w:pPr>
              <w:ind w:left="360"/>
              <w:spacing w:after="0"/>
              <w:rPr>
                <w:sz w:val="20"/>
                <w:szCs w:val="20"/>
                <w:color w:val="auto"/>
              </w:rPr>
            </w:pPr>
            <w:r>
              <w:rPr>
                <w:rFonts w:ascii="Arial" w:cs="Arial" w:eastAsia="Arial" w:hAnsi="Arial"/>
                <w:sz w:val="16"/>
                <w:szCs w:val="16"/>
                <w:color w:val="435363"/>
              </w:rPr>
              <w:t>Executive Vice President and Chief Commercial Officer</w:t>
            </w:r>
          </w:p>
        </w:tc>
      </w:tr>
      <w:tr>
        <w:trPr>
          <w:trHeight w:val="185"/>
        </w:trPr>
        <w:tc>
          <w:tcPr>
            <w:tcW w:w="2460" w:type="dxa"/>
            <w:vAlign w:val="bottom"/>
            <w:tcBorders>
              <w:bottom w:val="single" w:sz="8" w:color="435363"/>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David G. Seymour</w:t>
            </w:r>
          </w:p>
        </w:tc>
        <w:tc>
          <w:tcPr>
            <w:tcW w:w="1580" w:type="dxa"/>
            <w:vAlign w:val="bottom"/>
            <w:tcBorders>
              <w:bottom w:val="single" w:sz="8" w:color="435363"/>
            </w:tcBorders>
            <w:shd w:val="clear" w:color="auto" w:fill="EDEDED"/>
          </w:tcPr>
          <w:p>
            <w:pPr>
              <w:jc w:val="right"/>
              <w:ind w:right="301"/>
              <w:spacing w:after="0"/>
              <w:rPr>
                <w:sz w:val="20"/>
                <w:szCs w:val="20"/>
                <w:color w:val="auto"/>
              </w:rPr>
            </w:pPr>
            <w:r>
              <w:rPr>
                <w:rFonts w:ascii="Arial" w:cs="Arial" w:eastAsia="Arial" w:hAnsi="Arial"/>
                <w:sz w:val="16"/>
                <w:szCs w:val="16"/>
                <w:color w:val="435363"/>
              </w:rPr>
              <w:t>59</w:t>
            </w:r>
          </w:p>
        </w:tc>
        <w:tc>
          <w:tcPr>
            <w:tcW w:w="6760" w:type="dxa"/>
            <w:vAlign w:val="bottom"/>
            <w:tcBorders>
              <w:bottom w:val="single" w:sz="8" w:color="435363"/>
            </w:tcBorders>
            <w:shd w:val="clear" w:color="auto" w:fill="EDEDED"/>
          </w:tcPr>
          <w:p>
            <w:pPr>
              <w:ind w:left="360"/>
              <w:spacing w:after="0"/>
              <w:rPr>
                <w:sz w:val="20"/>
                <w:szCs w:val="20"/>
                <w:color w:val="auto"/>
              </w:rPr>
            </w:pPr>
            <w:r>
              <w:rPr>
                <w:rFonts w:ascii="Arial" w:cs="Arial" w:eastAsia="Arial" w:hAnsi="Arial"/>
                <w:sz w:val="16"/>
                <w:szCs w:val="16"/>
                <w:color w:val="435363"/>
              </w:rPr>
              <w:t>Executive Vice President and Chief Operating Officer</w:t>
            </w:r>
          </w:p>
        </w:tc>
      </w:tr>
    </w:tbl>
    <w:p>
      <w:pPr>
        <w:spacing w:after="0" w:line="198" w:lineRule="exact"/>
        <w:rPr>
          <w:sz w:val="20"/>
          <w:szCs w:val="20"/>
          <w:color w:val="auto"/>
        </w:rPr>
      </w:pPr>
    </w:p>
    <w:p>
      <w:pPr>
        <w:ind w:left="220" w:right="160"/>
        <w:spacing w:after="0" w:line="275" w:lineRule="auto"/>
        <w:rPr>
          <w:sz w:val="20"/>
          <w:szCs w:val="20"/>
          <w:color w:val="auto"/>
        </w:rPr>
      </w:pPr>
      <w:r>
        <w:rPr>
          <w:rFonts w:ascii="Arial" w:cs="Arial" w:eastAsia="Arial" w:hAnsi="Arial"/>
          <w:sz w:val="16"/>
          <w:szCs w:val="16"/>
          <w:color w:val="435363"/>
        </w:rPr>
        <w:t>Below is certain information as of April   , 2024, regarding our executive officers (other than Robert Isom). For similar information regarding Mr. Isom as of April   , 2024, see the section entitled “Proposal 1—Election of Directors” beginning on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127635</wp:posOffset>
            </wp:positionV>
            <wp:extent cx="6857365" cy="12103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7365" cy="1210310"/>
                    </a:xfrm>
                    <a:prstGeom prst="rect">
                      <a:avLst/>
                    </a:prstGeom>
                    <a:noFill/>
                  </pic:spPr>
                </pic:pic>
              </a:graphicData>
            </a:graphic>
          </wp:anchor>
        </w:drawing>
      </w:r>
    </w:p>
    <w:p>
      <w:pPr>
        <w:spacing w:after="0" w:line="219" w:lineRule="exact"/>
        <w:rPr>
          <w:sz w:val="20"/>
          <w:szCs w:val="20"/>
          <w:color w:val="auto"/>
        </w:rPr>
      </w:pPr>
    </w:p>
    <w:p>
      <w:pPr>
        <w:ind w:left="3140"/>
        <w:spacing w:after="0"/>
        <w:rPr>
          <w:sz w:val="20"/>
          <w:szCs w:val="20"/>
          <w:color w:val="auto"/>
        </w:rPr>
      </w:pPr>
      <w:r>
        <w:rPr>
          <w:rFonts w:ascii="Arial" w:cs="Arial" w:eastAsia="Arial" w:hAnsi="Arial"/>
          <w:sz w:val="21"/>
          <w:szCs w:val="21"/>
          <w:b w:val="1"/>
          <w:bCs w:val="1"/>
          <w:color w:val="3575B3"/>
        </w:rPr>
        <w:t>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15875</wp:posOffset>
            </wp:positionV>
            <wp:extent cx="50006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000625" cy="8255"/>
                    </a:xfrm>
                    <a:prstGeom prst="rect">
                      <a:avLst/>
                    </a:prstGeom>
                    <a:noFill/>
                  </pic:spPr>
                </pic:pic>
              </a:graphicData>
            </a:graphic>
          </wp:anchor>
        </w:drawing>
      </w:r>
    </w:p>
    <w:p>
      <w:pPr>
        <w:spacing w:after="0" w:line="137" w:lineRule="exact"/>
        <w:rPr>
          <w:sz w:val="20"/>
          <w:szCs w:val="20"/>
          <w:color w:val="auto"/>
        </w:rPr>
      </w:pPr>
    </w:p>
    <w:p>
      <w:pPr>
        <w:ind w:left="3140" w:right="20"/>
        <w:spacing w:after="0" w:line="244" w:lineRule="auto"/>
        <w:rPr>
          <w:sz w:val="20"/>
          <w:szCs w:val="20"/>
          <w:color w:val="auto"/>
        </w:rPr>
      </w:pPr>
      <w:r>
        <w:rPr>
          <w:rFonts w:ascii="Arial" w:cs="Arial" w:eastAsia="Arial" w:hAnsi="Arial"/>
          <w:sz w:val="16"/>
          <w:szCs w:val="16"/>
          <w:color w:val="435363"/>
        </w:rPr>
        <w:t>Stephen L. Johnson is Vice Chair and Chief Strategy Officer, a position he has held since May 2023. He was most recently Executive Vice President, a position he held since January 2022 and prior to that he served as Executive Vice President—Corporate Affairs, a position he held since December 2013. He also serves on the board of directors and as deputy chair of WIZZ Air Holdings PLC, a European airline company that trades on the London Stock Exchange. Previously, Mr. Johnson served as Executive Vice President—Corporate and Government Affairs for US Airways, a role he began in 2009. From 2003 to 2009, Mr. Johnson was a partner at Indigo Partners LLC, a private equity firm specializing in acquisitions and strategic investments in the airline, air finance and aerospace industries. Between 1995 and 2003, Mr. Johnson held a variety of positions with America West Airlines prior to its merger with US Airways, including Executive Vice President—Corporate. Prior to joining America West Airlines, Mr. Johnson served as Senior Vice President and General Counsel at GPA Group plc. He was also an attorney at Seattle-based law firm Bogle &amp; Gates, where he specialized in corporate and aircraft finance and taxation.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154940</wp:posOffset>
            </wp:positionV>
            <wp:extent cx="6857365" cy="12103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7365" cy="1210310"/>
                    </a:xfrm>
                    <a:prstGeom prst="rect">
                      <a:avLst/>
                    </a:prstGeom>
                    <a:noFill/>
                  </pic:spPr>
                </pic:pic>
              </a:graphicData>
            </a:graphic>
          </wp:anchor>
        </w:drawing>
      </w:r>
    </w:p>
    <w:p>
      <w:pPr>
        <w:spacing w:after="0" w:line="262" w:lineRule="exact"/>
        <w:rPr>
          <w:sz w:val="20"/>
          <w:szCs w:val="20"/>
          <w:color w:val="auto"/>
        </w:rPr>
      </w:pPr>
    </w:p>
    <w:p>
      <w:pPr>
        <w:ind w:left="3140"/>
        <w:spacing w:after="0"/>
        <w:rPr>
          <w:sz w:val="20"/>
          <w:szCs w:val="20"/>
          <w:color w:val="auto"/>
        </w:rPr>
      </w:pPr>
      <w:r>
        <w:rPr>
          <w:rFonts w:ascii="Arial" w:cs="Arial" w:eastAsia="Arial" w:hAnsi="Arial"/>
          <w:sz w:val="21"/>
          <w:szCs w:val="21"/>
          <w:b w:val="1"/>
          <w:bCs w:val="1"/>
          <w:color w:val="3575B3"/>
        </w:rPr>
        <w:t>Priya R. Aiyar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15875</wp:posOffset>
            </wp:positionV>
            <wp:extent cx="50006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000625" cy="8255"/>
                    </a:xfrm>
                    <a:prstGeom prst="rect">
                      <a:avLst/>
                    </a:prstGeom>
                    <a:noFill/>
                  </pic:spPr>
                </pic:pic>
              </a:graphicData>
            </a:graphic>
          </wp:anchor>
        </w:drawing>
      </w:r>
    </w:p>
    <w:p>
      <w:pPr>
        <w:spacing w:after="0" w:line="137" w:lineRule="exact"/>
        <w:rPr>
          <w:sz w:val="20"/>
          <w:szCs w:val="20"/>
          <w:color w:val="auto"/>
        </w:rPr>
      </w:pPr>
    </w:p>
    <w:p>
      <w:pPr>
        <w:ind w:left="3140" w:right="20"/>
        <w:spacing w:after="0" w:line="245" w:lineRule="auto"/>
        <w:rPr>
          <w:sz w:val="20"/>
          <w:szCs w:val="20"/>
          <w:color w:val="auto"/>
        </w:rPr>
      </w:pPr>
      <w:r>
        <w:rPr>
          <w:rFonts w:ascii="Arial" w:cs="Arial" w:eastAsia="Arial" w:hAnsi="Arial"/>
          <w:sz w:val="16"/>
          <w:szCs w:val="16"/>
          <w:color w:val="435363"/>
        </w:rPr>
        <w:t>Priya R. Aiyar is Executive Vice President and Chief Legal Officer. She was most recently Senior Vice President and General Counsel, positions she held since September 2019, when she joined AAG. Previously, she was a partner at Willkie Farr &amp; Gallagher LLP, a role she began in September 2017. From 2015 to 2017, Ms. Aiyar was Acting General Counsel at the U.S. Department of Treasury, after having served as the Deputy General Counsel from 2013 to 2015. From 2009 to 2013, Ms. Aiyar held a variety of positions with the U.S. Federal government, including as Deputy General Counsel at the U.S. Department of Energy and Legal Advisor to the Chairman of the Federal Communications Commission. Earlier she was a partner at Kellogg, Huber, Hansen, Todd, Evans &amp; Figel PLLC. She began her legal career as a clerk to Judge Merrick Garland of the U.S. Court of Appeals for the D.C. Circuit and to Justice Stephen Breyer of the U.S. Supreme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204470</wp:posOffset>
            </wp:positionV>
            <wp:extent cx="5177155" cy="1682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6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66</w:t>
      </w:r>
    </w:p>
    <w:p>
      <w:pPr>
        <w:spacing w:after="0" w:line="3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292735</wp:posOffset>
            </wp:positionV>
            <wp:extent cx="6857365" cy="12103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7365" cy="1210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140"/>
        <w:spacing w:after="0"/>
        <w:rPr>
          <w:sz w:val="20"/>
          <w:szCs w:val="20"/>
          <w:color w:val="auto"/>
        </w:rPr>
      </w:pPr>
      <w:r>
        <w:rPr>
          <w:rFonts w:ascii="Arial" w:cs="Arial" w:eastAsia="Arial" w:hAnsi="Arial"/>
          <w:sz w:val="21"/>
          <w:szCs w:val="21"/>
          <w:b w:val="1"/>
          <w:bCs w:val="1"/>
          <w:color w:val="3575B3"/>
        </w:rPr>
        <w:t>Devon 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15875</wp:posOffset>
            </wp:positionV>
            <wp:extent cx="50006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000625" cy="8255"/>
                    </a:xfrm>
                    <a:prstGeom prst="rect">
                      <a:avLst/>
                    </a:prstGeom>
                    <a:noFill/>
                  </pic:spPr>
                </pic:pic>
              </a:graphicData>
            </a:graphic>
          </wp:anchor>
        </w:drawing>
      </w:r>
    </w:p>
    <w:p>
      <w:pPr>
        <w:spacing w:after="0" w:line="137" w:lineRule="exact"/>
        <w:rPr>
          <w:sz w:val="20"/>
          <w:szCs w:val="20"/>
          <w:color w:val="auto"/>
        </w:rPr>
      </w:pPr>
    </w:p>
    <w:p>
      <w:pPr>
        <w:ind w:left="3140" w:right="180"/>
        <w:spacing w:after="0" w:line="268" w:lineRule="auto"/>
        <w:rPr>
          <w:sz w:val="20"/>
          <w:szCs w:val="20"/>
          <w:color w:val="auto"/>
        </w:rPr>
      </w:pPr>
      <w:r>
        <w:rPr>
          <w:rFonts w:ascii="Arial" w:cs="Arial" w:eastAsia="Arial" w:hAnsi="Arial"/>
          <w:sz w:val="15"/>
          <w:szCs w:val="15"/>
          <w:color w:val="435363"/>
        </w:rPr>
        <w:t>Devon E. May is Executive Vice President and Chief Financial Officer, a position he has held since January 2023. He was most recently Senior Vice President of Finance and Investor Relations, a position he held since</w:t>
      </w:r>
    </w:p>
    <w:p>
      <w:pPr>
        <w:spacing w:after="0" w:line="1" w:lineRule="exact"/>
        <w:rPr>
          <w:sz w:val="20"/>
          <w:szCs w:val="20"/>
          <w:color w:val="auto"/>
        </w:rPr>
      </w:pPr>
    </w:p>
    <w:p>
      <w:pPr>
        <w:ind w:left="3140" w:right="260"/>
        <w:spacing w:after="0" w:line="243" w:lineRule="auto"/>
        <w:rPr>
          <w:sz w:val="20"/>
          <w:szCs w:val="20"/>
          <w:color w:val="auto"/>
        </w:rPr>
      </w:pPr>
      <w:r>
        <w:rPr>
          <w:rFonts w:ascii="Arial" w:cs="Arial" w:eastAsia="Arial" w:hAnsi="Arial"/>
          <w:sz w:val="16"/>
          <w:szCs w:val="16"/>
          <w:color w:val="435363"/>
        </w:rPr>
        <w:t>2022. Mr. May has held various roles of increasing responsibility at AAG, including as Senior Vice President, Finance and American Eagle (2020 to 2022), Senior Vice President, American Eagle &amp; Operations Planning (2019 to 2020), Senior Vice President, Network Strategy (2017 to 2019) and Senior Vice President, Finance (2016 to 2017). Mr. May joined AAG in 2013, upon its merger with US Airways, where he held a variety of positions in financial planning and analysis. Between 2002 and 2005, Mr. May held a variety of positions with America West Airlines prior to its merger with US Airways, including as Director, Alliances and Partnerships. Prior to joining America West Airlines, Mr. May served as a Senior Analyst, International Route Planning at Continental Airlines.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153670</wp:posOffset>
            </wp:positionV>
            <wp:extent cx="6857365" cy="12103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7365" cy="1210310"/>
                    </a:xfrm>
                    <a:prstGeom prst="rect">
                      <a:avLst/>
                    </a:prstGeom>
                    <a:noFill/>
                  </pic:spPr>
                </pic:pic>
              </a:graphicData>
            </a:graphic>
          </wp:anchor>
        </w:drawing>
      </w:r>
    </w:p>
    <w:p>
      <w:pPr>
        <w:spacing w:after="0" w:line="339" w:lineRule="exact"/>
        <w:rPr>
          <w:sz w:val="20"/>
          <w:szCs w:val="20"/>
          <w:color w:val="auto"/>
        </w:rPr>
      </w:pPr>
    </w:p>
    <w:p>
      <w:pPr>
        <w:ind w:left="3140"/>
        <w:spacing w:after="0"/>
        <w:rPr>
          <w:sz w:val="20"/>
          <w:szCs w:val="20"/>
          <w:color w:val="auto"/>
        </w:rPr>
      </w:pPr>
      <w:r>
        <w:rPr>
          <w:rFonts w:ascii="Arial" w:cs="Arial" w:eastAsia="Arial" w:hAnsi="Arial"/>
          <w:sz w:val="21"/>
          <w:szCs w:val="21"/>
          <w:b w:val="1"/>
          <w:bCs w:val="1"/>
          <w:color w:val="3575B3"/>
        </w:rPr>
        <w:t>Vasu S. Raja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15875</wp:posOffset>
            </wp:positionV>
            <wp:extent cx="50006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00062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3140" w:right="80"/>
        <w:spacing w:after="0" w:line="248" w:lineRule="auto"/>
        <w:rPr>
          <w:sz w:val="20"/>
          <w:szCs w:val="20"/>
          <w:color w:val="auto"/>
        </w:rPr>
      </w:pPr>
      <w:r>
        <w:rPr>
          <w:rFonts w:ascii="Arial" w:cs="Arial" w:eastAsia="Arial" w:hAnsi="Arial"/>
          <w:sz w:val="16"/>
          <w:szCs w:val="16"/>
          <w:color w:val="435363"/>
        </w:rPr>
        <w:t>Vasu S. Raja is Executive Vice President and Chief Commercial Officer. He was most recently Chief Revenue Officer, a position he held since 2020. Mr. Raja has held various roles of increasing responsibility at AAG, including Senior Vice President, Strategy (2019 to 2020), Vice President, Planning (2016 to 2019) and Vice President, Pricing and Yield Management (2015 to 2016). Mr. Raja joined AAG’s predecessor airline in 2004 as an Analyst, Sales Planning and Analysis. Mr. Raja began his career with Teach for America in 1999 and taught for three years in Baltimore City Public Schools.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150495</wp:posOffset>
            </wp:positionV>
            <wp:extent cx="6857365" cy="12103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7365" cy="1210310"/>
                    </a:xfrm>
                    <a:prstGeom prst="rect">
                      <a:avLst/>
                    </a:prstGeom>
                    <a:noFill/>
                  </pic:spPr>
                </pic:pic>
              </a:graphicData>
            </a:graphic>
          </wp:anchor>
        </w:drawing>
      </w:r>
    </w:p>
    <w:p>
      <w:pPr>
        <w:spacing w:after="0" w:line="374" w:lineRule="exact"/>
        <w:rPr>
          <w:sz w:val="20"/>
          <w:szCs w:val="20"/>
          <w:color w:val="auto"/>
        </w:rPr>
      </w:pPr>
    </w:p>
    <w:p>
      <w:pPr>
        <w:ind w:left="3140"/>
        <w:spacing w:after="0"/>
        <w:rPr>
          <w:sz w:val="20"/>
          <w:szCs w:val="20"/>
          <w:color w:val="auto"/>
        </w:rPr>
      </w:pPr>
      <w:r>
        <w:rPr>
          <w:rFonts w:ascii="Arial" w:cs="Arial" w:eastAsia="Arial" w:hAnsi="Arial"/>
          <w:sz w:val="21"/>
          <w:szCs w:val="21"/>
          <w:b w:val="1"/>
          <w:bCs w:val="1"/>
          <w:color w:val="3575B3"/>
        </w:rPr>
        <w:t>David G. Seymour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15875</wp:posOffset>
            </wp:positionV>
            <wp:extent cx="50006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000625" cy="8255"/>
                    </a:xfrm>
                    <a:prstGeom prst="rect">
                      <a:avLst/>
                    </a:prstGeom>
                    <a:noFill/>
                  </pic:spPr>
                </pic:pic>
              </a:graphicData>
            </a:graphic>
          </wp:anchor>
        </w:drawing>
      </w:r>
    </w:p>
    <w:p>
      <w:pPr>
        <w:spacing w:after="0" w:line="137" w:lineRule="exact"/>
        <w:rPr>
          <w:sz w:val="20"/>
          <w:szCs w:val="20"/>
          <w:color w:val="auto"/>
        </w:rPr>
      </w:pPr>
    </w:p>
    <w:p>
      <w:pPr>
        <w:ind w:left="3140" w:right="20"/>
        <w:spacing w:after="0" w:line="246" w:lineRule="auto"/>
        <w:rPr>
          <w:sz w:val="20"/>
          <w:szCs w:val="20"/>
          <w:color w:val="auto"/>
        </w:rPr>
      </w:pPr>
      <w:r>
        <w:rPr>
          <w:rFonts w:ascii="Arial" w:cs="Arial" w:eastAsia="Arial" w:hAnsi="Arial"/>
          <w:sz w:val="16"/>
          <w:szCs w:val="16"/>
          <w:color w:val="435363"/>
        </w:rPr>
        <w:t>David G. Seymour is Executive Vice President and Chief Operating Officer. He was most recently Senior Vice President, Operations, a position he held since 2019. From 2016 to 2019, he served as Senior Vice President, Integrated Operations. Previously, he served as Senior Vice President, Technical Operations from 2013 to 2016. Mr. Seymour joined AAG upon its merger with US Airways, where, from 2002 to 2013, he held a variety of positions in operations and planning, including as Senior Vice President, Operations. Between 1999 and 2002, Mr. Seymour held a variety of positions with America West Airlines prior to its merger with US Airways, including as Vice President, Operations Planning and Performance. Mr. Seymour began his career serving as an airborne infantry officer in the U.S. Army.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109855</wp:posOffset>
            </wp:positionV>
            <wp:extent cx="5177155" cy="1682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67</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200660</wp:posOffset>
            </wp:positionV>
            <wp:extent cx="6193790" cy="2857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32"/>
          <w:szCs w:val="32"/>
          <w:color w:val="66AFDA"/>
        </w:rPr>
        <w:t>EXECUTIVE COMPENSATION</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Summary Compensation Table</w:t>
      </w:r>
    </w:p>
    <w:p>
      <w:pPr>
        <w:spacing w:after="0" w:line="90" w:lineRule="exact"/>
        <w:rPr>
          <w:sz w:val="20"/>
          <w:szCs w:val="20"/>
          <w:color w:val="auto"/>
        </w:rPr>
      </w:pPr>
    </w:p>
    <w:p>
      <w:pPr>
        <w:ind w:left="220" w:right="420"/>
        <w:spacing w:after="0" w:line="258" w:lineRule="auto"/>
        <w:rPr>
          <w:sz w:val="20"/>
          <w:szCs w:val="20"/>
          <w:color w:val="auto"/>
        </w:rPr>
      </w:pPr>
      <w:r>
        <w:rPr>
          <w:rFonts w:ascii="Arial" w:cs="Arial" w:eastAsia="Arial" w:hAnsi="Arial"/>
          <w:sz w:val="16"/>
          <w:szCs w:val="16"/>
          <w:color w:val="435363"/>
        </w:rPr>
        <w:t>The following table provides compensation earned by our named executive officers in the years ended December 31, 2023, 2022 and 2021. See the “Compensation Discussion and Analysis – Non-Recurring Compensation Elements Reported in 2023” section on page 58 for a discussion of the non-recurring compensation elements reported in the Summary Compensation Table for 2023.</w:t>
      </w:r>
    </w:p>
    <w:p>
      <w:pPr>
        <w:spacing w:after="0" w:line="20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jc w:val="center"/>
              <w:ind w:right="43"/>
              <w:spacing w:after="0"/>
              <w:rPr>
                <w:sz w:val="20"/>
                <w:szCs w:val="20"/>
                <w:color w:val="auto"/>
              </w:rPr>
            </w:pPr>
            <w:r>
              <w:rPr>
                <w:rFonts w:ascii="Arial" w:cs="Arial" w:eastAsia="Arial" w:hAnsi="Arial"/>
                <w:sz w:val="14"/>
                <w:szCs w:val="14"/>
                <w:b w:val="1"/>
                <w:bCs w:val="1"/>
                <w:color w:val="3575B3"/>
              </w:rPr>
              <w:t>Non-Equity</w:t>
            </w:r>
          </w:p>
        </w:tc>
        <w:tc>
          <w:tcPr>
            <w:tcW w:w="1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59"/>
        </w:trPr>
        <w:tc>
          <w:tcPr>
            <w:tcW w:w="2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60" w:type="dxa"/>
            <w:vAlign w:val="bottom"/>
          </w:tcPr>
          <w:p>
            <w:pPr>
              <w:jc w:val="center"/>
              <w:ind w:right="123"/>
              <w:spacing w:after="0" w:line="159" w:lineRule="exact"/>
              <w:rPr>
                <w:sz w:val="20"/>
                <w:szCs w:val="20"/>
                <w:color w:val="auto"/>
              </w:rPr>
            </w:pPr>
            <w:r>
              <w:rPr>
                <w:rFonts w:ascii="Arial" w:cs="Arial" w:eastAsia="Arial" w:hAnsi="Arial"/>
                <w:sz w:val="14"/>
                <w:szCs w:val="14"/>
                <w:b w:val="1"/>
                <w:bCs w:val="1"/>
                <w:color w:val="3575B3"/>
              </w:rPr>
              <w:t>Stock</w:t>
            </w:r>
          </w:p>
        </w:tc>
        <w:tc>
          <w:tcPr>
            <w:tcW w:w="1600" w:type="dxa"/>
            <w:vAlign w:val="bottom"/>
          </w:tcPr>
          <w:p>
            <w:pPr>
              <w:jc w:val="center"/>
              <w:ind w:right="43"/>
              <w:spacing w:after="0" w:line="159" w:lineRule="exact"/>
              <w:rPr>
                <w:sz w:val="20"/>
                <w:szCs w:val="20"/>
                <w:color w:val="auto"/>
              </w:rPr>
            </w:pPr>
            <w:r>
              <w:rPr>
                <w:rFonts w:ascii="Arial" w:cs="Arial" w:eastAsia="Arial" w:hAnsi="Arial"/>
                <w:sz w:val="14"/>
                <w:szCs w:val="14"/>
                <w:b w:val="1"/>
                <w:bCs w:val="1"/>
                <w:color w:val="3575B3"/>
              </w:rPr>
              <w:t>Incentive Plan</w:t>
            </w:r>
          </w:p>
        </w:tc>
        <w:tc>
          <w:tcPr>
            <w:tcW w:w="1600" w:type="dxa"/>
            <w:vAlign w:val="bottom"/>
          </w:tcPr>
          <w:p>
            <w:pPr>
              <w:jc w:val="center"/>
              <w:ind w:left="43"/>
              <w:spacing w:after="0" w:line="159" w:lineRule="exact"/>
              <w:rPr>
                <w:sz w:val="20"/>
                <w:szCs w:val="20"/>
                <w:color w:val="auto"/>
              </w:rPr>
            </w:pPr>
            <w:r>
              <w:rPr>
                <w:rFonts w:ascii="Arial" w:cs="Arial" w:eastAsia="Arial" w:hAnsi="Arial"/>
                <w:sz w:val="14"/>
                <w:szCs w:val="14"/>
                <w:b w:val="1"/>
                <w:bCs w:val="1"/>
                <w:color w:val="3575B3"/>
              </w:rPr>
              <w:t>All Other</w:t>
            </w:r>
          </w:p>
        </w:tc>
        <w:tc>
          <w:tcPr>
            <w:tcW w:w="1100" w:type="dxa"/>
            <w:vAlign w:val="bottom"/>
          </w:tcPr>
          <w:p>
            <w:pPr>
              <w:spacing w:after="0"/>
              <w:rPr>
                <w:sz w:val="13"/>
                <w:szCs w:val="13"/>
                <w:color w:val="auto"/>
              </w:rPr>
            </w:pPr>
          </w:p>
        </w:tc>
      </w:tr>
      <w:tr>
        <w:trPr>
          <w:trHeight w:val="155"/>
        </w:trPr>
        <w:tc>
          <w:tcPr>
            <w:tcW w:w="2660" w:type="dxa"/>
            <w:vAlign w:val="bottom"/>
          </w:tcPr>
          <w:p>
            <w:pPr>
              <w:ind w:left="60"/>
              <w:spacing w:after="0" w:line="155" w:lineRule="exact"/>
              <w:rPr>
                <w:sz w:val="20"/>
                <w:szCs w:val="20"/>
                <w:color w:val="auto"/>
              </w:rPr>
            </w:pPr>
            <w:r>
              <w:rPr>
                <w:rFonts w:ascii="Arial" w:cs="Arial" w:eastAsia="Arial" w:hAnsi="Arial"/>
                <w:sz w:val="14"/>
                <w:szCs w:val="14"/>
                <w:b w:val="1"/>
                <w:bCs w:val="1"/>
                <w:color w:val="3575B3"/>
              </w:rPr>
              <w:t>Name and Principal</w:t>
            </w:r>
          </w:p>
        </w:tc>
        <w:tc>
          <w:tcPr>
            <w:tcW w:w="640" w:type="dxa"/>
            <w:vAlign w:val="bottom"/>
          </w:tcPr>
          <w:p>
            <w:pPr>
              <w:spacing w:after="0"/>
              <w:rPr>
                <w:sz w:val="13"/>
                <w:szCs w:val="13"/>
                <w:color w:val="auto"/>
              </w:rPr>
            </w:pPr>
          </w:p>
        </w:tc>
        <w:tc>
          <w:tcPr>
            <w:tcW w:w="940" w:type="dxa"/>
            <w:vAlign w:val="bottom"/>
          </w:tcPr>
          <w:p>
            <w:pPr>
              <w:jc w:val="right"/>
              <w:ind w:right="222"/>
              <w:spacing w:after="0" w:line="155" w:lineRule="exact"/>
              <w:rPr>
                <w:sz w:val="20"/>
                <w:szCs w:val="20"/>
                <w:color w:val="auto"/>
              </w:rPr>
            </w:pPr>
            <w:r>
              <w:rPr>
                <w:rFonts w:ascii="Arial" w:cs="Arial" w:eastAsia="Arial" w:hAnsi="Arial"/>
                <w:sz w:val="14"/>
                <w:szCs w:val="14"/>
                <w:b w:val="1"/>
                <w:bCs w:val="1"/>
                <w:color w:val="3575B3"/>
              </w:rPr>
              <w:t>Salary</w:t>
            </w:r>
          </w:p>
        </w:tc>
        <w:tc>
          <w:tcPr>
            <w:tcW w:w="1100" w:type="dxa"/>
            <w:vAlign w:val="bottom"/>
          </w:tcPr>
          <w:p>
            <w:pPr>
              <w:jc w:val="right"/>
              <w:ind w:right="286"/>
              <w:spacing w:after="0" w:line="155" w:lineRule="exact"/>
              <w:rPr>
                <w:sz w:val="20"/>
                <w:szCs w:val="20"/>
                <w:color w:val="auto"/>
              </w:rPr>
            </w:pPr>
            <w:r>
              <w:rPr>
                <w:rFonts w:ascii="Arial" w:cs="Arial" w:eastAsia="Arial" w:hAnsi="Arial"/>
                <w:sz w:val="14"/>
                <w:szCs w:val="14"/>
                <w:b w:val="1"/>
                <w:bCs w:val="1"/>
                <w:color w:val="3575B3"/>
              </w:rPr>
              <w:t>Bonus</w:t>
            </w:r>
          </w:p>
        </w:tc>
        <w:tc>
          <w:tcPr>
            <w:tcW w:w="1160" w:type="dxa"/>
            <w:vAlign w:val="bottom"/>
          </w:tcPr>
          <w:p>
            <w:pPr>
              <w:jc w:val="center"/>
              <w:ind w:right="123"/>
              <w:spacing w:after="0" w:line="155" w:lineRule="exact"/>
              <w:rPr>
                <w:sz w:val="20"/>
                <w:szCs w:val="20"/>
                <w:color w:val="auto"/>
              </w:rPr>
            </w:pPr>
            <w:r>
              <w:rPr>
                <w:rFonts w:ascii="Arial" w:cs="Arial" w:eastAsia="Arial" w:hAnsi="Arial"/>
                <w:sz w:val="14"/>
                <w:szCs w:val="14"/>
                <w:b w:val="1"/>
                <w:bCs w:val="1"/>
                <w:color w:val="3575B3"/>
              </w:rPr>
              <w:t>Awards</w:t>
            </w:r>
          </w:p>
        </w:tc>
        <w:tc>
          <w:tcPr>
            <w:tcW w:w="1600" w:type="dxa"/>
            <w:vAlign w:val="bottom"/>
          </w:tcPr>
          <w:p>
            <w:pPr>
              <w:jc w:val="center"/>
              <w:ind w:right="63"/>
              <w:spacing w:after="0" w:line="155" w:lineRule="exact"/>
              <w:rPr>
                <w:sz w:val="20"/>
                <w:szCs w:val="20"/>
                <w:color w:val="auto"/>
              </w:rPr>
            </w:pPr>
            <w:r>
              <w:rPr>
                <w:rFonts w:ascii="Arial" w:cs="Arial" w:eastAsia="Arial" w:hAnsi="Arial"/>
                <w:sz w:val="14"/>
                <w:szCs w:val="14"/>
                <w:b w:val="1"/>
                <w:bCs w:val="1"/>
                <w:color w:val="3575B3"/>
              </w:rPr>
              <w:t>Compensation</w:t>
            </w:r>
          </w:p>
        </w:tc>
        <w:tc>
          <w:tcPr>
            <w:tcW w:w="1600" w:type="dxa"/>
            <w:vAlign w:val="bottom"/>
          </w:tcPr>
          <w:p>
            <w:pPr>
              <w:jc w:val="center"/>
              <w:ind w:left="63"/>
              <w:spacing w:after="0" w:line="155" w:lineRule="exact"/>
              <w:rPr>
                <w:sz w:val="20"/>
                <w:szCs w:val="20"/>
                <w:color w:val="auto"/>
              </w:rPr>
            </w:pPr>
            <w:r>
              <w:rPr>
                <w:rFonts w:ascii="Arial" w:cs="Arial" w:eastAsia="Arial" w:hAnsi="Arial"/>
                <w:sz w:val="14"/>
                <w:szCs w:val="14"/>
                <w:b w:val="1"/>
                <w:bCs w:val="1"/>
                <w:color w:val="3575B3"/>
              </w:rPr>
              <w:t>Compensation</w:t>
            </w:r>
          </w:p>
        </w:tc>
        <w:tc>
          <w:tcPr>
            <w:tcW w:w="1100" w:type="dxa"/>
            <w:vAlign w:val="bottom"/>
          </w:tcPr>
          <w:p>
            <w:pPr>
              <w:jc w:val="right"/>
              <w:ind w:right="222"/>
              <w:spacing w:after="0" w:line="155" w:lineRule="exact"/>
              <w:rPr>
                <w:sz w:val="20"/>
                <w:szCs w:val="20"/>
                <w:color w:val="auto"/>
              </w:rPr>
            </w:pPr>
            <w:r>
              <w:rPr>
                <w:rFonts w:ascii="Arial" w:cs="Arial" w:eastAsia="Arial" w:hAnsi="Arial"/>
                <w:sz w:val="14"/>
                <w:szCs w:val="14"/>
                <w:b w:val="1"/>
                <w:bCs w:val="1"/>
                <w:color w:val="3575B3"/>
              </w:rPr>
              <w:t>Total*</w:t>
            </w:r>
          </w:p>
        </w:tc>
      </w:tr>
      <w:tr>
        <w:trPr>
          <w:trHeight w:val="185"/>
        </w:trPr>
        <w:tc>
          <w:tcPr>
            <w:tcW w:w="2660" w:type="dxa"/>
            <w:vAlign w:val="bottom"/>
            <w:tcBorders>
              <w:bottom w:val="single" w:sz="8" w:color="BF0000"/>
            </w:tcBorders>
          </w:tcPr>
          <w:p>
            <w:pPr>
              <w:ind w:left="60"/>
              <w:spacing w:after="0"/>
              <w:rPr>
                <w:sz w:val="20"/>
                <w:szCs w:val="20"/>
                <w:color w:val="auto"/>
              </w:rPr>
            </w:pPr>
            <w:r>
              <w:rPr>
                <w:rFonts w:ascii="Arial" w:cs="Arial" w:eastAsia="Arial" w:hAnsi="Arial"/>
                <w:sz w:val="14"/>
                <w:szCs w:val="14"/>
                <w:b w:val="1"/>
                <w:bCs w:val="1"/>
                <w:color w:val="3575B3"/>
              </w:rPr>
              <w:t>Position during Fiscal 2023</w:t>
            </w:r>
          </w:p>
        </w:tc>
        <w:tc>
          <w:tcPr>
            <w:tcW w:w="640" w:type="dxa"/>
            <w:vAlign w:val="bottom"/>
            <w:tcBorders>
              <w:bottom w:val="single" w:sz="8" w:color="BF0000"/>
            </w:tcBorders>
          </w:tcPr>
          <w:p>
            <w:pPr>
              <w:ind w:left="160"/>
              <w:spacing w:after="0"/>
              <w:rPr>
                <w:sz w:val="20"/>
                <w:szCs w:val="20"/>
                <w:color w:val="auto"/>
              </w:rPr>
            </w:pPr>
            <w:r>
              <w:rPr>
                <w:rFonts w:ascii="Arial" w:cs="Arial" w:eastAsia="Arial" w:hAnsi="Arial"/>
                <w:sz w:val="14"/>
                <w:szCs w:val="14"/>
                <w:b w:val="1"/>
                <w:bCs w:val="1"/>
                <w:color w:val="3575B3"/>
              </w:rPr>
              <w:t>Year</w:t>
            </w:r>
          </w:p>
        </w:tc>
        <w:tc>
          <w:tcPr>
            <w:tcW w:w="940" w:type="dxa"/>
            <w:vAlign w:val="bottom"/>
            <w:tcBorders>
              <w:bottom w:val="single" w:sz="8" w:color="BF0000"/>
            </w:tcBorders>
          </w:tcPr>
          <w:p>
            <w:pPr>
              <w:jc w:val="right"/>
              <w:ind w:right="342"/>
              <w:spacing w:after="0"/>
              <w:rPr>
                <w:sz w:val="20"/>
                <w:szCs w:val="20"/>
                <w:color w:val="auto"/>
              </w:rPr>
            </w:pPr>
            <w:r>
              <w:rPr>
                <w:rFonts w:ascii="Arial" w:cs="Arial" w:eastAsia="Arial" w:hAnsi="Arial"/>
                <w:sz w:val="14"/>
                <w:szCs w:val="14"/>
                <w:b w:val="1"/>
                <w:bCs w:val="1"/>
                <w:color w:val="3575B3"/>
              </w:rPr>
              <w:t>($)</w:t>
            </w:r>
          </w:p>
        </w:tc>
        <w:tc>
          <w:tcPr>
            <w:tcW w:w="1100" w:type="dxa"/>
            <w:vAlign w:val="bottom"/>
            <w:tcBorders>
              <w:bottom w:val="single" w:sz="8" w:color="BF0000"/>
            </w:tcBorders>
          </w:tcPr>
          <w:p>
            <w:pPr>
              <w:jc w:val="right"/>
              <w:ind w:right="426"/>
              <w:spacing w:after="0"/>
              <w:rPr>
                <w:sz w:val="20"/>
                <w:szCs w:val="20"/>
                <w:color w:val="auto"/>
              </w:rPr>
            </w:pPr>
            <w:r>
              <w:rPr>
                <w:rFonts w:ascii="Arial" w:cs="Arial" w:eastAsia="Arial" w:hAnsi="Arial"/>
                <w:sz w:val="14"/>
                <w:szCs w:val="14"/>
                <w:b w:val="1"/>
                <w:bCs w:val="1"/>
                <w:color w:val="3575B3"/>
              </w:rPr>
              <w:t>($)</w:t>
            </w:r>
          </w:p>
        </w:tc>
        <w:tc>
          <w:tcPr>
            <w:tcW w:w="1160" w:type="dxa"/>
            <w:vAlign w:val="bottom"/>
            <w:tcBorders>
              <w:bottom w:val="single" w:sz="8" w:color="BF0000"/>
            </w:tcBorders>
          </w:tcPr>
          <w:p>
            <w:pPr>
              <w:jc w:val="center"/>
              <w:ind w:right="103"/>
              <w:spacing w:after="0" w:line="186" w:lineRule="exact"/>
              <w:rPr>
                <w:sz w:val="20"/>
                <w:szCs w:val="20"/>
                <w:color w:val="auto"/>
              </w:rPr>
            </w:pPr>
            <w:r>
              <w:rPr>
                <w:rFonts w:ascii="Arial" w:cs="Arial" w:eastAsia="Arial" w:hAnsi="Arial"/>
                <w:sz w:val="14"/>
                <w:szCs w:val="14"/>
                <w:b w:val="1"/>
                <w:bCs w:val="1"/>
                <w:color w:val="3575B3"/>
                <w:w w:val="87"/>
              </w:rPr>
              <w:t>($)</w:t>
            </w:r>
            <w:r>
              <w:rPr>
                <w:rFonts w:ascii="Arial" w:cs="Arial" w:eastAsia="Arial" w:hAnsi="Arial"/>
                <w:sz w:val="21"/>
                <w:szCs w:val="21"/>
                <w:b w:val="1"/>
                <w:bCs w:val="1"/>
                <w:color w:val="3575B3"/>
                <w:w w:val="87"/>
                <w:vertAlign w:val="superscript"/>
              </w:rPr>
              <w:t>(a)</w:t>
            </w:r>
          </w:p>
        </w:tc>
        <w:tc>
          <w:tcPr>
            <w:tcW w:w="1600" w:type="dxa"/>
            <w:vAlign w:val="bottom"/>
            <w:tcBorders>
              <w:bottom w:val="single" w:sz="8" w:color="BF0000"/>
            </w:tcBorders>
          </w:tcPr>
          <w:p>
            <w:pPr>
              <w:jc w:val="center"/>
              <w:ind w:right="43"/>
              <w:spacing w:after="0" w:line="186" w:lineRule="exact"/>
              <w:rPr>
                <w:sz w:val="20"/>
                <w:szCs w:val="20"/>
                <w:color w:val="auto"/>
              </w:rPr>
            </w:pPr>
            <w:r>
              <w:rPr>
                <w:rFonts w:ascii="Arial" w:cs="Arial" w:eastAsia="Arial" w:hAnsi="Arial"/>
                <w:sz w:val="14"/>
                <w:szCs w:val="14"/>
                <w:b w:val="1"/>
                <w:bCs w:val="1"/>
                <w:color w:val="3575B3"/>
                <w:w w:val="91"/>
              </w:rPr>
              <w:t>($)</w:t>
            </w:r>
            <w:r>
              <w:rPr>
                <w:rFonts w:ascii="Arial" w:cs="Arial" w:eastAsia="Arial" w:hAnsi="Arial"/>
                <w:sz w:val="21"/>
                <w:szCs w:val="21"/>
                <w:b w:val="1"/>
                <w:bCs w:val="1"/>
                <w:color w:val="3575B3"/>
                <w:w w:val="91"/>
                <w:vertAlign w:val="superscript"/>
              </w:rPr>
              <w:t>(b)</w:t>
            </w:r>
          </w:p>
        </w:tc>
        <w:tc>
          <w:tcPr>
            <w:tcW w:w="1600" w:type="dxa"/>
            <w:vAlign w:val="bottom"/>
            <w:tcBorders>
              <w:bottom w:val="single" w:sz="8" w:color="BF0000"/>
            </w:tcBorders>
          </w:tcPr>
          <w:p>
            <w:pPr>
              <w:jc w:val="center"/>
              <w:ind w:left="63"/>
              <w:spacing w:after="0" w:line="186" w:lineRule="exact"/>
              <w:rPr>
                <w:sz w:val="20"/>
                <w:szCs w:val="20"/>
                <w:color w:val="auto"/>
              </w:rPr>
            </w:pPr>
            <w:r>
              <w:rPr>
                <w:rFonts w:ascii="Arial" w:cs="Arial" w:eastAsia="Arial" w:hAnsi="Arial"/>
                <w:sz w:val="14"/>
                <w:szCs w:val="14"/>
                <w:b w:val="1"/>
                <w:bCs w:val="1"/>
                <w:color w:val="3575B3"/>
                <w:w w:val="87"/>
              </w:rPr>
              <w:t>($)</w:t>
            </w:r>
            <w:r>
              <w:rPr>
                <w:rFonts w:ascii="Arial" w:cs="Arial" w:eastAsia="Arial" w:hAnsi="Arial"/>
                <w:sz w:val="21"/>
                <w:szCs w:val="21"/>
                <w:b w:val="1"/>
                <w:bCs w:val="1"/>
                <w:color w:val="3575B3"/>
                <w:w w:val="87"/>
                <w:vertAlign w:val="superscript"/>
              </w:rPr>
              <w:t>(c)</w:t>
            </w:r>
          </w:p>
        </w:tc>
        <w:tc>
          <w:tcPr>
            <w:tcW w:w="1100" w:type="dxa"/>
            <w:vAlign w:val="bottom"/>
            <w:tcBorders>
              <w:bottom w:val="single" w:sz="8" w:color="BF0000"/>
            </w:tcBorders>
          </w:tcPr>
          <w:p>
            <w:pPr>
              <w:jc w:val="right"/>
              <w:ind w:right="322"/>
              <w:spacing w:after="0"/>
              <w:rPr>
                <w:sz w:val="20"/>
                <w:szCs w:val="20"/>
                <w:color w:val="auto"/>
              </w:rPr>
            </w:pPr>
            <w:r>
              <w:rPr>
                <w:rFonts w:ascii="Arial" w:cs="Arial" w:eastAsia="Arial" w:hAnsi="Arial"/>
                <w:sz w:val="14"/>
                <w:szCs w:val="14"/>
                <w:b w:val="1"/>
                <w:bCs w:val="1"/>
                <w:color w:val="3575B3"/>
              </w:rPr>
              <w:t>($)</w:t>
            </w:r>
          </w:p>
        </w:tc>
      </w:tr>
      <w:tr>
        <w:trPr>
          <w:trHeight w:val="164"/>
        </w:trPr>
        <w:tc>
          <w:tcPr>
            <w:tcW w:w="2660" w:type="dxa"/>
            <w:vAlign w:val="bottom"/>
          </w:tcPr>
          <w:p>
            <w:pPr>
              <w:ind w:left="60"/>
              <w:spacing w:after="0" w:line="165" w:lineRule="exact"/>
              <w:rPr>
                <w:sz w:val="20"/>
                <w:szCs w:val="20"/>
                <w:color w:val="auto"/>
              </w:rPr>
            </w:pPr>
            <w:r>
              <w:rPr>
                <w:rFonts w:ascii="Arial" w:cs="Arial" w:eastAsia="Arial" w:hAnsi="Arial"/>
                <w:sz w:val="16"/>
                <w:szCs w:val="16"/>
                <w:b w:val="1"/>
                <w:bCs w:val="1"/>
                <w:color w:val="435363"/>
              </w:rPr>
              <w:t>Robert Isom</w:t>
            </w:r>
          </w:p>
        </w:tc>
        <w:tc>
          <w:tcPr>
            <w:tcW w:w="640" w:type="dxa"/>
            <w:vAlign w:val="bottom"/>
          </w:tcPr>
          <w:p>
            <w:pPr>
              <w:ind w:left="180"/>
              <w:spacing w:after="0" w:line="165" w:lineRule="exact"/>
              <w:rPr>
                <w:sz w:val="20"/>
                <w:szCs w:val="20"/>
                <w:color w:val="auto"/>
              </w:rPr>
            </w:pPr>
            <w:r>
              <w:rPr>
                <w:rFonts w:ascii="Arial" w:cs="Arial" w:eastAsia="Arial" w:hAnsi="Arial"/>
                <w:sz w:val="16"/>
                <w:szCs w:val="16"/>
                <w:color w:val="435363"/>
              </w:rPr>
              <w:t>2023</w:t>
            </w:r>
          </w:p>
        </w:tc>
        <w:tc>
          <w:tcPr>
            <w:tcW w:w="940" w:type="dxa"/>
            <w:vAlign w:val="bottom"/>
          </w:tcPr>
          <w:p>
            <w:pPr>
              <w:jc w:val="right"/>
              <w:ind w:right="42"/>
              <w:spacing w:after="0" w:line="165" w:lineRule="exact"/>
              <w:rPr>
                <w:sz w:val="20"/>
                <w:szCs w:val="20"/>
                <w:color w:val="auto"/>
              </w:rPr>
            </w:pPr>
            <w:r>
              <w:rPr>
                <w:rFonts w:ascii="Arial" w:cs="Arial" w:eastAsia="Arial" w:hAnsi="Arial"/>
                <w:sz w:val="16"/>
                <w:szCs w:val="16"/>
                <w:color w:val="435363"/>
              </w:rPr>
              <w:t>1,300,000</w:t>
            </w:r>
          </w:p>
        </w:tc>
        <w:tc>
          <w:tcPr>
            <w:tcW w:w="1100" w:type="dxa"/>
            <w:vAlign w:val="bottom"/>
          </w:tcPr>
          <w:p>
            <w:pPr>
              <w:jc w:val="right"/>
              <w:ind w:right="46"/>
              <w:spacing w:after="0" w:line="164" w:lineRule="exact"/>
              <w:rPr>
                <w:sz w:val="20"/>
                <w:szCs w:val="20"/>
                <w:color w:val="auto"/>
              </w:rPr>
            </w:pPr>
            <w:r>
              <w:rPr>
                <w:rFonts w:ascii="Arial" w:cs="Arial" w:eastAsia="Arial" w:hAnsi="Arial"/>
                <w:sz w:val="13"/>
                <w:szCs w:val="13"/>
                <w:color w:val="435363"/>
              </w:rPr>
              <w:t>2,750,000</w:t>
            </w:r>
            <w:r>
              <w:rPr>
                <w:rFonts w:ascii="Arial" w:cs="Arial" w:eastAsia="Arial" w:hAnsi="Arial"/>
                <w:sz w:val="19"/>
                <w:szCs w:val="19"/>
                <w:color w:val="435363"/>
                <w:vertAlign w:val="superscript"/>
              </w:rPr>
              <w:t>(d)</w:t>
            </w:r>
          </w:p>
        </w:tc>
        <w:tc>
          <w:tcPr>
            <w:tcW w:w="1160" w:type="dxa"/>
            <w:vAlign w:val="bottom"/>
          </w:tcPr>
          <w:p>
            <w:pPr>
              <w:jc w:val="right"/>
              <w:ind w:right="163"/>
              <w:spacing w:after="0" w:line="165" w:lineRule="exact"/>
              <w:rPr>
                <w:sz w:val="20"/>
                <w:szCs w:val="20"/>
                <w:color w:val="auto"/>
              </w:rPr>
            </w:pPr>
            <w:r>
              <w:rPr>
                <w:rFonts w:ascii="Arial" w:cs="Arial" w:eastAsia="Arial" w:hAnsi="Arial"/>
                <w:sz w:val="16"/>
                <w:szCs w:val="16"/>
                <w:color w:val="435363"/>
              </w:rPr>
              <w:t>19,500,000</w:t>
            </w:r>
          </w:p>
        </w:tc>
        <w:tc>
          <w:tcPr>
            <w:tcW w:w="1600" w:type="dxa"/>
            <w:vAlign w:val="bottom"/>
          </w:tcPr>
          <w:p>
            <w:pPr>
              <w:jc w:val="right"/>
              <w:ind w:right="403"/>
              <w:spacing w:after="0" w:line="165" w:lineRule="exact"/>
              <w:rPr>
                <w:sz w:val="20"/>
                <w:szCs w:val="20"/>
                <w:color w:val="auto"/>
              </w:rPr>
            </w:pPr>
            <w:r>
              <w:rPr>
                <w:rFonts w:ascii="Arial" w:cs="Arial" w:eastAsia="Arial" w:hAnsi="Arial"/>
                <w:sz w:val="16"/>
                <w:szCs w:val="16"/>
                <w:color w:val="435363"/>
              </w:rPr>
              <w:t>7,778,160</w:t>
            </w:r>
          </w:p>
        </w:tc>
        <w:tc>
          <w:tcPr>
            <w:tcW w:w="1600" w:type="dxa"/>
            <w:vAlign w:val="bottom"/>
          </w:tcPr>
          <w:p>
            <w:pPr>
              <w:jc w:val="right"/>
              <w:ind w:right="343"/>
              <w:spacing w:after="0" w:line="165" w:lineRule="exact"/>
              <w:rPr>
                <w:sz w:val="20"/>
                <w:szCs w:val="20"/>
                <w:color w:val="auto"/>
              </w:rPr>
            </w:pPr>
            <w:r>
              <w:rPr>
                <w:rFonts w:ascii="Arial" w:cs="Arial" w:eastAsia="Arial" w:hAnsi="Arial"/>
                <w:sz w:val="16"/>
                <w:szCs w:val="16"/>
                <w:color w:val="435363"/>
              </w:rPr>
              <w:t>110,002</w:t>
            </w:r>
          </w:p>
        </w:tc>
        <w:tc>
          <w:tcPr>
            <w:tcW w:w="1100" w:type="dxa"/>
            <w:vAlign w:val="bottom"/>
          </w:tcPr>
          <w:p>
            <w:pPr>
              <w:jc w:val="right"/>
              <w:spacing w:after="0" w:line="165" w:lineRule="exact"/>
              <w:rPr>
                <w:sz w:val="20"/>
                <w:szCs w:val="20"/>
                <w:color w:val="auto"/>
              </w:rPr>
            </w:pPr>
            <w:r>
              <w:rPr>
                <w:rFonts w:ascii="Arial" w:cs="Arial" w:eastAsia="Arial" w:hAnsi="Arial"/>
                <w:sz w:val="16"/>
                <w:szCs w:val="16"/>
                <w:color w:val="435363"/>
              </w:rPr>
              <w:t>31,438,162</w:t>
            </w:r>
          </w:p>
        </w:tc>
      </w:tr>
      <w:tr>
        <w:trPr>
          <w:trHeight w:val="185"/>
        </w:trPr>
        <w:tc>
          <w:tcPr>
            <w:tcW w:w="2660" w:type="dxa"/>
            <w:vAlign w:val="bottom"/>
          </w:tcPr>
          <w:p>
            <w:pPr>
              <w:ind w:left="60"/>
              <w:spacing w:after="0"/>
              <w:rPr>
                <w:sz w:val="20"/>
                <w:szCs w:val="20"/>
                <w:color w:val="auto"/>
              </w:rPr>
            </w:pPr>
            <w:r>
              <w:rPr>
                <w:rFonts w:ascii="Arial" w:cs="Arial" w:eastAsia="Arial" w:hAnsi="Arial"/>
                <w:sz w:val="16"/>
                <w:szCs w:val="16"/>
                <w:color w:val="435363"/>
              </w:rPr>
              <w:t>Chief Executive Officer</w:t>
            </w:r>
          </w:p>
        </w:tc>
        <w:tc>
          <w:tcPr>
            <w:tcW w:w="640" w:type="dxa"/>
            <w:vAlign w:val="bottom"/>
          </w:tcPr>
          <w:p>
            <w:pPr>
              <w:ind w:left="180"/>
              <w:spacing w:after="0"/>
              <w:rPr>
                <w:sz w:val="20"/>
                <w:szCs w:val="20"/>
                <w:color w:val="auto"/>
              </w:rPr>
            </w:pPr>
            <w:r>
              <w:rPr>
                <w:rFonts w:ascii="Arial" w:cs="Arial" w:eastAsia="Arial" w:hAnsi="Arial"/>
                <w:sz w:val="16"/>
                <w:szCs w:val="16"/>
                <w:color w:val="435363"/>
              </w:rPr>
              <w:t>2022</w:t>
            </w:r>
          </w:p>
        </w:tc>
        <w:tc>
          <w:tcPr>
            <w:tcW w:w="940" w:type="dxa"/>
            <w:vAlign w:val="bottom"/>
          </w:tcPr>
          <w:p>
            <w:pPr>
              <w:jc w:val="right"/>
              <w:ind w:right="42"/>
              <w:spacing w:after="0"/>
              <w:rPr>
                <w:sz w:val="20"/>
                <w:szCs w:val="20"/>
                <w:color w:val="auto"/>
              </w:rPr>
            </w:pPr>
            <w:r>
              <w:rPr>
                <w:rFonts w:ascii="Arial" w:cs="Arial" w:eastAsia="Arial" w:hAnsi="Arial"/>
                <w:sz w:val="16"/>
                <w:szCs w:val="16"/>
                <w:color w:val="435363"/>
              </w:rPr>
              <w:t>1,162,083</w:t>
            </w:r>
          </w:p>
        </w:tc>
        <w:tc>
          <w:tcPr>
            <w:tcW w:w="1100" w:type="dxa"/>
            <w:vAlign w:val="bottom"/>
          </w:tcPr>
          <w:p>
            <w:pPr>
              <w:jc w:val="right"/>
              <w:ind w:right="206"/>
              <w:spacing w:after="0"/>
              <w:rPr>
                <w:sz w:val="20"/>
                <w:szCs w:val="20"/>
                <w:color w:val="auto"/>
              </w:rPr>
            </w:pPr>
            <w:r>
              <w:rPr>
                <w:rFonts w:ascii="Arial" w:cs="Arial" w:eastAsia="Arial" w:hAnsi="Arial"/>
                <w:sz w:val="16"/>
                <w:szCs w:val="16"/>
                <w:color w:val="435363"/>
              </w:rPr>
              <w:t>-</w:t>
            </w:r>
          </w:p>
        </w:tc>
        <w:tc>
          <w:tcPr>
            <w:tcW w:w="1160" w:type="dxa"/>
            <w:vAlign w:val="bottom"/>
          </w:tcPr>
          <w:p>
            <w:pPr>
              <w:jc w:val="right"/>
              <w:ind w:right="163"/>
              <w:spacing w:after="0"/>
              <w:rPr>
                <w:sz w:val="20"/>
                <w:szCs w:val="20"/>
                <w:color w:val="auto"/>
              </w:rPr>
            </w:pPr>
            <w:r>
              <w:rPr>
                <w:rFonts w:ascii="Arial" w:cs="Arial" w:eastAsia="Arial" w:hAnsi="Arial"/>
                <w:sz w:val="16"/>
                <w:szCs w:val="16"/>
                <w:color w:val="435363"/>
              </w:rPr>
              <w:t>3,653,000</w:t>
            </w:r>
          </w:p>
        </w:tc>
        <w:tc>
          <w:tcPr>
            <w:tcW w:w="1600" w:type="dxa"/>
            <w:vAlign w:val="bottom"/>
          </w:tcPr>
          <w:p>
            <w:pPr>
              <w:jc w:val="right"/>
              <w:ind w:right="403"/>
              <w:spacing w:after="0"/>
              <w:rPr>
                <w:sz w:val="20"/>
                <w:szCs w:val="20"/>
                <w:color w:val="auto"/>
              </w:rPr>
            </w:pPr>
            <w:r>
              <w:rPr>
                <w:rFonts w:ascii="Arial" w:cs="Arial" w:eastAsia="Arial" w:hAnsi="Arial"/>
                <w:sz w:val="16"/>
                <w:szCs w:val="16"/>
                <w:color w:val="435363"/>
              </w:rPr>
              <w:t>-</w:t>
            </w:r>
          </w:p>
        </w:tc>
        <w:tc>
          <w:tcPr>
            <w:tcW w:w="1600" w:type="dxa"/>
            <w:vAlign w:val="bottom"/>
          </w:tcPr>
          <w:p>
            <w:pPr>
              <w:jc w:val="right"/>
              <w:ind w:right="343"/>
              <w:spacing w:after="0"/>
              <w:rPr>
                <w:sz w:val="20"/>
                <w:szCs w:val="20"/>
                <w:color w:val="auto"/>
              </w:rPr>
            </w:pPr>
            <w:r>
              <w:rPr>
                <w:rFonts w:ascii="Arial" w:cs="Arial" w:eastAsia="Arial" w:hAnsi="Arial"/>
                <w:sz w:val="16"/>
                <w:szCs w:val="16"/>
                <w:color w:val="435363"/>
              </w:rPr>
              <w:t>71,566</w:t>
            </w:r>
          </w:p>
        </w:tc>
        <w:tc>
          <w:tcPr>
            <w:tcW w:w="1100" w:type="dxa"/>
            <w:vAlign w:val="bottom"/>
          </w:tcPr>
          <w:p>
            <w:pPr>
              <w:jc w:val="right"/>
              <w:spacing w:after="0"/>
              <w:rPr>
                <w:sz w:val="20"/>
                <w:szCs w:val="20"/>
                <w:color w:val="auto"/>
              </w:rPr>
            </w:pPr>
            <w:r>
              <w:rPr>
                <w:rFonts w:ascii="Arial" w:cs="Arial" w:eastAsia="Arial" w:hAnsi="Arial"/>
                <w:sz w:val="16"/>
                <w:szCs w:val="16"/>
                <w:color w:val="435363"/>
              </w:rPr>
              <w:t>4,886,649</w:t>
            </w:r>
          </w:p>
        </w:tc>
      </w:tr>
      <w:tr>
        <w:trPr>
          <w:trHeight w:val="210"/>
        </w:trPr>
        <w:tc>
          <w:tcPr>
            <w:tcW w:w="2660" w:type="dxa"/>
            <w:vAlign w:val="bottom"/>
          </w:tcPr>
          <w:p>
            <w:pPr>
              <w:ind w:left="60"/>
              <w:spacing w:after="0"/>
              <w:rPr>
                <w:sz w:val="20"/>
                <w:szCs w:val="20"/>
                <w:color w:val="auto"/>
              </w:rPr>
            </w:pPr>
            <w:r>
              <w:rPr>
                <w:rFonts w:ascii="Arial" w:cs="Arial" w:eastAsia="Arial" w:hAnsi="Arial"/>
                <w:sz w:val="16"/>
                <w:szCs w:val="16"/>
                <w:color w:val="435363"/>
              </w:rPr>
              <w:t>and Director</w:t>
            </w:r>
          </w:p>
        </w:tc>
        <w:tc>
          <w:tcPr>
            <w:tcW w:w="640" w:type="dxa"/>
            <w:vAlign w:val="bottom"/>
          </w:tcPr>
          <w:p>
            <w:pPr>
              <w:ind w:left="180"/>
              <w:spacing w:after="0"/>
              <w:rPr>
                <w:sz w:val="20"/>
                <w:szCs w:val="20"/>
                <w:color w:val="auto"/>
              </w:rPr>
            </w:pPr>
            <w:r>
              <w:rPr>
                <w:rFonts w:ascii="Arial" w:cs="Arial" w:eastAsia="Arial" w:hAnsi="Arial"/>
                <w:sz w:val="16"/>
                <w:szCs w:val="16"/>
                <w:color w:val="435363"/>
              </w:rPr>
              <w:t>2021</w:t>
            </w:r>
          </w:p>
        </w:tc>
        <w:tc>
          <w:tcPr>
            <w:tcW w:w="940" w:type="dxa"/>
            <w:vAlign w:val="bottom"/>
          </w:tcPr>
          <w:p>
            <w:pPr>
              <w:jc w:val="right"/>
              <w:ind w:right="42"/>
              <w:spacing w:after="0"/>
              <w:rPr>
                <w:sz w:val="20"/>
                <w:szCs w:val="20"/>
                <w:color w:val="auto"/>
              </w:rPr>
            </w:pPr>
            <w:r>
              <w:rPr>
                <w:rFonts w:ascii="Arial" w:cs="Arial" w:eastAsia="Arial" w:hAnsi="Arial"/>
                <w:sz w:val="16"/>
                <w:szCs w:val="16"/>
                <w:color w:val="435363"/>
              </w:rPr>
              <w:t>766,146</w:t>
            </w:r>
          </w:p>
        </w:tc>
        <w:tc>
          <w:tcPr>
            <w:tcW w:w="1100" w:type="dxa"/>
            <w:vAlign w:val="bottom"/>
          </w:tcPr>
          <w:p>
            <w:pPr>
              <w:jc w:val="right"/>
              <w:ind w:right="206"/>
              <w:spacing w:after="0"/>
              <w:rPr>
                <w:sz w:val="20"/>
                <w:szCs w:val="20"/>
                <w:color w:val="auto"/>
              </w:rPr>
            </w:pPr>
            <w:r>
              <w:rPr>
                <w:rFonts w:ascii="Arial" w:cs="Arial" w:eastAsia="Arial" w:hAnsi="Arial"/>
                <w:sz w:val="16"/>
                <w:szCs w:val="16"/>
                <w:color w:val="435363"/>
              </w:rPr>
              <w:t>-</w:t>
            </w:r>
          </w:p>
        </w:tc>
        <w:tc>
          <w:tcPr>
            <w:tcW w:w="1160" w:type="dxa"/>
            <w:vAlign w:val="bottom"/>
          </w:tcPr>
          <w:p>
            <w:pPr>
              <w:jc w:val="right"/>
              <w:ind w:right="163"/>
              <w:spacing w:after="0"/>
              <w:rPr>
                <w:sz w:val="20"/>
                <w:szCs w:val="20"/>
                <w:color w:val="auto"/>
              </w:rPr>
            </w:pPr>
            <w:r>
              <w:rPr>
                <w:rFonts w:ascii="Arial" w:cs="Arial" w:eastAsia="Arial" w:hAnsi="Arial"/>
                <w:sz w:val="16"/>
                <w:szCs w:val="16"/>
                <w:color w:val="435363"/>
              </w:rPr>
              <w:t>4,180,000</w:t>
            </w:r>
          </w:p>
        </w:tc>
        <w:tc>
          <w:tcPr>
            <w:tcW w:w="1600" w:type="dxa"/>
            <w:vAlign w:val="bottom"/>
          </w:tcPr>
          <w:p>
            <w:pPr>
              <w:jc w:val="right"/>
              <w:ind w:right="403"/>
              <w:spacing w:after="0"/>
              <w:rPr>
                <w:sz w:val="20"/>
                <w:szCs w:val="20"/>
                <w:color w:val="auto"/>
              </w:rPr>
            </w:pPr>
            <w:r>
              <w:rPr>
                <w:rFonts w:ascii="Arial" w:cs="Arial" w:eastAsia="Arial" w:hAnsi="Arial"/>
                <w:sz w:val="16"/>
                <w:szCs w:val="16"/>
                <w:color w:val="435363"/>
              </w:rPr>
              <w:t>-</w:t>
            </w:r>
          </w:p>
        </w:tc>
        <w:tc>
          <w:tcPr>
            <w:tcW w:w="1600" w:type="dxa"/>
            <w:vAlign w:val="bottom"/>
          </w:tcPr>
          <w:p>
            <w:pPr>
              <w:jc w:val="right"/>
              <w:ind w:right="343"/>
              <w:spacing w:after="0"/>
              <w:rPr>
                <w:sz w:val="20"/>
                <w:szCs w:val="20"/>
                <w:color w:val="auto"/>
              </w:rPr>
            </w:pPr>
            <w:r>
              <w:rPr>
                <w:rFonts w:ascii="Arial" w:cs="Arial" w:eastAsia="Arial" w:hAnsi="Arial"/>
                <w:sz w:val="16"/>
                <w:szCs w:val="16"/>
                <w:color w:val="435363"/>
              </w:rPr>
              <w:t>55,214</w:t>
            </w:r>
          </w:p>
        </w:tc>
        <w:tc>
          <w:tcPr>
            <w:tcW w:w="1100" w:type="dxa"/>
            <w:vAlign w:val="bottom"/>
          </w:tcPr>
          <w:p>
            <w:pPr>
              <w:jc w:val="right"/>
              <w:spacing w:after="0"/>
              <w:rPr>
                <w:sz w:val="20"/>
                <w:szCs w:val="20"/>
                <w:color w:val="auto"/>
              </w:rPr>
            </w:pPr>
            <w:r>
              <w:rPr>
                <w:rFonts w:ascii="Arial" w:cs="Arial" w:eastAsia="Arial" w:hAnsi="Arial"/>
                <w:sz w:val="16"/>
                <w:szCs w:val="16"/>
                <w:color w:val="435363"/>
              </w:rPr>
              <w:t>5,001,360</w:t>
            </w:r>
          </w:p>
        </w:tc>
      </w:tr>
      <w:tr>
        <w:trPr>
          <w:trHeight w:val="56"/>
        </w:trPr>
        <w:tc>
          <w:tcPr>
            <w:tcW w:w="2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12"/>
        </w:trPr>
        <w:tc>
          <w:tcPr>
            <w:tcW w:w="266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435363"/>
              </w:rPr>
              <w:t>Steve Johnson</w:t>
            </w:r>
          </w:p>
        </w:tc>
        <w:tc>
          <w:tcPr>
            <w:tcW w:w="640" w:type="dxa"/>
            <w:vAlign w:val="bottom"/>
            <w:shd w:val="clear" w:color="auto" w:fill="EDEDED"/>
          </w:tcPr>
          <w:p>
            <w:pPr>
              <w:ind w:left="180"/>
              <w:spacing w:after="0"/>
              <w:rPr>
                <w:sz w:val="20"/>
                <w:szCs w:val="20"/>
                <w:color w:val="auto"/>
              </w:rPr>
            </w:pPr>
            <w:r>
              <w:rPr>
                <w:rFonts w:ascii="Arial" w:cs="Arial" w:eastAsia="Arial" w:hAnsi="Arial"/>
                <w:sz w:val="16"/>
                <w:szCs w:val="16"/>
                <w:color w:val="435363"/>
              </w:rPr>
              <w:t>2023</w:t>
            </w:r>
          </w:p>
        </w:tc>
        <w:tc>
          <w:tcPr>
            <w:tcW w:w="940" w:type="dxa"/>
            <w:vAlign w:val="bottom"/>
            <w:shd w:val="clear" w:color="auto" w:fill="EDEDED"/>
          </w:tcPr>
          <w:p>
            <w:pPr>
              <w:jc w:val="right"/>
              <w:ind w:right="42"/>
              <w:spacing w:after="0"/>
              <w:rPr>
                <w:sz w:val="20"/>
                <w:szCs w:val="20"/>
                <w:color w:val="auto"/>
              </w:rPr>
            </w:pPr>
            <w:r>
              <w:rPr>
                <w:rFonts w:ascii="Arial" w:cs="Arial" w:eastAsia="Arial" w:hAnsi="Arial"/>
                <w:sz w:val="16"/>
                <w:szCs w:val="16"/>
                <w:color w:val="435363"/>
              </w:rPr>
              <w:t>826,346</w:t>
            </w:r>
          </w:p>
        </w:tc>
        <w:tc>
          <w:tcPr>
            <w:tcW w:w="1100" w:type="dxa"/>
            <w:vAlign w:val="bottom"/>
            <w:shd w:val="clear" w:color="auto" w:fill="EDEDED"/>
          </w:tcPr>
          <w:p>
            <w:pPr>
              <w:jc w:val="right"/>
              <w:ind w:right="206"/>
              <w:spacing w:after="0"/>
              <w:rPr>
                <w:sz w:val="20"/>
                <w:szCs w:val="20"/>
                <w:color w:val="auto"/>
              </w:rPr>
            </w:pPr>
            <w:r>
              <w:rPr>
                <w:rFonts w:ascii="Arial" w:cs="Arial" w:eastAsia="Arial" w:hAnsi="Arial"/>
                <w:sz w:val="16"/>
                <w:szCs w:val="16"/>
                <w:color w:val="435363"/>
              </w:rPr>
              <w:t>-</w:t>
            </w:r>
          </w:p>
        </w:tc>
        <w:tc>
          <w:tcPr>
            <w:tcW w:w="1160" w:type="dxa"/>
            <w:vAlign w:val="bottom"/>
            <w:shd w:val="clear" w:color="auto" w:fill="EDEDED"/>
          </w:tcPr>
          <w:p>
            <w:pPr>
              <w:jc w:val="right"/>
              <w:ind w:right="163"/>
              <w:spacing w:after="0"/>
              <w:rPr>
                <w:sz w:val="20"/>
                <w:szCs w:val="20"/>
                <w:color w:val="auto"/>
              </w:rPr>
            </w:pPr>
            <w:r>
              <w:rPr>
                <w:rFonts w:ascii="Arial" w:cs="Arial" w:eastAsia="Arial" w:hAnsi="Arial"/>
                <w:sz w:val="16"/>
                <w:szCs w:val="16"/>
                <w:color w:val="435363"/>
              </w:rPr>
              <w:t>6,046,000</w:t>
            </w:r>
          </w:p>
        </w:tc>
        <w:tc>
          <w:tcPr>
            <w:tcW w:w="1600" w:type="dxa"/>
            <w:vAlign w:val="bottom"/>
            <w:shd w:val="clear" w:color="auto" w:fill="EDEDED"/>
          </w:tcPr>
          <w:p>
            <w:pPr>
              <w:jc w:val="right"/>
              <w:ind w:right="403"/>
              <w:spacing w:after="0"/>
              <w:rPr>
                <w:sz w:val="20"/>
                <w:szCs w:val="20"/>
                <w:color w:val="auto"/>
              </w:rPr>
            </w:pPr>
            <w:r>
              <w:rPr>
                <w:rFonts w:ascii="Arial" w:cs="Arial" w:eastAsia="Arial" w:hAnsi="Arial"/>
                <w:sz w:val="16"/>
                <w:szCs w:val="16"/>
                <w:color w:val="435363"/>
              </w:rPr>
              <w:t>3,270,125</w:t>
            </w:r>
          </w:p>
        </w:tc>
        <w:tc>
          <w:tcPr>
            <w:tcW w:w="1600" w:type="dxa"/>
            <w:vAlign w:val="bottom"/>
            <w:shd w:val="clear" w:color="auto" w:fill="EDEDED"/>
          </w:tcPr>
          <w:p>
            <w:pPr>
              <w:jc w:val="right"/>
              <w:ind w:right="343"/>
              <w:spacing w:after="0"/>
              <w:rPr>
                <w:sz w:val="20"/>
                <w:szCs w:val="20"/>
                <w:color w:val="auto"/>
              </w:rPr>
            </w:pPr>
            <w:r>
              <w:rPr>
                <w:rFonts w:ascii="Arial" w:cs="Arial" w:eastAsia="Arial" w:hAnsi="Arial"/>
                <w:sz w:val="16"/>
                <w:szCs w:val="16"/>
                <w:color w:val="435363"/>
              </w:rPr>
              <w:t>64,613</w:t>
            </w:r>
          </w:p>
        </w:tc>
        <w:tc>
          <w:tcPr>
            <w:tcW w:w="110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10,207,084</w:t>
            </w:r>
          </w:p>
        </w:tc>
      </w:tr>
      <w:tr>
        <w:trPr>
          <w:trHeight w:val="185"/>
        </w:trPr>
        <w:tc>
          <w:tcPr>
            <w:tcW w:w="2660" w:type="dxa"/>
            <w:vAlign w:val="bottom"/>
            <w:shd w:val="clear" w:color="auto" w:fill="EDEDED"/>
          </w:tcPr>
          <w:p>
            <w:pPr>
              <w:ind w:left="60"/>
              <w:spacing w:after="0"/>
              <w:rPr>
                <w:sz w:val="20"/>
                <w:szCs w:val="20"/>
                <w:color w:val="auto"/>
              </w:rPr>
            </w:pPr>
            <w:r>
              <w:rPr>
                <w:rFonts w:ascii="Arial" w:cs="Arial" w:eastAsia="Arial" w:hAnsi="Arial"/>
                <w:sz w:val="16"/>
                <w:szCs w:val="16"/>
                <w:color w:val="435363"/>
              </w:rPr>
              <w:t>Vice Chair and</w:t>
            </w:r>
          </w:p>
        </w:tc>
        <w:tc>
          <w:tcPr>
            <w:tcW w:w="640" w:type="dxa"/>
            <w:vAlign w:val="bottom"/>
            <w:shd w:val="clear" w:color="auto" w:fill="EDEDED"/>
          </w:tcPr>
          <w:p>
            <w:pPr>
              <w:ind w:left="180"/>
              <w:spacing w:after="0"/>
              <w:rPr>
                <w:sz w:val="20"/>
                <w:szCs w:val="20"/>
                <w:color w:val="auto"/>
              </w:rPr>
            </w:pPr>
            <w:r>
              <w:rPr>
                <w:rFonts w:ascii="Arial" w:cs="Arial" w:eastAsia="Arial" w:hAnsi="Arial"/>
                <w:sz w:val="16"/>
                <w:szCs w:val="16"/>
                <w:color w:val="435363"/>
              </w:rPr>
              <w:t>2022</w:t>
            </w:r>
          </w:p>
        </w:tc>
        <w:tc>
          <w:tcPr>
            <w:tcW w:w="940" w:type="dxa"/>
            <w:vAlign w:val="bottom"/>
            <w:shd w:val="clear" w:color="auto" w:fill="EDEDED"/>
          </w:tcPr>
          <w:p>
            <w:pPr>
              <w:jc w:val="right"/>
              <w:ind w:right="42"/>
              <w:spacing w:after="0"/>
              <w:rPr>
                <w:sz w:val="20"/>
                <w:szCs w:val="20"/>
                <w:color w:val="auto"/>
              </w:rPr>
            </w:pPr>
            <w:r>
              <w:rPr>
                <w:rFonts w:ascii="Arial" w:cs="Arial" w:eastAsia="Arial" w:hAnsi="Arial"/>
                <w:sz w:val="16"/>
                <w:szCs w:val="16"/>
                <w:color w:val="435363"/>
              </w:rPr>
              <w:t>735,616</w:t>
            </w:r>
          </w:p>
        </w:tc>
        <w:tc>
          <w:tcPr>
            <w:tcW w:w="1100" w:type="dxa"/>
            <w:vAlign w:val="bottom"/>
            <w:shd w:val="clear" w:color="auto" w:fill="EDEDED"/>
          </w:tcPr>
          <w:p>
            <w:pPr>
              <w:jc w:val="right"/>
              <w:ind w:right="206"/>
              <w:spacing w:after="0"/>
              <w:rPr>
                <w:sz w:val="20"/>
                <w:szCs w:val="20"/>
                <w:color w:val="auto"/>
              </w:rPr>
            </w:pPr>
            <w:r>
              <w:rPr>
                <w:rFonts w:ascii="Arial" w:cs="Arial" w:eastAsia="Arial" w:hAnsi="Arial"/>
                <w:sz w:val="16"/>
                <w:szCs w:val="16"/>
                <w:color w:val="435363"/>
              </w:rPr>
              <w:t>-</w:t>
            </w:r>
          </w:p>
        </w:tc>
        <w:tc>
          <w:tcPr>
            <w:tcW w:w="1160" w:type="dxa"/>
            <w:vAlign w:val="bottom"/>
            <w:shd w:val="clear" w:color="auto" w:fill="EDEDED"/>
          </w:tcPr>
          <w:p>
            <w:pPr>
              <w:jc w:val="right"/>
              <w:ind w:right="163"/>
              <w:spacing w:after="0"/>
              <w:rPr>
                <w:sz w:val="20"/>
                <w:szCs w:val="20"/>
                <w:color w:val="auto"/>
              </w:rPr>
            </w:pPr>
            <w:r>
              <w:rPr>
                <w:rFonts w:ascii="Arial" w:cs="Arial" w:eastAsia="Arial" w:hAnsi="Arial"/>
                <w:sz w:val="16"/>
                <w:szCs w:val="16"/>
                <w:color w:val="435363"/>
              </w:rPr>
              <w:t>2,695,000</w:t>
            </w:r>
          </w:p>
        </w:tc>
        <w:tc>
          <w:tcPr>
            <w:tcW w:w="1600" w:type="dxa"/>
            <w:vAlign w:val="bottom"/>
            <w:shd w:val="clear" w:color="auto" w:fill="EDEDED"/>
          </w:tcPr>
          <w:p>
            <w:pPr>
              <w:jc w:val="right"/>
              <w:ind w:right="403"/>
              <w:spacing w:after="0"/>
              <w:rPr>
                <w:sz w:val="20"/>
                <w:szCs w:val="20"/>
                <w:color w:val="auto"/>
              </w:rPr>
            </w:pPr>
            <w:r>
              <w:rPr>
                <w:rFonts w:ascii="Arial" w:cs="Arial" w:eastAsia="Arial" w:hAnsi="Arial"/>
                <w:sz w:val="16"/>
                <w:szCs w:val="16"/>
                <w:color w:val="435363"/>
              </w:rPr>
              <w:t>-</w:t>
            </w:r>
          </w:p>
        </w:tc>
        <w:tc>
          <w:tcPr>
            <w:tcW w:w="1600" w:type="dxa"/>
            <w:vAlign w:val="bottom"/>
            <w:shd w:val="clear" w:color="auto" w:fill="EDEDED"/>
          </w:tcPr>
          <w:p>
            <w:pPr>
              <w:jc w:val="right"/>
              <w:ind w:right="343"/>
              <w:spacing w:after="0"/>
              <w:rPr>
                <w:sz w:val="20"/>
                <w:szCs w:val="20"/>
                <w:color w:val="auto"/>
              </w:rPr>
            </w:pPr>
            <w:r>
              <w:rPr>
                <w:rFonts w:ascii="Arial" w:cs="Arial" w:eastAsia="Arial" w:hAnsi="Arial"/>
                <w:sz w:val="16"/>
                <w:szCs w:val="16"/>
                <w:color w:val="435363"/>
              </w:rPr>
              <w:t>63,492</w:t>
            </w:r>
          </w:p>
        </w:tc>
        <w:tc>
          <w:tcPr>
            <w:tcW w:w="110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3,494,108</w:t>
            </w:r>
          </w:p>
        </w:tc>
      </w:tr>
      <w:tr>
        <w:trPr>
          <w:trHeight w:val="231"/>
        </w:trPr>
        <w:tc>
          <w:tcPr>
            <w:tcW w:w="26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435363"/>
              </w:rPr>
              <w:t>Chief Strategy Officer</w:t>
            </w:r>
          </w:p>
        </w:tc>
        <w:tc>
          <w:tcPr>
            <w:tcW w:w="640" w:type="dxa"/>
            <w:vAlign w:val="bottom"/>
            <w:tcBorders>
              <w:bottom w:val="single" w:sz="8" w:color="EDEDED"/>
            </w:tcBorders>
            <w:shd w:val="clear" w:color="auto" w:fill="EDEDED"/>
          </w:tcPr>
          <w:p>
            <w:pPr>
              <w:ind w:left="180"/>
              <w:spacing w:after="0"/>
              <w:rPr>
                <w:sz w:val="20"/>
                <w:szCs w:val="20"/>
                <w:color w:val="auto"/>
              </w:rPr>
            </w:pPr>
            <w:r>
              <w:rPr>
                <w:rFonts w:ascii="Arial" w:cs="Arial" w:eastAsia="Arial" w:hAnsi="Arial"/>
                <w:sz w:val="16"/>
                <w:szCs w:val="16"/>
                <w:color w:val="435363"/>
              </w:rPr>
              <w:t>2021</w:t>
            </w:r>
          </w:p>
        </w:tc>
        <w:tc>
          <w:tcPr>
            <w:tcW w:w="940" w:type="dxa"/>
            <w:vAlign w:val="bottom"/>
            <w:tcBorders>
              <w:bottom w:val="single" w:sz="8" w:color="EDEDED"/>
            </w:tcBorders>
            <w:shd w:val="clear" w:color="auto" w:fill="EDEDED"/>
          </w:tcPr>
          <w:p>
            <w:pPr>
              <w:jc w:val="right"/>
              <w:ind w:right="42"/>
              <w:spacing w:after="0"/>
              <w:rPr>
                <w:sz w:val="20"/>
                <w:szCs w:val="20"/>
                <w:color w:val="auto"/>
              </w:rPr>
            </w:pPr>
            <w:r>
              <w:rPr>
                <w:rFonts w:ascii="Arial" w:cs="Arial" w:eastAsia="Arial" w:hAnsi="Arial"/>
                <w:sz w:val="16"/>
                <w:szCs w:val="16"/>
                <w:color w:val="435363"/>
              </w:rPr>
              <w:t>643,624</w:t>
            </w:r>
          </w:p>
        </w:tc>
        <w:tc>
          <w:tcPr>
            <w:tcW w:w="1100" w:type="dxa"/>
            <w:vAlign w:val="bottom"/>
            <w:tcBorders>
              <w:bottom w:val="single" w:sz="8" w:color="EDEDED"/>
            </w:tcBorders>
            <w:shd w:val="clear" w:color="auto" w:fill="EDEDED"/>
          </w:tcPr>
          <w:p>
            <w:pPr>
              <w:jc w:val="right"/>
              <w:ind w:right="206"/>
              <w:spacing w:after="0"/>
              <w:rPr>
                <w:sz w:val="20"/>
                <w:szCs w:val="20"/>
                <w:color w:val="auto"/>
              </w:rPr>
            </w:pPr>
            <w:r>
              <w:rPr>
                <w:rFonts w:ascii="Arial" w:cs="Arial" w:eastAsia="Arial" w:hAnsi="Arial"/>
                <w:sz w:val="16"/>
                <w:szCs w:val="16"/>
                <w:color w:val="435363"/>
              </w:rPr>
              <w:t>-</w:t>
            </w:r>
          </w:p>
        </w:tc>
        <w:tc>
          <w:tcPr>
            <w:tcW w:w="1160" w:type="dxa"/>
            <w:vAlign w:val="bottom"/>
            <w:tcBorders>
              <w:bottom w:val="single" w:sz="8" w:color="EDEDED"/>
            </w:tcBorders>
            <w:shd w:val="clear" w:color="auto" w:fill="EDEDED"/>
          </w:tcPr>
          <w:p>
            <w:pPr>
              <w:jc w:val="right"/>
              <w:ind w:right="163"/>
              <w:spacing w:after="0"/>
              <w:rPr>
                <w:sz w:val="20"/>
                <w:szCs w:val="20"/>
                <w:color w:val="auto"/>
              </w:rPr>
            </w:pPr>
            <w:r>
              <w:rPr>
                <w:rFonts w:ascii="Arial" w:cs="Arial" w:eastAsia="Arial" w:hAnsi="Arial"/>
                <w:sz w:val="16"/>
                <w:szCs w:val="16"/>
                <w:color w:val="435363"/>
              </w:rPr>
              <w:t>2,825,000</w:t>
            </w:r>
          </w:p>
        </w:tc>
        <w:tc>
          <w:tcPr>
            <w:tcW w:w="1600" w:type="dxa"/>
            <w:vAlign w:val="bottom"/>
            <w:tcBorders>
              <w:bottom w:val="single" w:sz="8" w:color="EDEDED"/>
            </w:tcBorders>
            <w:shd w:val="clear" w:color="auto" w:fill="EDEDED"/>
          </w:tcPr>
          <w:p>
            <w:pPr>
              <w:jc w:val="right"/>
              <w:ind w:right="403"/>
              <w:spacing w:after="0"/>
              <w:rPr>
                <w:sz w:val="20"/>
                <w:szCs w:val="20"/>
                <w:color w:val="auto"/>
              </w:rPr>
            </w:pPr>
            <w:r>
              <w:rPr>
                <w:rFonts w:ascii="Arial" w:cs="Arial" w:eastAsia="Arial" w:hAnsi="Arial"/>
                <w:sz w:val="16"/>
                <w:szCs w:val="16"/>
                <w:color w:val="435363"/>
              </w:rPr>
              <w:t>-</w:t>
            </w:r>
          </w:p>
        </w:tc>
        <w:tc>
          <w:tcPr>
            <w:tcW w:w="1600" w:type="dxa"/>
            <w:vAlign w:val="bottom"/>
            <w:tcBorders>
              <w:bottom w:val="single" w:sz="8" w:color="EDEDED"/>
            </w:tcBorders>
            <w:shd w:val="clear" w:color="auto" w:fill="EDEDED"/>
          </w:tcPr>
          <w:p>
            <w:pPr>
              <w:jc w:val="right"/>
              <w:ind w:right="343"/>
              <w:spacing w:after="0"/>
              <w:rPr>
                <w:sz w:val="20"/>
                <w:szCs w:val="20"/>
                <w:color w:val="auto"/>
              </w:rPr>
            </w:pPr>
            <w:r>
              <w:rPr>
                <w:rFonts w:ascii="Arial" w:cs="Arial" w:eastAsia="Arial" w:hAnsi="Arial"/>
                <w:sz w:val="16"/>
                <w:szCs w:val="16"/>
                <w:color w:val="435363"/>
              </w:rPr>
              <w:t>54,701</w:t>
            </w:r>
          </w:p>
        </w:tc>
        <w:tc>
          <w:tcPr>
            <w:tcW w:w="11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3,523,325</w:t>
            </w:r>
          </w:p>
        </w:tc>
      </w:tr>
      <w:tr>
        <w:trPr>
          <w:trHeight w:val="171"/>
        </w:trPr>
        <w:tc>
          <w:tcPr>
            <w:tcW w:w="2660" w:type="dxa"/>
            <w:vAlign w:val="bottom"/>
          </w:tcPr>
          <w:p>
            <w:pPr>
              <w:ind w:left="60"/>
              <w:spacing w:after="0" w:line="171" w:lineRule="exact"/>
              <w:rPr>
                <w:sz w:val="20"/>
                <w:szCs w:val="20"/>
                <w:color w:val="auto"/>
              </w:rPr>
            </w:pPr>
            <w:r>
              <w:rPr>
                <w:rFonts w:ascii="Arial" w:cs="Arial" w:eastAsia="Arial" w:hAnsi="Arial"/>
                <w:sz w:val="16"/>
                <w:szCs w:val="16"/>
                <w:b w:val="1"/>
                <w:bCs w:val="1"/>
                <w:color w:val="435363"/>
              </w:rPr>
              <w:t>Priya Aiyar</w:t>
            </w:r>
          </w:p>
        </w:tc>
        <w:tc>
          <w:tcPr>
            <w:tcW w:w="640" w:type="dxa"/>
            <w:vAlign w:val="bottom"/>
          </w:tcPr>
          <w:p>
            <w:pPr>
              <w:ind w:left="180"/>
              <w:spacing w:after="0" w:line="171" w:lineRule="exact"/>
              <w:rPr>
                <w:sz w:val="20"/>
                <w:szCs w:val="20"/>
                <w:color w:val="auto"/>
              </w:rPr>
            </w:pPr>
            <w:r>
              <w:rPr>
                <w:rFonts w:ascii="Arial" w:cs="Arial" w:eastAsia="Arial" w:hAnsi="Arial"/>
                <w:sz w:val="16"/>
                <w:szCs w:val="16"/>
                <w:color w:val="435363"/>
              </w:rPr>
              <w:t>2023</w:t>
            </w:r>
          </w:p>
        </w:tc>
        <w:tc>
          <w:tcPr>
            <w:tcW w:w="940" w:type="dxa"/>
            <w:vAlign w:val="bottom"/>
          </w:tcPr>
          <w:p>
            <w:pPr>
              <w:jc w:val="right"/>
              <w:ind w:right="42"/>
              <w:spacing w:after="0" w:line="171" w:lineRule="exact"/>
              <w:rPr>
                <w:sz w:val="20"/>
                <w:szCs w:val="20"/>
                <w:color w:val="auto"/>
              </w:rPr>
            </w:pPr>
            <w:r>
              <w:rPr>
                <w:rFonts w:ascii="Arial" w:cs="Arial" w:eastAsia="Arial" w:hAnsi="Arial"/>
                <w:sz w:val="16"/>
                <w:szCs w:val="16"/>
                <w:color w:val="435363"/>
              </w:rPr>
              <w:t>693,250</w:t>
            </w:r>
          </w:p>
        </w:tc>
        <w:tc>
          <w:tcPr>
            <w:tcW w:w="1100" w:type="dxa"/>
            <w:vAlign w:val="bottom"/>
          </w:tcPr>
          <w:p>
            <w:pPr>
              <w:jc w:val="right"/>
              <w:ind w:right="46"/>
              <w:spacing w:after="0" w:line="171" w:lineRule="exact"/>
              <w:rPr>
                <w:sz w:val="20"/>
                <w:szCs w:val="20"/>
                <w:color w:val="auto"/>
              </w:rPr>
            </w:pPr>
            <w:r>
              <w:rPr>
                <w:rFonts w:ascii="Arial" w:cs="Arial" w:eastAsia="Arial" w:hAnsi="Arial"/>
                <w:sz w:val="13"/>
                <w:szCs w:val="13"/>
                <w:color w:val="435363"/>
              </w:rPr>
              <w:t>1,185,069</w:t>
            </w:r>
            <w:r>
              <w:rPr>
                <w:rFonts w:ascii="Arial" w:cs="Arial" w:eastAsia="Arial" w:hAnsi="Arial"/>
                <w:sz w:val="19"/>
                <w:szCs w:val="19"/>
                <w:color w:val="435363"/>
                <w:vertAlign w:val="superscript"/>
              </w:rPr>
              <w:t>(e)</w:t>
            </w:r>
          </w:p>
        </w:tc>
        <w:tc>
          <w:tcPr>
            <w:tcW w:w="1160" w:type="dxa"/>
            <w:vAlign w:val="bottom"/>
          </w:tcPr>
          <w:p>
            <w:pPr>
              <w:jc w:val="right"/>
              <w:ind w:right="163"/>
              <w:spacing w:after="0" w:line="171" w:lineRule="exact"/>
              <w:rPr>
                <w:sz w:val="20"/>
                <w:szCs w:val="20"/>
                <w:color w:val="auto"/>
              </w:rPr>
            </w:pPr>
            <w:r>
              <w:rPr>
                <w:rFonts w:ascii="Arial" w:cs="Arial" w:eastAsia="Arial" w:hAnsi="Arial"/>
                <w:sz w:val="16"/>
                <w:szCs w:val="16"/>
                <w:color w:val="435363"/>
              </w:rPr>
              <w:t>3,101,000</w:t>
            </w:r>
          </w:p>
        </w:tc>
        <w:tc>
          <w:tcPr>
            <w:tcW w:w="1600" w:type="dxa"/>
            <w:vAlign w:val="bottom"/>
          </w:tcPr>
          <w:p>
            <w:pPr>
              <w:jc w:val="right"/>
              <w:ind w:right="403"/>
              <w:spacing w:after="0" w:line="171" w:lineRule="exact"/>
              <w:rPr>
                <w:sz w:val="20"/>
                <w:szCs w:val="20"/>
                <w:color w:val="auto"/>
              </w:rPr>
            </w:pPr>
            <w:r>
              <w:rPr>
                <w:rFonts w:ascii="Arial" w:cs="Arial" w:eastAsia="Arial" w:hAnsi="Arial"/>
                <w:sz w:val="16"/>
                <w:szCs w:val="16"/>
                <w:color w:val="435363"/>
              </w:rPr>
              <w:t>2,729,908</w:t>
            </w:r>
          </w:p>
        </w:tc>
        <w:tc>
          <w:tcPr>
            <w:tcW w:w="1600" w:type="dxa"/>
            <w:vAlign w:val="bottom"/>
          </w:tcPr>
          <w:p>
            <w:pPr>
              <w:jc w:val="right"/>
              <w:ind w:right="343"/>
              <w:spacing w:after="0" w:line="171" w:lineRule="exact"/>
              <w:rPr>
                <w:sz w:val="20"/>
                <w:szCs w:val="20"/>
                <w:color w:val="auto"/>
              </w:rPr>
            </w:pPr>
            <w:r>
              <w:rPr>
                <w:rFonts w:ascii="Arial" w:cs="Arial" w:eastAsia="Arial" w:hAnsi="Arial"/>
                <w:sz w:val="16"/>
                <w:szCs w:val="16"/>
                <w:color w:val="435363"/>
              </w:rPr>
              <w:t>47,838</w:t>
            </w:r>
          </w:p>
        </w:tc>
        <w:tc>
          <w:tcPr>
            <w:tcW w:w="1100" w:type="dxa"/>
            <w:vAlign w:val="bottom"/>
          </w:tcPr>
          <w:p>
            <w:pPr>
              <w:jc w:val="right"/>
              <w:spacing w:after="0" w:line="171" w:lineRule="exact"/>
              <w:rPr>
                <w:sz w:val="20"/>
                <w:szCs w:val="20"/>
                <w:color w:val="auto"/>
              </w:rPr>
            </w:pPr>
            <w:r>
              <w:rPr>
                <w:rFonts w:ascii="Arial" w:cs="Arial" w:eastAsia="Arial" w:hAnsi="Arial"/>
                <w:sz w:val="16"/>
                <w:szCs w:val="16"/>
                <w:color w:val="435363"/>
              </w:rPr>
              <w:t>7,757,065</w:t>
            </w:r>
          </w:p>
        </w:tc>
      </w:tr>
      <w:tr>
        <w:trPr>
          <w:trHeight w:val="185"/>
        </w:trPr>
        <w:tc>
          <w:tcPr>
            <w:tcW w:w="2660" w:type="dxa"/>
            <w:vAlign w:val="bottom"/>
          </w:tcPr>
          <w:p>
            <w:pPr>
              <w:ind w:left="60"/>
              <w:spacing w:after="0"/>
              <w:rPr>
                <w:sz w:val="20"/>
                <w:szCs w:val="20"/>
                <w:color w:val="auto"/>
              </w:rPr>
            </w:pPr>
            <w:r>
              <w:rPr>
                <w:rFonts w:ascii="Arial" w:cs="Arial" w:eastAsia="Arial" w:hAnsi="Arial"/>
                <w:sz w:val="16"/>
                <w:szCs w:val="16"/>
                <w:color w:val="435363"/>
              </w:rPr>
              <w:t>Executive Vice President and Chief</w:t>
            </w: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2660" w:type="dxa"/>
            <w:vAlign w:val="bottom"/>
          </w:tcPr>
          <w:p>
            <w:pPr>
              <w:ind w:left="60"/>
              <w:spacing w:after="0"/>
              <w:rPr>
                <w:sz w:val="20"/>
                <w:szCs w:val="20"/>
                <w:color w:val="auto"/>
              </w:rPr>
            </w:pPr>
            <w:r>
              <w:rPr>
                <w:rFonts w:ascii="Arial" w:cs="Arial" w:eastAsia="Arial" w:hAnsi="Arial"/>
                <w:sz w:val="16"/>
                <w:szCs w:val="16"/>
                <w:color w:val="435363"/>
              </w:rPr>
              <w:t>Legal Officer</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56"/>
        </w:trPr>
        <w:tc>
          <w:tcPr>
            <w:tcW w:w="2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12"/>
        </w:trPr>
        <w:tc>
          <w:tcPr>
            <w:tcW w:w="266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435363"/>
              </w:rPr>
              <w:t>Devon May</w:t>
            </w:r>
          </w:p>
        </w:tc>
        <w:tc>
          <w:tcPr>
            <w:tcW w:w="640" w:type="dxa"/>
            <w:vAlign w:val="bottom"/>
            <w:shd w:val="clear" w:color="auto" w:fill="EDEDED"/>
          </w:tcPr>
          <w:p>
            <w:pPr>
              <w:ind w:left="180"/>
              <w:spacing w:after="0"/>
              <w:rPr>
                <w:sz w:val="20"/>
                <w:szCs w:val="20"/>
                <w:color w:val="auto"/>
              </w:rPr>
            </w:pPr>
            <w:r>
              <w:rPr>
                <w:rFonts w:ascii="Arial" w:cs="Arial" w:eastAsia="Arial" w:hAnsi="Arial"/>
                <w:sz w:val="16"/>
                <w:szCs w:val="16"/>
                <w:color w:val="435363"/>
              </w:rPr>
              <w:t>2023</w:t>
            </w:r>
          </w:p>
        </w:tc>
        <w:tc>
          <w:tcPr>
            <w:tcW w:w="940" w:type="dxa"/>
            <w:vAlign w:val="bottom"/>
            <w:shd w:val="clear" w:color="auto" w:fill="EDEDED"/>
          </w:tcPr>
          <w:p>
            <w:pPr>
              <w:jc w:val="right"/>
              <w:ind w:right="42"/>
              <w:spacing w:after="0"/>
              <w:rPr>
                <w:sz w:val="20"/>
                <w:szCs w:val="20"/>
                <w:color w:val="auto"/>
              </w:rPr>
            </w:pPr>
            <w:r>
              <w:rPr>
                <w:rFonts w:ascii="Arial" w:cs="Arial" w:eastAsia="Arial" w:hAnsi="Arial"/>
                <w:sz w:val="16"/>
                <w:szCs w:val="16"/>
                <w:color w:val="435363"/>
              </w:rPr>
              <w:t>738,075</w:t>
            </w:r>
          </w:p>
        </w:tc>
        <w:tc>
          <w:tcPr>
            <w:tcW w:w="1100" w:type="dxa"/>
            <w:vAlign w:val="bottom"/>
            <w:shd w:val="clear" w:color="auto" w:fill="EDEDED"/>
          </w:tcPr>
          <w:p>
            <w:pPr>
              <w:jc w:val="right"/>
              <w:ind w:right="46"/>
              <w:spacing w:after="0" w:line="212" w:lineRule="exact"/>
              <w:rPr>
                <w:sz w:val="20"/>
                <w:szCs w:val="20"/>
                <w:color w:val="auto"/>
              </w:rPr>
            </w:pPr>
            <w:r>
              <w:rPr>
                <w:rFonts w:ascii="Arial" w:cs="Arial" w:eastAsia="Arial" w:hAnsi="Arial"/>
                <w:sz w:val="16"/>
                <w:szCs w:val="16"/>
                <w:color w:val="435363"/>
              </w:rPr>
              <w:t>2,445,527</w:t>
            </w:r>
            <w:r>
              <w:rPr>
                <w:rFonts w:ascii="Arial" w:cs="Arial" w:eastAsia="Arial" w:hAnsi="Arial"/>
                <w:sz w:val="23"/>
                <w:szCs w:val="23"/>
                <w:color w:val="435363"/>
                <w:vertAlign w:val="superscript"/>
              </w:rPr>
              <w:t>(e)</w:t>
            </w:r>
          </w:p>
        </w:tc>
        <w:tc>
          <w:tcPr>
            <w:tcW w:w="1160" w:type="dxa"/>
            <w:vAlign w:val="bottom"/>
            <w:shd w:val="clear" w:color="auto" w:fill="EDEDED"/>
          </w:tcPr>
          <w:p>
            <w:pPr>
              <w:jc w:val="right"/>
              <w:ind w:right="163"/>
              <w:spacing w:after="0"/>
              <w:rPr>
                <w:sz w:val="20"/>
                <w:szCs w:val="20"/>
                <w:color w:val="auto"/>
              </w:rPr>
            </w:pPr>
            <w:r>
              <w:rPr>
                <w:rFonts w:ascii="Arial" w:cs="Arial" w:eastAsia="Arial" w:hAnsi="Arial"/>
                <w:sz w:val="16"/>
                <w:szCs w:val="16"/>
                <w:color w:val="435363"/>
              </w:rPr>
              <w:t>2,360,000</w:t>
            </w:r>
          </w:p>
        </w:tc>
        <w:tc>
          <w:tcPr>
            <w:tcW w:w="1600" w:type="dxa"/>
            <w:vAlign w:val="bottom"/>
            <w:shd w:val="clear" w:color="auto" w:fill="EDEDED"/>
          </w:tcPr>
          <w:p>
            <w:pPr>
              <w:jc w:val="right"/>
              <w:ind w:right="403"/>
              <w:spacing w:after="0"/>
              <w:rPr>
                <w:sz w:val="20"/>
                <w:szCs w:val="20"/>
                <w:color w:val="auto"/>
              </w:rPr>
            </w:pPr>
            <w:r>
              <w:rPr>
                <w:rFonts w:ascii="Arial" w:cs="Arial" w:eastAsia="Arial" w:hAnsi="Arial"/>
                <w:sz w:val="16"/>
                <w:szCs w:val="16"/>
                <w:color w:val="435363"/>
              </w:rPr>
              <w:t>2,340,912</w:t>
            </w:r>
          </w:p>
        </w:tc>
        <w:tc>
          <w:tcPr>
            <w:tcW w:w="1600" w:type="dxa"/>
            <w:vAlign w:val="bottom"/>
            <w:shd w:val="clear" w:color="auto" w:fill="EDEDED"/>
          </w:tcPr>
          <w:p>
            <w:pPr>
              <w:jc w:val="right"/>
              <w:ind w:right="343"/>
              <w:spacing w:after="0"/>
              <w:rPr>
                <w:sz w:val="20"/>
                <w:szCs w:val="20"/>
                <w:color w:val="auto"/>
              </w:rPr>
            </w:pPr>
            <w:r>
              <w:rPr>
                <w:rFonts w:ascii="Arial" w:cs="Arial" w:eastAsia="Arial" w:hAnsi="Arial"/>
                <w:sz w:val="16"/>
                <w:szCs w:val="16"/>
                <w:color w:val="435363"/>
              </w:rPr>
              <w:t>53,788</w:t>
            </w:r>
          </w:p>
        </w:tc>
        <w:tc>
          <w:tcPr>
            <w:tcW w:w="110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7,938,302</w:t>
            </w:r>
          </w:p>
        </w:tc>
      </w:tr>
      <w:tr>
        <w:trPr>
          <w:trHeight w:val="171"/>
        </w:trPr>
        <w:tc>
          <w:tcPr>
            <w:tcW w:w="2660" w:type="dxa"/>
            <w:vAlign w:val="bottom"/>
            <w:shd w:val="clear" w:color="auto" w:fill="EDEDED"/>
          </w:tcPr>
          <w:p>
            <w:pPr>
              <w:ind w:left="60"/>
              <w:spacing w:after="0" w:line="171" w:lineRule="exact"/>
              <w:rPr>
                <w:sz w:val="20"/>
                <w:szCs w:val="20"/>
                <w:color w:val="auto"/>
              </w:rPr>
            </w:pPr>
            <w:r>
              <w:rPr>
                <w:rFonts w:ascii="Arial" w:cs="Arial" w:eastAsia="Arial" w:hAnsi="Arial"/>
                <w:sz w:val="16"/>
                <w:szCs w:val="16"/>
                <w:color w:val="435363"/>
              </w:rPr>
              <w:t>Executive Vice President and Chief</w:t>
            </w:r>
          </w:p>
        </w:tc>
        <w:tc>
          <w:tcPr>
            <w:tcW w:w="640" w:type="dxa"/>
            <w:vAlign w:val="bottom"/>
            <w:shd w:val="clear" w:color="auto" w:fill="EDEDED"/>
          </w:tcPr>
          <w:p>
            <w:pPr>
              <w:spacing w:after="0"/>
              <w:rPr>
                <w:sz w:val="14"/>
                <w:szCs w:val="14"/>
                <w:color w:val="auto"/>
              </w:rPr>
            </w:pPr>
          </w:p>
        </w:tc>
        <w:tc>
          <w:tcPr>
            <w:tcW w:w="940" w:type="dxa"/>
            <w:vAlign w:val="bottom"/>
            <w:shd w:val="clear" w:color="auto" w:fill="EDEDED"/>
          </w:tcPr>
          <w:p>
            <w:pPr>
              <w:spacing w:after="0"/>
              <w:rPr>
                <w:sz w:val="14"/>
                <w:szCs w:val="14"/>
                <w:color w:val="auto"/>
              </w:rPr>
            </w:pPr>
          </w:p>
        </w:tc>
        <w:tc>
          <w:tcPr>
            <w:tcW w:w="1100" w:type="dxa"/>
            <w:vAlign w:val="bottom"/>
            <w:shd w:val="clear" w:color="auto" w:fill="EDEDED"/>
          </w:tcPr>
          <w:p>
            <w:pPr>
              <w:spacing w:after="0"/>
              <w:rPr>
                <w:sz w:val="14"/>
                <w:szCs w:val="14"/>
                <w:color w:val="auto"/>
              </w:rPr>
            </w:pPr>
          </w:p>
        </w:tc>
        <w:tc>
          <w:tcPr>
            <w:tcW w:w="1160" w:type="dxa"/>
            <w:vAlign w:val="bottom"/>
            <w:shd w:val="clear" w:color="auto" w:fill="EDEDED"/>
          </w:tcPr>
          <w:p>
            <w:pPr>
              <w:spacing w:after="0"/>
              <w:rPr>
                <w:sz w:val="14"/>
                <w:szCs w:val="14"/>
                <w:color w:val="auto"/>
              </w:rPr>
            </w:pPr>
          </w:p>
        </w:tc>
        <w:tc>
          <w:tcPr>
            <w:tcW w:w="1600" w:type="dxa"/>
            <w:vAlign w:val="bottom"/>
            <w:shd w:val="clear" w:color="auto" w:fill="EDEDED"/>
          </w:tcPr>
          <w:p>
            <w:pPr>
              <w:spacing w:after="0"/>
              <w:rPr>
                <w:sz w:val="14"/>
                <w:szCs w:val="14"/>
                <w:color w:val="auto"/>
              </w:rPr>
            </w:pPr>
          </w:p>
        </w:tc>
        <w:tc>
          <w:tcPr>
            <w:tcW w:w="1600" w:type="dxa"/>
            <w:vAlign w:val="bottom"/>
            <w:shd w:val="clear" w:color="auto" w:fill="EDEDED"/>
          </w:tcPr>
          <w:p>
            <w:pPr>
              <w:spacing w:after="0"/>
              <w:rPr>
                <w:sz w:val="14"/>
                <w:szCs w:val="14"/>
                <w:color w:val="auto"/>
              </w:rPr>
            </w:pPr>
          </w:p>
        </w:tc>
        <w:tc>
          <w:tcPr>
            <w:tcW w:w="1100" w:type="dxa"/>
            <w:vAlign w:val="bottom"/>
            <w:shd w:val="clear" w:color="auto" w:fill="EDEDED"/>
          </w:tcPr>
          <w:p>
            <w:pPr>
              <w:spacing w:after="0"/>
              <w:rPr>
                <w:sz w:val="14"/>
                <w:szCs w:val="14"/>
                <w:color w:val="auto"/>
              </w:rPr>
            </w:pPr>
          </w:p>
        </w:tc>
      </w:tr>
      <w:tr>
        <w:trPr>
          <w:trHeight w:val="246"/>
        </w:trPr>
        <w:tc>
          <w:tcPr>
            <w:tcW w:w="26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435363"/>
              </w:rPr>
              <w:t>Financial Officer</w:t>
            </w:r>
          </w:p>
        </w:tc>
        <w:tc>
          <w:tcPr>
            <w:tcW w:w="640" w:type="dxa"/>
            <w:vAlign w:val="bottom"/>
            <w:tcBorders>
              <w:bottom w:val="single" w:sz="8" w:color="EDEDED"/>
            </w:tcBorders>
            <w:shd w:val="clear" w:color="auto" w:fill="EDEDED"/>
          </w:tcPr>
          <w:p>
            <w:pPr>
              <w:spacing w:after="0"/>
              <w:rPr>
                <w:sz w:val="21"/>
                <w:szCs w:val="21"/>
                <w:color w:val="auto"/>
              </w:rPr>
            </w:pPr>
          </w:p>
        </w:tc>
        <w:tc>
          <w:tcPr>
            <w:tcW w:w="940" w:type="dxa"/>
            <w:vAlign w:val="bottom"/>
            <w:tcBorders>
              <w:bottom w:val="single" w:sz="8" w:color="EDEDED"/>
            </w:tcBorders>
            <w:shd w:val="clear" w:color="auto" w:fill="EDEDED"/>
          </w:tcPr>
          <w:p>
            <w:pPr>
              <w:spacing w:after="0"/>
              <w:rPr>
                <w:sz w:val="21"/>
                <w:szCs w:val="21"/>
                <w:color w:val="auto"/>
              </w:rPr>
            </w:pPr>
          </w:p>
        </w:tc>
        <w:tc>
          <w:tcPr>
            <w:tcW w:w="1100" w:type="dxa"/>
            <w:vAlign w:val="bottom"/>
            <w:tcBorders>
              <w:bottom w:val="single" w:sz="8" w:color="EDEDED"/>
            </w:tcBorders>
            <w:shd w:val="clear" w:color="auto" w:fill="EDEDED"/>
          </w:tcPr>
          <w:p>
            <w:pPr>
              <w:spacing w:after="0"/>
              <w:rPr>
                <w:sz w:val="21"/>
                <w:szCs w:val="21"/>
                <w:color w:val="auto"/>
              </w:rPr>
            </w:pPr>
          </w:p>
        </w:tc>
        <w:tc>
          <w:tcPr>
            <w:tcW w:w="1160" w:type="dxa"/>
            <w:vAlign w:val="bottom"/>
            <w:tcBorders>
              <w:bottom w:val="single" w:sz="8" w:color="EDEDED"/>
            </w:tcBorders>
            <w:shd w:val="clear" w:color="auto" w:fill="EDEDED"/>
          </w:tcPr>
          <w:p>
            <w:pPr>
              <w:spacing w:after="0"/>
              <w:rPr>
                <w:sz w:val="21"/>
                <w:szCs w:val="21"/>
                <w:color w:val="auto"/>
              </w:rPr>
            </w:pPr>
          </w:p>
        </w:tc>
        <w:tc>
          <w:tcPr>
            <w:tcW w:w="1600" w:type="dxa"/>
            <w:vAlign w:val="bottom"/>
            <w:tcBorders>
              <w:bottom w:val="single" w:sz="8" w:color="EDEDED"/>
            </w:tcBorders>
            <w:shd w:val="clear" w:color="auto" w:fill="EDEDED"/>
          </w:tcPr>
          <w:p>
            <w:pPr>
              <w:spacing w:after="0"/>
              <w:rPr>
                <w:sz w:val="21"/>
                <w:szCs w:val="21"/>
                <w:color w:val="auto"/>
              </w:rPr>
            </w:pPr>
          </w:p>
        </w:tc>
        <w:tc>
          <w:tcPr>
            <w:tcW w:w="1600" w:type="dxa"/>
            <w:vAlign w:val="bottom"/>
            <w:tcBorders>
              <w:bottom w:val="single" w:sz="8" w:color="EDEDED"/>
            </w:tcBorders>
            <w:shd w:val="clear" w:color="auto" w:fill="EDEDED"/>
          </w:tcPr>
          <w:p>
            <w:pPr>
              <w:spacing w:after="0"/>
              <w:rPr>
                <w:sz w:val="21"/>
                <w:szCs w:val="21"/>
                <w:color w:val="auto"/>
              </w:rPr>
            </w:pPr>
          </w:p>
        </w:tc>
        <w:tc>
          <w:tcPr>
            <w:tcW w:w="1100" w:type="dxa"/>
            <w:vAlign w:val="bottom"/>
            <w:tcBorders>
              <w:bottom w:val="single" w:sz="8" w:color="EDEDED"/>
            </w:tcBorders>
            <w:shd w:val="clear" w:color="auto" w:fill="EDEDED"/>
          </w:tcPr>
          <w:p>
            <w:pPr>
              <w:spacing w:after="0"/>
              <w:rPr>
                <w:sz w:val="21"/>
                <w:szCs w:val="21"/>
                <w:color w:val="auto"/>
              </w:rPr>
            </w:pPr>
          </w:p>
        </w:tc>
      </w:tr>
      <w:tr>
        <w:trPr>
          <w:trHeight w:val="171"/>
        </w:trPr>
        <w:tc>
          <w:tcPr>
            <w:tcW w:w="2660" w:type="dxa"/>
            <w:vAlign w:val="bottom"/>
          </w:tcPr>
          <w:p>
            <w:pPr>
              <w:ind w:left="60"/>
              <w:spacing w:after="0" w:line="171" w:lineRule="exact"/>
              <w:rPr>
                <w:sz w:val="20"/>
                <w:szCs w:val="20"/>
                <w:color w:val="auto"/>
              </w:rPr>
            </w:pPr>
            <w:r>
              <w:rPr>
                <w:rFonts w:ascii="Arial" w:cs="Arial" w:eastAsia="Arial" w:hAnsi="Arial"/>
                <w:sz w:val="16"/>
                <w:szCs w:val="16"/>
                <w:b w:val="1"/>
                <w:bCs w:val="1"/>
                <w:color w:val="435363"/>
              </w:rPr>
              <w:t>Vasu Raja</w:t>
            </w:r>
          </w:p>
        </w:tc>
        <w:tc>
          <w:tcPr>
            <w:tcW w:w="640" w:type="dxa"/>
            <w:vAlign w:val="bottom"/>
          </w:tcPr>
          <w:p>
            <w:pPr>
              <w:ind w:left="180"/>
              <w:spacing w:after="0" w:line="171" w:lineRule="exact"/>
              <w:rPr>
                <w:sz w:val="20"/>
                <w:szCs w:val="20"/>
                <w:color w:val="auto"/>
              </w:rPr>
            </w:pPr>
            <w:r>
              <w:rPr>
                <w:rFonts w:ascii="Arial" w:cs="Arial" w:eastAsia="Arial" w:hAnsi="Arial"/>
                <w:sz w:val="16"/>
                <w:szCs w:val="16"/>
                <w:color w:val="435363"/>
              </w:rPr>
              <w:t>2023</w:t>
            </w:r>
          </w:p>
        </w:tc>
        <w:tc>
          <w:tcPr>
            <w:tcW w:w="940" w:type="dxa"/>
            <w:vAlign w:val="bottom"/>
          </w:tcPr>
          <w:p>
            <w:pPr>
              <w:jc w:val="right"/>
              <w:ind w:right="42"/>
              <w:spacing w:after="0" w:line="171" w:lineRule="exact"/>
              <w:rPr>
                <w:sz w:val="20"/>
                <w:szCs w:val="20"/>
                <w:color w:val="auto"/>
              </w:rPr>
            </w:pPr>
            <w:r>
              <w:rPr>
                <w:rFonts w:ascii="Arial" w:cs="Arial" w:eastAsia="Arial" w:hAnsi="Arial"/>
                <w:sz w:val="16"/>
                <w:szCs w:val="16"/>
                <w:color w:val="435363"/>
              </w:rPr>
              <w:t>731,250</w:t>
            </w:r>
          </w:p>
        </w:tc>
        <w:tc>
          <w:tcPr>
            <w:tcW w:w="1100" w:type="dxa"/>
            <w:vAlign w:val="bottom"/>
          </w:tcPr>
          <w:p>
            <w:pPr>
              <w:jc w:val="right"/>
              <w:ind w:right="46"/>
              <w:spacing w:after="0" w:line="171" w:lineRule="exact"/>
              <w:rPr>
                <w:sz w:val="20"/>
                <w:szCs w:val="20"/>
                <w:color w:val="auto"/>
              </w:rPr>
            </w:pPr>
            <w:r>
              <w:rPr>
                <w:rFonts w:ascii="Arial" w:cs="Arial" w:eastAsia="Arial" w:hAnsi="Arial"/>
                <w:sz w:val="13"/>
                <w:szCs w:val="13"/>
                <w:color w:val="435363"/>
              </w:rPr>
              <w:t>4,468,169</w:t>
            </w:r>
            <w:r>
              <w:rPr>
                <w:rFonts w:ascii="Arial" w:cs="Arial" w:eastAsia="Arial" w:hAnsi="Arial"/>
                <w:sz w:val="19"/>
                <w:szCs w:val="19"/>
                <w:color w:val="435363"/>
                <w:vertAlign w:val="superscript"/>
              </w:rPr>
              <w:t>(e)</w:t>
            </w:r>
          </w:p>
        </w:tc>
        <w:tc>
          <w:tcPr>
            <w:tcW w:w="1160" w:type="dxa"/>
            <w:vAlign w:val="bottom"/>
          </w:tcPr>
          <w:p>
            <w:pPr>
              <w:jc w:val="right"/>
              <w:ind w:right="163"/>
              <w:spacing w:after="0" w:line="171" w:lineRule="exact"/>
              <w:rPr>
                <w:sz w:val="20"/>
                <w:szCs w:val="20"/>
                <w:color w:val="auto"/>
              </w:rPr>
            </w:pPr>
            <w:r>
              <w:rPr>
                <w:rFonts w:ascii="Arial" w:cs="Arial" w:eastAsia="Arial" w:hAnsi="Arial"/>
                <w:sz w:val="16"/>
                <w:szCs w:val="16"/>
                <w:color w:val="435363"/>
              </w:rPr>
              <w:t>4,073,000</w:t>
            </w:r>
          </w:p>
        </w:tc>
        <w:tc>
          <w:tcPr>
            <w:tcW w:w="1600" w:type="dxa"/>
            <w:vAlign w:val="bottom"/>
          </w:tcPr>
          <w:p>
            <w:pPr>
              <w:jc w:val="right"/>
              <w:ind w:right="403"/>
              <w:spacing w:after="0" w:line="171" w:lineRule="exact"/>
              <w:rPr>
                <w:sz w:val="20"/>
                <w:szCs w:val="20"/>
                <w:color w:val="auto"/>
              </w:rPr>
            </w:pPr>
            <w:r>
              <w:rPr>
                <w:rFonts w:ascii="Arial" w:cs="Arial" w:eastAsia="Arial" w:hAnsi="Arial"/>
                <w:sz w:val="16"/>
                <w:szCs w:val="16"/>
                <w:color w:val="435363"/>
              </w:rPr>
              <w:t>2,898,190</w:t>
            </w:r>
          </w:p>
        </w:tc>
        <w:tc>
          <w:tcPr>
            <w:tcW w:w="1600" w:type="dxa"/>
            <w:vAlign w:val="bottom"/>
          </w:tcPr>
          <w:p>
            <w:pPr>
              <w:jc w:val="right"/>
              <w:ind w:right="343"/>
              <w:spacing w:after="0" w:line="171" w:lineRule="exact"/>
              <w:rPr>
                <w:sz w:val="20"/>
                <w:szCs w:val="20"/>
                <w:color w:val="auto"/>
              </w:rPr>
            </w:pPr>
            <w:r>
              <w:rPr>
                <w:rFonts w:ascii="Arial" w:cs="Arial" w:eastAsia="Arial" w:hAnsi="Arial"/>
                <w:sz w:val="16"/>
                <w:szCs w:val="16"/>
                <w:color w:val="435363"/>
              </w:rPr>
              <w:t>47,425</w:t>
            </w:r>
          </w:p>
        </w:tc>
        <w:tc>
          <w:tcPr>
            <w:tcW w:w="1100" w:type="dxa"/>
            <w:vAlign w:val="bottom"/>
          </w:tcPr>
          <w:p>
            <w:pPr>
              <w:jc w:val="right"/>
              <w:spacing w:after="0" w:line="171" w:lineRule="exact"/>
              <w:rPr>
                <w:sz w:val="20"/>
                <w:szCs w:val="20"/>
                <w:color w:val="auto"/>
              </w:rPr>
            </w:pPr>
            <w:r>
              <w:rPr>
                <w:rFonts w:ascii="Arial" w:cs="Arial" w:eastAsia="Arial" w:hAnsi="Arial"/>
                <w:sz w:val="16"/>
                <w:szCs w:val="16"/>
                <w:color w:val="435363"/>
              </w:rPr>
              <w:t>12,218,034</w:t>
            </w:r>
          </w:p>
        </w:tc>
      </w:tr>
      <w:tr>
        <w:trPr>
          <w:trHeight w:val="185"/>
        </w:trPr>
        <w:tc>
          <w:tcPr>
            <w:tcW w:w="2660" w:type="dxa"/>
            <w:vAlign w:val="bottom"/>
          </w:tcPr>
          <w:p>
            <w:pPr>
              <w:ind w:left="60"/>
              <w:spacing w:after="0"/>
              <w:rPr>
                <w:sz w:val="20"/>
                <w:szCs w:val="20"/>
                <w:color w:val="auto"/>
              </w:rPr>
            </w:pPr>
            <w:r>
              <w:rPr>
                <w:rFonts w:ascii="Arial" w:cs="Arial" w:eastAsia="Arial" w:hAnsi="Arial"/>
                <w:sz w:val="16"/>
                <w:szCs w:val="16"/>
                <w:color w:val="435363"/>
              </w:rPr>
              <w:t>Executive Vice President and Chief</w:t>
            </w: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2660" w:type="dxa"/>
            <w:vAlign w:val="bottom"/>
          </w:tcPr>
          <w:p>
            <w:pPr>
              <w:ind w:left="60"/>
              <w:spacing w:after="0"/>
              <w:rPr>
                <w:sz w:val="20"/>
                <w:szCs w:val="20"/>
                <w:color w:val="auto"/>
              </w:rPr>
            </w:pPr>
            <w:r>
              <w:rPr>
                <w:rFonts w:ascii="Arial" w:cs="Arial" w:eastAsia="Arial" w:hAnsi="Arial"/>
                <w:sz w:val="16"/>
                <w:szCs w:val="16"/>
                <w:color w:val="435363"/>
              </w:rPr>
              <w:t>Commercial Officer</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35560</wp:posOffset>
            </wp:positionV>
            <wp:extent cx="68573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111" w:lineRule="exact"/>
        <w:rPr>
          <w:sz w:val="20"/>
          <w:szCs w:val="20"/>
          <w:color w:val="auto"/>
        </w:rPr>
      </w:pPr>
    </w:p>
    <w:p>
      <w:pPr>
        <w:ind w:left="640" w:hanging="416"/>
        <w:spacing w:after="0"/>
        <w:tabs>
          <w:tab w:leader="none" w:pos="640" w:val="left"/>
        </w:tabs>
        <w:numPr>
          <w:ilvl w:val="0"/>
          <w:numId w:val="49"/>
        </w:numPr>
        <w:rPr>
          <w:rFonts w:ascii="Arial" w:cs="Arial" w:eastAsia="Arial" w:hAnsi="Arial"/>
          <w:sz w:val="12"/>
          <w:szCs w:val="12"/>
          <w:color w:val="435363"/>
        </w:rPr>
      </w:pPr>
      <w:r>
        <w:rPr>
          <w:rFonts w:ascii="Arial" w:cs="Arial" w:eastAsia="Arial" w:hAnsi="Arial"/>
          <w:sz w:val="12"/>
          <w:szCs w:val="12"/>
          <w:color w:val="435363"/>
        </w:rPr>
        <w:t>As discussed in the “Compensation Discussion and Analysis—Non-Recurring Compensation Elements Reported in 2023,” the total compensation for 2023 set forth above includes for</w:t>
      </w:r>
    </w:p>
    <w:p>
      <w:pPr>
        <w:spacing w:after="0" w:line="6" w:lineRule="exact"/>
        <w:rPr>
          <w:rFonts w:ascii="Arial" w:cs="Arial" w:eastAsia="Arial" w:hAnsi="Arial"/>
          <w:sz w:val="12"/>
          <w:szCs w:val="12"/>
          <w:color w:val="435363"/>
        </w:rPr>
      </w:pPr>
    </w:p>
    <w:p>
      <w:pPr>
        <w:ind w:left="640" w:right="100"/>
        <w:spacing w:after="0" w:line="238" w:lineRule="auto"/>
        <w:rPr>
          <w:rFonts w:ascii="Arial" w:cs="Arial" w:eastAsia="Arial" w:hAnsi="Arial"/>
          <w:sz w:val="12"/>
          <w:szCs w:val="12"/>
          <w:color w:val="435363"/>
        </w:rPr>
      </w:pPr>
      <w:r>
        <w:rPr>
          <w:rFonts w:ascii="Arial" w:cs="Arial" w:eastAsia="Arial" w:hAnsi="Arial"/>
          <w:sz w:val="12"/>
          <w:szCs w:val="12"/>
          <w:color w:val="435363"/>
        </w:rPr>
        <w:t>Ms. Aiyar and Messrs. Isom, Johnson and Raja one-time and promotion awards and for Ms. Aiyar and Messrs. May and Raja, non-recurring payments in April 2023 for services performed in prior years. Furthermore, for each named executive officer, the STIP payout for the 2022 program is reflected as compensation for 2023. The table below is identical to the Summary Compensation Table above except that the reported amounts exclude these non-recurring payments. While the table below is not a substitute for, and should be read together with, the Summary Compensation Table above, we believe this presentation better reflects each named executive officers’ regular compensation attributable to their services in 2023.</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3575B3"/>
              </w:rPr>
              <w:t>Non-Equity</w:t>
            </w:r>
          </w:p>
        </w:tc>
        <w:tc>
          <w:tcPr>
            <w:tcW w:w="1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3575B3"/>
                <w:w w:val="95"/>
              </w:rPr>
              <w:t>Total</w:t>
            </w:r>
          </w:p>
        </w:tc>
      </w:tr>
      <w:tr>
        <w:trPr>
          <w:trHeight w:val="159"/>
        </w:trPr>
        <w:tc>
          <w:tcPr>
            <w:tcW w:w="2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tcPr>
          <w:p>
            <w:pPr>
              <w:jc w:val="center"/>
              <w:spacing w:after="0" w:line="159" w:lineRule="exact"/>
              <w:rPr>
                <w:sz w:val="20"/>
                <w:szCs w:val="20"/>
                <w:color w:val="auto"/>
              </w:rPr>
            </w:pPr>
            <w:r>
              <w:rPr>
                <w:rFonts w:ascii="Arial" w:cs="Arial" w:eastAsia="Arial" w:hAnsi="Arial"/>
                <w:sz w:val="14"/>
                <w:szCs w:val="14"/>
                <w:b w:val="1"/>
                <w:bCs w:val="1"/>
                <w:color w:val="3575B3"/>
                <w:w w:val="99"/>
              </w:rPr>
              <w:t>Stock</w:t>
            </w: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3575B3"/>
              </w:rPr>
              <w:t>Incentive Plan</w:t>
            </w: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3575B3"/>
              </w:rPr>
              <w:t>All Other</w:t>
            </w:r>
          </w:p>
        </w:tc>
        <w:tc>
          <w:tcPr>
            <w:tcW w:w="1160" w:type="dxa"/>
            <w:vAlign w:val="bottom"/>
          </w:tcPr>
          <w:p>
            <w:pPr>
              <w:jc w:val="center"/>
              <w:spacing w:after="0" w:line="159" w:lineRule="exact"/>
              <w:rPr>
                <w:sz w:val="20"/>
                <w:szCs w:val="20"/>
                <w:color w:val="auto"/>
              </w:rPr>
            </w:pPr>
            <w:r>
              <w:rPr>
                <w:rFonts w:ascii="Arial" w:cs="Arial" w:eastAsia="Arial" w:hAnsi="Arial"/>
                <w:sz w:val="14"/>
                <w:szCs w:val="14"/>
                <w:b w:val="1"/>
                <w:bCs w:val="1"/>
                <w:color w:val="3575B3"/>
                <w:w w:val="99"/>
              </w:rPr>
              <w:t>Regular</w:t>
            </w:r>
          </w:p>
        </w:tc>
      </w:tr>
      <w:tr>
        <w:trPr>
          <w:trHeight w:val="159"/>
        </w:trPr>
        <w:tc>
          <w:tcPr>
            <w:tcW w:w="2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60" w:type="dxa"/>
            <w:vAlign w:val="bottom"/>
          </w:tcPr>
          <w:p>
            <w:pPr>
              <w:jc w:val="right"/>
              <w:ind w:right="203"/>
              <w:spacing w:after="0" w:line="159" w:lineRule="exact"/>
              <w:rPr>
                <w:sz w:val="20"/>
                <w:szCs w:val="20"/>
                <w:color w:val="auto"/>
              </w:rPr>
            </w:pPr>
            <w:r>
              <w:rPr>
                <w:rFonts w:ascii="Arial" w:cs="Arial" w:eastAsia="Arial" w:hAnsi="Arial"/>
                <w:sz w:val="14"/>
                <w:szCs w:val="14"/>
                <w:b w:val="1"/>
                <w:bCs w:val="1"/>
                <w:color w:val="3575B3"/>
              </w:rPr>
              <w:t>Salary</w:t>
            </w:r>
          </w:p>
        </w:tc>
        <w:tc>
          <w:tcPr>
            <w:tcW w:w="720" w:type="dxa"/>
            <w:vAlign w:val="bottom"/>
          </w:tcPr>
          <w:p>
            <w:pPr>
              <w:jc w:val="right"/>
              <w:ind w:right="83"/>
              <w:spacing w:after="0" w:line="159" w:lineRule="exact"/>
              <w:rPr>
                <w:sz w:val="20"/>
                <w:szCs w:val="20"/>
                <w:color w:val="auto"/>
              </w:rPr>
            </w:pPr>
            <w:r>
              <w:rPr>
                <w:rFonts w:ascii="Arial" w:cs="Arial" w:eastAsia="Arial" w:hAnsi="Arial"/>
                <w:sz w:val="14"/>
                <w:szCs w:val="14"/>
                <w:b w:val="1"/>
                <w:bCs w:val="1"/>
                <w:color w:val="3575B3"/>
              </w:rPr>
              <w:t>Bonus</w:t>
            </w:r>
          </w:p>
        </w:tc>
        <w:tc>
          <w:tcPr>
            <w:tcW w:w="1040" w:type="dxa"/>
            <w:vAlign w:val="bottom"/>
          </w:tcPr>
          <w:p>
            <w:pPr>
              <w:jc w:val="center"/>
              <w:spacing w:after="0" w:line="159" w:lineRule="exact"/>
              <w:rPr>
                <w:sz w:val="20"/>
                <w:szCs w:val="20"/>
                <w:color w:val="auto"/>
              </w:rPr>
            </w:pPr>
            <w:r>
              <w:rPr>
                <w:rFonts w:ascii="Arial" w:cs="Arial" w:eastAsia="Arial" w:hAnsi="Arial"/>
                <w:sz w:val="14"/>
                <w:szCs w:val="14"/>
                <w:b w:val="1"/>
                <w:bCs w:val="1"/>
                <w:color w:val="3575B3"/>
              </w:rPr>
              <w:t>Awards</w:t>
            </w:r>
          </w:p>
        </w:tc>
        <w:tc>
          <w:tcPr>
            <w:tcW w:w="1220" w:type="dxa"/>
            <w:vAlign w:val="bottom"/>
          </w:tcPr>
          <w:p>
            <w:pPr>
              <w:jc w:val="right"/>
              <w:ind w:right="45"/>
              <w:spacing w:after="0" w:line="159" w:lineRule="exact"/>
              <w:rPr>
                <w:sz w:val="20"/>
                <w:szCs w:val="20"/>
                <w:color w:val="auto"/>
              </w:rPr>
            </w:pPr>
            <w:r>
              <w:rPr>
                <w:rFonts w:ascii="Arial" w:cs="Arial" w:eastAsia="Arial" w:hAnsi="Arial"/>
                <w:sz w:val="14"/>
                <w:szCs w:val="14"/>
                <w:b w:val="1"/>
                <w:bCs w:val="1"/>
                <w:color w:val="3575B3"/>
              </w:rPr>
              <w:t>Compensation</w:t>
            </w: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3575B3"/>
              </w:rPr>
              <w:t>Compensation</w:t>
            </w:r>
          </w:p>
        </w:tc>
        <w:tc>
          <w:tcPr>
            <w:tcW w:w="1160" w:type="dxa"/>
            <w:vAlign w:val="bottom"/>
          </w:tcPr>
          <w:p>
            <w:pPr>
              <w:jc w:val="center"/>
              <w:spacing w:after="0" w:line="159" w:lineRule="exact"/>
              <w:rPr>
                <w:sz w:val="20"/>
                <w:szCs w:val="20"/>
                <w:color w:val="auto"/>
              </w:rPr>
            </w:pPr>
            <w:r>
              <w:rPr>
                <w:rFonts w:ascii="Arial" w:cs="Arial" w:eastAsia="Arial" w:hAnsi="Arial"/>
                <w:sz w:val="14"/>
                <w:szCs w:val="14"/>
                <w:b w:val="1"/>
                <w:bCs w:val="1"/>
                <w:color w:val="3575B3"/>
              </w:rPr>
              <w:t>Compensation</w:t>
            </w:r>
          </w:p>
        </w:tc>
      </w:tr>
      <w:tr>
        <w:trPr>
          <w:trHeight w:val="168"/>
        </w:trPr>
        <w:tc>
          <w:tcPr>
            <w:tcW w:w="2120" w:type="dxa"/>
            <w:vAlign w:val="bottom"/>
            <w:tcBorders>
              <w:bottom w:val="single" w:sz="8" w:color="BF0000"/>
            </w:tcBorders>
          </w:tcPr>
          <w:p>
            <w:pPr>
              <w:ind w:left="80"/>
              <w:spacing w:after="0"/>
              <w:rPr>
                <w:sz w:val="20"/>
                <w:szCs w:val="20"/>
                <w:color w:val="auto"/>
              </w:rPr>
            </w:pPr>
            <w:r>
              <w:rPr>
                <w:rFonts w:ascii="Arial" w:cs="Arial" w:eastAsia="Arial" w:hAnsi="Arial"/>
                <w:sz w:val="14"/>
                <w:szCs w:val="14"/>
                <w:b w:val="1"/>
                <w:bCs w:val="1"/>
                <w:color w:val="3575B3"/>
              </w:rPr>
              <w:t>Name</w:t>
            </w:r>
          </w:p>
        </w:tc>
        <w:tc>
          <w:tcPr>
            <w:tcW w:w="1500" w:type="dxa"/>
            <w:vAlign w:val="bottom"/>
            <w:tcBorders>
              <w:bottom w:val="single" w:sz="8" w:color="BF0000"/>
            </w:tcBorders>
          </w:tcPr>
          <w:p>
            <w:pPr>
              <w:ind w:left="1000"/>
              <w:spacing w:after="0"/>
              <w:rPr>
                <w:sz w:val="20"/>
                <w:szCs w:val="20"/>
                <w:color w:val="auto"/>
              </w:rPr>
            </w:pPr>
            <w:r>
              <w:rPr>
                <w:rFonts w:ascii="Arial" w:cs="Arial" w:eastAsia="Arial" w:hAnsi="Arial"/>
                <w:sz w:val="14"/>
                <w:szCs w:val="14"/>
                <w:b w:val="1"/>
                <w:bCs w:val="1"/>
                <w:color w:val="3575B3"/>
              </w:rPr>
              <w:t>Year</w:t>
            </w:r>
          </w:p>
        </w:tc>
        <w:tc>
          <w:tcPr>
            <w:tcW w:w="960" w:type="dxa"/>
            <w:vAlign w:val="bottom"/>
            <w:tcBorders>
              <w:bottom w:val="single" w:sz="8" w:color="BF0000"/>
            </w:tcBorders>
          </w:tcPr>
          <w:p>
            <w:pPr>
              <w:jc w:val="right"/>
              <w:ind w:right="323"/>
              <w:spacing w:after="0"/>
              <w:rPr>
                <w:sz w:val="20"/>
                <w:szCs w:val="20"/>
                <w:color w:val="auto"/>
              </w:rPr>
            </w:pPr>
            <w:r>
              <w:rPr>
                <w:rFonts w:ascii="Arial" w:cs="Arial" w:eastAsia="Arial" w:hAnsi="Arial"/>
                <w:sz w:val="14"/>
                <w:szCs w:val="14"/>
                <w:b w:val="1"/>
                <w:bCs w:val="1"/>
                <w:color w:val="3575B3"/>
              </w:rPr>
              <w:t>($)</w:t>
            </w:r>
          </w:p>
        </w:tc>
        <w:tc>
          <w:tcPr>
            <w:tcW w:w="720" w:type="dxa"/>
            <w:vAlign w:val="bottom"/>
            <w:tcBorders>
              <w:bottom w:val="single" w:sz="8" w:color="BF0000"/>
            </w:tcBorders>
          </w:tcPr>
          <w:p>
            <w:pPr>
              <w:jc w:val="right"/>
              <w:ind w:right="203"/>
              <w:spacing w:after="0"/>
              <w:rPr>
                <w:sz w:val="20"/>
                <w:szCs w:val="20"/>
                <w:color w:val="auto"/>
              </w:rPr>
            </w:pPr>
            <w:r>
              <w:rPr>
                <w:rFonts w:ascii="Arial" w:cs="Arial" w:eastAsia="Arial" w:hAnsi="Arial"/>
                <w:sz w:val="14"/>
                <w:szCs w:val="14"/>
                <w:b w:val="1"/>
                <w:bCs w:val="1"/>
                <w:color w:val="3575B3"/>
              </w:rPr>
              <w:t>($)</w:t>
            </w:r>
          </w:p>
        </w:tc>
        <w:tc>
          <w:tcPr>
            <w:tcW w:w="1040" w:type="dxa"/>
            <w:vAlign w:val="bottom"/>
            <w:tcBorders>
              <w:bottom w:val="single" w:sz="8" w:color="BF0000"/>
            </w:tcBorders>
          </w:tcPr>
          <w:p>
            <w:pPr>
              <w:jc w:val="center"/>
              <w:spacing w:after="0"/>
              <w:rPr>
                <w:sz w:val="20"/>
                <w:szCs w:val="20"/>
                <w:color w:val="auto"/>
              </w:rPr>
            </w:pPr>
            <w:r>
              <w:rPr>
                <w:rFonts w:ascii="Arial" w:cs="Arial" w:eastAsia="Arial" w:hAnsi="Arial"/>
                <w:sz w:val="14"/>
                <w:szCs w:val="14"/>
                <w:b w:val="1"/>
                <w:bCs w:val="1"/>
                <w:color w:val="3575B3"/>
                <w:w w:val="93"/>
              </w:rPr>
              <w:t>($)</w:t>
            </w:r>
          </w:p>
        </w:tc>
        <w:tc>
          <w:tcPr>
            <w:tcW w:w="1220" w:type="dxa"/>
            <w:vAlign w:val="bottom"/>
            <w:tcBorders>
              <w:bottom w:val="single" w:sz="8" w:color="BF0000"/>
            </w:tcBorders>
          </w:tcPr>
          <w:p>
            <w:pPr>
              <w:jc w:val="center"/>
              <w:spacing w:after="0"/>
              <w:rPr>
                <w:sz w:val="20"/>
                <w:szCs w:val="20"/>
                <w:color w:val="auto"/>
              </w:rPr>
            </w:pPr>
            <w:r>
              <w:rPr>
                <w:rFonts w:ascii="Arial" w:cs="Arial" w:eastAsia="Arial" w:hAnsi="Arial"/>
                <w:sz w:val="14"/>
                <w:szCs w:val="14"/>
                <w:b w:val="1"/>
                <w:bCs w:val="1"/>
                <w:color w:val="3575B3"/>
                <w:w w:val="93"/>
              </w:rPr>
              <w:t>($)</w:t>
            </w:r>
          </w:p>
        </w:tc>
        <w:tc>
          <w:tcPr>
            <w:tcW w:w="1220" w:type="dxa"/>
            <w:vAlign w:val="bottom"/>
            <w:tcBorders>
              <w:bottom w:val="single" w:sz="8" w:color="BF0000"/>
            </w:tcBorders>
          </w:tcPr>
          <w:p>
            <w:pPr>
              <w:jc w:val="center"/>
              <w:spacing w:after="0"/>
              <w:rPr>
                <w:sz w:val="20"/>
                <w:szCs w:val="20"/>
                <w:color w:val="auto"/>
              </w:rPr>
            </w:pPr>
            <w:r>
              <w:rPr>
                <w:rFonts w:ascii="Arial" w:cs="Arial" w:eastAsia="Arial" w:hAnsi="Arial"/>
                <w:sz w:val="14"/>
                <w:szCs w:val="14"/>
                <w:b w:val="1"/>
                <w:bCs w:val="1"/>
                <w:color w:val="3575B3"/>
                <w:w w:val="93"/>
              </w:rPr>
              <w:t>($)</w:t>
            </w:r>
          </w:p>
        </w:tc>
        <w:tc>
          <w:tcPr>
            <w:tcW w:w="1160" w:type="dxa"/>
            <w:vAlign w:val="bottom"/>
            <w:tcBorders>
              <w:bottom w:val="single" w:sz="8" w:color="BF0000"/>
            </w:tcBorders>
          </w:tcPr>
          <w:p>
            <w:pPr>
              <w:jc w:val="center"/>
              <w:spacing w:after="0"/>
              <w:rPr>
                <w:sz w:val="20"/>
                <w:szCs w:val="20"/>
                <w:color w:val="auto"/>
              </w:rPr>
            </w:pPr>
            <w:r>
              <w:rPr>
                <w:rFonts w:ascii="Arial" w:cs="Arial" w:eastAsia="Arial" w:hAnsi="Arial"/>
                <w:sz w:val="14"/>
                <w:szCs w:val="14"/>
                <w:b w:val="1"/>
                <w:bCs w:val="1"/>
                <w:color w:val="3575B3"/>
                <w:w w:val="93"/>
              </w:rPr>
              <w:t>($)</w:t>
            </w:r>
          </w:p>
        </w:tc>
      </w:tr>
      <w:tr>
        <w:trPr>
          <w:trHeight w:val="179"/>
        </w:trPr>
        <w:tc>
          <w:tcPr>
            <w:tcW w:w="2120" w:type="dxa"/>
            <w:vAlign w:val="bottom"/>
            <w:shd w:val="clear" w:color="auto" w:fill="EDEDED"/>
          </w:tcPr>
          <w:p>
            <w:pPr>
              <w:ind w:left="80"/>
              <w:spacing w:after="0" w:line="178" w:lineRule="exact"/>
              <w:rPr>
                <w:sz w:val="20"/>
                <w:szCs w:val="20"/>
                <w:color w:val="auto"/>
              </w:rPr>
            </w:pPr>
            <w:r>
              <w:rPr>
                <w:rFonts w:ascii="Arial" w:cs="Arial" w:eastAsia="Arial" w:hAnsi="Arial"/>
                <w:sz w:val="16"/>
                <w:szCs w:val="16"/>
                <w:color w:val="435363"/>
              </w:rPr>
              <w:t>Robert Isom</w:t>
            </w:r>
          </w:p>
        </w:tc>
        <w:tc>
          <w:tcPr>
            <w:tcW w:w="1500" w:type="dxa"/>
            <w:vAlign w:val="bottom"/>
            <w:shd w:val="clear" w:color="auto" w:fill="EDEDED"/>
          </w:tcPr>
          <w:p>
            <w:pPr>
              <w:ind w:left="1000"/>
              <w:spacing w:after="0" w:line="178" w:lineRule="exact"/>
              <w:rPr>
                <w:sz w:val="20"/>
                <w:szCs w:val="20"/>
                <w:color w:val="auto"/>
              </w:rPr>
            </w:pPr>
            <w:r>
              <w:rPr>
                <w:rFonts w:ascii="Arial" w:cs="Arial" w:eastAsia="Arial" w:hAnsi="Arial"/>
                <w:sz w:val="16"/>
                <w:szCs w:val="16"/>
                <w:color w:val="435363"/>
              </w:rPr>
              <w:t>2023</w:t>
            </w:r>
          </w:p>
        </w:tc>
        <w:tc>
          <w:tcPr>
            <w:tcW w:w="960" w:type="dxa"/>
            <w:vAlign w:val="bottom"/>
            <w:shd w:val="clear" w:color="auto" w:fill="EDEDED"/>
          </w:tcPr>
          <w:p>
            <w:pPr>
              <w:jc w:val="right"/>
              <w:ind w:right="23"/>
              <w:spacing w:after="0" w:line="178" w:lineRule="exact"/>
              <w:rPr>
                <w:sz w:val="20"/>
                <w:szCs w:val="20"/>
                <w:color w:val="auto"/>
              </w:rPr>
            </w:pPr>
            <w:r>
              <w:rPr>
                <w:rFonts w:ascii="Arial" w:cs="Arial" w:eastAsia="Arial" w:hAnsi="Arial"/>
                <w:sz w:val="16"/>
                <w:szCs w:val="16"/>
                <w:color w:val="435363"/>
              </w:rPr>
              <w:t>1,300,000</w:t>
            </w:r>
          </w:p>
        </w:tc>
        <w:tc>
          <w:tcPr>
            <w:tcW w:w="720" w:type="dxa"/>
            <w:vAlign w:val="bottom"/>
            <w:shd w:val="clear" w:color="auto" w:fill="EDEDED"/>
          </w:tcPr>
          <w:p>
            <w:pPr>
              <w:jc w:val="right"/>
              <w:ind w:right="83"/>
              <w:spacing w:after="0" w:line="178" w:lineRule="exact"/>
              <w:rPr>
                <w:sz w:val="20"/>
                <w:szCs w:val="20"/>
                <w:color w:val="auto"/>
              </w:rPr>
            </w:pPr>
            <w:r>
              <w:rPr>
                <w:rFonts w:ascii="Arial" w:cs="Arial" w:eastAsia="Arial" w:hAnsi="Arial"/>
                <w:sz w:val="16"/>
                <w:szCs w:val="16"/>
                <w:color w:val="435363"/>
              </w:rPr>
              <w:t>-</w:t>
            </w:r>
          </w:p>
        </w:tc>
        <w:tc>
          <w:tcPr>
            <w:tcW w:w="1040" w:type="dxa"/>
            <w:vAlign w:val="bottom"/>
            <w:shd w:val="clear" w:color="auto" w:fill="EDEDED"/>
          </w:tcPr>
          <w:p>
            <w:pPr>
              <w:jc w:val="right"/>
              <w:ind w:right="44"/>
              <w:spacing w:after="0" w:line="178" w:lineRule="exact"/>
              <w:rPr>
                <w:sz w:val="20"/>
                <w:szCs w:val="20"/>
                <w:color w:val="auto"/>
              </w:rPr>
            </w:pPr>
            <w:r>
              <w:rPr>
                <w:rFonts w:ascii="Arial" w:cs="Arial" w:eastAsia="Arial" w:hAnsi="Arial"/>
                <w:sz w:val="16"/>
                <w:szCs w:val="16"/>
                <w:color w:val="435363"/>
              </w:rPr>
              <w:t>11,250,000</w:t>
            </w:r>
          </w:p>
        </w:tc>
        <w:tc>
          <w:tcPr>
            <w:tcW w:w="1220" w:type="dxa"/>
            <w:vAlign w:val="bottom"/>
            <w:shd w:val="clear" w:color="auto" w:fill="EDEDED"/>
          </w:tcPr>
          <w:p>
            <w:pPr>
              <w:jc w:val="right"/>
              <w:ind w:right="45"/>
              <w:spacing w:after="0" w:line="178" w:lineRule="exact"/>
              <w:rPr>
                <w:sz w:val="20"/>
                <w:szCs w:val="20"/>
                <w:color w:val="auto"/>
              </w:rPr>
            </w:pPr>
            <w:r>
              <w:rPr>
                <w:rFonts w:ascii="Arial" w:cs="Arial" w:eastAsia="Arial" w:hAnsi="Arial"/>
                <w:sz w:val="16"/>
                <w:szCs w:val="16"/>
                <w:color w:val="435363"/>
              </w:rPr>
              <w:t>3,922,360</w:t>
            </w:r>
          </w:p>
        </w:tc>
        <w:tc>
          <w:tcPr>
            <w:tcW w:w="1220" w:type="dxa"/>
            <w:vAlign w:val="bottom"/>
            <w:shd w:val="clear" w:color="auto" w:fill="EDEDED"/>
          </w:tcPr>
          <w:p>
            <w:pPr>
              <w:jc w:val="right"/>
              <w:ind w:right="44"/>
              <w:spacing w:after="0" w:line="178" w:lineRule="exact"/>
              <w:rPr>
                <w:sz w:val="20"/>
                <w:szCs w:val="20"/>
                <w:color w:val="auto"/>
              </w:rPr>
            </w:pPr>
            <w:r>
              <w:rPr>
                <w:rFonts w:ascii="Arial" w:cs="Arial" w:eastAsia="Arial" w:hAnsi="Arial"/>
                <w:sz w:val="16"/>
                <w:szCs w:val="16"/>
                <w:color w:val="435363"/>
              </w:rPr>
              <w:t>110,002</w:t>
            </w:r>
          </w:p>
        </w:tc>
        <w:tc>
          <w:tcPr>
            <w:tcW w:w="1160" w:type="dxa"/>
            <w:vAlign w:val="bottom"/>
            <w:shd w:val="clear" w:color="auto" w:fill="EDEDED"/>
          </w:tcPr>
          <w:p>
            <w:pPr>
              <w:jc w:val="right"/>
              <w:spacing w:after="0" w:line="178" w:lineRule="exact"/>
              <w:rPr>
                <w:sz w:val="20"/>
                <w:szCs w:val="20"/>
                <w:color w:val="auto"/>
              </w:rPr>
            </w:pPr>
            <w:r>
              <w:rPr>
                <w:rFonts w:ascii="Arial" w:cs="Arial" w:eastAsia="Arial" w:hAnsi="Arial"/>
                <w:sz w:val="16"/>
                <w:szCs w:val="16"/>
                <w:color w:val="435363"/>
              </w:rPr>
              <w:t>16,582,362</w:t>
            </w:r>
          </w:p>
        </w:tc>
      </w:tr>
      <w:tr>
        <w:trPr>
          <w:trHeight w:val="210"/>
        </w:trPr>
        <w:tc>
          <w:tcPr>
            <w:tcW w:w="2120" w:type="dxa"/>
            <w:vAlign w:val="bottom"/>
          </w:tcPr>
          <w:p>
            <w:pPr>
              <w:ind w:left="80"/>
              <w:spacing w:after="0"/>
              <w:rPr>
                <w:sz w:val="20"/>
                <w:szCs w:val="20"/>
                <w:color w:val="auto"/>
              </w:rPr>
            </w:pPr>
            <w:r>
              <w:rPr>
                <w:rFonts w:ascii="Arial" w:cs="Arial" w:eastAsia="Arial" w:hAnsi="Arial"/>
                <w:sz w:val="16"/>
                <w:szCs w:val="16"/>
                <w:color w:val="435363"/>
              </w:rPr>
              <w:t>Steve Johnson</w:t>
            </w:r>
          </w:p>
        </w:tc>
        <w:tc>
          <w:tcPr>
            <w:tcW w:w="1500" w:type="dxa"/>
            <w:vAlign w:val="bottom"/>
          </w:tcPr>
          <w:p>
            <w:pPr>
              <w:ind w:left="1000"/>
              <w:spacing w:after="0"/>
              <w:rPr>
                <w:sz w:val="20"/>
                <w:szCs w:val="20"/>
                <w:color w:val="auto"/>
              </w:rPr>
            </w:pPr>
            <w:r>
              <w:rPr>
                <w:rFonts w:ascii="Arial" w:cs="Arial" w:eastAsia="Arial" w:hAnsi="Arial"/>
                <w:sz w:val="16"/>
                <w:szCs w:val="16"/>
                <w:color w:val="435363"/>
              </w:rPr>
              <w:t>2023</w:t>
            </w:r>
          </w:p>
        </w:tc>
        <w:tc>
          <w:tcPr>
            <w:tcW w:w="960" w:type="dxa"/>
            <w:vAlign w:val="bottom"/>
          </w:tcPr>
          <w:p>
            <w:pPr>
              <w:jc w:val="right"/>
              <w:ind w:right="23"/>
              <w:spacing w:after="0"/>
              <w:rPr>
                <w:sz w:val="20"/>
                <w:szCs w:val="20"/>
                <w:color w:val="auto"/>
              </w:rPr>
            </w:pPr>
            <w:r>
              <w:rPr>
                <w:rFonts w:ascii="Arial" w:cs="Arial" w:eastAsia="Arial" w:hAnsi="Arial"/>
                <w:sz w:val="16"/>
                <w:szCs w:val="16"/>
                <w:color w:val="435363"/>
              </w:rPr>
              <w:t>826,346</w:t>
            </w:r>
          </w:p>
        </w:tc>
        <w:tc>
          <w:tcPr>
            <w:tcW w:w="720" w:type="dxa"/>
            <w:vAlign w:val="bottom"/>
          </w:tcPr>
          <w:p>
            <w:pPr>
              <w:jc w:val="right"/>
              <w:ind w:right="83"/>
              <w:spacing w:after="0"/>
              <w:rPr>
                <w:sz w:val="20"/>
                <w:szCs w:val="20"/>
                <w:color w:val="auto"/>
              </w:rPr>
            </w:pPr>
            <w:r>
              <w:rPr>
                <w:rFonts w:ascii="Arial" w:cs="Arial" w:eastAsia="Arial" w:hAnsi="Arial"/>
                <w:sz w:val="16"/>
                <w:szCs w:val="16"/>
                <w:color w:val="435363"/>
              </w:rPr>
              <w:t>-</w:t>
            </w:r>
          </w:p>
        </w:tc>
        <w:tc>
          <w:tcPr>
            <w:tcW w:w="1040" w:type="dxa"/>
            <w:vAlign w:val="bottom"/>
          </w:tcPr>
          <w:p>
            <w:pPr>
              <w:jc w:val="right"/>
              <w:ind w:right="44"/>
              <w:spacing w:after="0"/>
              <w:rPr>
                <w:sz w:val="20"/>
                <w:szCs w:val="20"/>
                <w:color w:val="auto"/>
              </w:rPr>
            </w:pPr>
            <w:r>
              <w:rPr>
                <w:rFonts w:ascii="Arial" w:cs="Arial" w:eastAsia="Arial" w:hAnsi="Arial"/>
                <w:sz w:val="16"/>
                <w:szCs w:val="16"/>
                <w:color w:val="435363"/>
              </w:rPr>
              <w:t>3,675,000</w:t>
            </w:r>
          </w:p>
        </w:tc>
        <w:tc>
          <w:tcPr>
            <w:tcW w:w="1220" w:type="dxa"/>
            <w:vAlign w:val="bottom"/>
          </w:tcPr>
          <w:p>
            <w:pPr>
              <w:jc w:val="right"/>
              <w:ind w:right="45"/>
              <w:spacing w:after="0"/>
              <w:rPr>
                <w:sz w:val="20"/>
                <w:szCs w:val="20"/>
                <w:color w:val="auto"/>
              </w:rPr>
            </w:pPr>
            <w:r>
              <w:rPr>
                <w:rFonts w:ascii="Arial" w:cs="Arial" w:eastAsia="Arial" w:hAnsi="Arial"/>
                <w:sz w:val="16"/>
                <w:szCs w:val="16"/>
                <w:color w:val="435363"/>
              </w:rPr>
              <w:t>1,787,085</w:t>
            </w:r>
          </w:p>
        </w:tc>
        <w:tc>
          <w:tcPr>
            <w:tcW w:w="1220" w:type="dxa"/>
            <w:vAlign w:val="bottom"/>
          </w:tcPr>
          <w:p>
            <w:pPr>
              <w:jc w:val="right"/>
              <w:ind w:right="44"/>
              <w:spacing w:after="0"/>
              <w:rPr>
                <w:sz w:val="20"/>
                <w:szCs w:val="20"/>
                <w:color w:val="auto"/>
              </w:rPr>
            </w:pPr>
            <w:r>
              <w:rPr>
                <w:rFonts w:ascii="Arial" w:cs="Arial" w:eastAsia="Arial" w:hAnsi="Arial"/>
                <w:sz w:val="16"/>
                <w:szCs w:val="16"/>
                <w:color w:val="435363"/>
              </w:rPr>
              <w:t>64,613</w:t>
            </w:r>
          </w:p>
        </w:tc>
        <w:tc>
          <w:tcPr>
            <w:tcW w:w="1160" w:type="dxa"/>
            <w:vAlign w:val="bottom"/>
          </w:tcPr>
          <w:p>
            <w:pPr>
              <w:jc w:val="right"/>
              <w:spacing w:after="0"/>
              <w:rPr>
                <w:sz w:val="20"/>
                <w:szCs w:val="20"/>
                <w:color w:val="auto"/>
              </w:rPr>
            </w:pPr>
            <w:r>
              <w:rPr>
                <w:rFonts w:ascii="Arial" w:cs="Arial" w:eastAsia="Arial" w:hAnsi="Arial"/>
                <w:sz w:val="16"/>
                <w:szCs w:val="16"/>
                <w:color w:val="435363"/>
              </w:rPr>
              <w:t>6,353,044</w:t>
            </w:r>
          </w:p>
        </w:tc>
      </w:tr>
      <w:tr>
        <w:trPr>
          <w:trHeight w:val="42"/>
        </w:trPr>
        <w:tc>
          <w:tcPr>
            <w:tcW w:w="2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185"/>
        </w:trPr>
        <w:tc>
          <w:tcPr>
            <w:tcW w:w="2120" w:type="dxa"/>
            <w:vAlign w:val="bottom"/>
            <w:shd w:val="clear" w:color="auto" w:fill="EDEDED"/>
          </w:tcPr>
          <w:p>
            <w:pPr>
              <w:ind w:left="80"/>
              <w:spacing w:after="0"/>
              <w:rPr>
                <w:sz w:val="20"/>
                <w:szCs w:val="20"/>
                <w:color w:val="auto"/>
              </w:rPr>
            </w:pPr>
            <w:r>
              <w:rPr>
                <w:rFonts w:ascii="Arial" w:cs="Arial" w:eastAsia="Arial" w:hAnsi="Arial"/>
                <w:sz w:val="16"/>
                <w:szCs w:val="16"/>
                <w:color w:val="435363"/>
              </w:rPr>
              <w:t>Priya Aiyar</w:t>
            </w:r>
          </w:p>
        </w:tc>
        <w:tc>
          <w:tcPr>
            <w:tcW w:w="1500" w:type="dxa"/>
            <w:vAlign w:val="bottom"/>
            <w:shd w:val="clear" w:color="auto" w:fill="EDEDED"/>
          </w:tcPr>
          <w:p>
            <w:pPr>
              <w:ind w:left="1000"/>
              <w:spacing w:after="0"/>
              <w:rPr>
                <w:sz w:val="20"/>
                <w:szCs w:val="20"/>
                <w:color w:val="auto"/>
              </w:rPr>
            </w:pPr>
            <w:r>
              <w:rPr>
                <w:rFonts w:ascii="Arial" w:cs="Arial" w:eastAsia="Arial" w:hAnsi="Arial"/>
                <w:sz w:val="16"/>
                <w:szCs w:val="16"/>
                <w:color w:val="435363"/>
              </w:rPr>
              <w:t>2023</w:t>
            </w:r>
          </w:p>
        </w:tc>
        <w:tc>
          <w:tcPr>
            <w:tcW w:w="960" w:type="dxa"/>
            <w:vAlign w:val="bottom"/>
            <w:shd w:val="clear" w:color="auto" w:fill="EDEDED"/>
          </w:tcPr>
          <w:p>
            <w:pPr>
              <w:jc w:val="right"/>
              <w:ind w:right="23"/>
              <w:spacing w:after="0"/>
              <w:rPr>
                <w:sz w:val="20"/>
                <w:szCs w:val="20"/>
                <w:color w:val="auto"/>
              </w:rPr>
            </w:pPr>
            <w:r>
              <w:rPr>
                <w:rFonts w:ascii="Arial" w:cs="Arial" w:eastAsia="Arial" w:hAnsi="Arial"/>
                <w:sz w:val="16"/>
                <w:szCs w:val="16"/>
                <w:color w:val="435363"/>
              </w:rPr>
              <w:t>693,250</w:t>
            </w:r>
          </w:p>
        </w:tc>
        <w:tc>
          <w:tcPr>
            <w:tcW w:w="720" w:type="dxa"/>
            <w:vAlign w:val="bottom"/>
            <w:shd w:val="clear" w:color="auto" w:fill="EDEDED"/>
          </w:tcPr>
          <w:p>
            <w:pPr>
              <w:jc w:val="right"/>
              <w:ind w:right="83"/>
              <w:spacing w:after="0"/>
              <w:rPr>
                <w:sz w:val="20"/>
                <w:szCs w:val="20"/>
                <w:color w:val="auto"/>
              </w:rPr>
            </w:pPr>
            <w:r>
              <w:rPr>
                <w:rFonts w:ascii="Arial" w:cs="Arial" w:eastAsia="Arial" w:hAnsi="Arial"/>
                <w:sz w:val="16"/>
                <w:szCs w:val="16"/>
                <w:color w:val="435363"/>
              </w:rPr>
              <w:t>-</w:t>
            </w:r>
          </w:p>
        </w:tc>
        <w:tc>
          <w:tcPr>
            <w:tcW w:w="1040" w:type="dxa"/>
            <w:vAlign w:val="bottom"/>
            <w:shd w:val="clear" w:color="auto" w:fill="EDEDED"/>
          </w:tcPr>
          <w:p>
            <w:pPr>
              <w:jc w:val="right"/>
              <w:ind w:right="44"/>
              <w:spacing w:after="0"/>
              <w:rPr>
                <w:sz w:val="20"/>
                <w:szCs w:val="20"/>
                <w:color w:val="auto"/>
              </w:rPr>
            </w:pPr>
            <w:r>
              <w:rPr>
                <w:rFonts w:ascii="Arial" w:cs="Arial" w:eastAsia="Arial" w:hAnsi="Arial"/>
                <w:sz w:val="16"/>
                <w:szCs w:val="16"/>
                <w:color w:val="435363"/>
              </w:rPr>
              <w:t>2,360,000</w:t>
            </w:r>
          </w:p>
        </w:tc>
        <w:tc>
          <w:tcPr>
            <w:tcW w:w="1220" w:type="dxa"/>
            <w:vAlign w:val="bottom"/>
            <w:shd w:val="clear" w:color="auto" w:fill="EDEDED"/>
          </w:tcPr>
          <w:p>
            <w:pPr>
              <w:jc w:val="right"/>
              <w:ind w:right="45"/>
              <w:spacing w:after="0"/>
              <w:rPr>
                <w:sz w:val="20"/>
                <w:szCs w:val="20"/>
                <w:color w:val="auto"/>
              </w:rPr>
            </w:pPr>
            <w:r>
              <w:rPr>
                <w:rFonts w:ascii="Arial" w:cs="Arial" w:eastAsia="Arial" w:hAnsi="Arial"/>
                <w:sz w:val="16"/>
                <w:szCs w:val="16"/>
                <w:color w:val="435363"/>
              </w:rPr>
              <w:t>1,376,634</w:t>
            </w:r>
          </w:p>
        </w:tc>
        <w:tc>
          <w:tcPr>
            <w:tcW w:w="1220" w:type="dxa"/>
            <w:vAlign w:val="bottom"/>
            <w:shd w:val="clear" w:color="auto" w:fill="EDEDED"/>
          </w:tcPr>
          <w:p>
            <w:pPr>
              <w:jc w:val="right"/>
              <w:ind w:right="44"/>
              <w:spacing w:after="0"/>
              <w:rPr>
                <w:sz w:val="20"/>
                <w:szCs w:val="20"/>
                <w:color w:val="auto"/>
              </w:rPr>
            </w:pPr>
            <w:r>
              <w:rPr>
                <w:rFonts w:ascii="Arial" w:cs="Arial" w:eastAsia="Arial" w:hAnsi="Arial"/>
                <w:sz w:val="16"/>
                <w:szCs w:val="16"/>
                <w:color w:val="435363"/>
              </w:rPr>
              <w:t>47,838</w:t>
            </w:r>
          </w:p>
        </w:tc>
        <w:tc>
          <w:tcPr>
            <w:tcW w:w="116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4,477,722</w:t>
            </w:r>
          </w:p>
        </w:tc>
      </w:tr>
      <w:tr>
        <w:trPr>
          <w:trHeight w:val="210"/>
        </w:trPr>
        <w:tc>
          <w:tcPr>
            <w:tcW w:w="2120" w:type="dxa"/>
            <w:vAlign w:val="bottom"/>
          </w:tcPr>
          <w:p>
            <w:pPr>
              <w:ind w:left="80"/>
              <w:spacing w:after="0"/>
              <w:rPr>
                <w:sz w:val="20"/>
                <w:szCs w:val="20"/>
                <w:color w:val="auto"/>
              </w:rPr>
            </w:pPr>
            <w:r>
              <w:rPr>
                <w:rFonts w:ascii="Arial" w:cs="Arial" w:eastAsia="Arial" w:hAnsi="Arial"/>
                <w:sz w:val="16"/>
                <w:szCs w:val="16"/>
                <w:color w:val="435363"/>
              </w:rPr>
              <w:t>Devon May</w:t>
            </w:r>
          </w:p>
        </w:tc>
        <w:tc>
          <w:tcPr>
            <w:tcW w:w="1500" w:type="dxa"/>
            <w:vAlign w:val="bottom"/>
          </w:tcPr>
          <w:p>
            <w:pPr>
              <w:ind w:left="1000"/>
              <w:spacing w:after="0"/>
              <w:rPr>
                <w:sz w:val="20"/>
                <w:szCs w:val="20"/>
                <w:color w:val="auto"/>
              </w:rPr>
            </w:pPr>
            <w:r>
              <w:rPr>
                <w:rFonts w:ascii="Arial" w:cs="Arial" w:eastAsia="Arial" w:hAnsi="Arial"/>
                <w:sz w:val="16"/>
                <w:szCs w:val="16"/>
                <w:color w:val="435363"/>
              </w:rPr>
              <w:t>2023</w:t>
            </w:r>
          </w:p>
        </w:tc>
        <w:tc>
          <w:tcPr>
            <w:tcW w:w="960" w:type="dxa"/>
            <w:vAlign w:val="bottom"/>
          </w:tcPr>
          <w:p>
            <w:pPr>
              <w:jc w:val="right"/>
              <w:ind w:right="23"/>
              <w:spacing w:after="0"/>
              <w:rPr>
                <w:sz w:val="20"/>
                <w:szCs w:val="20"/>
                <w:color w:val="auto"/>
              </w:rPr>
            </w:pPr>
            <w:r>
              <w:rPr>
                <w:rFonts w:ascii="Arial" w:cs="Arial" w:eastAsia="Arial" w:hAnsi="Arial"/>
                <w:sz w:val="16"/>
                <w:szCs w:val="16"/>
                <w:color w:val="435363"/>
              </w:rPr>
              <w:t>738,075</w:t>
            </w:r>
          </w:p>
        </w:tc>
        <w:tc>
          <w:tcPr>
            <w:tcW w:w="720" w:type="dxa"/>
            <w:vAlign w:val="bottom"/>
          </w:tcPr>
          <w:p>
            <w:pPr>
              <w:jc w:val="right"/>
              <w:ind w:right="83"/>
              <w:spacing w:after="0"/>
              <w:rPr>
                <w:sz w:val="20"/>
                <w:szCs w:val="20"/>
                <w:color w:val="auto"/>
              </w:rPr>
            </w:pPr>
            <w:r>
              <w:rPr>
                <w:rFonts w:ascii="Arial" w:cs="Arial" w:eastAsia="Arial" w:hAnsi="Arial"/>
                <w:sz w:val="16"/>
                <w:szCs w:val="16"/>
                <w:color w:val="435363"/>
              </w:rPr>
              <w:t>-</w:t>
            </w:r>
          </w:p>
        </w:tc>
        <w:tc>
          <w:tcPr>
            <w:tcW w:w="1040" w:type="dxa"/>
            <w:vAlign w:val="bottom"/>
          </w:tcPr>
          <w:p>
            <w:pPr>
              <w:jc w:val="right"/>
              <w:ind w:right="44"/>
              <w:spacing w:after="0"/>
              <w:rPr>
                <w:sz w:val="20"/>
                <w:szCs w:val="20"/>
                <w:color w:val="auto"/>
              </w:rPr>
            </w:pPr>
            <w:r>
              <w:rPr>
                <w:rFonts w:ascii="Arial" w:cs="Arial" w:eastAsia="Arial" w:hAnsi="Arial"/>
                <w:sz w:val="16"/>
                <w:szCs w:val="16"/>
                <w:color w:val="435363"/>
              </w:rPr>
              <w:t>2,360,000</w:t>
            </w:r>
          </w:p>
        </w:tc>
        <w:tc>
          <w:tcPr>
            <w:tcW w:w="1220" w:type="dxa"/>
            <w:vAlign w:val="bottom"/>
          </w:tcPr>
          <w:p>
            <w:pPr>
              <w:jc w:val="right"/>
              <w:ind w:right="45"/>
              <w:spacing w:after="0"/>
              <w:rPr>
                <w:sz w:val="20"/>
                <w:szCs w:val="20"/>
                <w:color w:val="auto"/>
              </w:rPr>
            </w:pPr>
            <w:r>
              <w:rPr>
                <w:rFonts w:ascii="Arial" w:cs="Arial" w:eastAsia="Arial" w:hAnsi="Arial"/>
                <w:sz w:val="16"/>
                <w:szCs w:val="16"/>
                <w:color w:val="435363"/>
              </w:rPr>
              <w:t>1,461,495</w:t>
            </w:r>
          </w:p>
        </w:tc>
        <w:tc>
          <w:tcPr>
            <w:tcW w:w="1220" w:type="dxa"/>
            <w:vAlign w:val="bottom"/>
          </w:tcPr>
          <w:p>
            <w:pPr>
              <w:jc w:val="right"/>
              <w:ind w:right="44"/>
              <w:spacing w:after="0"/>
              <w:rPr>
                <w:sz w:val="20"/>
                <w:szCs w:val="20"/>
                <w:color w:val="auto"/>
              </w:rPr>
            </w:pPr>
            <w:r>
              <w:rPr>
                <w:rFonts w:ascii="Arial" w:cs="Arial" w:eastAsia="Arial" w:hAnsi="Arial"/>
                <w:sz w:val="16"/>
                <w:szCs w:val="16"/>
                <w:color w:val="435363"/>
              </w:rPr>
              <w:t>53,788</w:t>
            </w:r>
          </w:p>
        </w:tc>
        <w:tc>
          <w:tcPr>
            <w:tcW w:w="1160" w:type="dxa"/>
            <w:vAlign w:val="bottom"/>
          </w:tcPr>
          <w:p>
            <w:pPr>
              <w:jc w:val="right"/>
              <w:spacing w:after="0"/>
              <w:rPr>
                <w:sz w:val="20"/>
                <w:szCs w:val="20"/>
                <w:color w:val="auto"/>
              </w:rPr>
            </w:pPr>
            <w:r>
              <w:rPr>
                <w:rFonts w:ascii="Arial" w:cs="Arial" w:eastAsia="Arial" w:hAnsi="Arial"/>
                <w:sz w:val="16"/>
                <w:szCs w:val="16"/>
                <w:color w:val="435363"/>
              </w:rPr>
              <w:t>4,613,358</w:t>
            </w:r>
          </w:p>
        </w:tc>
      </w:tr>
      <w:tr>
        <w:trPr>
          <w:trHeight w:val="42"/>
        </w:trPr>
        <w:tc>
          <w:tcPr>
            <w:tcW w:w="2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1"/>
        </w:trPr>
        <w:tc>
          <w:tcPr>
            <w:tcW w:w="212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435363"/>
              </w:rPr>
              <w:t>Vasu Raja</w:t>
            </w:r>
          </w:p>
        </w:tc>
        <w:tc>
          <w:tcPr>
            <w:tcW w:w="1500" w:type="dxa"/>
            <w:vAlign w:val="bottom"/>
            <w:tcBorders>
              <w:bottom w:val="single" w:sz="8" w:color="EDEDED"/>
            </w:tcBorders>
            <w:shd w:val="clear" w:color="auto" w:fill="EDEDED"/>
          </w:tcPr>
          <w:p>
            <w:pPr>
              <w:ind w:left="1000"/>
              <w:spacing w:after="0"/>
              <w:rPr>
                <w:sz w:val="20"/>
                <w:szCs w:val="20"/>
                <w:color w:val="auto"/>
              </w:rPr>
            </w:pPr>
            <w:r>
              <w:rPr>
                <w:rFonts w:ascii="Arial" w:cs="Arial" w:eastAsia="Arial" w:hAnsi="Arial"/>
                <w:sz w:val="16"/>
                <w:szCs w:val="16"/>
                <w:color w:val="435363"/>
              </w:rPr>
              <w:t>2023</w:t>
            </w:r>
          </w:p>
        </w:tc>
        <w:tc>
          <w:tcPr>
            <w:tcW w:w="960" w:type="dxa"/>
            <w:vAlign w:val="bottom"/>
            <w:tcBorders>
              <w:bottom w:val="single" w:sz="8" w:color="EDEDED"/>
            </w:tcBorders>
            <w:shd w:val="clear" w:color="auto" w:fill="EDEDED"/>
          </w:tcPr>
          <w:p>
            <w:pPr>
              <w:jc w:val="right"/>
              <w:ind w:right="23"/>
              <w:spacing w:after="0"/>
              <w:rPr>
                <w:sz w:val="20"/>
                <w:szCs w:val="20"/>
                <w:color w:val="auto"/>
              </w:rPr>
            </w:pPr>
            <w:r>
              <w:rPr>
                <w:rFonts w:ascii="Arial" w:cs="Arial" w:eastAsia="Arial" w:hAnsi="Arial"/>
                <w:sz w:val="16"/>
                <w:szCs w:val="16"/>
                <w:color w:val="435363"/>
              </w:rPr>
              <w:t>731,250</w:t>
            </w:r>
          </w:p>
        </w:tc>
        <w:tc>
          <w:tcPr>
            <w:tcW w:w="720" w:type="dxa"/>
            <w:vAlign w:val="bottom"/>
            <w:tcBorders>
              <w:bottom w:val="single" w:sz="8" w:color="EDEDED"/>
            </w:tcBorders>
            <w:shd w:val="clear" w:color="auto" w:fill="EDEDED"/>
          </w:tcPr>
          <w:p>
            <w:pPr>
              <w:jc w:val="right"/>
              <w:ind w:right="83"/>
              <w:spacing w:after="0"/>
              <w:rPr>
                <w:sz w:val="20"/>
                <w:szCs w:val="20"/>
                <w:color w:val="auto"/>
              </w:rPr>
            </w:pPr>
            <w:r>
              <w:rPr>
                <w:rFonts w:ascii="Arial" w:cs="Arial" w:eastAsia="Arial" w:hAnsi="Arial"/>
                <w:sz w:val="16"/>
                <w:szCs w:val="16"/>
                <w:color w:val="435363"/>
              </w:rPr>
              <w:t>-</w:t>
            </w:r>
          </w:p>
        </w:tc>
        <w:tc>
          <w:tcPr>
            <w:tcW w:w="1040" w:type="dxa"/>
            <w:vAlign w:val="bottom"/>
            <w:tcBorders>
              <w:bottom w:val="single" w:sz="8" w:color="EDEDED"/>
            </w:tcBorders>
            <w:shd w:val="clear" w:color="auto" w:fill="EDEDED"/>
          </w:tcPr>
          <w:p>
            <w:pPr>
              <w:jc w:val="right"/>
              <w:ind w:right="44"/>
              <w:spacing w:after="0"/>
              <w:rPr>
                <w:sz w:val="20"/>
                <w:szCs w:val="20"/>
                <w:color w:val="auto"/>
              </w:rPr>
            </w:pPr>
            <w:r>
              <w:rPr>
                <w:rFonts w:ascii="Arial" w:cs="Arial" w:eastAsia="Arial" w:hAnsi="Arial"/>
                <w:sz w:val="16"/>
                <w:szCs w:val="16"/>
                <w:color w:val="435363"/>
              </w:rPr>
              <w:t>2,860,000</w:t>
            </w:r>
          </w:p>
        </w:tc>
        <w:tc>
          <w:tcPr>
            <w:tcW w:w="1220" w:type="dxa"/>
            <w:vAlign w:val="bottom"/>
            <w:tcBorders>
              <w:bottom w:val="single" w:sz="8" w:color="EDEDED"/>
            </w:tcBorders>
            <w:shd w:val="clear" w:color="auto" w:fill="EDEDED"/>
          </w:tcPr>
          <w:p>
            <w:pPr>
              <w:jc w:val="right"/>
              <w:ind w:right="45"/>
              <w:spacing w:after="0"/>
              <w:rPr>
                <w:sz w:val="20"/>
                <w:szCs w:val="20"/>
                <w:color w:val="auto"/>
              </w:rPr>
            </w:pPr>
            <w:r>
              <w:rPr>
                <w:rFonts w:ascii="Arial" w:cs="Arial" w:eastAsia="Arial" w:hAnsi="Arial"/>
                <w:sz w:val="16"/>
                <w:szCs w:val="16"/>
                <w:color w:val="435363"/>
              </w:rPr>
              <w:t>1,461,495</w:t>
            </w:r>
          </w:p>
        </w:tc>
        <w:tc>
          <w:tcPr>
            <w:tcW w:w="1220" w:type="dxa"/>
            <w:vAlign w:val="bottom"/>
            <w:tcBorders>
              <w:bottom w:val="single" w:sz="8" w:color="EDEDED"/>
            </w:tcBorders>
            <w:shd w:val="clear" w:color="auto" w:fill="EDEDED"/>
          </w:tcPr>
          <w:p>
            <w:pPr>
              <w:jc w:val="right"/>
              <w:ind w:right="44"/>
              <w:spacing w:after="0"/>
              <w:rPr>
                <w:sz w:val="20"/>
                <w:szCs w:val="20"/>
                <w:color w:val="auto"/>
              </w:rPr>
            </w:pPr>
            <w:r>
              <w:rPr>
                <w:rFonts w:ascii="Arial" w:cs="Arial" w:eastAsia="Arial" w:hAnsi="Arial"/>
                <w:sz w:val="16"/>
                <w:szCs w:val="16"/>
                <w:color w:val="435363"/>
              </w:rPr>
              <w:t>47,425</w:t>
            </w:r>
          </w:p>
        </w:tc>
        <w:tc>
          <w:tcPr>
            <w:tcW w:w="11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5,100,170</w:t>
            </w:r>
          </w:p>
        </w:tc>
      </w:tr>
      <w:tr>
        <w:trPr>
          <w:trHeight w:val="20"/>
        </w:trPr>
        <w:tc>
          <w:tcPr>
            <w:tcW w:w="2120" w:type="dxa"/>
            <w:vAlign w:val="bottom"/>
            <w:shd w:val="clear" w:color="auto" w:fill="435363"/>
          </w:tcPr>
          <w:p>
            <w:pPr>
              <w:spacing w:after="0" w:line="20" w:lineRule="exact"/>
              <w:rPr>
                <w:sz w:val="1"/>
                <w:szCs w:val="1"/>
                <w:color w:val="auto"/>
              </w:rPr>
            </w:pPr>
          </w:p>
        </w:tc>
        <w:tc>
          <w:tcPr>
            <w:tcW w:w="1500" w:type="dxa"/>
            <w:vAlign w:val="bottom"/>
            <w:shd w:val="clear" w:color="auto" w:fill="435363"/>
          </w:tcPr>
          <w:p>
            <w:pPr>
              <w:spacing w:after="0" w:line="20" w:lineRule="exact"/>
              <w:rPr>
                <w:sz w:val="1"/>
                <w:szCs w:val="1"/>
                <w:color w:val="auto"/>
              </w:rPr>
            </w:pPr>
          </w:p>
        </w:tc>
        <w:tc>
          <w:tcPr>
            <w:tcW w:w="960" w:type="dxa"/>
            <w:vAlign w:val="bottom"/>
            <w:shd w:val="clear" w:color="auto" w:fill="435363"/>
          </w:tcPr>
          <w:p>
            <w:pPr>
              <w:spacing w:after="0" w:line="20" w:lineRule="exact"/>
              <w:rPr>
                <w:sz w:val="1"/>
                <w:szCs w:val="1"/>
                <w:color w:val="auto"/>
              </w:rPr>
            </w:pPr>
          </w:p>
        </w:tc>
        <w:tc>
          <w:tcPr>
            <w:tcW w:w="720" w:type="dxa"/>
            <w:vAlign w:val="bottom"/>
            <w:shd w:val="clear" w:color="auto" w:fill="435363"/>
          </w:tcPr>
          <w:p>
            <w:pPr>
              <w:spacing w:after="0" w:line="20" w:lineRule="exact"/>
              <w:rPr>
                <w:sz w:val="1"/>
                <w:szCs w:val="1"/>
                <w:color w:val="auto"/>
              </w:rPr>
            </w:pPr>
          </w:p>
        </w:tc>
        <w:tc>
          <w:tcPr>
            <w:tcW w:w="1040" w:type="dxa"/>
            <w:vAlign w:val="bottom"/>
            <w:shd w:val="clear" w:color="auto" w:fill="435363"/>
          </w:tcPr>
          <w:p>
            <w:pPr>
              <w:spacing w:after="0" w:line="20" w:lineRule="exact"/>
              <w:rPr>
                <w:sz w:val="1"/>
                <w:szCs w:val="1"/>
                <w:color w:val="auto"/>
              </w:rPr>
            </w:pPr>
          </w:p>
        </w:tc>
        <w:tc>
          <w:tcPr>
            <w:tcW w:w="1220" w:type="dxa"/>
            <w:vAlign w:val="bottom"/>
            <w:shd w:val="clear" w:color="auto" w:fill="435363"/>
          </w:tcPr>
          <w:p>
            <w:pPr>
              <w:spacing w:after="0" w:line="20" w:lineRule="exact"/>
              <w:rPr>
                <w:sz w:val="1"/>
                <w:szCs w:val="1"/>
                <w:color w:val="auto"/>
              </w:rPr>
            </w:pPr>
          </w:p>
        </w:tc>
        <w:tc>
          <w:tcPr>
            <w:tcW w:w="1220" w:type="dxa"/>
            <w:vAlign w:val="bottom"/>
            <w:shd w:val="clear" w:color="auto" w:fill="435363"/>
          </w:tcPr>
          <w:p>
            <w:pPr>
              <w:spacing w:after="0" w:line="20" w:lineRule="exact"/>
              <w:rPr>
                <w:sz w:val="1"/>
                <w:szCs w:val="1"/>
                <w:color w:val="auto"/>
              </w:rPr>
            </w:pPr>
          </w:p>
        </w:tc>
        <w:tc>
          <w:tcPr>
            <w:tcW w:w="1160" w:type="dxa"/>
            <w:vAlign w:val="bottom"/>
            <w:shd w:val="clear" w:color="auto" w:fill="435363"/>
          </w:tcPr>
          <w:p>
            <w:pPr>
              <w:spacing w:after="0" w:line="20" w:lineRule="exact"/>
              <w:rPr>
                <w:sz w:val="1"/>
                <w:szCs w:val="1"/>
                <w:color w:val="auto"/>
              </w:rPr>
            </w:pPr>
          </w:p>
        </w:tc>
      </w:tr>
    </w:tbl>
    <w:p>
      <w:pPr>
        <w:spacing w:after="0" w:line="62" w:lineRule="exact"/>
        <w:rPr>
          <w:sz w:val="20"/>
          <w:szCs w:val="20"/>
          <w:color w:val="auto"/>
        </w:rPr>
      </w:pPr>
    </w:p>
    <w:p>
      <w:pPr>
        <w:ind w:left="640" w:right="80" w:hanging="416"/>
        <w:spacing w:after="0" w:line="237" w:lineRule="auto"/>
        <w:tabs>
          <w:tab w:leader="none" w:pos="640" w:val="left"/>
        </w:tabs>
        <w:numPr>
          <w:ilvl w:val="0"/>
          <w:numId w:val="50"/>
        </w:numPr>
        <w:rPr>
          <w:rFonts w:ascii="Arial" w:cs="Arial" w:eastAsia="Arial" w:hAnsi="Arial"/>
          <w:sz w:val="12"/>
          <w:szCs w:val="12"/>
          <w:color w:val="435363"/>
        </w:rPr>
      </w:pPr>
      <w:r>
        <w:rPr>
          <w:rFonts w:ascii="Arial" w:cs="Arial" w:eastAsia="Arial" w:hAnsi="Arial"/>
          <w:sz w:val="12"/>
          <w:szCs w:val="12"/>
          <w:color w:val="435363"/>
        </w:rPr>
        <w:t>Amounts in this column represent the aggregate grant date fair value, as calculated in accordance with ASC Topic 718, of RSUs granted by the Company during each of the fiscal years ending December 31, 2023, 2022 and 2021, respectively, to the named executive officers. The grant date fair value, as calculated in accordance with ASC Topic 718, of time-based RSUs is equal to the number of shares underlying the RSUs, multiplied by the closing price of our Common Stock on the date of grant. With respect to the performance-based RSUs, which were granted in 2023, the grant date fair value is determined based on the closing price of our Common Stock on the date of grant multiplied by a factor reflecting achievement of the probable outcome of the total debt reduction and relative pre-tax income margin improvement versus a pre-defined group of airlines (which was 100%). The aggregate maximum fair value of the 2023 annual performance-based RSU grants assuming the highest level of achievement of the performance conditions is as follows: Mr. Isom: $11,250,000, Mr. Johnson: $3,675,000, Ms. Aiyar: $2,360,000, Mr. May: $2,360,000 and Mr. Raja: $2,860,000. The aggregate maximum fair value of the 2023 one-time and promotion performance-based RSU grants assuming the highest level of achievement of the performance conditions is as follows: Mr. Isom: $11,000,000, Ms. Aiyar: $741,000 and Mr. Raja: $1,213,000.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201295</wp:posOffset>
            </wp:positionV>
            <wp:extent cx="5177155" cy="1682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6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68</w:t>
      </w:r>
    </w:p>
    <w:p>
      <w:pPr>
        <w:spacing w:after="0" w:line="3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3" w:lineRule="exact"/>
        <w:rPr>
          <w:sz w:val="20"/>
          <w:szCs w:val="20"/>
          <w:color w:val="auto"/>
        </w:rPr>
      </w:pPr>
    </w:p>
    <w:p>
      <w:pPr>
        <w:ind w:left="640" w:right="20" w:hanging="416"/>
        <w:spacing w:after="0"/>
        <w:tabs>
          <w:tab w:leader="none" w:pos="640" w:val="left"/>
        </w:tabs>
        <w:numPr>
          <w:ilvl w:val="0"/>
          <w:numId w:val="51"/>
        </w:numPr>
        <w:rPr>
          <w:rFonts w:ascii="Arial" w:cs="Arial" w:eastAsia="Arial" w:hAnsi="Arial"/>
          <w:sz w:val="12"/>
          <w:szCs w:val="12"/>
          <w:color w:val="435363"/>
        </w:rPr>
      </w:pPr>
      <w:r>
        <w:rPr>
          <w:rFonts w:ascii="Arial" w:cs="Arial" w:eastAsia="Arial" w:hAnsi="Arial"/>
          <w:sz w:val="12"/>
          <w:szCs w:val="12"/>
          <w:color w:val="435363"/>
        </w:rPr>
        <w:t>The STIP payouts for both the 2022 and 2023 programs are reflected as compensation for 2023 as the performance period for the 2022 STIP ran from April 1, 2022 through April 1, 2023 and the performance period for the 2023 STIP ran from January 1, 2023 through December 31, 2023. Under the 2022 STIP, each named executive officer received a payment as follows:</w:t>
      </w:r>
    </w:p>
    <w:p>
      <w:pPr>
        <w:ind w:left="640"/>
        <w:spacing w:after="0" w:line="230" w:lineRule="auto"/>
        <w:rPr>
          <w:rFonts w:ascii="Arial" w:cs="Arial" w:eastAsia="Arial" w:hAnsi="Arial"/>
          <w:sz w:val="12"/>
          <w:szCs w:val="12"/>
          <w:color w:val="435363"/>
        </w:rPr>
      </w:pPr>
      <w:r>
        <w:rPr>
          <w:rFonts w:ascii="Arial" w:cs="Arial" w:eastAsia="Arial" w:hAnsi="Arial"/>
          <w:sz w:val="12"/>
          <w:szCs w:val="12"/>
          <w:color w:val="435363"/>
        </w:rPr>
        <w:t>Mr. Isom: $3,855,800, Mr. Johnson: $1,483,040, Ms. Aiyar: $1,353,274, Mr. May: $879,417 and Mr. Raja: $1,436,695. Under the 2023 STIP, each named executive officer received a payment</w:t>
      </w:r>
    </w:p>
    <w:p>
      <w:pPr>
        <w:ind w:left="640"/>
        <w:spacing w:after="0"/>
        <w:rPr>
          <w:rFonts w:ascii="Arial" w:cs="Arial" w:eastAsia="Arial" w:hAnsi="Arial"/>
          <w:sz w:val="12"/>
          <w:szCs w:val="12"/>
          <w:color w:val="435363"/>
        </w:rPr>
      </w:pPr>
      <w:r>
        <w:rPr>
          <w:rFonts w:ascii="Arial" w:cs="Arial" w:eastAsia="Arial" w:hAnsi="Arial"/>
          <w:sz w:val="12"/>
          <w:szCs w:val="12"/>
          <w:color w:val="435363"/>
        </w:rPr>
        <w:t>as follows: Mr. Isom: $3,922,360, Mr. Johnson: $1,787,085, Ms. Aiyar: $1,376,634, Mr. May: $1,461,495, and Mr. Raja: $1,461,495.</w:t>
      </w:r>
    </w:p>
    <w:p>
      <w:pPr>
        <w:spacing w:after="0" w:line="61" w:lineRule="exact"/>
        <w:rPr>
          <w:rFonts w:ascii="Arial" w:cs="Arial" w:eastAsia="Arial" w:hAnsi="Arial"/>
          <w:sz w:val="12"/>
          <w:szCs w:val="12"/>
          <w:color w:val="435363"/>
        </w:rPr>
      </w:pPr>
    </w:p>
    <w:p>
      <w:pPr>
        <w:ind w:left="640" w:right="20" w:hanging="416"/>
        <w:spacing w:after="0" w:line="252" w:lineRule="auto"/>
        <w:tabs>
          <w:tab w:leader="none" w:pos="640" w:val="left"/>
        </w:tabs>
        <w:numPr>
          <w:ilvl w:val="0"/>
          <w:numId w:val="51"/>
        </w:numPr>
        <w:rPr>
          <w:rFonts w:ascii="Arial" w:cs="Arial" w:eastAsia="Arial" w:hAnsi="Arial"/>
          <w:sz w:val="12"/>
          <w:szCs w:val="12"/>
          <w:color w:val="435363"/>
        </w:rPr>
      </w:pPr>
      <w:r>
        <w:rPr>
          <w:rFonts w:ascii="Arial" w:cs="Arial" w:eastAsia="Arial" w:hAnsi="Arial"/>
          <w:sz w:val="12"/>
          <w:szCs w:val="12"/>
          <w:color w:val="435363"/>
        </w:rPr>
        <w:t>The following table provides the amounts of other compensation, including perquisites, paid to, or on behalf of, named executive officers during 2023 included in the “All Other Compensation” column. Perquisites and other personal benefits are valued on the basis of the aggregate incremental cost to the Company, except that flight benefits are valued based on the imputed taxable income to the executive, which valuation is greater than the incremental cost to the Company.</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220" w:type="dxa"/>
            <w:vAlign w:val="bottom"/>
          </w:tcPr>
          <w:p>
            <w:pPr>
              <w:jc w:val="right"/>
              <w:ind w:right="283"/>
              <w:spacing w:after="0"/>
              <w:rPr>
                <w:sz w:val="20"/>
                <w:szCs w:val="20"/>
                <w:color w:val="auto"/>
              </w:rPr>
            </w:pPr>
            <w:r>
              <w:rPr>
                <w:rFonts w:ascii="Arial" w:cs="Arial" w:eastAsia="Arial" w:hAnsi="Arial"/>
                <w:sz w:val="14"/>
                <w:szCs w:val="14"/>
                <w:b w:val="1"/>
                <w:bCs w:val="1"/>
                <w:color w:val="3575B3"/>
              </w:rPr>
              <w:t>Robert</w:t>
            </w:r>
          </w:p>
        </w:tc>
        <w:tc>
          <w:tcPr>
            <w:tcW w:w="1180" w:type="dxa"/>
            <w:vAlign w:val="bottom"/>
          </w:tcPr>
          <w:p>
            <w:pPr>
              <w:jc w:val="right"/>
              <w:ind w:right="343"/>
              <w:spacing w:after="0"/>
              <w:rPr>
                <w:sz w:val="20"/>
                <w:szCs w:val="20"/>
                <w:color w:val="auto"/>
              </w:rPr>
            </w:pPr>
            <w:r>
              <w:rPr>
                <w:rFonts w:ascii="Arial" w:cs="Arial" w:eastAsia="Arial" w:hAnsi="Arial"/>
                <w:sz w:val="14"/>
                <w:szCs w:val="14"/>
                <w:b w:val="1"/>
                <w:bCs w:val="1"/>
                <w:color w:val="3575B3"/>
              </w:rPr>
              <w:t>Steve</w:t>
            </w:r>
          </w:p>
        </w:tc>
        <w:tc>
          <w:tcPr>
            <w:tcW w:w="1000" w:type="dxa"/>
            <w:vAlign w:val="bottom"/>
          </w:tcPr>
          <w:p>
            <w:pPr>
              <w:jc w:val="right"/>
              <w:ind w:right="263"/>
              <w:spacing w:after="0"/>
              <w:rPr>
                <w:sz w:val="20"/>
                <w:szCs w:val="20"/>
                <w:color w:val="auto"/>
              </w:rPr>
            </w:pPr>
            <w:r>
              <w:rPr>
                <w:rFonts w:ascii="Arial" w:cs="Arial" w:eastAsia="Arial" w:hAnsi="Arial"/>
                <w:sz w:val="14"/>
                <w:szCs w:val="14"/>
                <w:b w:val="1"/>
                <w:bCs w:val="1"/>
                <w:color w:val="3575B3"/>
              </w:rPr>
              <w:t>Priya</w:t>
            </w:r>
          </w:p>
        </w:tc>
        <w:tc>
          <w:tcPr>
            <w:tcW w:w="960" w:type="dxa"/>
            <w:vAlign w:val="bottom"/>
          </w:tcPr>
          <w:p>
            <w:pPr>
              <w:jc w:val="right"/>
              <w:ind w:right="183"/>
              <w:spacing w:after="0"/>
              <w:rPr>
                <w:sz w:val="20"/>
                <w:szCs w:val="20"/>
                <w:color w:val="auto"/>
              </w:rPr>
            </w:pPr>
            <w:r>
              <w:rPr>
                <w:rFonts w:ascii="Arial" w:cs="Arial" w:eastAsia="Arial" w:hAnsi="Arial"/>
                <w:sz w:val="14"/>
                <w:szCs w:val="14"/>
                <w:b w:val="1"/>
                <w:bCs w:val="1"/>
                <w:color w:val="3575B3"/>
              </w:rPr>
              <w:t>Devon</w:t>
            </w:r>
          </w:p>
        </w:tc>
        <w:tc>
          <w:tcPr>
            <w:tcW w:w="820" w:type="dxa"/>
            <w:vAlign w:val="bottom"/>
          </w:tcPr>
          <w:p>
            <w:pPr>
              <w:jc w:val="right"/>
              <w:ind w:right="103"/>
              <w:spacing w:after="0"/>
              <w:rPr>
                <w:sz w:val="20"/>
                <w:szCs w:val="20"/>
                <w:color w:val="auto"/>
              </w:rPr>
            </w:pPr>
            <w:r>
              <w:rPr>
                <w:rFonts w:ascii="Arial" w:cs="Arial" w:eastAsia="Arial" w:hAnsi="Arial"/>
                <w:sz w:val="14"/>
                <w:szCs w:val="14"/>
                <w:b w:val="1"/>
                <w:bCs w:val="1"/>
                <w:color w:val="3575B3"/>
              </w:rPr>
              <w:t>Vasu</w:t>
            </w:r>
          </w:p>
        </w:tc>
      </w:tr>
      <w:tr>
        <w:trPr>
          <w:trHeight w:val="181"/>
        </w:trPr>
        <w:tc>
          <w:tcPr>
            <w:tcW w:w="4760" w:type="dxa"/>
            <w:vAlign w:val="bottom"/>
            <w:tcBorders>
              <w:bottom w:val="single" w:sz="8" w:color="BF0000"/>
            </w:tcBorders>
          </w:tcPr>
          <w:p>
            <w:pPr>
              <w:spacing w:after="0"/>
              <w:rPr>
                <w:sz w:val="15"/>
                <w:szCs w:val="15"/>
                <w:color w:val="auto"/>
              </w:rPr>
            </w:pPr>
          </w:p>
        </w:tc>
        <w:tc>
          <w:tcPr>
            <w:tcW w:w="1220" w:type="dxa"/>
            <w:vAlign w:val="bottom"/>
            <w:tcBorders>
              <w:bottom w:val="single" w:sz="8" w:color="BF0000"/>
            </w:tcBorders>
          </w:tcPr>
          <w:p>
            <w:pPr>
              <w:jc w:val="right"/>
              <w:ind w:right="243"/>
              <w:spacing w:after="0"/>
              <w:rPr>
                <w:sz w:val="20"/>
                <w:szCs w:val="20"/>
                <w:color w:val="auto"/>
              </w:rPr>
            </w:pPr>
            <w:r>
              <w:rPr>
                <w:rFonts w:ascii="Arial" w:cs="Arial" w:eastAsia="Arial" w:hAnsi="Arial"/>
                <w:sz w:val="14"/>
                <w:szCs w:val="14"/>
                <w:b w:val="1"/>
                <w:bCs w:val="1"/>
                <w:color w:val="3575B3"/>
              </w:rPr>
              <w:t>Isom ($)</w:t>
            </w:r>
          </w:p>
        </w:tc>
        <w:tc>
          <w:tcPr>
            <w:tcW w:w="1180" w:type="dxa"/>
            <w:vAlign w:val="bottom"/>
            <w:tcBorders>
              <w:bottom w:val="single" w:sz="8" w:color="BF0000"/>
            </w:tcBorders>
          </w:tcPr>
          <w:p>
            <w:pPr>
              <w:jc w:val="right"/>
              <w:ind w:right="143"/>
              <w:spacing w:after="0"/>
              <w:rPr>
                <w:sz w:val="20"/>
                <w:szCs w:val="20"/>
                <w:color w:val="auto"/>
              </w:rPr>
            </w:pPr>
            <w:r>
              <w:rPr>
                <w:rFonts w:ascii="Arial" w:cs="Arial" w:eastAsia="Arial" w:hAnsi="Arial"/>
                <w:sz w:val="14"/>
                <w:szCs w:val="14"/>
                <w:b w:val="1"/>
                <w:bCs w:val="1"/>
                <w:color w:val="3575B3"/>
              </w:rPr>
              <w:t>Johnson ($)</w:t>
            </w:r>
          </w:p>
        </w:tc>
        <w:tc>
          <w:tcPr>
            <w:tcW w:w="1000" w:type="dxa"/>
            <w:vAlign w:val="bottom"/>
            <w:tcBorders>
              <w:bottom w:val="single" w:sz="8" w:color="BF0000"/>
            </w:tcBorders>
          </w:tcPr>
          <w:p>
            <w:pPr>
              <w:jc w:val="right"/>
              <w:ind w:right="143"/>
              <w:spacing w:after="0"/>
              <w:rPr>
                <w:sz w:val="20"/>
                <w:szCs w:val="20"/>
                <w:color w:val="auto"/>
              </w:rPr>
            </w:pPr>
            <w:r>
              <w:rPr>
                <w:rFonts w:ascii="Arial" w:cs="Arial" w:eastAsia="Arial" w:hAnsi="Arial"/>
                <w:sz w:val="14"/>
                <w:szCs w:val="14"/>
                <w:b w:val="1"/>
                <w:bCs w:val="1"/>
                <w:color w:val="3575B3"/>
              </w:rPr>
              <w:t>Aiyar ($)</w:t>
            </w:r>
          </w:p>
        </w:tc>
        <w:tc>
          <w:tcPr>
            <w:tcW w:w="960" w:type="dxa"/>
            <w:vAlign w:val="bottom"/>
            <w:tcBorders>
              <w:bottom w:val="single" w:sz="8" w:color="BF0000"/>
            </w:tcBorders>
          </w:tcPr>
          <w:p>
            <w:pPr>
              <w:jc w:val="right"/>
              <w:ind w:right="163"/>
              <w:spacing w:after="0"/>
              <w:rPr>
                <w:sz w:val="20"/>
                <w:szCs w:val="20"/>
                <w:color w:val="auto"/>
              </w:rPr>
            </w:pPr>
            <w:r>
              <w:rPr>
                <w:rFonts w:ascii="Arial" w:cs="Arial" w:eastAsia="Arial" w:hAnsi="Arial"/>
                <w:sz w:val="14"/>
                <w:szCs w:val="14"/>
                <w:b w:val="1"/>
                <w:bCs w:val="1"/>
                <w:color w:val="3575B3"/>
              </w:rPr>
              <w:t>May ($)</w:t>
            </w:r>
          </w:p>
        </w:tc>
        <w:tc>
          <w:tcPr>
            <w:tcW w:w="820" w:type="dxa"/>
            <w:vAlign w:val="bottom"/>
            <w:tcBorders>
              <w:bottom w:val="single" w:sz="8" w:color="BF0000"/>
            </w:tcBorders>
          </w:tcPr>
          <w:p>
            <w:pPr>
              <w:jc w:val="right"/>
              <w:ind w:right="3"/>
              <w:spacing w:after="0"/>
              <w:rPr>
                <w:sz w:val="20"/>
                <w:szCs w:val="20"/>
                <w:color w:val="auto"/>
              </w:rPr>
            </w:pPr>
            <w:r>
              <w:rPr>
                <w:rFonts w:ascii="Arial" w:cs="Arial" w:eastAsia="Arial" w:hAnsi="Arial"/>
                <w:sz w:val="14"/>
                <w:szCs w:val="14"/>
                <w:b w:val="1"/>
                <w:bCs w:val="1"/>
                <w:color w:val="3575B3"/>
              </w:rPr>
              <w:t>Raja ($)</w:t>
            </w:r>
          </w:p>
        </w:tc>
      </w:tr>
      <w:tr>
        <w:trPr>
          <w:trHeight w:val="271"/>
        </w:trPr>
        <w:tc>
          <w:tcPr>
            <w:tcW w:w="4760" w:type="dxa"/>
            <w:vAlign w:val="bottom"/>
          </w:tcPr>
          <w:p>
            <w:pPr>
              <w:ind w:left="80"/>
              <w:spacing w:after="0"/>
              <w:rPr>
                <w:sz w:val="20"/>
                <w:szCs w:val="20"/>
                <w:color w:val="auto"/>
              </w:rPr>
            </w:pPr>
            <w:r>
              <w:rPr>
                <w:rFonts w:ascii="Arial" w:cs="Arial" w:eastAsia="Arial" w:hAnsi="Arial"/>
                <w:sz w:val="16"/>
                <w:szCs w:val="16"/>
                <w:b w:val="1"/>
                <w:bCs w:val="1"/>
                <w:color w:val="435363"/>
              </w:rPr>
              <w:t>Flight Privileges</w:t>
            </w:r>
            <w:r>
              <w:rPr>
                <w:rFonts w:ascii="Arial" w:cs="Arial" w:eastAsia="Arial" w:hAnsi="Arial"/>
                <w:sz w:val="23"/>
                <w:szCs w:val="23"/>
                <w:b w:val="1"/>
                <w:bCs w:val="1"/>
                <w:color w:val="435363"/>
                <w:vertAlign w:val="superscript"/>
              </w:rPr>
              <w:t>(1)</w:t>
            </w:r>
          </w:p>
        </w:tc>
        <w:tc>
          <w:tcPr>
            <w:tcW w:w="1220" w:type="dxa"/>
            <w:vAlign w:val="bottom"/>
          </w:tcPr>
          <w:p>
            <w:pPr>
              <w:jc w:val="right"/>
              <w:ind w:right="243"/>
              <w:spacing w:after="0"/>
              <w:rPr>
                <w:sz w:val="20"/>
                <w:szCs w:val="20"/>
                <w:color w:val="auto"/>
              </w:rPr>
            </w:pPr>
            <w:r>
              <w:rPr>
                <w:rFonts w:ascii="Arial" w:cs="Arial" w:eastAsia="Arial" w:hAnsi="Arial"/>
                <w:sz w:val="16"/>
                <w:szCs w:val="16"/>
                <w:color w:val="435363"/>
              </w:rPr>
              <w:t>20,591</w:t>
            </w:r>
          </w:p>
        </w:tc>
        <w:tc>
          <w:tcPr>
            <w:tcW w:w="1180" w:type="dxa"/>
            <w:vAlign w:val="bottom"/>
          </w:tcPr>
          <w:p>
            <w:pPr>
              <w:jc w:val="right"/>
              <w:ind w:right="143"/>
              <w:spacing w:after="0"/>
              <w:rPr>
                <w:sz w:val="20"/>
                <w:szCs w:val="20"/>
                <w:color w:val="auto"/>
              </w:rPr>
            </w:pPr>
            <w:r>
              <w:rPr>
                <w:rFonts w:ascii="Arial" w:cs="Arial" w:eastAsia="Arial" w:hAnsi="Arial"/>
                <w:sz w:val="16"/>
                <w:szCs w:val="16"/>
                <w:color w:val="435363"/>
              </w:rPr>
              <w:t>23,979</w:t>
            </w:r>
          </w:p>
        </w:tc>
        <w:tc>
          <w:tcPr>
            <w:tcW w:w="1000" w:type="dxa"/>
            <w:vAlign w:val="bottom"/>
          </w:tcPr>
          <w:p>
            <w:pPr>
              <w:jc w:val="right"/>
              <w:ind w:right="143"/>
              <w:spacing w:after="0"/>
              <w:rPr>
                <w:sz w:val="20"/>
                <w:szCs w:val="20"/>
                <w:color w:val="auto"/>
              </w:rPr>
            </w:pPr>
            <w:r>
              <w:rPr>
                <w:rFonts w:ascii="Arial" w:cs="Arial" w:eastAsia="Arial" w:hAnsi="Arial"/>
                <w:sz w:val="16"/>
                <w:szCs w:val="16"/>
                <w:color w:val="435363"/>
              </w:rPr>
              <w:t>11,287</w:t>
            </w:r>
          </w:p>
        </w:tc>
        <w:tc>
          <w:tcPr>
            <w:tcW w:w="960" w:type="dxa"/>
            <w:vAlign w:val="bottom"/>
          </w:tcPr>
          <w:p>
            <w:pPr>
              <w:jc w:val="right"/>
              <w:ind w:right="143"/>
              <w:spacing w:after="0"/>
              <w:rPr>
                <w:sz w:val="20"/>
                <w:szCs w:val="20"/>
                <w:color w:val="auto"/>
              </w:rPr>
            </w:pPr>
            <w:r>
              <w:rPr>
                <w:rFonts w:ascii="Arial" w:cs="Arial" w:eastAsia="Arial" w:hAnsi="Arial"/>
                <w:sz w:val="16"/>
                <w:szCs w:val="16"/>
                <w:color w:val="435363"/>
              </w:rPr>
              <w:t>17,793</w:t>
            </w:r>
          </w:p>
        </w:tc>
        <w:tc>
          <w:tcPr>
            <w:tcW w:w="820" w:type="dxa"/>
            <w:vAlign w:val="bottom"/>
          </w:tcPr>
          <w:p>
            <w:pPr>
              <w:jc w:val="right"/>
              <w:spacing w:after="0"/>
              <w:rPr>
                <w:sz w:val="20"/>
                <w:szCs w:val="20"/>
                <w:color w:val="auto"/>
              </w:rPr>
            </w:pPr>
            <w:r>
              <w:rPr>
                <w:rFonts w:ascii="Arial" w:cs="Arial" w:eastAsia="Arial" w:hAnsi="Arial"/>
                <w:sz w:val="16"/>
                <w:szCs w:val="16"/>
                <w:color w:val="435363"/>
              </w:rPr>
              <w:t>8,988</w:t>
            </w:r>
          </w:p>
        </w:tc>
      </w:tr>
      <w:tr>
        <w:trPr>
          <w:trHeight w:val="271"/>
        </w:trPr>
        <w:tc>
          <w:tcPr>
            <w:tcW w:w="476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b w:val="1"/>
                <w:bCs w:val="1"/>
                <w:color w:val="435363"/>
              </w:rPr>
              <w:t>Medical Examinations</w:t>
            </w:r>
          </w:p>
        </w:tc>
        <w:tc>
          <w:tcPr>
            <w:tcW w:w="1220" w:type="dxa"/>
            <w:vAlign w:val="bottom"/>
            <w:tcBorders>
              <w:bottom w:val="single" w:sz="8" w:color="EDEDED"/>
            </w:tcBorders>
            <w:shd w:val="clear" w:color="auto" w:fill="EDEDED"/>
          </w:tcPr>
          <w:p>
            <w:pPr>
              <w:jc w:val="right"/>
              <w:ind w:right="243"/>
              <w:spacing w:after="0"/>
              <w:rPr>
                <w:sz w:val="20"/>
                <w:szCs w:val="20"/>
                <w:color w:val="auto"/>
              </w:rPr>
            </w:pPr>
            <w:r>
              <w:rPr>
                <w:rFonts w:ascii="Arial" w:cs="Arial" w:eastAsia="Arial" w:hAnsi="Arial"/>
                <w:sz w:val="16"/>
                <w:szCs w:val="16"/>
                <w:color w:val="435363"/>
              </w:rPr>
              <w:t>5,118</w:t>
            </w:r>
          </w:p>
        </w:tc>
        <w:tc>
          <w:tcPr>
            <w:tcW w:w="1180" w:type="dxa"/>
            <w:vAlign w:val="bottom"/>
            <w:tcBorders>
              <w:bottom w:val="single" w:sz="8" w:color="EDEDED"/>
            </w:tcBorders>
            <w:shd w:val="clear" w:color="auto" w:fill="EDEDED"/>
          </w:tcPr>
          <w:p>
            <w:pPr>
              <w:jc w:val="right"/>
              <w:ind w:right="143"/>
              <w:spacing w:after="0"/>
              <w:rPr>
                <w:sz w:val="20"/>
                <w:szCs w:val="20"/>
                <w:color w:val="auto"/>
              </w:rPr>
            </w:pPr>
            <w:r>
              <w:rPr>
                <w:rFonts w:ascii="Arial" w:cs="Arial" w:eastAsia="Arial" w:hAnsi="Arial"/>
                <w:sz w:val="16"/>
                <w:szCs w:val="16"/>
                <w:color w:val="435363"/>
              </w:rPr>
              <w:t>-</w:t>
            </w:r>
          </w:p>
        </w:tc>
        <w:tc>
          <w:tcPr>
            <w:tcW w:w="1000" w:type="dxa"/>
            <w:vAlign w:val="bottom"/>
            <w:tcBorders>
              <w:bottom w:val="single" w:sz="8" w:color="EDEDED"/>
            </w:tcBorders>
            <w:shd w:val="clear" w:color="auto" w:fill="EDEDED"/>
          </w:tcPr>
          <w:p>
            <w:pPr>
              <w:jc w:val="right"/>
              <w:ind w:right="143"/>
              <w:spacing w:after="0"/>
              <w:rPr>
                <w:sz w:val="20"/>
                <w:szCs w:val="20"/>
                <w:color w:val="auto"/>
              </w:rPr>
            </w:pPr>
            <w:r>
              <w:rPr>
                <w:rFonts w:ascii="Arial" w:cs="Arial" w:eastAsia="Arial" w:hAnsi="Arial"/>
                <w:sz w:val="16"/>
                <w:szCs w:val="16"/>
                <w:color w:val="435363"/>
              </w:rPr>
              <w:t>5,436</w:t>
            </w:r>
          </w:p>
        </w:tc>
        <w:tc>
          <w:tcPr>
            <w:tcW w:w="960" w:type="dxa"/>
            <w:vAlign w:val="bottom"/>
            <w:tcBorders>
              <w:bottom w:val="single" w:sz="8" w:color="EDEDED"/>
            </w:tcBorders>
            <w:shd w:val="clear" w:color="auto" w:fill="EDEDED"/>
          </w:tcPr>
          <w:p>
            <w:pPr>
              <w:jc w:val="right"/>
              <w:ind w:right="143"/>
              <w:spacing w:after="0"/>
              <w:rPr>
                <w:sz w:val="20"/>
                <w:szCs w:val="20"/>
                <w:color w:val="auto"/>
              </w:rPr>
            </w:pPr>
            <w:r>
              <w:rPr>
                <w:rFonts w:ascii="Arial" w:cs="Arial" w:eastAsia="Arial" w:hAnsi="Arial"/>
                <w:sz w:val="16"/>
                <w:szCs w:val="16"/>
                <w:color w:val="435363"/>
              </w:rPr>
              <w:t>-</w:t>
            </w:r>
          </w:p>
        </w:tc>
        <w:tc>
          <w:tcPr>
            <w:tcW w:w="82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9,046</w:t>
            </w:r>
          </w:p>
        </w:tc>
      </w:tr>
      <w:tr>
        <w:trPr>
          <w:trHeight w:val="291"/>
        </w:trPr>
        <w:tc>
          <w:tcPr>
            <w:tcW w:w="4760" w:type="dxa"/>
            <w:vAlign w:val="bottom"/>
          </w:tcPr>
          <w:p>
            <w:pPr>
              <w:ind w:left="80"/>
              <w:spacing w:after="0"/>
              <w:rPr>
                <w:sz w:val="20"/>
                <w:szCs w:val="20"/>
                <w:color w:val="auto"/>
              </w:rPr>
            </w:pPr>
            <w:r>
              <w:rPr>
                <w:rFonts w:ascii="Arial" w:cs="Arial" w:eastAsia="Arial" w:hAnsi="Arial"/>
                <w:sz w:val="16"/>
                <w:szCs w:val="16"/>
                <w:b w:val="1"/>
                <w:bCs w:val="1"/>
                <w:color w:val="435363"/>
              </w:rPr>
              <w:t>Financial Advisory Services</w:t>
            </w:r>
          </w:p>
        </w:tc>
        <w:tc>
          <w:tcPr>
            <w:tcW w:w="1220" w:type="dxa"/>
            <w:vAlign w:val="bottom"/>
          </w:tcPr>
          <w:p>
            <w:pPr>
              <w:jc w:val="right"/>
              <w:ind w:right="83"/>
              <w:spacing w:after="0"/>
              <w:rPr>
                <w:sz w:val="20"/>
                <w:szCs w:val="20"/>
                <w:color w:val="auto"/>
              </w:rPr>
            </w:pPr>
            <w:r>
              <w:rPr>
                <w:rFonts w:ascii="Arial" w:cs="Arial" w:eastAsia="Arial" w:hAnsi="Arial"/>
                <w:sz w:val="16"/>
                <w:szCs w:val="16"/>
                <w:color w:val="435363"/>
              </w:rPr>
              <w:t>50,700</w:t>
            </w:r>
            <w:r>
              <w:rPr>
                <w:rFonts w:ascii="Arial" w:cs="Arial" w:eastAsia="Arial" w:hAnsi="Arial"/>
                <w:sz w:val="23"/>
                <w:szCs w:val="23"/>
                <w:color w:val="435363"/>
                <w:vertAlign w:val="superscript"/>
              </w:rPr>
              <w:t>(3)</w:t>
            </w:r>
          </w:p>
        </w:tc>
        <w:tc>
          <w:tcPr>
            <w:tcW w:w="1180" w:type="dxa"/>
            <w:vAlign w:val="bottom"/>
          </w:tcPr>
          <w:p>
            <w:pPr>
              <w:jc w:val="right"/>
              <w:ind w:right="143"/>
              <w:spacing w:after="0"/>
              <w:rPr>
                <w:sz w:val="20"/>
                <w:szCs w:val="20"/>
                <w:color w:val="auto"/>
              </w:rPr>
            </w:pPr>
            <w:r>
              <w:rPr>
                <w:rFonts w:ascii="Arial" w:cs="Arial" w:eastAsia="Arial" w:hAnsi="Arial"/>
                <w:sz w:val="16"/>
                <w:szCs w:val="16"/>
                <w:color w:val="435363"/>
              </w:rPr>
              <w:t>4,500</w:t>
            </w:r>
          </w:p>
        </w:tc>
        <w:tc>
          <w:tcPr>
            <w:tcW w:w="1000" w:type="dxa"/>
            <w:vAlign w:val="bottom"/>
          </w:tcPr>
          <w:p>
            <w:pPr>
              <w:jc w:val="right"/>
              <w:ind w:right="143"/>
              <w:spacing w:after="0"/>
              <w:rPr>
                <w:sz w:val="20"/>
                <w:szCs w:val="20"/>
                <w:color w:val="auto"/>
              </w:rPr>
            </w:pPr>
            <w:r>
              <w:rPr>
                <w:rFonts w:ascii="Arial" w:cs="Arial" w:eastAsia="Arial" w:hAnsi="Arial"/>
                <w:sz w:val="16"/>
                <w:szCs w:val="16"/>
                <w:color w:val="435363"/>
              </w:rPr>
              <w:t>4,500</w:t>
            </w:r>
          </w:p>
        </w:tc>
        <w:tc>
          <w:tcPr>
            <w:tcW w:w="960" w:type="dxa"/>
            <w:vAlign w:val="bottom"/>
          </w:tcPr>
          <w:p>
            <w:pPr>
              <w:jc w:val="right"/>
              <w:ind w:right="143"/>
              <w:spacing w:after="0"/>
              <w:rPr>
                <w:sz w:val="20"/>
                <w:szCs w:val="20"/>
                <w:color w:val="auto"/>
              </w:rPr>
            </w:pPr>
            <w:r>
              <w:rPr>
                <w:rFonts w:ascii="Arial" w:cs="Arial" w:eastAsia="Arial" w:hAnsi="Arial"/>
                <w:sz w:val="16"/>
                <w:szCs w:val="16"/>
                <w:color w:val="435363"/>
              </w:rPr>
              <w:t>4,500</w:t>
            </w:r>
          </w:p>
        </w:tc>
        <w:tc>
          <w:tcPr>
            <w:tcW w:w="820" w:type="dxa"/>
            <w:vAlign w:val="bottom"/>
          </w:tcPr>
          <w:p>
            <w:pPr>
              <w:jc w:val="right"/>
              <w:spacing w:after="0"/>
              <w:rPr>
                <w:sz w:val="20"/>
                <w:szCs w:val="20"/>
                <w:color w:val="auto"/>
              </w:rPr>
            </w:pPr>
            <w:r>
              <w:rPr>
                <w:rFonts w:ascii="Arial" w:cs="Arial" w:eastAsia="Arial" w:hAnsi="Arial"/>
                <w:sz w:val="16"/>
                <w:szCs w:val="16"/>
                <w:color w:val="435363"/>
              </w:rPr>
              <w:t>4,500</w:t>
            </w:r>
          </w:p>
        </w:tc>
      </w:tr>
      <w:tr>
        <w:trPr>
          <w:trHeight w:val="291"/>
        </w:trPr>
        <w:tc>
          <w:tcPr>
            <w:tcW w:w="4760" w:type="dxa"/>
            <w:vAlign w:val="bottom"/>
            <w:shd w:val="clear" w:color="auto" w:fill="EDEDED"/>
          </w:tcPr>
          <w:p>
            <w:pPr>
              <w:ind w:left="80"/>
              <w:spacing w:after="0"/>
              <w:rPr>
                <w:sz w:val="20"/>
                <w:szCs w:val="20"/>
                <w:color w:val="auto"/>
              </w:rPr>
            </w:pPr>
            <w:r>
              <w:rPr>
                <w:rFonts w:ascii="Arial" w:cs="Arial" w:eastAsia="Arial" w:hAnsi="Arial"/>
                <w:sz w:val="16"/>
                <w:szCs w:val="16"/>
                <w:b w:val="1"/>
                <w:bCs w:val="1"/>
                <w:color w:val="435363"/>
              </w:rPr>
              <w:t>Gross-Up Payments</w:t>
            </w:r>
            <w:r>
              <w:rPr>
                <w:rFonts w:ascii="Arial" w:cs="Arial" w:eastAsia="Arial" w:hAnsi="Arial"/>
                <w:sz w:val="23"/>
                <w:szCs w:val="23"/>
                <w:b w:val="1"/>
                <w:bCs w:val="1"/>
                <w:color w:val="435363"/>
                <w:vertAlign w:val="superscript"/>
              </w:rPr>
              <w:t>(2)</w:t>
            </w:r>
          </w:p>
        </w:tc>
        <w:tc>
          <w:tcPr>
            <w:tcW w:w="1220" w:type="dxa"/>
            <w:vAlign w:val="bottom"/>
            <w:shd w:val="clear" w:color="auto" w:fill="EDEDED"/>
          </w:tcPr>
          <w:p>
            <w:pPr>
              <w:jc w:val="right"/>
              <w:ind w:right="243"/>
              <w:spacing w:after="0"/>
              <w:rPr>
                <w:sz w:val="20"/>
                <w:szCs w:val="20"/>
                <w:color w:val="auto"/>
              </w:rPr>
            </w:pPr>
            <w:r>
              <w:rPr>
                <w:rFonts w:ascii="Arial" w:cs="Arial" w:eastAsia="Arial" w:hAnsi="Arial"/>
                <w:sz w:val="16"/>
                <w:szCs w:val="16"/>
                <w:color w:val="435363"/>
              </w:rPr>
              <w:t>15,443</w:t>
            </w:r>
          </w:p>
        </w:tc>
        <w:tc>
          <w:tcPr>
            <w:tcW w:w="1180" w:type="dxa"/>
            <w:vAlign w:val="bottom"/>
            <w:shd w:val="clear" w:color="auto" w:fill="EDEDED"/>
          </w:tcPr>
          <w:p>
            <w:pPr>
              <w:jc w:val="right"/>
              <w:ind w:right="143"/>
              <w:spacing w:after="0"/>
              <w:rPr>
                <w:sz w:val="20"/>
                <w:szCs w:val="20"/>
                <w:color w:val="auto"/>
              </w:rPr>
            </w:pPr>
            <w:r>
              <w:rPr>
                <w:rFonts w:ascii="Arial" w:cs="Arial" w:eastAsia="Arial" w:hAnsi="Arial"/>
                <w:sz w:val="16"/>
                <w:szCs w:val="16"/>
                <w:color w:val="435363"/>
              </w:rPr>
              <w:t>17,984</w:t>
            </w:r>
          </w:p>
        </w:tc>
        <w:tc>
          <w:tcPr>
            <w:tcW w:w="1000" w:type="dxa"/>
            <w:vAlign w:val="bottom"/>
            <w:shd w:val="clear" w:color="auto" w:fill="EDEDED"/>
          </w:tcPr>
          <w:p>
            <w:pPr>
              <w:jc w:val="right"/>
              <w:ind w:right="143"/>
              <w:spacing w:after="0"/>
              <w:rPr>
                <w:sz w:val="20"/>
                <w:szCs w:val="20"/>
                <w:color w:val="auto"/>
              </w:rPr>
            </w:pPr>
            <w:r>
              <w:rPr>
                <w:rFonts w:ascii="Arial" w:cs="Arial" w:eastAsia="Arial" w:hAnsi="Arial"/>
                <w:sz w:val="16"/>
                <w:szCs w:val="16"/>
                <w:color w:val="435363"/>
              </w:rPr>
              <w:t>8,465</w:t>
            </w:r>
          </w:p>
        </w:tc>
        <w:tc>
          <w:tcPr>
            <w:tcW w:w="960" w:type="dxa"/>
            <w:vAlign w:val="bottom"/>
            <w:shd w:val="clear" w:color="auto" w:fill="EDEDED"/>
          </w:tcPr>
          <w:p>
            <w:pPr>
              <w:jc w:val="right"/>
              <w:ind w:right="143"/>
              <w:spacing w:after="0"/>
              <w:rPr>
                <w:sz w:val="20"/>
                <w:szCs w:val="20"/>
                <w:color w:val="auto"/>
              </w:rPr>
            </w:pPr>
            <w:r>
              <w:rPr>
                <w:rFonts w:ascii="Arial" w:cs="Arial" w:eastAsia="Arial" w:hAnsi="Arial"/>
                <w:sz w:val="16"/>
                <w:szCs w:val="16"/>
                <w:color w:val="435363"/>
              </w:rPr>
              <w:t>13,345</w:t>
            </w:r>
          </w:p>
        </w:tc>
        <w:tc>
          <w:tcPr>
            <w:tcW w:w="82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6,741</w:t>
            </w:r>
          </w:p>
        </w:tc>
      </w:tr>
      <w:tr>
        <w:trPr>
          <w:trHeight w:val="257"/>
        </w:trPr>
        <w:tc>
          <w:tcPr>
            <w:tcW w:w="4760" w:type="dxa"/>
            <w:vAlign w:val="bottom"/>
          </w:tcPr>
          <w:p>
            <w:pPr>
              <w:ind w:left="80"/>
              <w:spacing w:after="0"/>
              <w:rPr>
                <w:sz w:val="20"/>
                <w:szCs w:val="20"/>
                <w:color w:val="auto"/>
              </w:rPr>
            </w:pPr>
            <w:r>
              <w:rPr>
                <w:rFonts w:ascii="Arial" w:cs="Arial" w:eastAsia="Arial" w:hAnsi="Arial"/>
                <w:sz w:val="16"/>
                <w:szCs w:val="16"/>
                <w:b w:val="1"/>
                <w:bCs w:val="1"/>
                <w:color w:val="435363"/>
              </w:rPr>
              <w:t>401(k) Company Contributions</w:t>
            </w:r>
          </w:p>
        </w:tc>
        <w:tc>
          <w:tcPr>
            <w:tcW w:w="1220" w:type="dxa"/>
            <w:vAlign w:val="bottom"/>
          </w:tcPr>
          <w:p>
            <w:pPr>
              <w:jc w:val="right"/>
              <w:ind w:right="243"/>
              <w:spacing w:after="0"/>
              <w:rPr>
                <w:sz w:val="20"/>
                <w:szCs w:val="20"/>
                <w:color w:val="auto"/>
              </w:rPr>
            </w:pPr>
            <w:r>
              <w:rPr>
                <w:rFonts w:ascii="Arial" w:cs="Arial" w:eastAsia="Arial" w:hAnsi="Arial"/>
                <w:sz w:val="16"/>
                <w:szCs w:val="16"/>
                <w:color w:val="435363"/>
              </w:rPr>
              <w:t>18,150</w:t>
            </w:r>
          </w:p>
        </w:tc>
        <w:tc>
          <w:tcPr>
            <w:tcW w:w="1180" w:type="dxa"/>
            <w:vAlign w:val="bottom"/>
          </w:tcPr>
          <w:p>
            <w:pPr>
              <w:jc w:val="right"/>
              <w:ind w:right="143"/>
              <w:spacing w:after="0"/>
              <w:rPr>
                <w:sz w:val="20"/>
                <w:szCs w:val="20"/>
                <w:color w:val="auto"/>
              </w:rPr>
            </w:pPr>
            <w:r>
              <w:rPr>
                <w:rFonts w:ascii="Arial" w:cs="Arial" w:eastAsia="Arial" w:hAnsi="Arial"/>
                <w:sz w:val="16"/>
                <w:szCs w:val="16"/>
                <w:color w:val="435363"/>
              </w:rPr>
              <w:t>18,150</w:t>
            </w:r>
          </w:p>
        </w:tc>
        <w:tc>
          <w:tcPr>
            <w:tcW w:w="1000" w:type="dxa"/>
            <w:vAlign w:val="bottom"/>
          </w:tcPr>
          <w:p>
            <w:pPr>
              <w:jc w:val="right"/>
              <w:ind w:right="143"/>
              <w:spacing w:after="0"/>
              <w:rPr>
                <w:sz w:val="20"/>
                <w:szCs w:val="20"/>
                <w:color w:val="auto"/>
              </w:rPr>
            </w:pPr>
            <w:r>
              <w:rPr>
                <w:rFonts w:ascii="Arial" w:cs="Arial" w:eastAsia="Arial" w:hAnsi="Arial"/>
                <w:sz w:val="16"/>
                <w:szCs w:val="16"/>
                <w:color w:val="435363"/>
              </w:rPr>
              <w:t>18,150</w:t>
            </w:r>
          </w:p>
        </w:tc>
        <w:tc>
          <w:tcPr>
            <w:tcW w:w="960" w:type="dxa"/>
            <w:vAlign w:val="bottom"/>
          </w:tcPr>
          <w:p>
            <w:pPr>
              <w:jc w:val="right"/>
              <w:ind w:right="143"/>
              <w:spacing w:after="0"/>
              <w:rPr>
                <w:sz w:val="20"/>
                <w:szCs w:val="20"/>
                <w:color w:val="auto"/>
              </w:rPr>
            </w:pPr>
            <w:r>
              <w:rPr>
                <w:rFonts w:ascii="Arial" w:cs="Arial" w:eastAsia="Arial" w:hAnsi="Arial"/>
                <w:sz w:val="16"/>
                <w:szCs w:val="16"/>
                <w:color w:val="435363"/>
              </w:rPr>
              <w:t>18,150</w:t>
            </w:r>
          </w:p>
        </w:tc>
        <w:tc>
          <w:tcPr>
            <w:tcW w:w="820" w:type="dxa"/>
            <w:vAlign w:val="bottom"/>
          </w:tcPr>
          <w:p>
            <w:pPr>
              <w:jc w:val="right"/>
              <w:spacing w:after="0"/>
              <w:rPr>
                <w:sz w:val="20"/>
                <w:szCs w:val="20"/>
                <w:color w:val="auto"/>
              </w:rPr>
            </w:pPr>
            <w:r>
              <w:rPr>
                <w:rFonts w:ascii="Arial" w:cs="Arial" w:eastAsia="Arial" w:hAnsi="Arial"/>
                <w:sz w:val="16"/>
                <w:szCs w:val="16"/>
                <w:color w:val="435363"/>
              </w:rPr>
              <w:t>18,150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22225</wp:posOffset>
            </wp:positionV>
            <wp:extent cx="630301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303010" cy="8255"/>
                    </a:xfrm>
                    <a:prstGeom prst="rect">
                      <a:avLst/>
                    </a:prstGeom>
                    <a:noFill/>
                  </pic:spPr>
                </pic:pic>
              </a:graphicData>
            </a:graphic>
          </wp:anchor>
        </w:drawing>
      </w:r>
    </w:p>
    <w:p>
      <w:pPr>
        <w:spacing w:after="0" w:line="89" w:lineRule="exact"/>
        <w:rPr>
          <w:sz w:val="20"/>
          <w:szCs w:val="20"/>
          <w:color w:val="auto"/>
        </w:rPr>
      </w:pPr>
    </w:p>
    <w:p>
      <w:pPr>
        <w:jc w:val="both"/>
        <w:ind w:left="1180" w:right="40" w:hanging="426"/>
        <w:spacing w:after="0" w:line="252" w:lineRule="auto"/>
        <w:tabs>
          <w:tab w:leader="none" w:pos="1180" w:val="left"/>
        </w:tabs>
        <w:numPr>
          <w:ilvl w:val="1"/>
          <w:numId w:val="52"/>
        </w:numPr>
        <w:rPr>
          <w:rFonts w:ascii="Arial" w:cs="Arial" w:eastAsia="Arial" w:hAnsi="Arial"/>
          <w:sz w:val="12"/>
          <w:szCs w:val="12"/>
          <w:color w:val="435363"/>
        </w:rPr>
      </w:pPr>
      <w:r>
        <w:rPr>
          <w:rFonts w:ascii="Arial" w:cs="Arial" w:eastAsia="Arial" w:hAnsi="Arial"/>
          <w:sz w:val="12"/>
          <w:szCs w:val="12"/>
          <w:color w:val="435363"/>
        </w:rPr>
        <w:t>Amounts represent flight privileges provided for unlimited, top-priority reserved travel in any class of service, for the named executive officer and his or her immediate family, and up to 12 round-trip or 24 one-way passes for non-eligible family members and friends. Amounts represent the actual value of travel utilized by those named executive officers and their respective eligible dependents during 2023.</w:t>
      </w:r>
    </w:p>
    <w:p>
      <w:pPr>
        <w:spacing w:after="0" w:line="41" w:lineRule="exact"/>
        <w:rPr>
          <w:rFonts w:ascii="Arial" w:cs="Arial" w:eastAsia="Arial" w:hAnsi="Arial"/>
          <w:sz w:val="12"/>
          <w:szCs w:val="12"/>
          <w:color w:val="435363"/>
        </w:rPr>
      </w:pPr>
    </w:p>
    <w:p>
      <w:pPr>
        <w:ind w:left="1180" w:hanging="426"/>
        <w:spacing w:after="0"/>
        <w:tabs>
          <w:tab w:leader="none" w:pos="1180" w:val="left"/>
        </w:tabs>
        <w:numPr>
          <w:ilvl w:val="1"/>
          <w:numId w:val="52"/>
        </w:numPr>
        <w:rPr>
          <w:rFonts w:ascii="Arial" w:cs="Arial" w:eastAsia="Arial" w:hAnsi="Arial"/>
          <w:sz w:val="12"/>
          <w:szCs w:val="12"/>
          <w:color w:val="435363"/>
        </w:rPr>
      </w:pPr>
      <w:r>
        <w:rPr>
          <w:rFonts w:ascii="Arial" w:cs="Arial" w:eastAsia="Arial" w:hAnsi="Arial"/>
          <w:sz w:val="12"/>
          <w:szCs w:val="12"/>
          <w:color w:val="435363"/>
        </w:rPr>
        <w:t>Amount represents tax gross-up payments with respect to flight privileges.</w:t>
      </w:r>
    </w:p>
    <w:p>
      <w:pPr>
        <w:spacing w:after="0" w:line="73" w:lineRule="exact"/>
        <w:rPr>
          <w:rFonts w:ascii="Arial" w:cs="Arial" w:eastAsia="Arial" w:hAnsi="Arial"/>
          <w:sz w:val="12"/>
          <w:szCs w:val="12"/>
          <w:color w:val="435363"/>
        </w:rPr>
      </w:pPr>
    </w:p>
    <w:p>
      <w:pPr>
        <w:ind w:left="1180" w:hanging="426"/>
        <w:spacing w:after="0"/>
        <w:tabs>
          <w:tab w:leader="none" w:pos="1180" w:val="left"/>
        </w:tabs>
        <w:numPr>
          <w:ilvl w:val="1"/>
          <w:numId w:val="52"/>
        </w:numPr>
        <w:rPr>
          <w:rFonts w:ascii="Arial" w:cs="Arial" w:eastAsia="Arial" w:hAnsi="Arial"/>
          <w:sz w:val="12"/>
          <w:szCs w:val="12"/>
          <w:color w:val="435363"/>
        </w:rPr>
      </w:pPr>
      <w:r>
        <w:rPr>
          <w:rFonts w:ascii="Arial" w:cs="Arial" w:eastAsia="Arial" w:hAnsi="Arial"/>
          <w:sz w:val="12"/>
          <w:szCs w:val="12"/>
          <w:color w:val="435363"/>
        </w:rPr>
        <w:t>Amount includes $46,200 in legal expenses incurred by Mr. Isom in connection with the negotiation of his CEO compensation that were reimbursed by the Company.</w:t>
      </w:r>
    </w:p>
    <w:p>
      <w:pPr>
        <w:spacing w:after="0" w:line="73" w:lineRule="exact"/>
        <w:rPr>
          <w:rFonts w:ascii="Arial" w:cs="Arial" w:eastAsia="Arial" w:hAnsi="Arial"/>
          <w:sz w:val="12"/>
          <w:szCs w:val="12"/>
          <w:color w:val="435363"/>
        </w:rPr>
      </w:pPr>
    </w:p>
    <w:p>
      <w:pPr>
        <w:ind w:left="640" w:hanging="416"/>
        <w:spacing w:after="0"/>
        <w:tabs>
          <w:tab w:leader="none" w:pos="640" w:val="left"/>
        </w:tabs>
        <w:numPr>
          <w:ilvl w:val="0"/>
          <w:numId w:val="53"/>
        </w:numPr>
        <w:rPr>
          <w:rFonts w:ascii="Arial" w:cs="Arial" w:eastAsia="Arial" w:hAnsi="Arial"/>
          <w:sz w:val="12"/>
          <w:szCs w:val="12"/>
          <w:color w:val="435363"/>
        </w:rPr>
      </w:pPr>
      <w:r>
        <w:rPr>
          <w:rFonts w:ascii="Arial" w:cs="Arial" w:eastAsia="Arial" w:hAnsi="Arial"/>
          <w:sz w:val="12"/>
          <w:szCs w:val="12"/>
          <w:color w:val="435363"/>
        </w:rPr>
        <w:t>Reflects a one-time cash payment to Mr. Isom.</w:t>
      </w:r>
    </w:p>
    <w:p>
      <w:pPr>
        <w:spacing w:after="0" w:line="73" w:lineRule="exact"/>
        <w:rPr>
          <w:rFonts w:ascii="Arial" w:cs="Arial" w:eastAsia="Arial" w:hAnsi="Arial"/>
          <w:sz w:val="12"/>
          <w:szCs w:val="12"/>
          <w:color w:val="435363"/>
        </w:rPr>
      </w:pPr>
    </w:p>
    <w:p>
      <w:pPr>
        <w:ind w:left="640" w:right="500" w:hanging="416"/>
        <w:spacing w:after="0" w:line="274" w:lineRule="auto"/>
        <w:tabs>
          <w:tab w:leader="none" w:pos="640" w:val="left"/>
        </w:tabs>
        <w:numPr>
          <w:ilvl w:val="0"/>
          <w:numId w:val="53"/>
        </w:numPr>
        <w:rPr>
          <w:rFonts w:ascii="Arial" w:cs="Arial" w:eastAsia="Arial" w:hAnsi="Arial"/>
          <w:sz w:val="12"/>
          <w:szCs w:val="12"/>
          <w:color w:val="435363"/>
        </w:rPr>
      </w:pPr>
      <w:r>
        <w:rPr>
          <w:rFonts w:ascii="Arial" w:cs="Arial" w:eastAsia="Arial" w:hAnsi="Arial"/>
          <w:sz w:val="12"/>
          <w:szCs w:val="12"/>
          <w:color w:val="435363"/>
        </w:rPr>
        <w:t>Reflects payments under cash retention agreements that were entered into with Ms. Aiyar and Messrs. May and Raja, respectively, in prior years payable subject to each employee’s continued service through April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97155</wp:posOffset>
            </wp:positionV>
            <wp:extent cx="5177155" cy="1682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69</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Grants of Plan-Based Awards in 2023</w:t>
      </w:r>
    </w:p>
    <w:p>
      <w:pPr>
        <w:spacing w:after="0" w:line="117" w:lineRule="exact"/>
        <w:rPr>
          <w:sz w:val="20"/>
          <w:szCs w:val="20"/>
          <w:color w:val="auto"/>
        </w:rPr>
      </w:pPr>
    </w:p>
    <w:p>
      <w:pPr>
        <w:ind w:left="220" w:right="980"/>
        <w:spacing w:after="0" w:line="275" w:lineRule="auto"/>
        <w:rPr>
          <w:sz w:val="20"/>
          <w:szCs w:val="20"/>
          <w:color w:val="auto"/>
        </w:rPr>
      </w:pPr>
      <w:r>
        <w:rPr>
          <w:rFonts w:ascii="Arial" w:cs="Arial" w:eastAsia="Arial" w:hAnsi="Arial"/>
          <w:sz w:val="16"/>
          <w:szCs w:val="16"/>
          <w:color w:val="435363"/>
        </w:rPr>
        <w:t>The following table provides information regarding grants of plan-based awards made to our named executive officers during the year ended December 31, 2023.</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ind w:right="9"/>
              <w:spacing w:after="0"/>
              <w:rPr>
                <w:sz w:val="20"/>
                <w:szCs w:val="20"/>
                <w:color w:val="auto"/>
              </w:rPr>
            </w:pPr>
            <w:r>
              <w:rPr>
                <w:rFonts w:ascii="Arial" w:cs="Arial" w:eastAsia="Arial" w:hAnsi="Arial"/>
                <w:sz w:val="14"/>
                <w:szCs w:val="14"/>
                <w:b w:val="1"/>
                <w:bCs w:val="1"/>
                <w:color w:val="3575B3"/>
              </w:rPr>
              <w:t>All Other</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3575B3"/>
              </w:rPr>
              <w:t>Estimated Future Payouts</w:t>
            </w:r>
          </w:p>
        </w:tc>
        <w:tc>
          <w:tcPr>
            <w:tcW w:w="240" w:type="dxa"/>
            <w:vAlign w:val="bottom"/>
          </w:tcPr>
          <w:p>
            <w:pPr>
              <w:spacing w:after="0"/>
              <w:rPr>
                <w:sz w:val="13"/>
                <w:szCs w:val="13"/>
                <w:color w:val="auto"/>
              </w:rPr>
            </w:pPr>
          </w:p>
        </w:tc>
        <w:tc>
          <w:tcPr>
            <w:tcW w:w="262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3575B3"/>
              </w:rPr>
              <w:t>Estimated Future Payouts</w:t>
            </w:r>
          </w:p>
        </w:tc>
        <w:tc>
          <w:tcPr>
            <w:tcW w:w="1040" w:type="dxa"/>
            <w:vAlign w:val="bottom"/>
          </w:tcPr>
          <w:p>
            <w:pPr>
              <w:jc w:val="center"/>
              <w:ind w:right="29"/>
              <w:spacing w:after="0" w:line="159" w:lineRule="exact"/>
              <w:rPr>
                <w:sz w:val="20"/>
                <w:szCs w:val="20"/>
                <w:color w:val="auto"/>
              </w:rPr>
            </w:pPr>
            <w:r>
              <w:rPr>
                <w:rFonts w:ascii="Arial" w:cs="Arial" w:eastAsia="Arial" w:hAnsi="Arial"/>
                <w:sz w:val="14"/>
                <w:szCs w:val="14"/>
                <w:b w:val="1"/>
                <w:bCs w:val="1"/>
                <w:color w:val="3575B3"/>
                <w:w w:val="99"/>
              </w:rPr>
              <w:t>Stock</w:t>
            </w:r>
          </w:p>
        </w:tc>
        <w:tc>
          <w:tcPr>
            <w:tcW w:w="920" w:type="dxa"/>
            <w:vAlign w:val="bottom"/>
          </w:tcPr>
          <w:p>
            <w:pPr>
              <w:jc w:val="center"/>
              <w:spacing w:after="0" w:line="159" w:lineRule="exact"/>
              <w:rPr>
                <w:sz w:val="20"/>
                <w:szCs w:val="20"/>
                <w:color w:val="auto"/>
              </w:rPr>
            </w:pPr>
            <w:r>
              <w:rPr>
                <w:rFonts w:ascii="Arial" w:cs="Arial" w:eastAsia="Arial" w:hAnsi="Arial"/>
                <w:sz w:val="14"/>
                <w:szCs w:val="14"/>
                <w:b w:val="1"/>
                <w:bCs w:val="1"/>
                <w:color w:val="3575B3"/>
              </w:rPr>
              <w:t>Grant Date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2620" w:type="dxa"/>
            <w:vAlign w:val="bottom"/>
            <w:gridSpan w:val="4"/>
            <w:vMerge w:val="continue"/>
          </w:tcPr>
          <w:p>
            <w:pPr>
              <w:spacing w:after="0"/>
              <w:rPr>
                <w:sz w:val="9"/>
                <w:szCs w:val="9"/>
                <w:color w:val="auto"/>
              </w:rPr>
            </w:pPr>
          </w:p>
        </w:tc>
        <w:tc>
          <w:tcPr>
            <w:tcW w:w="1040" w:type="dxa"/>
            <w:vAlign w:val="bottom"/>
            <w:vMerge w:val="restart"/>
          </w:tcPr>
          <w:p>
            <w:pPr>
              <w:jc w:val="center"/>
              <w:ind w:right="9"/>
              <w:spacing w:after="0" w:line="159" w:lineRule="exact"/>
              <w:rPr>
                <w:sz w:val="20"/>
                <w:szCs w:val="20"/>
                <w:color w:val="auto"/>
              </w:rPr>
            </w:pPr>
            <w:r>
              <w:rPr>
                <w:rFonts w:ascii="Arial" w:cs="Arial" w:eastAsia="Arial" w:hAnsi="Arial"/>
                <w:sz w:val="14"/>
                <w:szCs w:val="14"/>
                <w:b w:val="1"/>
                <w:bCs w:val="1"/>
                <w:color w:val="3575B3"/>
              </w:rPr>
              <w:t>Awards:</w:t>
            </w:r>
          </w:p>
        </w:tc>
        <w:tc>
          <w:tcPr>
            <w:tcW w:w="920" w:type="dxa"/>
            <w:vAlign w:val="bottom"/>
            <w:vMerge w:val="restart"/>
          </w:tcPr>
          <w:p>
            <w:pPr>
              <w:jc w:val="center"/>
              <w:spacing w:after="0" w:line="159" w:lineRule="exact"/>
              <w:rPr>
                <w:sz w:val="20"/>
                <w:szCs w:val="20"/>
                <w:color w:val="auto"/>
              </w:rPr>
            </w:pPr>
            <w:r>
              <w:rPr>
                <w:rFonts w:ascii="Arial" w:cs="Arial" w:eastAsia="Arial" w:hAnsi="Arial"/>
                <w:sz w:val="14"/>
                <w:szCs w:val="14"/>
                <w:b w:val="1"/>
                <w:bCs w:val="1"/>
                <w:color w:val="3575B3"/>
                <w:w w:val="98"/>
              </w:rPr>
              <w:t>Fair Value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gridSpan w:val="3"/>
            <w:vMerge w:val="restart"/>
          </w:tcPr>
          <w:p>
            <w:pPr>
              <w:jc w:val="center"/>
              <w:spacing w:after="0" w:line="155" w:lineRule="exact"/>
              <w:rPr>
                <w:sz w:val="20"/>
                <w:szCs w:val="20"/>
                <w:color w:val="auto"/>
              </w:rPr>
            </w:pPr>
            <w:r>
              <w:rPr>
                <w:rFonts w:ascii="Arial" w:cs="Arial" w:eastAsia="Arial" w:hAnsi="Arial"/>
                <w:sz w:val="14"/>
                <w:szCs w:val="14"/>
                <w:b w:val="1"/>
                <w:bCs w:val="1"/>
                <w:color w:val="3575B3"/>
              </w:rPr>
              <w:t>Under Non-Equity Incentive</w:t>
            </w:r>
          </w:p>
        </w:tc>
        <w:tc>
          <w:tcPr>
            <w:tcW w:w="240" w:type="dxa"/>
            <w:vAlign w:val="bottom"/>
          </w:tcPr>
          <w:p>
            <w:pPr>
              <w:spacing w:after="0"/>
              <w:rPr>
                <w:sz w:val="4"/>
                <w:szCs w:val="4"/>
                <w:color w:val="auto"/>
              </w:rPr>
            </w:pPr>
          </w:p>
        </w:tc>
        <w:tc>
          <w:tcPr>
            <w:tcW w:w="2620" w:type="dxa"/>
            <w:vAlign w:val="bottom"/>
            <w:gridSpan w:val="4"/>
            <w:vMerge w:val="restart"/>
          </w:tcPr>
          <w:p>
            <w:pPr>
              <w:jc w:val="center"/>
              <w:ind w:right="260"/>
              <w:spacing w:after="0" w:line="155" w:lineRule="exact"/>
              <w:rPr>
                <w:sz w:val="20"/>
                <w:szCs w:val="20"/>
                <w:color w:val="auto"/>
              </w:rPr>
            </w:pPr>
            <w:r>
              <w:rPr>
                <w:rFonts w:ascii="Arial" w:cs="Arial" w:eastAsia="Arial" w:hAnsi="Arial"/>
                <w:sz w:val="14"/>
                <w:szCs w:val="14"/>
                <w:b w:val="1"/>
                <w:bCs w:val="1"/>
                <w:color w:val="3575B3"/>
              </w:rPr>
              <w:t>Under Equity Incentive</w:t>
            </w:r>
          </w:p>
        </w:tc>
        <w:tc>
          <w:tcPr>
            <w:tcW w:w="10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52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1040" w:type="dxa"/>
            <w:vAlign w:val="bottom"/>
            <w:vMerge w:val="restart"/>
          </w:tcPr>
          <w:p>
            <w:pPr>
              <w:jc w:val="center"/>
              <w:ind w:right="29"/>
              <w:spacing w:after="0" w:line="159" w:lineRule="exact"/>
              <w:rPr>
                <w:sz w:val="20"/>
                <w:szCs w:val="20"/>
                <w:color w:val="auto"/>
              </w:rPr>
            </w:pPr>
            <w:r>
              <w:rPr>
                <w:rFonts w:ascii="Arial" w:cs="Arial" w:eastAsia="Arial" w:hAnsi="Arial"/>
                <w:sz w:val="14"/>
                <w:szCs w:val="14"/>
                <w:b w:val="1"/>
                <w:bCs w:val="1"/>
                <w:color w:val="3575B3"/>
                <w:w w:val="99"/>
              </w:rPr>
              <w:t>Number of</w:t>
            </w:r>
          </w:p>
        </w:tc>
        <w:tc>
          <w:tcPr>
            <w:tcW w:w="920" w:type="dxa"/>
            <w:vAlign w:val="bottom"/>
            <w:vMerge w:val="restart"/>
          </w:tcPr>
          <w:p>
            <w:pPr>
              <w:jc w:val="center"/>
              <w:spacing w:after="0" w:line="159" w:lineRule="exact"/>
              <w:rPr>
                <w:sz w:val="20"/>
                <w:szCs w:val="20"/>
                <w:color w:val="auto"/>
              </w:rPr>
            </w:pPr>
            <w:r>
              <w:rPr>
                <w:rFonts w:ascii="Arial" w:cs="Arial" w:eastAsia="Arial" w:hAnsi="Arial"/>
                <w:sz w:val="14"/>
                <w:szCs w:val="14"/>
                <w:b w:val="1"/>
                <w:bCs w:val="1"/>
                <w:color w:val="3575B3"/>
              </w:rPr>
              <w:t>of Stock</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60" w:type="dxa"/>
            <w:vAlign w:val="bottom"/>
            <w:vMerge w:val="restart"/>
          </w:tcPr>
          <w:p>
            <w:pPr>
              <w:jc w:val="center"/>
              <w:spacing w:after="0" w:line="152" w:lineRule="exact"/>
              <w:rPr>
                <w:sz w:val="20"/>
                <w:szCs w:val="20"/>
                <w:color w:val="auto"/>
              </w:rPr>
            </w:pPr>
            <w:r>
              <w:rPr>
                <w:rFonts w:ascii="Arial" w:cs="Arial" w:eastAsia="Arial" w:hAnsi="Arial"/>
                <w:sz w:val="12"/>
                <w:szCs w:val="12"/>
                <w:b w:val="1"/>
                <w:bCs w:val="1"/>
                <w:color w:val="3575B3"/>
              </w:rPr>
              <w:t>Plan Awards</w:t>
            </w:r>
            <w:r>
              <w:rPr>
                <w:rFonts w:ascii="Arial" w:cs="Arial" w:eastAsia="Arial" w:hAnsi="Arial"/>
                <w:sz w:val="17"/>
                <w:szCs w:val="17"/>
                <w:b w:val="1"/>
                <w:bCs w:val="1"/>
                <w:color w:val="3575B3"/>
                <w:vertAlign w:val="superscript"/>
              </w:rPr>
              <w:t>(a)</w:t>
            </w: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vMerge w:val="restart"/>
          </w:tcPr>
          <w:p>
            <w:pPr>
              <w:jc w:val="center"/>
              <w:spacing w:after="0" w:line="152" w:lineRule="exact"/>
              <w:rPr>
                <w:sz w:val="20"/>
                <w:szCs w:val="20"/>
                <w:color w:val="auto"/>
              </w:rPr>
            </w:pPr>
            <w:r>
              <w:rPr>
                <w:rFonts w:ascii="Arial" w:cs="Arial" w:eastAsia="Arial" w:hAnsi="Arial"/>
                <w:sz w:val="14"/>
                <w:szCs w:val="14"/>
                <w:b w:val="1"/>
                <w:bCs w:val="1"/>
                <w:color w:val="3575B3"/>
                <w:w w:val="99"/>
              </w:rPr>
              <w:t>Plan Awards</w:t>
            </w: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BF0000"/>
            </w:tcBorders>
          </w:tcPr>
          <w:p>
            <w:pPr>
              <w:spacing w:after="0"/>
              <w:rPr>
                <w:sz w:val="10"/>
                <w:szCs w:val="10"/>
                <w:color w:val="auto"/>
              </w:rPr>
            </w:pPr>
          </w:p>
        </w:tc>
        <w:tc>
          <w:tcPr>
            <w:tcW w:w="1060" w:type="dxa"/>
            <w:vAlign w:val="bottom"/>
            <w:tcBorders>
              <w:bottom w:val="single" w:sz="8" w:color="BF0000"/>
            </w:tcBorders>
            <w:vMerge w:val="continue"/>
          </w:tcPr>
          <w:p>
            <w:pPr>
              <w:spacing w:after="0"/>
              <w:rPr>
                <w:sz w:val="10"/>
                <w:szCs w:val="10"/>
                <w:color w:val="auto"/>
              </w:rPr>
            </w:pPr>
          </w:p>
        </w:tc>
        <w:tc>
          <w:tcPr>
            <w:tcW w:w="740" w:type="dxa"/>
            <w:vAlign w:val="bottom"/>
            <w:tcBorders>
              <w:bottom w:val="single" w:sz="8" w:color="BF0000"/>
            </w:tcBorders>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Borders>
              <w:bottom w:val="single" w:sz="8" w:color="BF0000"/>
            </w:tcBorders>
          </w:tcPr>
          <w:p>
            <w:pPr>
              <w:spacing w:after="0"/>
              <w:rPr>
                <w:sz w:val="10"/>
                <w:szCs w:val="10"/>
                <w:color w:val="auto"/>
              </w:rPr>
            </w:pPr>
          </w:p>
        </w:tc>
        <w:tc>
          <w:tcPr>
            <w:tcW w:w="940" w:type="dxa"/>
            <w:vAlign w:val="bottom"/>
            <w:tcBorders>
              <w:bottom w:val="single" w:sz="8" w:color="BF0000"/>
            </w:tcBorders>
            <w:vMerge w:val="continue"/>
          </w:tcPr>
          <w:p>
            <w:pPr>
              <w:spacing w:after="0"/>
              <w:rPr>
                <w:sz w:val="10"/>
                <w:szCs w:val="10"/>
                <w:color w:val="auto"/>
              </w:rPr>
            </w:pPr>
          </w:p>
        </w:tc>
        <w:tc>
          <w:tcPr>
            <w:tcW w:w="720" w:type="dxa"/>
            <w:vAlign w:val="bottom"/>
            <w:tcBorders>
              <w:bottom w:val="single" w:sz="8" w:color="BF0000"/>
            </w:tcBorders>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vMerge w:val="restart"/>
          </w:tcPr>
          <w:p>
            <w:pPr>
              <w:jc w:val="center"/>
              <w:ind w:right="9"/>
              <w:spacing w:after="0" w:line="159" w:lineRule="exact"/>
              <w:rPr>
                <w:sz w:val="20"/>
                <w:szCs w:val="20"/>
                <w:color w:val="auto"/>
              </w:rPr>
            </w:pPr>
            <w:r>
              <w:rPr>
                <w:rFonts w:ascii="Arial" w:cs="Arial" w:eastAsia="Arial" w:hAnsi="Arial"/>
                <w:sz w:val="14"/>
                <w:szCs w:val="14"/>
                <w:b w:val="1"/>
                <w:bCs w:val="1"/>
                <w:color w:val="3575B3"/>
              </w:rPr>
              <w:t>Shares of</w:t>
            </w:r>
          </w:p>
        </w:tc>
        <w:tc>
          <w:tcPr>
            <w:tcW w:w="920" w:type="dxa"/>
            <w:vAlign w:val="bottom"/>
            <w:vMerge w:val="restart"/>
          </w:tcPr>
          <w:p>
            <w:pPr>
              <w:jc w:val="center"/>
              <w:spacing w:after="0" w:line="159" w:lineRule="exact"/>
              <w:rPr>
                <w:sz w:val="20"/>
                <w:szCs w:val="20"/>
                <w:color w:val="auto"/>
              </w:rPr>
            </w:pPr>
            <w:r>
              <w:rPr>
                <w:rFonts w:ascii="Arial" w:cs="Arial" w:eastAsia="Arial" w:hAnsi="Arial"/>
                <w:sz w:val="14"/>
                <w:szCs w:val="14"/>
                <w:b w:val="1"/>
                <w:bCs w:val="1"/>
                <w:color w:val="3575B3"/>
              </w:rPr>
              <w:t>and</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center"/>
              <w:ind w:right="9"/>
              <w:spacing w:after="0" w:line="159" w:lineRule="exact"/>
              <w:rPr>
                <w:sz w:val="20"/>
                <w:szCs w:val="20"/>
                <w:color w:val="auto"/>
              </w:rPr>
            </w:pPr>
            <w:r>
              <w:rPr>
                <w:rFonts w:ascii="Arial" w:cs="Arial" w:eastAsia="Arial" w:hAnsi="Arial"/>
                <w:sz w:val="14"/>
                <w:szCs w:val="14"/>
                <w:b w:val="1"/>
                <w:bCs w:val="1"/>
                <w:color w:val="3575B3"/>
                <w:w w:val="99"/>
              </w:rPr>
              <w:t>Stock or</w:t>
            </w:r>
          </w:p>
        </w:tc>
        <w:tc>
          <w:tcPr>
            <w:tcW w:w="920" w:type="dxa"/>
            <w:vAlign w:val="bottom"/>
          </w:tcPr>
          <w:p>
            <w:pPr>
              <w:jc w:val="center"/>
              <w:spacing w:after="0" w:line="159" w:lineRule="exact"/>
              <w:rPr>
                <w:sz w:val="20"/>
                <w:szCs w:val="20"/>
                <w:color w:val="auto"/>
              </w:rPr>
            </w:pPr>
            <w:r>
              <w:rPr>
                <w:rFonts w:ascii="Arial" w:cs="Arial" w:eastAsia="Arial" w:hAnsi="Arial"/>
                <w:sz w:val="14"/>
                <w:szCs w:val="14"/>
                <w:b w:val="1"/>
                <w:bCs w:val="1"/>
                <w:color w:val="3575B3"/>
              </w:rPr>
              <w:t>Option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3575B3"/>
              </w:rPr>
              <w:t>Threshold</w:t>
            </w:r>
          </w:p>
        </w:tc>
        <w:tc>
          <w:tcPr>
            <w:tcW w:w="1060" w:type="dxa"/>
            <w:vAlign w:val="bottom"/>
          </w:tcPr>
          <w:p>
            <w:pPr>
              <w:jc w:val="center"/>
              <w:spacing w:after="0" w:line="155" w:lineRule="exact"/>
              <w:rPr>
                <w:sz w:val="20"/>
                <w:szCs w:val="20"/>
                <w:color w:val="auto"/>
              </w:rPr>
            </w:pPr>
            <w:r>
              <w:rPr>
                <w:rFonts w:ascii="Arial" w:cs="Arial" w:eastAsia="Arial" w:hAnsi="Arial"/>
                <w:sz w:val="14"/>
                <w:szCs w:val="14"/>
                <w:b w:val="1"/>
                <w:bCs w:val="1"/>
                <w:color w:val="3575B3"/>
                <w:w w:val="98"/>
              </w:rPr>
              <w:t>Target</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3575B3"/>
              </w:rPr>
              <w:t>Maximum</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3575B3"/>
              </w:rPr>
              <w:t>Threshold</w:t>
            </w:r>
          </w:p>
        </w:tc>
        <w:tc>
          <w:tcPr>
            <w:tcW w:w="940" w:type="dxa"/>
            <w:vAlign w:val="bottom"/>
          </w:tcPr>
          <w:p>
            <w:pPr>
              <w:jc w:val="center"/>
              <w:spacing w:after="0" w:line="155" w:lineRule="exact"/>
              <w:rPr>
                <w:sz w:val="20"/>
                <w:szCs w:val="20"/>
                <w:color w:val="auto"/>
              </w:rPr>
            </w:pPr>
            <w:r>
              <w:rPr>
                <w:rFonts w:ascii="Arial" w:cs="Arial" w:eastAsia="Arial" w:hAnsi="Arial"/>
                <w:sz w:val="14"/>
                <w:szCs w:val="14"/>
                <w:b w:val="1"/>
                <w:bCs w:val="1"/>
                <w:color w:val="3575B3"/>
                <w:w w:val="98"/>
              </w:rPr>
              <w:t>Target</w:t>
            </w:r>
          </w:p>
        </w:tc>
        <w:tc>
          <w:tcPr>
            <w:tcW w:w="9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3575B3"/>
                <w:w w:val="99"/>
              </w:rPr>
              <w:t>Maximum</w:t>
            </w:r>
          </w:p>
        </w:tc>
        <w:tc>
          <w:tcPr>
            <w:tcW w:w="1040" w:type="dxa"/>
            <w:vAlign w:val="bottom"/>
          </w:tcPr>
          <w:p>
            <w:pPr>
              <w:jc w:val="center"/>
              <w:ind w:right="9"/>
              <w:spacing w:after="0" w:line="155" w:lineRule="exact"/>
              <w:rPr>
                <w:sz w:val="20"/>
                <w:szCs w:val="20"/>
                <w:color w:val="auto"/>
              </w:rPr>
            </w:pPr>
            <w:r>
              <w:rPr>
                <w:rFonts w:ascii="Arial" w:cs="Arial" w:eastAsia="Arial" w:hAnsi="Arial"/>
                <w:sz w:val="14"/>
                <w:szCs w:val="14"/>
                <w:b w:val="1"/>
                <w:bCs w:val="1"/>
                <w:color w:val="3575B3"/>
              </w:rPr>
              <w:t>Units</w:t>
            </w:r>
          </w:p>
        </w:tc>
        <w:tc>
          <w:tcPr>
            <w:tcW w:w="920" w:type="dxa"/>
            <w:vAlign w:val="bottom"/>
          </w:tcPr>
          <w:p>
            <w:pPr>
              <w:jc w:val="center"/>
              <w:spacing w:after="0" w:line="155" w:lineRule="exact"/>
              <w:rPr>
                <w:sz w:val="20"/>
                <w:szCs w:val="20"/>
                <w:color w:val="auto"/>
              </w:rPr>
            </w:pPr>
            <w:r>
              <w:rPr>
                <w:rFonts w:ascii="Arial" w:cs="Arial" w:eastAsia="Arial" w:hAnsi="Arial"/>
                <w:sz w:val="14"/>
                <w:szCs w:val="14"/>
                <w:b w:val="1"/>
                <w:bCs w:val="1"/>
                <w:color w:val="3575B3"/>
                <w:w w:val="98"/>
              </w:rPr>
              <w:t>Awards</w:t>
            </w:r>
          </w:p>
        </w:tc>
        <w:tc>
          <w:tcPr>
            <w:tcW w:w="0" w:type="dxa"/>
            <w:vAlign w:val="bottom"/>
          </w:tcPr>
          <w:p>
            <w:pPr>
              <w:spacing w:after="0"/>
              <w:rPr>
                <w:sz w:val="1"/>
                <w:szCs w:val="1"/>
                <w:color w:val="auto"/>
              </w:rPr>
            </w:pPr>
          </w:p>
        </w:tc>
      </w:tr>
      <w:tr>
        <w:trPr>
          <w:trHeight w:val="185"/>
        </w:trPr>
        <w:tc>
          <w:tcPr>
            <w:tcW w:w="2320" w:type="dxa"/>
            <w:vAlign w:val="bottom"/>
            <w:gridSpan w:val="2"/>
          </w:tcPr>
          <w:p>
            <w:pPr>
              <w:spacing w:after="0"/>
              <w:rPr>
                <w:sz w:val="20"/>
                <w:szCs w:val="20"/>
                <w:color w:val="auto"/>
              </w:rPr>
            </w:pPr>
            <w:r>
              <w:rPr>
                <w:rFonts w:ascii="Arial" w:cs="Arial" w:eastAsia="Arial" w:hAnsi="Arial"/>
                <w:sz w:val="14"/>
                <w:szCs w:val="14"/>
                <w:b w:val="1"/>
                <w:bCs w:val="1"/>
                <w:color w:val="3575B3"/>
              </w:rPr>
              <w:t>  Name</w:t>
            </w:r>
          </w:p>
        </w:tc>
        <w:tc>
          <w:tcPr>
            <w:tcW w:w="1040" w:type="dxa"/>
            <w:vAlign w:val="bottom"/>
            <w:gridSpan w:val="2"/>
          </w:tcPr>
          <w:p>
            <w:pPr>
              <w:jc w:val="right"/>
              <w:ind w:right="49"/>
              <w:spacing w:after="0"/>
              <w:rPr>
                <w:sz w:val="20"/>
                <w:szCs w:val="20"/>
                <w:color w:val="auto"/>
              </w:rPr>
            </w:pPr>
            <w:r>
              <w:rPr>
                <w:rFonts w:ascii="Arial" w:cs="Arial" w:eastAsia="Arial" w:hAnsi="Arial"/>
                <w:sz w:val="14"/>
                <w:szCs w:val="14"/>
                <w:b w:val="1"/>
                <w:bCs w:val="1"/>
                <w:color w:val="3575B3"/>
              </w:rPr>
              <w:t>Grant Date</w:t>
            </w:r>
          </w:p>
        </w:tc>
        <w:tc>
          <w:tcPr>
            <w:tcW w:w="840" w:type="dxa"/>
            <w:vAlign w:val="bottom"/>
            <w:gridSpan w:val="2"/>
          </w:tcPr>
          <w:p>
            <w:pPr>
              <w:jc w:val="right"/>
              <w:ind w:right="229"/>
              <w:spacing w:after="0"/>
              <w:rPr>
                <w:sz w:val="20"/>
                <w:szCs w:val="20"/>
                <w:color w:val="auto"/>
              </w:rPr>
            </w:pPr>
            <w:r>
              <w:rPr>
                <w:rFonts w:ascii="Arial" w:cs="Arial" w:eastAsia="Arial" w:hAnsi="Arial"/>
                <w:sz w:val="14"/>
                <w:szCs w:val="14"/>
                <w:b w:val="1"/>
                <w:bCs w:val="1"/>
                <w:color w:val="3575B3"/>
              </w:rPr>
              <w: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3575B3"/>
              </w:rPr>
              <w:t>($)</w:t>
            </w:r>
          </w:p>
        </w:tc>
        <w:tc>
          <w:tcPr>
            <w:tcW w:w="740" w:type="dxa"/>
            <w:vAlign w:val="bottom"/>
          </w:tcPr>
          <w:p>
            <w:pPr>
              <w:jc w:val="right"/>
              <w:ind w:right="189"/>
              <w:spacing w:after="0"/>
              <w:rPr>
                <w:sz w:val="20"/>
                <w:szCs w:val="20"/>
                <w:color w:val="auto"/>
              </w:rPr>
            </w:pPr>
            <w:r>
              <w:rPr>
                <w:rFonts w:ascii="Arial" w:cs="Arial" w:eastAsia="Arial" w:hAnsi="Arial"/>
                <w:sz w:val="14"/>
                <w:szCs w:val="14"/>
                <w:b w:val="1"/>
                <w:bCs w:val="1"/>
                <w:color w:val="3575B3"/>
              </w:rPr>
              <w:t>($)</w:t>
            </w:r>
          </w:p>
        </w:tc>
        <w:tc>
          <w:tcPr>
            <w:tcW w:w="960" w:type="dxa"/>
            <w:vAlign w:val="bottom"/>
            <w:gridSpan w:val="2"/>
          </w:tcPr>
          <w:p>
            <w:pPr>
              <w:jc w:val="right"/>
              <w:ind w:right="229"/>
              <w:spacing w:after="0"/>
              <w:rPr>
                <w:sz w:val="20"/>
                <w:szCs w:val="20"/>
                <w:color w:val="auto"/>
              </w:rPr>
            </w:pPr>
            <w:r>
              <w:rPr>
                <w:rFonts w:ascii="Arial" w:cs="Arial" w:eastAsia="Arial" w:hAnsi="Arial"/>
                <w:sz w:val="14"/>
                <w:szCs w:val="14"/>
                <w:b w:val="1"/>
                <w:bCs w:val="1"/>
                <w:color w:val="3575B3"/>
              </w:rPr>
              <w: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3575B3"/>
              </w:rPr>
              <w:t>(#)</w:t>
            </w: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3575B3"/>
              </w:rPr>
              <w:t>(#)</w:t>
            </w:r>
          </w:p>
        </w:tc>
        <w:tc>
          <w:tcPr>
            <w:tcW w:w="240" w:type="dxa"/>
            <w:vAlign w:val="bottom"/>
          </w:tcPr>
          <w:p>
            <w:pPr>
              <w:spacing w:after="0"/>
              <w:rPr>
                <w:sz w:val="16"/>
                <w:szCs w:val="16"/>
                <w:color w:val="auto"/>
              </w:rPr>
            </w:pPr>
          </w:p>
        </w:tc>
        <w:tc>
          <w:tcPr>
            <w:tcW w:w="1040" w:type="dxa"/>
            <w:vAlign w:val="bottom"/>
          </w:tcPr>
          <w:p>
            <w:pPr>
              <w:jc w:val="center"/>
              <w:ind w:right="29"/>
              <w:spacing w:after="0"/>
              <w:rPr>
                <w:sz w:val="20"/>
                <w:szCs w:val="20"/>
                <w:color w:val="auto"/>
              </w:rPr>
            </w:pPr>
            <w:r>
              <w:rPr>
                <w:rFonts w:ascii="Arial" w:cs="Arial" w:eastAsia="Arial" w:hAnsi="Arial"/>
                <w:sz w:val="14"/>
                <w:szCs w:val="14"/>
                <w:b w:val="1"/>
                <w:bCs w:val="1"/>
                <w:color w:val="3575B3"/>
              </w:rPr>
              <w:t>(#)</w:t>
            </w:r>
          </w:p>
        </w:tc>
        <w:tc>
          <w:tcPr>
            <w:tcW w:w="920" w:type="dxa"/>
            <w:vAlign w:val="bottom"/>
          </w:tcPr>
          <w:p>
            <w:pPr>
              <w:jc w:val="center"/>
              <w:spacing w:after="0" w:line="186" w:lineRule="exact"/>
              <w:rPr>
                <w:sz w:val="20"/>
                <w:szCs w:val="20"/>
                <w:color w:val="auto"/>
              </w:rPr>
            </w:pPr>
            <w:r>
              <w:rPr>
                <w:rFonts w:ascii="Arial" w:cs="Arial" w:eastAsia="Arial" w:hAnsi="Arial"/>
                <w:sz w:val="14"/>
                <w:szCs w:val="14"/>
                <w:b w:val="1"/>
                <w:bCs w:val="1"/>
                <w:color w:val="3575B3"/>
                <w:w w:val="85"/>
              </w:rPr>
              <w:t>($)</w:t>
            </w:r>
            <w:r>
              <w:rPr>
                <w:rFonts w:ascii="Arial" w:cs="Arial" w:eastAsia="Arial" w:hAnsi="Arial"/>
                <w:sz w:val="21"/>
                <w:szCs w:val="21"/>
                <w:b w:val="1"/>
                <w:bCs w:val="1"/>
                <w:color w:val="3575B3"/>
                <w:w w:val="85"/>
                <w:vertAlign w:val="superscript"/>
              </w:rPr>
              <w:t>(b)</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300" w:type="dxa"/>
            <w:vAlign w:val="bottom"/>
            <w:tcBorders>
              <w:top w:val="single" w:sz="8" w:color="BF0000"/>
            </w:tcBorders>
          </w:tcPr>
          <w:p>
            <w:pPr>
              <w:ind w:left="60"/>
              <w:spacing w:after="0"/>
              <w:rPr>
                <w:sz w:val="20"/>
                <w:szCs w:val="20"/>
                <w:color w:val="auto"/>
              </w:rPr>
            </w:pPr>
            <w:r>
              <w:rPr>
                <w:rFonts w:ascii="Arial" w:cs="Arial" w:eastAsia="Arial" w:hAnsi="Arial"/>
                <w:sz w:val="14"/>
                <w:szCs w:val="14"/>
                <w:b w:val="1"/>
                <w:bCs w:val="1"/>
                <w:color w:val="435363"/>
              </w:rPr>
              <w:t>Robert Isom</w:t>
            </w:r>
          </w:p>
        </w:tc>
        <w:tc>
          <w:tcPr>
            <w:tcW w:w="1040" w:type="dxa"/>
            <w:vAlign w:val="bottom"/>
            <w:tcBorders>
              <w:top w:val="single" w:sz="8" w:color="BF0000"/>
            </w:tcBorders>
            <w:gridSpan w:val="2"/>
            <w:vMerge w:val="restart"/>
          </w:tcPr>
          <w:p>
            <w:pPr>
              <w:jc w:val="right"/>
              <w:ind w:right="49"/>
              <w:spacing w:after="0"/>
              <w:rPr>
                <w:sz w:val="20"/>
                <w:szCs w:val="20"/>
                <w:color w:val="auto"/>
              </w:rPr>
            </w:pPr>
            <w:r>
              <w:rPr>
                <w:rFonts w:ascii="Arial" w:cs="Arial" w:eastAsia="Arial" w:hAnsi="Arial"/>
                <w:sz w:val="14"/>
                <w:szCs w:val="14"/>
                <w:color w:val="435363"/>
              </w:rPr>
              <w:t>9/20/2023</w:t>
            </w:r>
          </w:p>
        </w:tc>
        <w:tc>
          <w:tcPr>
            <w:tcW w:w="840" w:type="dxa"/>
            <w:vAlign w:val="bottom"/>
            <w:tcBorders>
              <w:top w:val="single" w:sz="8" w:color="BF0000"/>
            </w:tcBorders>
            <w:gridSpan w:val="2"/>
          </w:tcPr>
          <w:p>
            <w:pPr>
              <w:jc w:val="right"/>
              <w:spacing w:after="0"/>
              <w:rPr>
                <w:sz w:val="20"/>
                <w:szCs w:val="20"/>
                <w:color w:val="auto"/>
              </w:rPr>
            </w:pPr>
            <w:r>
              <w:rPr>
                <w:rFonts w:ascii="Arial" w:cs="Arial" w:eastAsia="Arial" w:hAnsi="Arial"/>
                <w:sz w:val="14"/>
                <w:szCs w:val="14"/>
                <w:color w:val="435363"/>
              </w:rPr>
              <w:t>1,300,000</w:t>
            </w:r>
          </w:p>
        </w:tc>
        <w:tc>
          <w:tcPr>
            <w:tcW w:w="1060" w:type="dxa"/>
            <w:vAlign w:val="bottom"/>
            <w:tcBorders>
              <w:top w:val="single" w:sz="8" w:color="BF0000"/>
            </w:tcBorders>
          </w:tcPr>
          <w:p>
            <w:pPr>
              <w:jc w:val="right"/>
              <w:ind w:right="111"/>
              <w:spacing w:after="0"/>
              <w:rPr>
                <w:sz w:val="20"/>
                <w:szCs w:val="20"/>
                <w:color w:val="auto"/>
              </w:rPr>
            </w:pPr>
            <w:r>
              <w:rPr>
                <w:rFonts w:ascii="Arial" w:cs="Arial" w:eastAsia="Arial" w:hAnsi="Arial"/>
                <w:sz w:val="14"/>
                <w:szCs w:val="14"/>
                <w:color w:val="435363"/>
              </w:rPr>
              <w:t>2,600,000</w:t>
            </w:r>
          </w:p>
        </w:tc>
        <w:tc>
          <w:tcPr>
            <w:tcW w:w="740" w:type="dxa"/>
            <w:vAlign w:val="bottom"/>
            <w:tcBorders>
              <w:top w:val="single" w:sz="8" w:color="BF0000"/>
            </w:tcBorders>
          </w:tcPr>
          <w:p>
            <w:pPr>
              <w:jc w:val="right"/>
              <w:spacing w:after="0"/>
              <w:rPr>
                <w:sz w:val="20"/>
                <w:szCs w:val="20"/>
                <w:color w:val="auto"/>
              </w:rPr>
            </w:pPr>
            <w:r>
              <w:rPr>
                <w:rFonts w:ascii="Arial" w:cs="Arial" w:eastAsia="Arial" w:hAnsi="Arial"/>
                <w:sz w:val="14"/>
                <w:szCs w:val="14"/>
                <w:color w:val="435363"/>
              </w:rPr>
              <w:t>5,200,000</w:t>
            </w:r>
          </w:p>
        </w:tc>
        <w:tc>
          <w:tcPr>
            <w:tcW w:w="960" w:type="dxa"/>
            <w:vAlign w:val="bottom"/>
            <w:tcBorders>
              <w:top w:val="single" w:sz="8" w:color="BF0000"/>
            </w:tcBorders>
            <w:gridSpan w:val="2"/>
            <w:vMerge w:val="restart"/>
          </w:tcPr>
          <w:p>
            <w:pPr>
              <w:jc w:val="right"/>
              <w:spacing w:after="0"/>
              <w:rPr>
                <w:sz w:val="20"/>
                <w:szCs w:val="20"/>
                <w:color w:val="auto"/>
              </w:rPr>
            </w:pPr>
            <w:r>
              <w:rPr>
                <w:rFonts w:ascii="Arial" w:cs="Arial" w:eastAsia="Arial" w:hAnsi="Arial"/>
                <w:sz w:val="14"/>
                <w:szCs w:val="14"/>
                <w:color w:val="435363"/>
              </w:rPr>
              <w:t>107,676</w:t>
            </w:r>
          </w:p>
        </w:tc>
        <w:tc>
          <w:tcPr>
            <w:tcW w:w="940" w:type="dxa"/>
            <w:vAlign w:val="bottom"/>
            <w:tcBorders>
              <w:top w:val="single" w:sz="8" w:color="BF0000"/>
            </w:tcBorders>
            <w:vMerge w:val="restart"/>
          </w:tcPr>
          <w:p>
            <w:pPr>
              <w:jc w:val="right"/>
              <w:ind w:right="129"/>
              <w:spacing w:after="0"/>
              <w:rPr>
                <w:sz w:val="20"/>
                <w:szCs w:val="20"/>
                <w:color w:val="auto"/>
              </w:rPr>
            </w:pPr>
            <w:r>
              <w:rPr>
                <w:rFonts w:ascii="Arial" w:cs="Arial" w:eastAsia="Arial" w:hAnsi="Arial"/>
                <w:sz w:val="14"/>
                <w:szCs w:val="14"/>
                <w:color w:val="435363"/>
              </w:rPr>
              <w:t>430,704</w:t>
            </w:r>
          </w:p>
        </w:tc>
        <w:tc>
          <w:tcPr>
            <w:tcW w:w="960" w:type="dxa"/>
            <w:vAlign w:val="bottom"/>
            <w:tcBorders>
              <w:top w:val="single" w:sz="8" w:color="BF0000"/>
            </w:tcBorders>
            <w:gridSpan w:val="2"/>
            <w:vMerge w:val="restart"/>
          </w:tcPr>
          <w:p>
            <w:pPr>
              <w:jc w:val="right"/>
              <w:ind w:right="120"/>
              <w:spacing w:after="0"/>
              <w:rPr>
                <w:sz w:val="20"/>
                <w:szCs w:val="20"/>
                <w:color w:val="auto"/>
              </w:rPr>
            </w:pPr>
            <w:r>
              <w:rPr>
                <w:rFonts w:ascii="Arial" w:cs="Arial" w:eastAsia="Arial" w:hAnsi="Arial"/>
                <w:sz w:val="14"/>
                <w:szCs w:val="14"/>
                <w:color w:val="435363"/>
              </w:rPr>
              <w:t>861,408</w:t>
            </w:r>
            <w:r>
              <w:rPr>
                <w:rFonts w:ascii="Arial" w:cs="Arial" w:eastAsia="Arial" w:hAnsi="Arial"/>
                <w:sz w:val="21"/>
                <w:szCs w:val="21"/>
                <w:color w:val="435363"/>
                <w:vertAlign w:val="superscript"/>
              </w:rPr>
              <w:t>(c)</w:t>
            </w:r>
          </w:p>
        </w:tc>
        <w:tc>
          <w:tcPr>
            <w:tcW w:w="1040" w:type="dxa"/>
            <w:vAlign w:val="bottom"/>
            <w:tcBorders>
              <w:top w:val="single" w:sz="8" w:color="BF0000"/>
            </w:tcBorders>
          </w:tcPr>
          <w:p>
            <w:pPr>
              <w:spacing w:after="0"/>
              <w:rPr>
                <w:sz w:val="16"/>
                <w:szCs w:val="16"/>
                <w:color w:val="auto"/>
              </w:rPr>
            </w:pPr>
          </w:p>
        </w:tc>
        <w:tc>
          <w:tcPr>
            <w:tcW w:w="920" w:type="dxa"/>
            <w:vAlign w:val="bottom"/>
            <w:tcBorders>
              <w:top w:val="single" w:sz="8" w:color="BF0000"/>
            </w:tcBorders>
            <w:vMerge w:val="restart"/>
          </w:tcPr>
          <w:p>
            <w:pPr>
              <w:jc w:val="right"/>
              <w:ind w:right="49"/>
              <w:spacing w:after="0"/>
              <w:rPr>
                <w:sz w:val="20"/>
                <w:szCs w:val="20"/>
                <w:color w:val="auto"/>
              </w:rPr>
            </w:pPr>
            <w:r>
              <w:rPr>
                <w:rFonts w:ascii="Arial" w:cs="Arial" w:eastAsia="Arial" w:hAnsi="Arial"/>
                <w:sz w:val="14"/>
                <w:szCs w:val="14"/>
                <w:color w:val="435363"/>
              </w:rPr>
              <w:t>5,625,000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40" w:type="dxa"/>
            <w:vAlign w:val="bottom"/>
            <w:gridSpan w:val="2"/>
          </w:tcPr>
          <w:p>
            <w:pPr>
              <w:jc w:val="right"/>
              <w:ind w:right="49"/>
              <w:spacing w:after="0"/>
              <w:rPr>
                <w:sz w:val="20"/>
                <w:szCs w:val="20"/>
                <w:color w:val="auto"/>
              </w:rPr>
            </w:pPr>
            <w:r>
              <w:rPr>
                <w:rFonts w:ascii="Arial" w:cs="Arial" w:eastAsia="Arial" w:hAnsi="Arial"/>
                <w:sz w:val="14"/>
                <w:szCs w:val="14"/>
                <w:color w:val="435363"/>
              </w:rPr>
              <w:t>9/20/2023</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435363"/>
              </w:rPr>
              <w:t>105,283</w:t>
            </w:r>
          </w:p>
        </w:tc>
        <w:tc>
          <w:tcPr>
            <w:tcW w:w="940" w:type="dxa"/>
            <w:vAlign w:val="bottom"/>
          </w:tcPr>
          <w:p>
            <w:pPr>
              <w:jc w:val="right"/>
              <w:ind w:right="129"/>
              <w:spacing w:after="0"/>
              <w:rPr>
                <w:sz w:val="20"/>
                <w:szCs w:val="20"/>
                <w:color w:val="auto"/>
              </w:rPr>
            </w:pPr>
            <w:r>
              <w:rPr>
                <w:rFonts w:ascii="Arial" w:cs="Arial" w:eastAsia="Arial" w:hAnsi="Arial"/>
                <w:sz w:val="14"/>
                <w:szCs w:val="14"/>
                <w:color w:val="435363"/>
              </w:rPr>
              <w:t>421,133</w:t>
            </w:r>
          </w:p>
        </w:tc>
        <w:tc>
          <w:tcPr>
            <w:tcW w:w="960" w:type="dxa"/>
            <w:vAlign w:val="bottom"/>
            <w:gridSpan w:val="2"/>
          </w:tcPr>
          <w:p>
            <w:pPr>
              <w:jc w:val="right"/>
              <w:ind w:right="120"/>
              <w:spacing w:after="0" w:line="163" w:lineRule="exact"/>
              <w:rPr>
                <w:sz w:val="20"/>
                <w:szCs w:val="20"/>
                <w:color w:val="auto"/>
              </w:rPr>
            </w:pPr>
            <w:r>
              <w:rPr>
                <w:rFonts w:ascii="Arial" w:cs="Arial" w:eastAsia="Arial" w:hAnsi="Arial"/>
                <w:sz w:val="12"/>
                <w:szCs w:val="12"/>
                <w:color w:val="435363"/>
              </w:rPr>
              <w:t>842,266</w:t>
            </w:r>
            <w:r>
              <w:rPr>
                <w:rFonts w:ascii="Arial" w:cs="Arial" w:eastAsia="Arial" w:hAnsi="Arial"/>
                <w:sz w:val="18"/>
                <w:szCs w:val="18"/>
                <w:color w:val="435363"/>
                <w:vertAlign w:val="superscript"/>
              </w:rPr>
              <w:t>(d)</w:t>
            </w: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435363"/>
              </w:rPr>
              <w:t>430,704</w:t>
            </w:r>
            <w:r>
              <w:rPr>
                <w:rFonts w:ascii="Arial" w:cs="Arial" w:eastAsia="Arial" w:hAnsi="Arial"/>
                <w:sz w:val="21"/>
                <w:szCs w:val="21"/>
                <w:color w:val="435363"/>
                <w:vertAlign w:val="superscript"/>
              </w:rPr>
              <w:t>(e)</w:t>
            </w:r>
          </w:p>
        </w:tc>
        <w:tc>
          <w:tcPr>
            <w:tcW w:w="920" w:type="dxa"/>
            <w:vAlign w:val="bottom"/>
          </w:tcPr>
          <w:p>
            <w:pPr>
              <w:jc w:val="right"/>
              <w:ind w:right="49"/>
              <w:spacing w:after="0"/>
              <w:rPr>
                <w:sz w:val="20"/>
                <w:szCs w:val="20"/>
                <w:color w:val="auto"/>
              </w:rPr>
            </w:pPr>
            <w:r>
              <w:rPr>
                <w:rFonts w:ascii="Arial" w:cs="Arial" w:eastAsia="Arial" w:hAnsi="Arial"/>
                <w:sz w:val="14"/>
                <w:szCs w:val="14"/>
                <w:color w:val="435363"/>
              </w:rPr>
              <w:t>5,500,000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40" w:type="dxa"/>
            <w:vAlign w:val="bottom"/>
            <w:gridSpan w:val="2"/>
          </w:tcPr>
          <w:p>
            <w:pPr>
              <w:jc w:val="right"/>
              <w:ind w:right="49"/>
              <w:spacing w:after="0" w:line="155" w:lineRule="exact"/>
              <w:rPr>
                <w:sz w:val="20"/>
                <w:szCs w:val="20"/>
                <w:color w:val="auto"/>
              </w:rPr>
            </w:pPr>
            <w:r>
              <w:rPr>
                <w:rFonts w:ascii="Arial" w:cs="Arial" w:eastAsia="Arial" w:hAnsi="Arial"/>
                <w:sz w:val="14"/>
                <w:szCs w:val="14"/>
                <w:color w:val="435363"/>
              </w:rPr>
              <w:t>9/20/2023</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20" w:type="dxa"/>
            <w:vAlign w:val="bottom"/>
          </w:tcPr>
          <w:p>
            <w:pPr>
              <w:jc w:val="right"/>
              <w:ind w:right="49"/>
              <w:spacing w:after="0" w:line="155" w:lineRule="exact"/>
              <w:rPr>
                <w:sz w:val="20"/>
                <w:szCs w:val="20"/>
                <w:color w:val="auto"/>
              </w:rPr>
            </w:pPr>
            <w:r>
              <w:rPr>
                <w:rFonts w:ascii="Arial" w:cs="Arial" w:eastAsia="Arial" w:hAnsi="Arial"/>
                <w:sz w:val="14"/>
                <w:szCs w:val="14"/>
                <w:color w:val="435363"/>
              </w:rPr>
              <w:t>5,625,000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40" w:type="dxa"/>
            <w:vAlign w:val="bottom"/>
            <w:gridSpan w:val="2"/>
          </w:tcPr>
          <w:p>
            <w:pPr>
              <w:jc w:val="right"/>
              <w:ind w:right="49"/>
              <w:spacing w:after="0"/>
              <w:rPr>
                <w:sz w:val="20"/>
                <w:szCs w:val="20"/>
                <w:color w:val="auto"/>
              </w:rPr>
            </w:pPr>
            <w:r>
              <w:rPr>
                <w:rFonts w:ascii="Arial" w:cs="Arial" w:eastAsia="Arial" w:hAnsi="Arial"/>
                <w:sz w:val="14"/>
                <w:szCs w:val="14"/>
                <w:color w:val="435363"/>
              </w:rPr>
              <w:t>9/20/2023</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29"/>
              <w:spacing w:after="0" w:line="238" w:lineRule="exact"/>
              <w:rPr>
                <w:sz w:val="20"/>
                <w:szCs w:val="20"/>
                <w:color w:val="auto"/>
              </w:rPr>
            </w:pPr>
            <w:r>
              <w:rPr>
                <w:rFonts w:ascii="Arial" w:cs="Arial" w:eastAsia="Arial" w:hAnsi="Arial"/>
                <w:sz w:val="14"/>
                <w:szCs w:val="14"/>
                <w:color w:val="435363"/>
              </w:rPr>
              <w:t>210,566</w:t>
            </w:r>
            <w:r>
              <w:rPr>
                <w:rFonts w:ascii="Arial" w:cs="Arial" w:eastAsia="Arial" w:hAnsi="Arial"/>
                <w:sz w:val="21"/>
                <w:szCs w:val="21"/>
                <w:color w:val="435363"/>
                <w:vertAlign w:val="superscript"/>
              </w:rPr>
              <w:t>(f)</w:t>
            </w:r>
          </w:p>
        </w:tc>
        <w:tc>
          <w:tcPr>
            <w:tcW w:w="920" w:type="dxa"/>
            <w:vAlign w:val="bottom"/>
          </w:tcPr>
          <w:p>
            <w:pPr>
              <w:jc w:val="right"/>
              <w:ind w:right="49"/>
              <w:spacing w:after="0"/>
              <w:rPr>
                <w:sz w:val="20"/>
                <w:szCs w:val="20"/>
                <w:color w:val="auto"/>
              </w:rPr>
            </w:pPr>
            <w:r>
              <w:rPr>
                <w:rFonts w:ascii="Arial" w:cs="Arial" w:eastAsia="Arial" w:hAnsi="Arial"/>
                <w:sz w:val="14"/>
                <w:szCs w:val="14"/>
                <w:color w:val="435363"/>
              </w:rPr>
              <w:t>2,750,000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EDEDED"/>
          </w:tcPr>
          <w:p>
            <w:pPr>
              <w:ind w:left="60"/>
              <w:spacing w:after="0" w:line="159" w:lineRule="exact"/>
              <w:rPr>
                <w:sz w:val="20"/>
                <w:szCs w:val="20"/>
                <w:color w:val="auto"/>
              </w:rPr>
            </w:pPr>
            <w:r>
              <w:rPr>
                <w:rFonts w:ascii="Arial" w:cs="Arial" w:eastAsia="Arial" w:hAnsi="Arial"/>
                <w:sz w:val="14"/>
                <w:szCs w:val="14"/>
                <w:b w:val="1"/>
                <w:bCs w:val="1"/>
                <w:color w:val="435363"/>
              </w:rPr>
              <w:t>Steve Johnson</w:t>
            </w:r>
          </w:p>
        </w:tc>
        <w:tc>
          <w:tcPr>
            <w:tcW w:w="200" w:type="dxa"/>
            <w:vAlign w:val="bottom"/>
            <w:shd w:val="clear" w:color="auto" w:fill="EDEDED"/>
          </w:tcPr>
          <w:p>
            <w:pPr>
              <w:spacing w:after="0"/>
              <w:rPr>
                <w:sz w:val="13"/>
                <w:szCs w:val="13"/>
                <w:color w:val="auto"/>
              </w:rPr>
            </w:pPr>
          </w:p>
        </w:tc>
        <w:tc>
          <w:tcPr>
            <w:tcW w:w="840" w:type="dxa"/>
            <w:vAlign w:val="bottom"/>
            <w:vMerge w:val="restart"/>
            <w:shd w:val="clear" w:color="auto" w:fill="EDEDED"/>
          </w:tcPr>
          <w:p>
            <w:pPr>
              <w:jc w:val="right"/>
              <w:ind w:right="49"/>
              <w:spacing w:after="0"/>
              <w:rPr>
                <w:sz w:val="20"/>
                <w:szCs w:val="20"/>
                <w:color w:val="auto"/>
              </w:rPr>
            </w:pPr>
            <w:r>
              <w:rPr>
                <w:rFonts w:ascii="Arial" w:cs="Arial" w:eastAsia="Arial" w:hAnsi="Arial"/>
                <w:sz w:val="14"/>
                <w:szCs w:val="14"/>
                <w:color w:val="435363"/>
              </w:rPr>
              <w:t>9/20/2023</w:t>
            </w:r>
          </w:p>
        </w:tc>
        <w:tc>
          <w:tcPr>
            <w:tcW w:w="840" w:type="dxa"/>
            <w:vAlign w:val="bottom"/>
            <w:gridSpan w:val="2"/>
            <w:shd w:val="clear" w:color="auto" w:fill="EDEDED"/>
          </w:tcPr>
          <w:p>
            <w:pPr>
              <w:jc w:val="right"/>
              <w:spacing w:after="0" w:line="159" w:lineRule="exact"/>
              <w:rPr>
                <w:sz w:val="20"/>
                <w:szCs w:val="20"/>
                <w:color w:val="auto"/>
              </w:rPr>
            </w:pPr>
            <w:r>
              <w:rPr>
                <w:rFonts w:ascii="Arial" w:cs="Arial" w:eastAsia="Arial" w:hAnsi="Arial"/>
                <w:sz w:val="14"/>
                <w:szCs w:val="14"/>
                <w:color w:val="435363"/>
              </w:rPr>
              <w:t>637,500</w:t>
            </w:r>
          </w:p>
        </w:tc>
        <w:tc>
          <w:tcPr>
            <w:tcW w:w="1060" w:type="dxa"/>
            <w:vAlign w:val="bottom"/>
            <w:shd w:val="clear" w:color="auto" w:fill="EDEDED"/>
          </w:tcPr>
          <w:p>
            <w:pPr>
              <w:jc w:val="right"/>
              <w:ind w:right="111"/>
              <w:spacing w:after="0" w:line="159" w:lineRule="exact"/>
              <w:rPr>
                <w:sz w:val="20"/>
                <w:szCs w:val="20"/>
                <w:color w:val="auto"/>
              </w:rPr>
            </w:pPr>
            <w:r>
              <w:rPr>
                <w:rFonts w:ascii="Arial" w:cs="Arial" w:eastAsia="Arial" w:hAnsi="Arial"/>
                <w:sz w:val="14"/>
                <w:szCs w:val="14"/>
                <w:color w:val="435363"/>
              </w:rPr>
              <w:t>1,275,000</w:t>
            </w:r>
          </w:p>
        </w:tc>
        <w:tc>
          <w:tcPr>
            <w:tcW w:w="740" w:type="dxa"/>
            <w:vAlign w:val="bottom"/>
            <w:shd w:val="clear" w:color="auto" w:fill="EDEDED"/>
          </w:tcPr>
          <w:p>
            <w:pPr>
              <w:jc w:val="right"/>
              <w:spacing w:after="0" w:line="159" w:lineRule="exact"/>
              <w:rPr>
                <w:sz w:val="20"/>
                <w:szCs w:val="20"/>
                <w:color w:val="auto"/>
              </w:rPr>
            </w:pPr>
            <w:r>
              <w:rPr>
                <w:rFonts w:ascii="Arial" w:cs="Arial" w:eastAsia="Arial" w:hAnsi="Arial"/>
                <w:sz w:val="14"/>
                <w:szCs w:val="14"/>
                <w:color w:val="435363"/>
              </w:rPr>
              <w:t>2,550,000</w:t>
            </w:r>
          </w:p>
        </w:tc>
        <w:tc>
          <w:tcPr>
            <w:tcW w:w="960" w:type="dxa"/>
            <w:vAlign w:val="bottom"/>
            <w:gridSpan w:val="2"/>
            <w:vMerge w:val="restart"/>
            <w:shd w:val="clear" w:color="auto" w:fill="EDEDED"/>
          </w:tcPr>
          <w:p>
            <w:pPr>
              <w:jc w:val="right"/>
              <w:spacing w:after="0"/>
              <w:rPr>
                <w:sz w:val="20"/>
                <w:szCs w:val="20"/>
                <w:color w:val="auto"/>
              </w:rPr>
            </w:pPr>
            <w:r>
              <w:rPr>
                <w:rFonts w:ascii="Arial" w:cs="Arial" w:eastAsia="Arial" w:hAnsi="Arial"/>
                <w:sz w:val="14"/>
                <w:szCs w:val="14"/>
                <w:color w:val="435363"/>
              </w:rPr>
              <w:t>35,176</w:t>
            </w:r>
          </w:p>
        </w:tc>
        <w:tc>
          <w:tcPr>
            <w:tcW w:w="940" w:type="dxa"/>
            <w:vAlign w:val="bottom"/>
            <w:vMerge w:val="restart"/>
            <w:shd w:val="clear" w:color="auto" w:fill="EDEDED"/>
          </w:tcPr>
          <w:p>
            <w:pPr>
              <w:jc w:val="right"/>
              <w:ind w:right="129"/>
              <w:spacing w:after="0"/>
              <w:rPr>
                <w:sz w:val="20"/>
                <w:szCs w:val="20"/>
                <w:color w:val="auto"/>
              </w:rPr>
            </w:pPr>
            <w:r>
              <w:rPr>
                <w:rFonts w:ascii="Arial" w:cs="Arial" w:eastAsia="Arial" w:hAnsi="Arial"/>
                <w:sz w:val="14"/>
                <w:szCs w:val="14"/>
                <w:color w:val="435363"/>
              </w:rPr>
              <w:t>140,704</w:t>
            </w:r>
          </w:p>
        </w:tc>
        <w:tc>
          <w:tcPr>
            <w:tcW w:w="960" w:type="dxa"/>
            <w:vAlign w:val="bottom"/>
            <w:gridSpan w:val="2"/>
            <w:vMerge w:val="restart"/>
            <w:shd w:val="clear" w:color="auto" w:fill="EDEDED"/>
          </w:tcPr>
          <w:p>
            <w:pPr>
              <w:jc w:val="right"/>
              <w:ind w:right="120"/>
              <w:spacing w:after="0"/>
              <w:rPr>
                <w:sz w:val="20"/>
                <w:szCs w:val="20"/>
                <w:color w:val="auto"/>
              </w:rPr>
            </w:pPr>
            <w:r>
              <w:rPr>
                <w:rFonts w:ascii="Arial" w:cs="Arial" w:eastAsia="Arial" w:hAnsi="Arial"/>
                <w:sz w:val="14"/>
                <w:szCs w:val="14"/>
                <w:color w:val="435363"/>
              </w:rPr>
              <w:t>281,408</w:t>
            </w:r>
            <w:r>
              <w:rPr>
                <w:rFonts w:ascii="Arial" w:cs="Arial" w:eastAsia="Arial" w:hAnsi="Arial"/>
                <w:sz w:val="21"/>
                <w:szCs w:val="21"/>
                <w:color w:val="435363"/>
                <w:vertAlign w:val="superscript"/>
              </w:rPr>
              <w:t>(c)</w:t>
            </w:r>
          </w:p>
        </w:tc>
        <w:tc>
          <w:tcPr>
            <w:tcW w:w="1040" w:type="dxa"/>
            <w:vAlign w:val="bottom"/>
            <w:shd w:val="clear" w:color="auto" w:fill="EDEDED"/>
          </w:tcPr>
          <w:p>
            <w:pPr>
              <w:spacing w:after="0"/>
              <w:rPr>
                <w:sz w:val="13"/>
                <w:szCs w:val="13"/>
                <w:color w:val="auto"/>
              </w:rPr>
            </w:pPr>
          </w:p>
        </w:tc>
        <w:tc>
          <w:tcPr>
            <w:tcW w:w="920" w:type="dxa"/>
            <w:vAlign w:val="bottom"/>
            <w:vMerge w:val="restart"/>
            <w:shd w:val="clear" w:color="auto" w:fill="EDEDED"/>
          </w:tcPr>
          <w:p>
            <w:pPr>
              <w:jc w:val="right"/>
              <w:ind w:right="49"/>
              <w:spacing w:after="0"/>
              <w:rPr>
                <w:sz w:val="20"/>
                <w:szCs w:val="20"/>
                <w:color w:val="auto"/>
              </w:rPr>
            </w:pPr>
            <w:r>
              <w:rPr>
                <w:rFonts w:ascii="Arial" w:cs="Arial" w:eastAsia="Arial" w:hAnsi="Arial"/>
                <w:sz w:val="14"/>
                <w:szCs w:val="14"/>
                <w:color w:val="435363"/>
              </w:rPr>
              <w:t>1,837,500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EDEDED"/>
          </w:tcPr>
          <w:p>
            <w:pPr>
              <w:spacing w:after="0"/>
              <w:rPr>
                <w:sz w:val="13"/>
                <w:szCs w:val="13"/>
                <w:color w:val="auto"/>
              </w:rPr>
            </w:pPr>
          </w:p>
        </w:tc>
        <w:tc>
          <w:tcPr>
            <w:tcW w:w="200" w:type="dxa"/>
            <w:vAlign w:val="bottom"/>
            <w:shd w:val="clear" w:color="auto" w:fill="EDEDED"/>
          </w:tcPr>
          <w:p>
            <w:pPr>
              <w:spacing w:after="0"/>
              <w:rPr>
                <w:sz w:val="13"/>
                <w:szCs w:val="13"/>
                <w:color w:val="auto"/>
              </w:rPr>
            </w:pPr>
          </w:p>
        </w:tc>
        <w:tc>
          <w:tcPr>
            <w:tcW w:w="840" w:type="dxa"/>
            <w:vAlign w:val="bottom"/>
            <w:vMerge w:val="continue"/>
            <w:shd w:val="clear" w:color="auto" w:fill="EDEDED"/>
          </w:tcPr>
          <w:p>
            <w:pPr>
              <w:spacing w:after="0"/>
              <w:rPr>
                <w:sz w:val="13"/>
                <w:szCs w:val="13"/>
                <w:color w:val="auto"/>
              </w:rPr>
            </w:pPr>
          </w:p>
        </w:tc>
        <w:tc>
          <w:tcPr>
            <w:tcW w:w="120" w:type="dxa"/>
            <w:vAlign w:val="bottom"/>
            <w:shd w:val="clear" w:color="auto" w:fill="EDEDED"/>
          </w:tcPr>
          <w:p>
            <w:pPr>
              <w:spacing w:after="0"/>
              <w:rPr>
                <w:sz w:val="13"/>
                <w:szCs w:val="13"/>
                <w:color w:val="auto"/>
              </w:rPr>
            </w:pPr>
          </w:p>
        </w:tc>
        <w:tc>
          <w:tcPr>
            <w:tcW w:w="720" w:type="dxa"/>
            <w:vAlign w:val="bottom"/>
            <w:shd w:val="clear" w:color="auto" w:fill="EDEDED"/>
          </w:tcPr>
          <w:p>
            <w:pPr>
              <w:spacing w:after="0"/>
              <w:rPr>
                <w:sz w:val="13"/>
                <w:szCs w:val="13"/>
                <w:color w:val="auto"/>
              </w:rPr>
            </w:pPr>
          </w:p>
        </w:tc>
        <w:tc>
          <w:tcPr>
            <w:tcW w:w="1060" w:type="dxa"/>
            <w:vAlign w:val="bottom"/>
            <w:shd w:val="clear" w:color="auto" w:fill="EDEDED"/>
          </w:tcPr>
          <w:p>
            <w:pPr>
              <w:spacing w:after="0"/>
              <w:rPr>
                <w:sz w:val="13"/>
                <w:szCs w:val="13"/>
                <w:color w:val="auto"/>
              </w:rPr>
            </w:pPr>
          </w:p>
        </w:tc>
        <w:tc>
          <w:tcPr>
            <w:tcW w:w="740" w:type="dxa"/>
            <w:vAlign w:val="bottom"/>
            <w:shd w:val="clear" w:color="auto" w:fill="EDEDED"/>
          </w:tcPr>
          <w:p>
            <w:pPr>
              <w:spacing w:after="0"/>
              <w:rPr>
                <w:sz w:val="13"/>
                <w:szCs w:val="13"/>
                <w:color w:val="auto"/>
              </w:rPr>
            </w:pPr>
          </w:p>
        </w:tc>
        <w:tc>
          <w:tcPr>
            <w:tcW w:w="960" w:type="dxa"/>
            <w:vAlign w:val="bottom"/>
            <w:gridSpan w:val="2"/>
            <w:vMerge w:val="continue"/>
            <w:shd w:val="clear" w:color="auto" w:fill="EDEDED"/>
          </w:tcPr>
          <w:p>
            <w:pPr>
              <w:spacing w:after="0"/>
              <w:rPr>
                <w:sz w:val="13"/>
                <w:szCs w:val="13"/>
                <w:color w:val="auto"/>
              </w:rPr>
            </w:pPr>
          </w:p>
        </w:tc>
        <w:tc>
          <w:tcPr>
            <w:tcW w:w="940" w:type="dxa"/>
            <w:vAlign w:val="bottom"/>
            <w:vMerge w:val="continue"/>
            <w:shd w:val="clear" w:color="auto" w:fill="EDEDED"/>
          </w:tcPr>
          <w:p>
            <w:pPr>
              <w:spacing w:after="0"/>
              <w:rPr>
                <w:sz w:val="13"/>
                <w:szCs w:val="13"/>
                <w:color w:val="auto"/>
              </w:rPr>
            </w:pPr>
          </w:p>
        </w:tc>
        <w:tc>
          <w:tcPr>
            <w:tcW w:w="960" w:type="dxa"/>
            <w:vAlign w:val="bottom"/>
            <w:gridSpan w:val="2"/>
            <w:vMerge w:val="continue"/>
            <w:shd w:val="clear" w:color="auto" w:fill="EDEDED"/>
          </w:tcPr>
          <w:p>
            <w:pPr>
              <w:spacing w:after="0"/>
              <w:rPr>
                <w:sz w:val="13"/>
                <w:szCs w:val="13"/>
                <w:color w:val="auto"/>
              </w:rPr>
            </w:pPr>
          </w:p>
        </w:tc>
        <w:tc>
          <w:tcPr>
            <w:tcW w:w="1040" w:type="dxa"/>
            <w:vAlign w:val="bottom"/>
            <w:vMerge w:val="restart"/>
            <w:shd w:val="clear" w:color="auto" w:fill="EDEDED"/>
          </w:tcPr>
          <w:p>
            <w:pPr>
              <w:jc w:val="right"/>
              <w:ind w:right="9"/>
              <w:spacing w:after="0"/>
              <w:rPr>
                <w:sz w:val="20"/>
                <w:szCs w:val="20"/>
                <w:color w:val="auto"/>
              </w:rPr>
            </w:pPr>
            <w:r>
              <w:rPr>
                <w:rFonts w:ascii="Arial" w:cs="Arial" w:eastAsia="Arial" w:hAnsi="Arial"/>
                <w:sz w:val="14"/>
                <w:szCs w:val="14"/>
                <w:color w:val="435363"/>
              </w:rPr>
              <w:t>140,704</w:t>
            </w:r>
            <w:r>
              <w:rPr>
                <w:rFonts w:ascii="Arial" w:cs="Arial" w:eastAsia="Arial" w:hAnsi="Arial"/>
                <w:sz w:val="21"/>
                <w:szCs w:val="21"/>
                <w:color w:val="435363"/>
                <w:vertAlign w:val="superscript"/>
              </w:rPr>
              <w:t>(e)</w:t>
            </w:r>
          </w:p>
        </w:tc>
        <w:tc>
          <w:tcPr>
            <w:tcW w:w="920" w:type="dxa"/>
            <w:vAlign w:val="bottom"/>
            <w:vMerge w:val="continue"/>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00" w:type="dxa"/>
            <w:vAlign w:val="bottom"/>
            <w:shd w:val="clear" w:color="auto" w:fill="EDEDED"/>
          </w:tcPr>
          <w:p>
            <w:pPr>
              <w:spacing w:after="0"/>
              <w:rPr>
                <w:sz w:val="12"/>
                <w:szCs w:val="12"/>
                <w:color w:val="auto"/>
              </w:rPr>
            </w:pPr>
          </w:p>
        </w:tc>
        <w:tc>
          <w:tcPr>
            <w:tcW w:w="200" w:type="dxa"/>
            <w:vAlign w:val="bottom"/>
            <w:shd w:val="clear" w:color="auto" w:fill="EDEDED"/>
          </w:tcPr>
          <w:p>
            <w:pPr>
              <w:spacing w:after="0"/>
              <w:rPr>
                <w:sz w:val="12"/>
                <w:szCs w:val="12"/>
                <w:color w:val="auto"/>
              </w:rPr>
            </w:pPr>
          </w:p>
        </w:tc>
        <w:tc>
          <w:tcPr>
            <w:tcW w:w="840" w:type="dxa"/>
            <w:vAlign w:val="bottom"/>
            <w:shd w:val="clear" w:color="auto" w:fill="EDEDED"/>
          </w:tcPr>
          <w:p>
            <w:pPr>
              <w:jc w:val="right"/>
              <w:ind w:right="49"/>
              <w:spacing w:after="0" w:line="146" w:lineRule="exact"/>
              <w:rPr>
                <w:sz w:val="20"/>
                <w:szCs w:val="20"/>
                <w:color w:val="auto"/>
              </w:rPr>
            </w:pPr>
            <w:r>
              <w:rPr>
                <w:rFonts w:ascii="Arial" w:cs="Arial" w:eastAsia="Arial" w:hAnsi="Arial"/>
                <w:sz w:val="14"/>
                <w:szCs w:val="14"/>
                <w:color w:val="435363"/>
              </w:rPr>
              <w:t>9/20/2023</w:t>
            </w:r>
          </w:p>
        </w:tc>
        <w:tc>
          <w:tcPr>
            <w:tcW w:w="120" w:type="dxa"/>
            <w:vAlign w:val="bottom"/>
            <w:shd w:val="clear" w:color="auto" w:fill="EDEDED"/>
          </w:tcPr>
          <w:p>
            <w:pPr>
              <w:spacing w:after="0"/>
              <w:rPr>
                <w:sz w:val="12"/>
                <w:szCs w:val="12"/>
                <w:color w:val="auto"/>
              </w:rPr>
            </w:pPr>
          </w:p>
        </w:tc>
        <w:tc>
          <w:tcPr>
            <w:tcW w:w="720" w:type="dxa"/>
            <w:vAlign w:val="bottom"/>
            <w:shd w:val="clear" w:color="auto" w:fill="EDEDED"/>
          </w:tcPr>
          <w:p>
            <w:pPr>
              <w:spacing w:after="0"/>
              <w:rPr>
                <w:sz w:val="12"/>
                <w:szCs w:val="12"/>
                <w:color w:val="auto"/>
              </w:rPr>
            </w:pPr>
          </w:p>
        </w:tc>
        <w:tc>
          <w:tcPr>
            <w:tcW w:w="1060" w:type="dxa"/>
            <w:vAlign w:val="bottom"/>
            <w:shd w:val="clear" w:color="auto" w:fill="EDEDED"/>
          </w:tcPr>
          <w:p>
            <w:pPr>
              <w:spacing w:after="0"/>
              <w:rPr>
                <w:sz w:val="12"/>
                <w:szCs w:val="12"/>
                <w:color w:val="auto"/>
              </w:rPr>
            </w:pPr>
          </w:p>
        </w:tc>
        <w:tc>
          <w:tcPr>
            <w:tcW w:w="740" w:type="dxa"/>
            <w:vAlign w:val="bottom"/>
            <w:shd w:val="clear" w:color="auto" w:fill="EDEDED"/>
          </w:tcPr>
          <w:p>
            <w:pPr>
              <w:spacing w:after="0"/>
              <w:rPr>
                <w:sz w:val="12"/>
                <w:szCs w:val="12"/>
                <w:color w:val="auto"/>
              </w:rPr>
            </w:pPr>
          </w:p>
        </w:tc>
        <w:tc>
          <w:tcPr>
            <w:tcW w:w="240" w:type="dxa"/>
            <w:vAlign w:val="bottom"/>
            <w:shd w:val="clear" w:color="auto" w:fill="EDEDED"/>
          </w:tcPr>
          <w:p>
            <w:pPr>
              <w:spacing w:after="0"/>
              <w:rPr>
                <w:sz w:val="12"/>
                <w:szCs w:val="12"/>
                <w:color w:val="auto"/>
              </w:rPr>
            </w:pPr>
          </w:p>
        </w:tc>
        <w:tc>
          <w:tcPr>
            <w:tcW w:w="720" w:type="dxa"/>
            <w:vAlign w:val="bottom"/>
            <w:shd w:val="clear" w:color="auto" w:fill="EDEDED"/>
          </w:tcPr>
          <w:p>
            <w:pPr>
              <w:spacing w:after="0"/>
              <w:rPr>
                <w:sz w:val="12"/>
                <w:szCs w:val="12"/>
                <w:color w:val="auto"/>
              </w:rPr>
            </w:pPr>
          </w:p>
        </w:tc>
        <w:tc>
          <w:tcPr>
            <w:tcW w:w="940" w:type="dxa"/>
            <w:vAlign w:val="bottom"/>
            <w:shd w:val="clear" w:color="auto" w:fill="EDEDED"/>
          </w:tcPr>
          <w:p>
            <w:pPr>
              <w:spacing w:after="0"/>
              <w:rPr>
                <w:sz w:val="12"/>
                <w:szCs w:val="12"/>
                <w:color w:val="auto"/>
              </w:rPr>
            </w:pPr>
          </w:p>
        </w:tc>
        <w:tc>
          <w:tcPr>
            <w:tcW w:w="720" w:type="dxa"/>
            <w:vAlign w:val="bottom"/>
            <w:shd w:val="clear" w:color="auto" w:fill="EDEDED"/>
          </w:tcPr>
          <w:p>
            <w:pPr>
              <w:spacing w:after="0"/>
              <w:rPr>
                <w:sz w:val="12"/>
                <w:szCs w:val="12"/>
                <w:color w:val="auto"/>
              </w:rPr>
            </w:pPr>
          </w:p>
        </w:tc>
        <w:tc>
          <w:tcPr>
            <w:tcW w:w="240" w:type="dxa"/>
            <w:vAlign w:val="bottom"/>
            <w:shd w:val="clear" w:color="auto" w:fill="EDEDED"/>
          </w:tcPr>
          <w:p>
            <w:pPr>
              <w:spacing w:after="0"/>
              <w:rPr>
                <w:sz w:val="12"/>
                <w:szCs w:val="12"/>
                <w:color w:val="auto"/>
              </w:rPr>
            </w:pPr>
          </w:p>
        </w:tc>
        <w:tc>
          <w:tcPr>
            <w:tcW w:w="1040" w:type="dxa"/>
            <w:vAlign w:val="bottom"/>
            <w:vMerge w:val="continue"/>
            <w:shd w:val="clear" w:color="auto" w:fill="EDEDED"/>
          </w:tcPr>
          <w:p>
            <w:pPr>
              <w:spacing w:after="0"/>
              <w:rPr>
                <w:sz w:val="12"/>
                <w:szCs w:val="12"/>
                <w:color w:val="auto"/>
              </w:rPr>
            </w:pPr>
          </w:p>
        </w:tc>
        <w:tc>
          <w:tcPr>
            <w:tcW w:w="920" w:type="dxa"/>
            <w:vAlign w:val="bottom"/>
            <w:shd w:val="clear" w:color="auto" w:fill="EDEDED"/>
          </w:tcPr>
          <w:p>
            <w:pPr>
              <w:jc w:val="right"/>
              <w:ind w:right="49"/>
              <w:spacing w:after="0" w:line="146" w:lineRule="exact"/>
              <w:rPr>
                <w:sz w:val="20"/>
                <w:szCs w:val="20"/>
                <w:color w:val="auto"/>
              </w:rPr>
            </w:pPr>
            <w:r>
              <w:rPr>
                <w:rFonts w:ascii="Arial" w:cs="Arial" w:eastAsia="Arial" w:hAnsi="Arial"/>
                <w:sz w:val="14"/>
                <w:szCs w:val="14"/>
                <w:color w:val="435363"/>
              </w:rPr>
              <w:t>1,837,500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00" w:type="dxa"/>
            <w:vAlign w:val="bottom"/>
            <w:shd w:val="clear" w:color="auto" w:fill="EDEDED"/>
          </w:tcPr>
          <w:p>
            <w:pPr>
              <w:spacing w:after="0"/>
              <w:rPr>
                <w:sz w:val="20"/>
                <w:szCs w:val="20"/>
                <w:color w:val="auto"/>
              </w:rPr>
            </w:pPr>
          </w:p>
        </w:tc>
        <w:tc>
          <w:tcPr>
            <w:tcW w:w="200" w:type="dxa"/>
            <w:vAlign w:val="bottom"/>
            <w:shd w:val="clear" w:color="auto" w:fill="EDEDED"/>
          </w:tcPr>
          <w:p>
            <w:pPr>
              <w:spacing w:after="0"/>
              <w:rPr>
                <w:sz w:val="20"/>
                <w:szCs w:val="20"/>
                <w:color w:val="auto"/>
              </w:rPr>
            </w:pPr>
          </w:p>
        </w:tc>
        <w:tc>
          <w:tcPr>
            <w:tcW w:w="84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435363"/>
              </w:rPr>
              <w:t>9/20/2023</w:t>
            </w:r>
          </w:p>
        </w:tc>
        <w:tc>
          <w:tcPr>
            <w:tcW w:w="120" w:type="dxa"/>
            <w:vAlign w:val="bottom"/>
            <w:shd w:val="clear" w:color="auto" w:fill="EDEDED"/>
          </w:tcPr>
          <w:p>
            <w:pPr>
              <w:spacing w:after="0"/>
              <w:rPr>
                <w:sz w:val="20"/>
                <w:szCs w:val="20"/>
                <w:color w:val="auto"/>
              </w:rPr>
            </w:pPr>
          </w:p>
        </w:tc>
        <w:tc>
          <w:tcPr>
            <w:tcW w:w="720" w:type="dxa"/>
            <w:vAlign w:val="bottom"/>
            <w:shd w:val="clear" w:color="auto" w:fill="EDEDED"/>
          </w:tcPr>
          <w:p>
            <w:pPr>
              <w:spacing w:after="0"/>
              <w:rPr>
                <w:sz w:val="20"/>
                <w:szCs w:val="20"/>
                <w:color w:val="auto"/>
              </w:rPr>
            </w:pPr>
          </w:p>
        </w:tc>
        <w:tc>
          <w:tcPr>
            <w:tcW w:w="1060" w:type="dxa"/>
            <w:vAlign w:val="bottom"/>
            <w:shd w:val="clear" w:color="auto" w:fill="EDEDED"/>
          </w:tcPr>
          <w:p>
            <w:pPr>
              <w:spacing w:after="0"/>
              <w:rPr>
                <w:sz w:val="20"/>
                <w:szCs w:val="20"/>
                <w:color w:val="auto"/>
              </w:rPr>
            </w:pPr>
          </w:p>
        </w:tc>
        <w:tc>
          <w:tcPr>
            <w:tcW w:w="740" w:type="dxa"/>
            <w:vAlign w:val="bottom"/>
            <w:shd w:val="clear" w:color="auto" w:fill="EDEDED"/>
          </w:tcPr>
          <w:p>
            <w:pPr>
              <w:spacing w:after="0"/>
              <w:rPr>
                <w:sz w:val="20"/>
                <w:szCs w:val="20"/>
                <w:color w:val="auto"/>
              </w:rPr>
            </w:pPr>
          </w:p>
        </w:tc>
        <w:tc>
          <w:tcPr>
            <w:tcW w:w="240" w:type="dxa"/>
            <w:vAlign w:val="bottom"/>
            <w:shd w:val="clear" w:color="auto" w:fill="EDEDED"/>
          </w:tcPr>
          <w:p>
            <w:pPr>
              <w:spacing w:after="0"/>
              <w:rPr>
                <w:sz w:val="20"/>
                <w:szCs w:val="20"/>
                <w:color w:val="auto"/>
              </w:rPr>
            </w:pPr>
          </w:p>
        </w:tc>
        <w:tc>
          <w:tcPr>
            <w:tcW w:w="720" w:type="dxa"/>
            <w:vAlign w:val="bottom"/>
            <w:shd w:val="clear" w:color="auto" w:fill="EDEDED"/>
          </w:tcPr>
          <w:p>
            <w:pPr>
              <w:spacing w:after="0"/>
              <w:rPr>
                <w:sz w:val="20"/>
                <w:szCs w:val="20"/>
                <w:color w:val="auto"/>
              </w:rPr>
            </w:pPr>
          </w:p>
        </w:tc>
        <w:tc>
          <w:tcPr>
            <w:tcW w:w="940" w:type="dxa"/>
            <w:vAlign w:val="bottom"/>
            <w:shd w:val="clear" w:color="auto" w:fill="EDEDED"/>
          </w:tcPr>
          <w:p>
            <w:pPr>
              <w:spacing w:after="0"/>
              <w:rPr>
                <w:sz w:val="20"/>
                <w:szCs w:val="20"/>
                <w:color w:val="auto"/>
              </w:rPr>
            </w:pPr>
          </w:p>
        </w:tc>
        <w:tc>
          <w:tcPr>
            <w:tcW w:w="720" w:type="dxa"/>
            <w:vAlign w:val="bottom"/>
            <w:shd w:val="clear" w:color="auto" w:fill="EDEDED"/>
          </w:tcPr>
          <w:p>
            <w:pPr>
              <w:spacing w:after="0"/>
              <w:rPr>
                <w:sz w:val="20"/>
                <w:szCs w:val="20"/>
                <w:color w:val="auto"/>
              </w:rPr>
            </w:pPr>
          </w:p>
        </w:tc>
        <w:tc>
          <w:tcPr>
            <w:tcW w:w="240" w:type="dxa"/>
            <w:vAlign w:val="bottom"/>
            <w:shd w:val="clear" w:color="auto" w:fill="EDEDED"/>
          </w:tcPr>
          <w:p>
            <w:pPr>
              <w:spacing w:after="0"/>
              <w:rPr>
                <w:sz w:val="20"/>
                <w:szCs w:val="20"/>
                <w:color w:val="auto"/>
              </w:rPr>
            </w:pPr>
          </w:p>
        </w:tc>
        <w:tc>
          <w:tcPr>
            <w:tcW w:w="1040" w:type="dxa"/>
            <w:vAlign w:val="bottom"/>
            <w:shd w:val="clear" w:color="auto" w:fill="EDEDED"/>
          </w:tcPr>
          <w:p>
            <w:pPr>
              <w:jc w:val="right"/>
              <w:ind w:right="9"/>
              <w:spacing w:after="0" w:line="238" w:lineRule="exact"/>
              <w:rPr>
                <w:sz w:val="20"/>
                <w:szCs w:val="20"/>
                <w:color w:val="auto"/>
              </w:rPr>
            </w:pPr>
            <w:r>
              <w:rPr>
                <w:rFonts w:ascii="Arial" w:cs="Arial" w:eastAsia="Arial" w:hAnsi="Arial"/>
                <w:sz w:val="14"/>
                <w:szCs w:val="14"/>
                <w:color w:val="435363"/>
              </w:rPr>
              <w:t>181,554</w:t>
            </w:r>
            <w:r>
              <w:rPr>
                <w:rFonts w:ascii="Arial" w:cs="Arial" w:eastAsia="Arial" w:hAnsi="Arial"/>
                <w:sz w:val="21"/>
                <w:szCs w:val="21"/>
                <w:color w:val="435363"/>
                <w:vertAlign w:val="superscript"/>
              </w:rPr>
              <w:t>(g)</w:t>
            </w:r>
          </w:p>
        </w:tc>
        <w:tc>
          <w:tcPr>
            <w:tcW w:w="920" w:type="dxa"/>
            <w:vAlign w:val="bottom"/>
            <w:shd w:val="clear" w:color="auto" w:fill="EDEDED"/>
          </w:tcPr>
          <w:p>
            <w:pPr>
              <w:jc w:val="right"/>
              <w:ind w:right="49"/>
              <w:spacing w:after="0"/>
              <w:rPr>
                <w:sz w:val="20"/>
                <w:szCs w:val="20"/>
                <w:color w:val="auto"/>
              </w:rPr>
            </w:pPr>
            <w:r>
              <w:rPr>
                <w:rFonts w:ascii="Arial" w:cs="Arial" w:eastAsia="Arial" w:hAnsi="Arial"/>
                <w:sz w:val="14"/>
                <w:szCs w:val="14"/>
                <w:color w:val="435363"/>
              </w:rPr>
              <w:t>2,371,000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00" w:type="dxa"/>
            <w:vAlign w:val="bottom"/>
          </w:tcPr>
          <w:p>
            <w:pPr>
              <w:ind w:left="60"/>
              <w:spacing w:after="0"/>
              <w:rPr>
                <w:sz w:val="20"/>
                <w:szCs w:val="20"/>
                <w:color w:val="auto"/>
              </w:rPr>
            </w:pPr>
            <w:r>
              <w:rPr>
                <w:rFonts w:ascii="Arial" w:cs="Arial" w:eastAsia="Arial" w:hAnsi="Arial"/>
                <w:sz w:val="14"/>
                <w:szCs w:val="14"/>
                <w:b w:val="1"/>
                <w:bCs w:val="1"/>
                <w:color w:val="435363"/>
              </w:rPr>
              <w:t>Priya Aiyar</w:t>
            </w:r>
          </w:p>
        </w:tc>
        <w:tc>
          <w:tcPr>
            <w:tcW w:w="1040" w:type="dxa"/>
            <w:vAlign w:val="bottom"/>
            <w:gridSpan w:val="2"/>
            <w:vMerge w:val="restart"/>
          </w:tcPr>
          <w:p>
            <w:pPr>
              <w:jc w:val="right"/>
              <w:ind w:right="49"/>
              <w:spacing w:after="0"/>
              <w:rPr>
                <w:sz w:val="20"/>
                <w:szCs w:val="20"/>
                <w:color w:val="auto"/>
              </w:rPr>
            </w:pPr>
            <w:r>
              <w:rPr>
                <w:rFonts w:ascii="Arial" w:cs="Arial" w:eastAsia="Arial" w:hAnsi="Arial"/>
                <w:sz w:val="14"/>
                <w:szCs w:val="14"/>
                <w:color w:val="435363"/>
              </w:rPr>
              <w:t>5/2/2023</w:t>
            </w:r>
          </w:p>
        </w:tc>
        <w:tc>
          <w:tcPr>
            <w:tcW w:w="840" w:type="dxa"/>
            <w:vAlign w:val="bottom"/>
            <w:gridSpan w:val="2"/>
          </w:tcPr>
          <w:p>
            <w:pPr>
              <w:jc w:val="right"/>
              <w:spacing w:after="0"/>
              <w:rPr>
                <w:sz w:val="20"/>
                <w:szCs w:val="20"/>
                <w:color w:val="auto"/>
              </w:rPr>
            </w:pPr>
            <w:r>
              <w:rPr>
                <w:rFonts w:ascii="Arial" w:cs="Arial" w:eastAsia="Arial" w:hAnsi="Arial"/>
                <w:sz w:val="14"/>
                <w:szCs w:val="14"/>
                <w:color w:val="435363"/>
              </w:rPr>
              <w:t>456,250</w:t>
            </w:r>
          </w:p>
        </w:tc>
        <w:tc>
          <w:tcPr>
            <w:tcW w:w="1060" w:type="dxa"/>
            <w:vAlign w:val="bottom"/>
          </w:tcPr>
          <w:p>
            <w:pPr>
              <w:jc w:val="right"/>
              <w:ind w:right="111"/>
              <w:spacing w:after="0"/>
              <w:rPr>
                <w:sz w:val="20"/>
                <w:szCs w:val="20"/>
                <w:color w:val="auto"/>
              </w:rPr>
            </w:pPr>
            <w:r>
              <w:rPr>
                <w:rFonts w:ascii="Arial" w:cs="Arial" w:eastAsia="Arial" w:hAnsi="Arial"/>
                <w:sz w:val="14"/>
                <w:szCs w:val="14"/>
                <w:color w:val="435363"/>
              </w:rPr>
              <w:t>912,500</w:t>
            </w:r>
          </w:p>
        </w:tc>
        <w:tc>
          <w:tcPr>
            <w:tcW w:w="740" w:type="dxa"/>
            <w:vAlign w:val="bottom"/>
          </w:tcPr>
          <w:p>
            <w:pPr>
              <w:jc w:val="right"/>
              <w:spacing w:after="0"/>
              <w:rPr>
                <w:sz w:val="20"/>
                <w:szCs w:val="20"/>
                <w:color w:val="auto"/>
              </w:rPr>
            </w:pPr>
            <w:r>
              <w:rPr>
                <w:rFonts w:ascii="Arial" w:cs="Arial" w:eastAsia="Arial" w:hAnsi="Arial"/>
                <w:sz w:val="14"/>
                <w:szCs w:val="14"/>
                <w:color w:val="435363"/>
              </w:rPr>
              <w:t>1,825,000</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435363"/>
              </w:rPr>
              <w:t>21,423</w:t>
            </w:r>
          </w:p>
        </w:tc>
        <w:tc>
          <w:tcPr>
            <w:tcW w:w="940" w:type="dxa"/>
            <w:vAlign w:val="bottom"/>
            <w:vMerge w:val="restart"/>
          </w:tcPr>
          <w:p>
            <w:pPr>
              <w:jc w:val="right"/>
              <w:ind w:right="129"/>
              <w:spacing w:after="0"/>
              <w:rPr>
                <w:sz w:val="20"/>
                <w:szCs w:val="20"/>
                <w:color w:val="auto"/>
              </w:rPr>
            </w:pPr>
            <w:r>
              <w:rPr>
                <w:rFonts w:ascii="Arial" w:cs="Arial" w:eastAsia="Arial" w:hAnsi="Arial"/>
                <w:sz w:val="14"/>
                <w:szCs w:val="14"/>
                <w:color w:val="435363"/>
              </w:rPr>
              <w:t>85,693</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435363"/>
              </w:rPr>
              <w:t>171,386</w:t>
            </w:r>
            <w:r>
              <w:rPr>
                <w:rFonts w:ascii="Arial" w:cs="Arial" w:eastAsia="Arial" w:hAnsi="Arial"/>
                <w:sz w:val="21"/>
                <w:szCs w:val="21"/>
                <w:color w:val="435363"/>
                <w:vertAlign w:val="superscript"/>
              </w:rPr>
              <w:t>(c)</w:t>
            </w:r>
          </w:p>
        </w:tc>
        <w:tc>
          <w:tcPr>
            <w:tcW w:w="1040" w:type="dxa"/>
            <w:vAlign w:val="bottom"/>
          </w:tcPr>
          <w:p>
            <w:pPr>
              <w:spacing w:after="0"/>
              <w:rPr>
                <w:sz w:val="16"/>
                <w:szCs w:val="16"/>
                <w:color w:val="auto"/>
              </w:rPr>
            </w:pP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435363"/>
              </w:rPr>
              <w:t>1,180,000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40" w:type="dxa"/>
            <w:vAlign w:val="bottom"/>
            <w:gridSpan w:val="2"/>
          </w:tcPr>
          <w:p>
            <w:pPr>
              <w:jc w:val="right"/>
              <w:ind w:right="49"/>
              <w:spacing w:after="0"/>
              <w:rPr>
                <w:sz w:val="20"/>
                <w:szCs w:val="20"/>
                <w:color w:val="auto"/>
              </w:rPr>
            </w:pPr>
            <w:r>
              <w:rPr>
                <w:rFonts w:ascii="Arial" w:cs="Arial" w:eastAsia="Arial" w:hAnsi="Arial"/>
                <w:sz w:val="14"/>
                <w:szCs w:val="14"/>
                <w:color w:val="435363"/>
              </w:rPr>
              <w:t>7/12/2023</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435363"/>
              </w:rPr>
              <w:t>4,988</w:t>
            </w:r>
          </w:p>
        </w:tc>
        <w:tc>
          <w:tcPr>
            <w:tcW w:w="940" w:type="dxa"/>
            <w:vAlign w:val="bottom"/>
          </w:tcPr>
          <w:p>
            <w:pPr>
              <w:jc w:val="right"/>
              <w:ind w:right="129"/>
              <w:spacing w:after="0"/>
              <w:rPr>
                <w:sz w:val="20"/>
                <w:szCs w:val="20"/>
                <w:color w:val="auto"/>
              </w:rPr>
            </w:pPr>
            <w:r>
              <w:rPr>
                <w:rFonts w:ascii="Arial" w:cs="Arial" w:eastAsia="Arial" w:hAnsi="Arial"/>
                <w:sz w:val="14"/>
                <w:szCs w:val="14"/>
                <w:color w:val="435363"/>
              </w:rPr>
              <w:t>19,953</w:t>
            </w:r>
          </w:p>
        </w:tc>
        <w:tc>
          <w:tcPr>
            <w:tcW w:w="960" w:type="dxa"/>
            <w:vAlign w:val="bottom"/>
            <w:gridSpan w:val="2"/>
          </w:tcPr>
          <w:p>
            <w:pPr>
              <w:jc w:val="right"/>
              <w:ind w:right="120"/>
              <w:spacing w:after="0" w:line="163" w:lineRule="exact"/>
              <w:rPr>
                <w:sz w:val="20"/>
                <w:szCs w:val="20"/>
                <w:color w:val="auto"/>
              </w:rPr>
            </w:pPr>
            <w:r>
              <w:rPr>
                <w:rFonts w:ascii="Arial" w:cs="Arial" w:eastAsia="Arial" w:hAnsi="Arial"/>
                <w:sz w:val="12"/>
                <w:szCs w:val="12"/>
                <w:color w:val="435363"/>
              </w:rPr>
              <w:t>39,906</w:t>
            </w:r>
            <w:r>
              <w:rPr>
                <w:rFonts w:ascii="Arial" w:cs="Arial" w:eastAsia="Arial" w:hAnsi="Arial"/>
                <w:sz w:val="18"/>
                <w:szCs w:val="18"/>
                <w:color w:val="435363"/>
                <w:vertAlign w:val="superscript"/>
              </w:rPr>
              <w:t>(d)</w:t>
            </w: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435363"/>
              </w:rPr>
              <w:t>85,693</w:t>
            </w:r>
            <w:r>
              <w:rPr>
                <w:rFonts w:ascii="Arial" w:cs="Arial" w:eastAsia="Arial" w:hAnsi="Arial"/>
                <w:sz w:val="21"/>
                <w:szCs w:val="21"/>
                <w:color w:val="435363"/>
                <w:vertAlign w:val="superscript"/>
              </w:rPr>
              <w:t>(e)</w:t>
            </w:r>
          </w:p>
        </w:tc>
        <w:tc>
          <w:tcPr>
            <w:tcW w:w="920" w:type="dxa"/>
            <w:vAlign w:val="bottom"/>
          </w:tcPr>
          <w:p>
            <w:pPr>
              <w:jc w:val="right"/>
              <w:ind w:right="49"/>
              <w:spacing w:after="0"/>
              <w:rPr>
                <w:sz w:val="20"/>
                <w:szCs w:val="20"/>
                <w:color w:val="auto"/>
              </w:rPr>
            </w:pPr>
            <w:r>
              <w:rPr>
                <w:rFonts w:ascii="Arial" w:cs="Arial" w:eastAsia="Arial" w:hAnsi="Arial"/>
                <w:sz w:val="14"/>
                <w:szCs w:val="14"/>
                <w:color w:val="435363"/>
              </w:rPr>
              <w:t>370,500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40" w:type="dxa"/>
            <w:vAlign w:val="bottom"/>
            <w:gridSpan w:val="2"/>
          </w:tcPr>
          <w:p>
            <w:pPr>
              <w:jc w:val="right"/>
              <w:ind w:right="49"/>
              <w:spacing w:after="0" w:line="155" w:lineRule="exact"/>
              <w:rPr>
                <w:sz w:val="20"/>
                <w:szCs w:val="20"/>
                <w:color w:val="auto"/>
              </w:rPr>
            </w:pPr>
            <w:r>
              <w:rPr>
                <w:rFonts w:ascii="Arial" w:cs="Arial" w:eastAsia="Arial" w:hAnsi="Arial"/>
                <w:sz w:val="14"/>
                <w:szCs w:val="14"/>
                <w:color w:val="435363"/>
              </w:rPr>
              <w:t>5/2/2023</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20" w:type="dxa"/>
            <w:vAlign w:val="bottom"/>
          </w:tcPr>
          <w:p>
            <w:pPr>
              <w:jc w:val="right"/>
              <w:ind w:right="49"/>
              <w:spacing w:after="0" w:line="155" w:lineRule="exact"/>
              <w:rPr>
                <w:sz w:val="20"/>
                <w:szCs w:val="20"/>
                <w:color w:val="auto"/>
              </w:rPr>
            </w:pPr>
            <w:r>
              <w:rPr>
                <w:rFonts w:ascii="Arial" w:cs="Arial" w:eastAsia="Arial" w:hAnsi="Arial"/>
                <w:sz w:val="14"/>
                <w:szCs w:val="14"/>
                <w:color w:val="435363"/>
              </w:rPr>
              <w:t>1,180,000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40" w:type="dxa"/>
            <w:vAlign w:val="bottom"/>
            <w:gridSpan w:val="2"/>
          </w:tcPr>
          <w:p>
            <w:pPr>
              <w:jc w:val="right"/>
              <w:ind w:right="49"/>
              <w:spacing w:after="0"/>
              <w:rPr>
                <w:sz w:val="20"/>
                <w:szCs w:val="20"/>
                <w:color w:val="auto"/>
              </w:rPr>
            </w:pPr>
            <w:r>
              <w:rPr>
                <w:rFonts w:ascii="Arial" w:cs="Arial" w:eastAsia="Arial" w:hAnsi="Arial"/>
                <w:sz w:val="14"/>
                <w:szCs w:val="14"/>
                <w:color w:val="435363"/>
              </w:rPr>
              <w:t>7/12/2023</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29"/>
              <w:spacing w:after="0" w:line="238" w:lineRule="exact"/>
              <w:rPr>
                <w:sz w:val="20"/>
                <w:szCs w:val="20"/>
                <w:color w:val="auto"/>
              </w:rPr>
            </w:pPr>
            <w:r>
              <w:rPr>
                <w:rFonts w:ascii="Arial" w:cs="Arial" w:eastAsia="Arial" w:hAnsi="Arial"/>
                <w:sz w:val="14"/>
                <w:szCs w:val="14"/>
                <w:color w:val="435363"/>
              </w:rPr>
              <w:t>19,952</w:t>
            </w:r>
            <w:r>
              <w:rPr>
                <w:rFonts w:ascii="Arial" w:cs="Arial" w:eastAsia="Arial" w:hAnsi="Arial"/>
                <w:sz w:val="21"/>
                <w:szCs w:val="21"/>
                <w:color w:val="435363"/>
                <w:vertAlign w:val="superscript"/>
              </w:rPr>
              <w:t>(f)</w:t>
            </w:r>
          </w:p>
        </w:tc>
        <w:tc>
          <w:tcPr>
            <w:tcW w:w="920" w:type="dxa"/>
            <w:vAlign w:val="bottom"/>
          </w:tcPr>
          <w:p>
            <w:pPr>
              <w:jc w:val="right"/>
              <w:ind w:right="49"/>
              <w:spacing w:after="0"/>
              <w:rPr>
                <w:sz w:val="20"/>
                <w:szCs w:val="20"/>
                <w:color w:val="auto"/>
              </w:rPr>
            </w:pPr>
            <w:r>
              <w:rPr>
                <w:rFonts w:ascii="Arial" w:cs="Arial" w:eastAsia="Arial" w:hAnsi="Arial"/>
                <w:sz w:val="14"/>
                <w:szCs w:val="14"/>
                <w:color w:val="435363"/>
              </w:rPr>
              <w:t>370,500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EDEDED"/>
          </w:tcPr>
          <w:p>
            <w:pPr>
              <w:ind w:left="60"/>
              <w:spacing w:after="0" w:line="159" w:lineRule="exact"/>
              <w:rPr>
                <w:sz w:val="20"/>
                <w:szCs w:val="20"/>
                <w:color w:val="auto"/>
              </w:rPr>
            </w:pPr>
            <w:r>
              <w:rPr>
                <w:rFonts w:ascii="Arial" w:cs="Arial" w:eastAsia="Arial" w:hAnsi="Arial"/>
                <w:sz w:val="14"/>
                <w:szCs w:val="14"/>
                <w:b w:val="1"/>
                <w:bCs w:val="1"/>
                <w:color w:val="435363"/>
              </w:rPr>
              <w:t>Devon May</w:t>
            </w:r>
          </w:p>
        </w:tc>
        <w:tc>
          <w:tcPr>
            <w:tcW w:w="200" w:type="dxa"/>
            <w:vAlign w:val="bottom"/>
            <w:shd w:val="clear" w:color="auto" w:fill="EDEDED"/>
          </w:tcPr>
          <w:p>
            <w:pPr>
              <w:spacing w:after="0"/>
              <w:rPr>
                <w:sz w:val="13"/>
                <w:szCs w:val="13"/>
                <w:color w:val="auto"/>
              </w:rPr>
            </w:pPr>
          </w:p>
        </w:tc>
        <w:tc>
          <w:tcPr>
            <w:tcW w:w="840" w:type="dxa"/>
            <w:vAlign w:val="bottom"/>
            <w:shd w:val="clear" w:color="auto" w:fill="EDEDED"/>
          </w:tcPr>
          <w:p>
            <w:pPr>
              <w:spacing w:after="0"/>
              <w:rPr>
                <w:sz w:val="13"/>
                <w:szCs w:val="13"/>
                <w:color w:val="auto"/>
              </w:rPr>
            </w:pPr>
          </w:p>
        </w:tc>
        <w:tc>
          <w:tcPr>
            <w:tcW w:w="840" w:type="dxa"/>
            <w:vAlign w:val="bottom"/>
            <w:gridSpan w:val="2"/>
            <w:shd w:val="clear" w:color="auto" w:fill="EDEDED"/>
          </w:tcPr>
          <w:p>
            <w:pPr>
              <w:jc w:val="right"/>
              <w:spacing w:after="0" w:line="159" w:lineRule="exact"/>
              <w:rPr>
                <w:sz w:val="20"/>
                <w:szCs w:val="20"/>
                <w:color w:val="auto"/>
              </w:rPr>
            </w:pPr>
            <w:r>
              <w:rPr>
                <w:rFonts w:ascii="Arial" w:cs="Arial" w:eastAsia="Arial" w:hAnsi="Arial"/>
                <w:sz w:val="14"/>
                <w:szCs w:val="14"/>
                <w:color w:val="435363"/>
              </w:rPr>
              <w:t>484,375</w:t>
            </w:r>
          </w:p>
        </w:tc>
        <w:tc>
          <w:tcPr>
            <w:tcW w:w="1060" w:type="dxa"/>
            <w:vAlign w:val="bottom"/>
            <w:shd w:val="clear" w:color="auto" w:fill="EDEDED"/>
          </w:tcPr>
          <w:p>
            <w:pPr>
              <w:jc w:val="right"/>
              <w:ind w:right="111"/>
              <w:spacing w:after="0" w:line="159" w:lineRule="exact"/>
              <w:rPr>
                <w:sz w:val="20"/>
                <w:szCs w:val="20"/>
                <w:color w:val="auto"/>
              </w:rPr>
            </w:pPr>
            <w:r>
              <w:rPr>
                <w:rFonts w:ascii="Arial" w:cs="Arial" w:eastAsia="Arial" w:hAnsi="Arial"/>
                <w:sz w:val="14"/>
                <w:szCs w:val="14"/>
                <w:color w:val="435363"/>
              </w:rPr>
              <w:t>968,750</w:t>
            </w:r>
          </w:p>
        </w:tc>
        <w:tc>
          <w:tcPr>
            <w:tcW w:w="740" w:type="dxa"/>
            <w:vAlign w:val="bottom"/>
            <w:shd w:val="clear" w:color="auto" w:fill="EDEDED"/>
          </w:tcPr>
          <w:p>
            <w:pPr>
              <w:jc w:val="right"/>
              <w:spacing w:after="0" w:line="159" w:lineRule="exact"/>
              <w:rPr>
                <w:sz w:val="20"/>
                <w:szCs w:val="20"/>
                <w:color w:val="auto"/>
              </w:rPr>
            </w:pPr>
            <w:r>
              <w:rPr>
                <w:rFonts w:ascii="Arial" w:cs="Arial" w:eastAsia="Arial" w:hAnsi="Arial"/>
                <w:sz w:val="14"/>
                <w:szCs w:val="14"/>
                <w:color w:val="435363"/>
              </w:rPr>
              <w:t>1,937,500</w:t>
            </w:r>
          </w:p>
        </w:tc>
        <w:tc>
          <w:tcPr>
            <w:tcW w:w="960" w:type="dxa"/>
            <w:vAlign w:val="bottom"/>
            <w:gridSpan w:val="2"/>
            <w:vMerge w:val="restart"/>
            <w:shd w:val="clear" w:color="auto" w:fill="EDEDED"/>
          </w:tcPr>
          <w:p>
            <w:pPr>
              <w:jc w:val="right"/>
              <w:spacing w:after="0"/>
              <w:rPr>
                <w:sz w:val="20"/>
                <w:szCs w:val="20"/>
                <w:color w:val="auto"/>
              </w:rPr>
            </w:pPr>
            <w:r>
              <w:rPr>
                <w:rFonts w:ascii="Arial" w:cs="Arial" w:eastAsia="Arial" w:hAnsi="Arial"/>
                <w:sz w:val="14"/>
                <w:szCs w:val="14"/>
                <w:color w:val="435363"/>
              </w:rPr>
              <w:t>21,423</w:t>
            </w:r>
          </w:p>
        </w:tc>
        <w:tc>
          <w:tcPr>
            <w:tcW w:w="940" w:type="dxa"/>
            <w:vAlign w:val="bottom"/>
            <w:vMerge w:val="restart"/>
            <w:shd w:val="clear" w:color="auto" w:fill="EDEDED"/>
          </w:tcPr>
          <w:p>
            <w:pPr>
              <w:jc w:val="right"/>
              <w:ind w:right="129"/>
              <w:spacing w:after="0"/>
              <w:rPr>
                <w:sz w:val="20"/>
                <w:szCs w:val="20"/>
                <w:color w:val="auto"/>
              </w:rPr>
            </w:pPr>
            <w:r>
              <w:rPr>
                <w:rFonts w:ascii="Arial" w:cs="Arial" w:eastAsia="Arial" w:hAnsi="Arial"/>
                <w:sz w:val="14"/>
                <w:szCs w:val="14"/>
                <w:color w:val="435363"/>
              </w:rPr>
              <w:t>85,693</w:t>
            </w:r>
          </w:p>
        </w:tc>
        <w:tc>
          <w:tcPr>
            <w:tcW w:w="960" w:type="dxa"/>
            <w:vAlign w:val="bottom"/>
            <w:gridSpan w:val="2"/>
            <w:vMerge w:val="restart"/>
            <w:shd w:val="clear" w:color="auto" w:fill="EDEDED"/>
          </w:tcPr>
          <w:p>
            <w:pPr>
              <w:jc w:val="right"/>
              <w:ind w:right="120"/>
              <w:spacing w:after="0"/>
              <w:rPr>
                <w:sz w:val="20"/>
                <w:szCs w:val="20"/>
                <w:color w:val="auto"/>
              </w:rPr>
            </w:pPr>
            <w:r>
              <w:rPr>
                <w:rFonts w:ascii="Arial" w:cs="Arial" w:eastAsia="Arial" w:hAnsi="Arial"/>
                <w:sz w:val="14"/>
                <w:szCs w:val="14"/>
                <w:color w:val="435363"/>
              </w:rPr>
              <w:t>171,386</w:t>
            </w:r>
            <w:r>
              <w:rPr>
                <w:rFonts w:ascii="Arial" w:cs="Arial" w:eastAsia="Arial" w:hAnsi="Arial"/>
                <w:sz w:val="21"/>
                <w:szCs w:val="21"/>
                <w:color w:val="435363"/>
                <w:vertAlign w:val="superscript"/>
              </w:rPr>
              <w:t>(c)</w:t>
            </w:r>
          </w:p>
        </w:tc>
        <w:tc>
          <w:tcPr>
            <w:tcW w:w="1040" w:type="dxa"/>
            <w:vAlign w:val="bottom"/>
            <w:shd w:val="clear" w:color="auto" w:fill="EDEDED"/>
          </w:tcPr>
          <w:p>
            <w:pPr>
              <w:spacing w:after="0"/>
              <w:rPr>
                <w:sz w:val="13"/>
                <w:szCs w:val="13"/>
                <w:color w:val="auto"/>
              </w:rPr>
            </w:pPr>
          </w:p>
        </w:tc>
        <w:tc>
          <w:tcPr>
            <w:tcW w:w="920" w:type="dxa"/>
            <w:vAlign w:val="bottom"/>
            <w:vMerge w:val="restart"/>
            <w:shd w:val="clear" w:color="auto" w:fill="EDEDED"/>
          </w:tcPr>
          <w:p>
            <w:pPr>
              <w:jc w:val="right"/>
              <w:ind w:right="49"/>
              <w:spacing w:after="0"/>
              <w:rPr>
                <w:sz w:val="20"/>
                <w:szCs w:val="20"/>
                <w:color w:val="auto"/>
              </w:rPr>
            </w:pPr>
            <w:r>
              <w:rPr>
                <w:rFonts w:ascii="Arial" w:cs="Arial" w:eastAsia="Arial" w:hAnsi="Arial"/>
                <w:sz w:val="14"/>
                <w:szCs w:val="14"/>
                <w:color w:val="435363"/>
              </w:rPr>
              <w:t>1,180,000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EDEDED"/>
          </w:tcPr>
          <w:p>
            <w:pPr>
              <w:spacing w:after="0"/>
              <w:rPr>
                <w:sz w:val="13"/>
                <w:szCs w:val="13"/>
                <w:color w:val="auto"/>
              </w:rPr>
            </w:pPr>
          </w:p>
        </w:tc>
        <w:tc>
          <w:tcPr>
            <w:tcW w:w="200" w:type="dxa"/>
            <w:vAlign w:val="bottom"/>
            <w:shd w:val="clear" w:color="auto" w:fill="EDEDED"/>
          </w:tcPr>
          <w:p>
            <w:pPr>
              <w:spacing w:after="0"/>
              <w:rPr>
                <w:sz w:val="13"/>
                <w:szCs w:val="13"/>
                <w:color w:val="auto"/>
              </w:rPr>
            </w:pPr>
          </w:p>
        </w:tc>
        <w:tc>
          <w:tcPr>
            <w:tcW w:w="840" w:type="dxa"/>
            <w:vAlign w:val="bottom"/>
            <w:shd w:val="clear" w:color="auto" w:fill="EDEDED"/>
          </w:tcPr>
          <w:p>
            <w:pPr>
              <w:jc w:val="right"/>
              <w:ind w:right="49"/>
              <w:spacing w:after="0" w:line="159" w:lineRule="exact"/>
              <w:rPr>
                <w:sz w:val="20"/>
                <w:szCs w:val="20"/>
                <w:color w:val="auto"/>
              </w:rPr>
            </w:pPr>
            <w:r>
              <w:rPr>
                <w:rFonts w:ascii="Arial" w:cs="Arial" w:eastAsia="Arial" w:hAnsi="Arial"/>
                <w:sz w:val="14"/>
                <w:szCs w:val="14"/>
                <w:color w:val="435363"/>
              </w:rPr>
              <w:t>5/2/2023</w:t>
            </w:r>
          </w:p>
        </w:tc>
        <w:tc>
          <w:tcPr>
            <w:tcW w:w="120" w:type="dxa"/>
            <w:vAlign w:val="bottom"/>
            <w:shd w:val="clear" w:color="auto" w:fill="EDEDED"/>
          </w:tcPr>
          <w:p>
            <w:pPr>
              <w:spacing w:after="0"/>
              <w:rPr>
                <w:sz w:val="13"/>
                <w:szCs w:val="13"/>
                <w:color w:val="auto"/>
              </w:rPr>
            </w:pPr>
          </w:p>
        </w:tc>
        <w:tc>
          <w:tcPr>
            <w:tcW w:w="720" w:type="dxa"/>
            <w:vAlign w:val="bottom"/>
            <w:shd w:val="clear" w:color="auto" w:fill="EDEDED"/>
          </w:tcPr>
          <w:p>
            <w:pPr>
              <w:spacing w:after="0"/>
              <w:rPr>
                <w:sz w:val="13"/>
                <w:szCs w:val="13"/>
                <w:color w:val="auto"/>
              </w:rPr>
            </w:pPr>
          </w:p>
        </w:tc>
        <w:tc>
          <w:tcPr>
            <w:tcW w:w="1060" w:type="dxa"/>
            <w:vAlign w:val="bottom"/>
            <w:shd w:val="clear" w:color="auto" w:fill="EDEDED"/>
          </w:tcPr>
          <w:p>
            <w:pPr>
              <w:spacing w:after="0"/>
              <w:rPr>
                <w:sz w:val="13"/>
                <w:szCs w:val="13"/>
                <w:color w:val="auto"/>
              </w:rPr>
            </w:pPr>
          </w:p>
        </w:tc>
        <w:tc>
          <w:tcPr>
            <w:tcW w:w="740" w:type="dxa"/>
            <w:vAlign w:val="bottom"/>
            <w:shd w:val="clear" w:color="auto" w:fill="EDEDED"/>
          </w:tcPr>
          <w:p>
            <w:pPr>
              <w:spacing w:after="0"/>
              <w:rPr>
                <w:sz w:val="13"/>
                <w:szCs w:val="13"/>
                <w:color w:val="auto"/>
              </w:rPr>
            </w:pPr>
          </w:p>
        </w:tc>
        <w:tc>
          <w:tcPr>
            <w:tcW w:w="960" w:type="dxa"/>
            <w:vAlign w:val="bottom"/>
            <w:gridSpan w:val="2"/>
            <w:vMerge w:val="continue"/>
            <w:shd w:val="clear" w:color="auto" w:fill="EDEDED"/>
          </w:tcPr>
          <w:p>
            <w:pPr>
              <w:spacing w:after="0"/>
              <w:rPr>
                <w:sz w:val="13"/>
                <w:szCs w:val="13"/>
                <w:color w:val="auto"/>
              </w:rPr>
            </w:pPr>
          </w:p>
        </w:tc>
        <w:tc>
          <w:tcPr>
            <w:tcW w:w="940" w:type="dxa"/>
            <w:vAlign w:val="bottom"/>
            <w:vMerge w:val="continue"/>
            <w:shd w:val="clear" w:color="auto" w:fill="EDEDED"/>
          </w:tcPr>
          <w:p>
            <w:pPr>
              <w:spacing w:after="0"/>
              <w:rPr>
                <w:sz w:val="13"/>
                <w:szCs w:val="13"/>
                <w:color w:val="auto"/>
              </w:rPr>
            </w:pPr>
          </w:p>
        </w:tc>
        <w:tc>
          <w:tcPr>
            <w:tcW w:w="960" w:type="dxa"/>
            <w:vAlign w:val="bottom"/>
            <w:gridSpan w:val="2"/>
            <w:vMerge w:val="continue"/>
            <w:shd w:val="clear" w:color="auto" w:fill="EDEDED"/>
          </w:tcPr>
          <w:p>
            <w:pPr>
              <w:spacing w:after="0"/>
              <w:rPr>
                <w:sz w:val="13"/>
                <w:szCs w:val="13"/>
                <w:color w:val="auto"/>
              </w:rPr>
            </w:pPr>
          </w:p>
        </w:tc>
        <w:tc>
          <w:tcPr>
            <w:tcW w:w="1040" w:type="dxa"/>
            <w:vAlign w:val="bottom"/>
            <w:vMerge w:val="restart"/>
            <w:shd w:val="clear" w:color="auto" w:fill="EDEDED"/>
          </w:tcPr>
          <w:p>
            <w:pPr>
              <w:jc w:val="right"/>
              <w:ind w:right="9"/>
              <w:spacing w:after="0"/>
              <w:rPr>
                <w:sz w:val="20"/>
                <w:szCs w:val="20"/>
                <w:color w:val="auto"/>
              </w:rPr>
            </w:pPr>
            <w:r>
              <w:rPr>
                <w:rFonts w:ascii="Arial" w:cs="Arial" w:eastAsia="Arial" w:hAnsi="Arial"/>
                <w:sz w:val="14"/>
                <w:szCs w:val="14"/>
                <w:color w:val="435363"/>
              </w:rPr>
              <w:t>85,693</w:t>
            </w:r>
            <w:r>
              <w:rPr>
                <w:rFonts w:ascii="Arial" w:cs="Arial" w:eastAsia="Arial" w:hAnsi="Arial"/>
                <w:sz w:val="21"/>
                <w:szCs w:val="21"/>
                <w:color w:val="435363"/>
                <w:vertAlign w:val="superscript"/>
              </w:rPr>
              <w:t>(e)</w:t>
            </w:r>
          </w:p>
        </w:tc>
        <w:tc>
          <w:tcPr>
            <w:tcW w:w="920" w:type="dxa"/>
            <w:vAlign w:val="bottom"/>
            <w:vMerge w:val="continue"/>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EDEDED"/>
          </w:tcPr>
          <w:p>
            <w:pPr>
              <w:spacing w:after="0"/>
              <w:rPr>
                <w:sz w:val="13"/>
                <w:szCs w:val="13"/>
                <w:color w:val="auto"/>
              </w:rPr>
            </w:pPr>
          </w:p>
        </w:tc>
        <w:tc>
          <w:tcPr>
            <w:tcW w:w="200" w:type="dxa"/>
            <w:vAlign w:val="bottom"/>
            <w:shd w:val="clear" w:color="auto" w:fill="EDEDED"/>
          </w:tcPr>
          <w:p>
            <w:pPr>
              <w:spacing w:after="0"/>
              <w:rPr>
                <w:sz w:val="13"/>
                <w:szCs w:val="13"/>
                <w:color w:val="auto"/>
              </w:rPr>
            </w:pPr>
          </w:p>
        </w:tc>
        <w:tc>
          <w:tcPr>
            <w:tcW w:w="840" w:type="dxa"/>
            <w:vAlign w:val="bottom"/>
            <w:shd w:val="clear" w:color="auto" w:fill="EDEDED"/>
          </w:tcPr>
          <w:p>
            <w:pPr>
              <w:jc w:val="right"/>
              <w:ind w:right="49"/>
              <w:spacing w:after="0" w:line="159" w:lineRule="exact"/>
              <w:rPr>
                <w:sz w:val="20"/>
                <w:szCs w:val="20"/>
                <w:color w:val="auto"/>
              </w:rPr>
            </w:pPr>
            <w:r>
              <w:rPr>
                <w:rFonts w:ascii="Arial" w:cs="Arial" w:eastAsia="Arial" w:hAnsi="Arial"/>
                <w:sz w:val="14"/>
                <w:szCs w:val="14"/>
                <w:color w:val="435363"/>
              </w:rPr>
              <w:t>5/2/2023</w:t>
            </w:r>
          </w:p>
        </w:tc>
        <w:tc>
          <w:tcPr>
            <w:tcW w:w="120" w:type="dxa"/>
            <w:vAlign w:val="bottom"/>
            <w:shd w:val="clear" w:color="auto" w:fill="EDEDED"/>
          </w:tcPr>
          <w:p>
            <w:pPr>
              <w:spacing w:after="0"/>
              <w:rPr>
                <w:sz w:val="13"/>
                <w:szCs w:val="13"/>
                <w:color w:val="auto"/>
              </w:rPr>
            </w:pPr>
          </w:p>
        </w:tc>
        <w:tc>
          <w:tcPr>
            <w:tcW w:w="720" w:type="dxa"/>
            <w:vAlign w:val="bottom"/>
            <w:shd w:val="clear" w:color="auto" w:fill="EDEDED"/>
          </w:tcPr>
          <w:p>
            <w:pPr>
              <w:spacing w:after="0"/>
              <w:rPr>
                <w:sz w:val="13"/>
                <w:szCs w:val="13"/>
                <w:color w:val="auto"/>
              </w:rPr>
            </w:pPr>
          </w:p>
        </w:tc>
        <w:tc>
          <w:tcPr>
            <w:tcW w:w="1060" w:type="dxa"/>
            <w:vAlign w:val="bottom"/>
            <w:shd w:val="clear" w:color="auto" w:fill="EDEDED"/>
          </w:tcPr>
          <w:p>
            <w:pPr>
              <w:spacing w:after="0"/>
              <w:rPr>
                <w:sz w:val="13"/>
                <w:szCs w:val="13"/>
                <w:color w:val="auto"/>
              </w:rPr>
            </w:pPr>
          </w:p>
        </w:tc>
        <w:tc>
          <w:tcPr>
            <w:tcW w:w="740" w:type="dxa"/>
            <w:vAlign w:val="bottom"/>
            <w:shd w:val="clear" w:color="auto" w:fill="EDEDED"/>
          </w:tcPr>
          <w:p>
            <w:pPr>
              <w:spacing w:after="0"/>
              <w:rPr>
                <w:sz w:val="13"/>
                <w:szCs w:val="13"/>
                <w:color w:val="auto"/>
              </w:rPr>
            </w:pPr>
          </w:p>
        </w:tc>
        <w:tc>
          <w:tcPr>
            <w:tcW w:w="240" w:type="dxa"/>
            <w:vAlign w:val="bottom"/>
            <w:shd w:val="clear" w:color="auto" w:fill="EDEDED"/>
          </w:tcPr>
          <w:p>
            <w:pPr>
              <w:spacing w:after="0"/>
              <w:rPr>
                <w:sz w:val="13"/>
                <w:szCs w:val="13"/>
                <w:color w:val="auto"/>
              </w:rPr>
            </w:pPr>
          </w:p>
        </w:tc>
        <w:tc>
          <w:tcPr>
            <w:tcW w:w="720" w:type="dxa"/>
            <w:vAlign w:val="bottom"/>
            <w:shd w:val="clear" w:color="auto" w:fill="EDEDED"/>
          </w:tcPr>
          <w:p>
            <w:pPr>
              <w:spacing w:after="0"/>
              <w:rPr>
                <w:sz w:val="13"/>
                <w:szCs w:val="13"/>
                <w:color w:val="auto"/>
              </w:rPr>
            </w:pPr>
          </w:p>
        </w:tc>
        <w:tc>
          <w:tcPr>
            <w:tcW w:w="940" w:type="dxa"/>
            <w:vAlign w:val="bottom"/>
            <w:shd w:val="clear" w:color="auto" w:fill="EDEDED"/>
          </w:tcPr>
          <w:p>
            <w:pPr>
              <w:spacing w:after="0"/>
              <w:rPr>
                <w:sz w:val="13"/>
                <w:szCs w:val="13"/>
                <w:color w:val="auto"/>
              </w:rPr>
            </w:pPr>
          </w:p>
        </w:tc>
        <w:tc>
          <w:tcPr>
            <w:tcW w:w="720" w:type="dxa"/>
            <w:vAlign w:val="bottom"/>
            <w:shd w:val="clear" w:color="auto" w:fill="EDEDED"/>
          </w:tcPr>
          <w:p>
            <w:pPr>
              <w:spacing w:after="0"/>
              <w:rPr>
                <w:sz w:val="13"/>
                <w:szCs w:val="13"/>
                <w:color w:val="auto"/>
              </w:rPr>
            </w:pPr>
          </w:p>
        </w:tc>
        <w:tc>
          <w:tcPr>
            <w:tcW w:w="240" w:type="dxa"/>
            <w:vAlign w:val="bottom"/>
            <w:shd w:val="clear" w:color="auto" w:fill="EDEDED"/>
          </w:tcPr>
          <w:p>
            <w:pPr>
              <w:spacing w:after="0"/>
              <w:rPr>
                <w:sz w:val="13"/>
                <w:szCs w:val="13"/>
                <w:color w:val="auto"/>
              </w:rPr>
            </w:pPr>
          </w:p>
        </w:tc>
        <w:tc>
          <w:tcPr>
            <w:tcW w:w="1040" w:type="dxa"/>
            <w:vAlign w:val="bottom"/>
            <w:vMerge w:val="continue"/>
            <w:shd w:val="clear" w:color="auto" w:fill="EDEDED"/>
          </w:tcPr>
          <w:p>
            <w:pPr>
              <w:spacing w:after="0"/>
              <w:rPr>
                <w:sz w:val="13"/>
                <w:szCs w:val="13"/>
                <w:color w:val="auto"/>
              </w:rPr>
            </w:pPr>
          </w:p>
        </w:tc>
        <w:tc>
          <w:tcPr>
            <w:tcW w:w="920" w:type="dxa"/>
            <w:vAlign w:val="bottom"/>
            <w:shd w:val="clear" w:color="auto" w:fill="EDEDED"/>
          </w:tcPr>
          <w:p>
            <w:pPr>
              <w:jc w:val="right"/>
              <w:ind w:right="49"/>
              <w:spacing w:after="0" w:line="159" w:lineRule="exact"/>
              <w:rPr>
                <w:sz w:val="20"/>
                <w:szCs w:val="20"/>
                <w:color w:val="auto"/>
              </w:rPr>
            </w:pPr>
            <w:r>
              <w:rPr>
                <w:rFonts w:ascii="Arial" w:cs="Arial" w:eastAsia="Arial" w:hAnsi="Arial"/>
                <w:sz w:val="14"/>
                <w:szCs w:val="14"/>
                <w:color w:val="435363"/>
              </w:rPr>
              <w:t>1,180,000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00" w:type="dxa"/>
            <w:vAlign w:val="bottom"/>
          </w:tcPr>
          <w:p>
            <w:pPr>
              <w:ind w:left="60"/>
              <w:spacing w:after="0"/>
              <w:rPr>
                <w:sz w:val="20"/>
                <w:szCs w:val="20"/>
                <w:color w:val="auto"/>
              </w:rPr>
            </w:pPr>
            <w:r>
              <w:rPr>
                <w:rFonts w:ascii="Arial" w:cs="Arial" w:eastAsia="Arial" w:hAnsi="Arial"/>
                <w:sz w:val="14"/>
                <w:szCs w:val="14"/>
                <w:b w:val="1"/>
                <w:bCs w:val="1"/>
                <w:color w:val="435363"/>
              </w:rPr>
              <w:t>Vasu Raja</w:t>
            </w:r>
          </w:p>
        </w:tc>
        <w:tc>
          <w:tcPr>
            <w:tcW w:w="1040" w:type="dxa"/>
            <w:vAlign w:val="bottom"/>
            <w:gridSpan w:val="2"/>
            <w:vMerge w:val="restart"/>
          </w:tcPr>
          <w:p>
            <w:pPr>
              <w:jc w:val="right"/>
              <w:ind w:right="49"/>
              <w:spacing w:after="0"/>
              <w:rPr>
                <w:sz w:val="20"/>
                <w:szCs w:val="20"/>
                <w:color w:val="auto"/>
              </w:rPr>
            </w:pPr>
            <w:r>
              <w:rPr>
                <w:rFonts w:ascii="Arial" w:cs="Arial" w:eastAsia="Arial" w:hAnsi="Arial"/>
                <w:sz w:val="14"/>
                <w:szCs w:val="14"/>
                <w:color w:val="435363"/>
              </w:rPr>
              <w:t>5/2/2023</w:t>
            </w:r>
          </w:p>
        </w:tc>
        <w:tc>
          <w:tcPr>
            <w:tcW w:w="840" w:type="dxa"/>
            <w:vAlign w:val="bottom"/>
            <w:gridSpan w:val="2"/>
          </w:tcPr>
          <w:p>
            <w:pPr>
              <w:jc w:val="right"/>
              <w:spacing w:after="0"/>
              <w:rPr>
                <w:sz w:val="20"/>
                <w:szCs w:val="20"/>
                <w:color w:val="auto"/>
              </w:rPr>
            </w:pPr>
            <w:r>
              <w:rPr>
                <w:rFonts w:ascii="Arial" w:cs="Arial" w:eastAsia="Arial" w:hAnsi="Arial"/>
                <w:sz w:val="14"/>
                <w:szCs w:val="14"/>
                <w:color w:val="435363"/>
              </w:rPr>
              <w:t>484,375</w:t>
            </w:r>
          </w:p>
        </w:tc>
        <w:tc>
          <w:tcPr>
            <w:tcW w:w="1060" w:type="dxa"/>
            <w:vAlign w:val="bottom"/>
          </w:tcPr>
          <w:p>
            <w:pPr>
              <w:jc w:val="right"/>
              <w:ind w:right="111"/>
              <w:spacing w:after="0"/>
              <w:rPr>
                <w:sz w:val="20"/>
                <w:szCs w:val="20"/>
                <w:color w:val="auto"/>
              </w:rPr>
            </w:pPr>
            <w:r>
              <w:rPr>
                <w:rFonts w:ascii="Arial" w:cs="Arial" w:eastAsia="Arial" w:hAnsi="Arial"/>
                <w:sz w:val="14"/>
                <w:szCs w:val="14"/>
                <w:color w:val="435363"/>
              </w:rPr>
              <w:t>968,750</w:t>
            </w:r>
          </w:p>
        </w:tc>
        <w:tc>
          <w:tcPr>
            <w:tcW w:w="740" w:type="dxa"/>
            <w:vAlign w:val="bottom"/>
          </w:tcPr>
          <w:p>
            <w:pPr>
              <w:jc w:val="right"/>
              <w:spacing w:after="0"/>
              <w:rPr>
                <w:sz w:val="20"/>
                <w:szCs w:val="20"/>
                <w:color w:val="auto"/>
              </w:rPr>
            </w:pPr>
            <w:r>
              <w:rPr>
                <w:rFonts w:ascii="Arial" w:cs="Arial" w:eastAsia="Arial" w:hAnsi="Arial"/>
                <w:sz w:val="14"/>
                <w:szCs w:val="14"/>
                <w:color w:val="435363"/>
              </w:rPr>
              <w:t>1,937,500</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color w:val="435363"/>
              </w:rPr>
              <w:t>25,962</w:t>
            </w:r>
          </w:p>
        </w:tc>
        <w:tc>
          <w:tcPr>
            <w:tcW w:w="940" w:type="dxa"/>
            <w:vAlign w:val="bottom"/>
            <w:vMerge w:val="restart"/>
          </w:tcPr>
          <w:p>
            <w:pPr>
              <w:jc w:val="right"/>
              <w:ind w:right="129"/>
              <w:spacing w:after="0"/>
              <w:rPr>
                <w:sz w:val="20"/>
                <w:szCs w:val="20"/>
                <w:color w:val="auto"/>
              </w:rPr>
            </w:pPr>
            <w:r>
              <w:rPr>
                <w:rFonts w:ascii="Arial" w:cs="Arial" w:eastAsia="Arial" w:hAnsi="Arial"/>
                <w:sz w:val="14"/>
                <w:szCs w:val="14"/>
                <w:color w:val="435363"/>
              </w:rPr>
              <w:t>103,848</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435363"/>
              </w:rPr>
              <w:t>207,696</w:t>
            </w:r>
            <w:r>
              <w:rPr>
                <w:rFonts w:ascii="Arial" w:cs="Arial" w:eastAsia="Arial" w:hAnsi="Arial"/>
                <w:sz w:val="21"/>
                <w:szCs w:val="21"/>
                <w:color w:val="435363"/>
                <w:vertAlign w:val="superscript"/>
              </w:rPr>
              <w:t>(c)</w:t>
            </w:r>
          </w:p>
        </w:tc>
        <w:tc>
          <w:tcPr>
            <w:tcW w:w="1040" w:type="dxa"/>
            <w:vAlign w:val="bottom"/>
          </w:tcPr>
          <w:p>
            <w:pPr>
              <w:spacing w:after="0"/>
              <w:rPr>
                <w:sz w:val="16"/>
                <w:szCs w:val="16"/>
                <w:color w:val="auto"/>
              </w:rPr>
            </w:pP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435363"/>
              </w:rPr>
              <w:t>1,430,000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40" w:type="dxa"/>
            <w:vAlign w:val="bottom"/>
            <w:gridSpan w:val="2"/>
          </w:tcPr>
          <w:p>
            <w:pPr>
              <w:jc w:val="right"/>
              <w:ind w:right="49"/>
              <w:spacing w:after="0"/>
              <w:rPr>
                <w:sz w:val="20"/>
                <w:szCs w:val="20"/>
                <w:color w:val="auto"/>
              </w:rPr>
            </w:pPr>
            <w:r>
              <w:rPr>
                <w:rFonts w:ascii="Arial" w:cs="Arial" w:eastAsia="Arial" w:hAnsi="Arial"/>
                <w:sz w:val="14"/>
                <w:szCs w:val="14"/>
                <w:color w:val="435363"/>
              </w:rPr>
              <w:t>7/12/2023</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435363"/>
              </w:rPr>
              <w:t>8,166</w:t>
            </w:r>
          </w:p>
        </w:tc>
        <w:tc>
          <w:tcPr>
            <w:tcW w:w="940" w:type="dxa"/>
            <w:vAlign w:val="bottom"/>
          </w:tcPr>
          <w:p>
            <w:pPr>
              <w:jc w:val="right"/>
              <w:ind w:right="129"/>
              <w:spacing w:after="0"/>
              <w:rPr>
                <w:sz w:val="20"/>
                <w:szCs w:val="20"/>
                <w:color w:val="auto"/>
              </w:rPr>
            </w:pPr>
            <w:r>
              <w:rPr>
                <w:rFonts w:ascii="Arial" w:cs="Arial" w:eastAsia="Arial" w:hAnsi="Arial"/>
                <w:sz w:val="14"/>
                <w:szCs w:val="14"/>
                <w:color w:val="435363"/>
              </w:rPr>
              <w:t>32,662</w:t>
            </w:r>
          </w:p>
        </w:tc>
        <w:tc>
          <w:tcPr>
            <w:tcW w:w="960" w:type="dxa"/>
            <w:vAlign w:val="bottom"/>
            <w:gridSpan w:val="2"/>
          </w:tcPr>
          <w:p>
            <w:pPr>
              <w:jc w:val="right"/>
              <w:ind w:right="120"/>
              <w:spacing w:after="0" w:line="163" w:lineRule="exact"/>
              <w:rPr>
                <w:sz w:val="20"/>
                <w:szCs w:val="20"/>
                <w:color w:val="auto"/>
              </w:rPr>
            </w:pPr>
            <w:r>
              <w:rPr>
                <w:rFonts w:ascii="Arial" w:cs="Arial" w:eastAsia="Arial" w:hAnsi="Arial"/>
                <w:sz w:val="12"/>
                <w:szCs w:val="12"/>
                <w:color w:val="435363"/>
              </w:rPr>
              <w:t>65,324</w:t>
            </w:r>
            <w:r>
              <w:rPr>
                <w:rFonts w:ascii="Arial" w:cs="Arial" w:eastAsia="Arial" w:hAnsi="Arial"/>
                <w:sz w:val="18"/>
                <w:szCs w:val="18"/>
                <w:color w:val="435363"/>
                <w:vertAlign w:val="superscript"/>
              </w:rPr>
              <w:t>(d)</w:t>
            </w:r>
          </w:p>
        </w:tc>
        <w:tc>
          <w:tcPr>
            <w:tcW w:w="1040" w:type="dxa"/>
            <w:vAlign w:val="bottom"/>
            <w:vMerge w:val="restart"/>
          </w:tcPr>
          <w:p>
            <w:pPr>
              <w:jc w:val="right"/>
              <w:ind w:right="9"/>
              <w:spacing w:after="0"/>
              <w:rPr>
                <w:sz w:val="20"/>
                <w:szCs w:val="20"/>
                <w:color w:val="auto"/>
              </w:rPr>
            </w:pPr>
            <w:r>
              <w:rPr>
                <w:rFonts w:ascii="Arial" w:cs="Arial" w:eastAsia="Arial" w:hAnsi="Arial"/>
                <w:sz w:val="14"/>
                <w:szCs w:val="14"/>
                <w:color w:val="435363"/>
              </w:rPr>
              <w:t>103,848</w:t>
            </w:r>
            <w:r>
              <w:rPr>
                <w:rFonts w:ascii="Arial" w:cs="Arial" w:eastAsia="Arial" w:hAnsi="Arial"/>
                <w:sz w:val="21"/>
                <w:szCs w:val="21"/>
                <w:color w:val="435363"/>
                <w:vertAlign w:val="superscript"/>
              </w:rPr>
              <w:t>(e)</w:t>
            </w:r>
          </w:p>
        </w:tc>
        <w:tc>
          <w:tcPr>
            <w:tcW w:w="920" w:type="dxa"/>
            <w:vAlign w:val="bottom"/>
          </w:tcPr>
          <w:p>
            <w:pPr>
              <w:jc w:val="right"/>
              <w:ind w:right="49"/>
              <w:spacing w:after="0"/>
              <w:rPr>
                <w:sz w:val="20"/>
                <w:szCs w:val="20"/>
                <w:color w:val="auto"/>
              </w:rPr>
            </w:pPr>
            <w:r>
              <w:rPr>
                <w:rFonts w:ascii="Arial" w:cs="Arial" w:eastAsia="Arial" w:hAnsi="Arial"/>
                <w:sz w:val="14"/>
                <w:szCs w:val="14"/>
                <w:color w:val="435363"/>
              </w:rPr>
              <w:t>606,500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40" w:type="dxa"/>
            <w:vAlign w:val="bottom"/>
            <w:gridSpan w:val="2"/>
          </w:tcPr>
          <w:p>
            <w:pPr>
              <w:jc w:val="right"/>
              <w:ind w:right="49"/>
              <w:spacing w:after="0" w:line="155" w:lineRule="exact"/>
              <w:rPr>
                <w:sz w:val="20"/>
                <w:szCs w:val="20"/>
                <w:color w:val="auto"/>
              </w:rPr>
            </w:pPr>
            <w:r>
              <w:rPr>
                <w:rFonts w:ascii="Arial" w:cs="Arial" w:eastAsia="Arial" w:hAnsi="Arial"/>
                <w:sz w:val="14"/>
                <w:szCs w:val="14"/>
                <w:color w:val="435363"/>
              </w:rPr>
              <w:t>5/2/2023</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20" w:type="dxa"/>
            <w:vAlign w:val="bottom"/>
          </w:tcPr>
          <w:p>
            <w:pPr>
              <w:jc w:val="right"/>
              <w:ind w:right="49"/>
              <w:spacing w:after="0" w:line="155" w:lineRule="exact"/>
              <w:rPr>
                <w:sz w:val="20"/>
                <w:szCs w:val="20"/>
                <w:color w:val="auto"/>
              </w:rPr>
            </w:pPr>
            <w:r>
              <w:rPr>
                <w:rFonts w:ascii="Arial" w:cs="Arial" w:eastAsia="Arial" w:hAnsi="Arial"/>
                <w:sz w:val="14"/>
                <w:szCs w:val="14"/>
                <w:color w:val="435363"/>
              </w:rPr>
              <w:t>1,430,000</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40" w:type="dxa"/>
            <w:vAlign w:val="bottom"/>
            <w:gridSpan w:val="2"/>
          </w:tcPr>
          <w:p>
            <w:pPr>
              <w:jc w:val="right"/>
              <w:ind w:right="49"/>
              <w:spacing w:after="0"/>
              <w:rPr>
                <w:sz w:val="20"/>
                <w:szCs w:val="20"/>
                <w:color w:val="auto"/>
              </w:rPr>
            </w:pPr>
            <w:r>
              <w:rPr>
                <w:rFonts w:ascii="Arial" w:cs="Arial" w:eastAsia="Arial" w:hAnsi="Arial"/>
                <w:sz w:val="14"/>
                <w:szCs w:val="14"/>
                <w:color w:val="435363"/>
              </w:rPr>
              <w:t>7/12/2023</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435363"/>
              </w:rPr>
              <w:t>32,661</w:t>
            </w:r>
            <w:r>
              <w:rPr>
                <w:rFonts w:ascii="Arial" w:cs="Arial" w:eastAsia="Arial" w:hAnsi="Arial"/>
                <w:sz w:val="21"/>
                <w:szCs w:val="21"/>
                <w:color w:val="435363"/>
                <w:vertAlign w:val="superscript"/>
              </w:rPr>
              <w:t>(f)</w:t>
            </w:r>
          </w:p>
        </w:tc>
        <w:tc>
          <w:tcPr>
            <w:tcW w:w="920" w:type="dxa"/>
            <w:vAlign w:val="bottom"/>
          </w:tcPr>
          <w:p>
            <w:pPr>
              <w:jc w:val="right"/>
              <w:ind w:right="49"/>
              <w:spacing w:after="0"/>
              <w:rPr>
                <w:sz w:val="20"/>
                <w:szCs w:val="20"/>
                <w:color w:val="auto"/>
              </w:rPr>
            </w:pPr>
            <w:r>
              <w:rPr>
                <w:rFonts w:ascii="Arial" w:cs="Arial" w:eastAsia="Arial" w:hAnsi="Arial"/>
                <w:sz w:val="14"/>
                <w:szCs w:val="14"/>
                <w:color w:val="435363"/>
              </w:rPr>
              <w:t>606,500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-27940</wp:posOffset>
            </wp:positionV>
            <wp:extent cx="68573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9" w:lineRule="exact"/>
        <w:rPr>
          <w:sz w:val="20"/>
          <w:szCs w:val="20"/>
          <w:color w:val="auto"/>
        </w:rPr>
      </w:pPr>
    </w:p>
    <w:p>
      <w:pPr>
        <w:ind w:left="640" w:hanging="416"/>
        <w:spacing w:after="0"/>
        <w:tabs>
          <w:tab w:leader="none" w:pos="640" w:val="left"/>
        </w:tabs>
        <w:numPr>
          <w:ilvl w:val="0"/>
          <w:numId w:val="54"/>
        </w:numPr>
        <w:rPr>
          <w:rFonts w:ascii="Arial" w:cs="Arial" w:eastAsia="Arial" w:hAnsi="Arial"/>
          <w:sz w:val="12"/>
          <w:szCs w:val="12"/>
          <w:color w:val="435363"/>
        </w:rPr>
      </w:pPr>
      <w:r>
        <w:rPr>
          <w:rFonts w:ascii="Arial" w:cs="Arial" w:eastAsia="Arial" w:hAnsi="Arial"/>
          <w:sz w:val="12"/>
          <w:szCs w:val="12"/>
          <w:color w:val="435363"/>
        </w:rPr>
        <w:t>Reflects potential payouts under the 2023 STIP.</w:t>
      </w:r>
    </w:p>
    <w:p>
      <w:pPr>
        <w:spacing w:after="0" w:line="73" w:lineRule="exact"/>
        <w:rPr>
          <w:rFonts w:ascii="Arial" w:cs="Arial" w:eastAsia="Arial" w:hAnsi="Arial"/>
          <w:sz w:val="12"/>
          <w:szCs w:val="12"/>
          <w:color w:val="435363"/>
        </w:rPr>
      </w:pPr>
    </w:p>
    <w:p>
      <w:pPr>
        <w:ind w:left="640" w:right="60" w:hanging="416"/>
        <w:spacing w:after="0" w:line="245" w:lineRule="auto"/>
        <w:tabs>
          <w:tab w:leader="none" w:pos="640" w:val="left"/>
        </w:tabs>
        <w:numPr>
          <w:ilvl w:val="0"/>
          <w:numId w:val="54"/>
        </w:numPr>
        <w:rPr>
          <w:rFonts w:ascii="Arial" w:cs="Arial" w:eastAsia="Arial" w:hAnsi="Arial"/>
          <w:sz w:val="12"/>
          <w:szCs w:val="12"/>
          <w:color w:val="435363"/>
        </w:rPr>
      </w:pPr>
      <w:r>
        <w:rPr>
          <w:rFonts w:ascii="Arial" w:cs="Arial" w:eastAsia="Arial" w:hAnsi="Arial"/>
          <w:sz w:val="12"/>
          <w:szCs w:val="12"/>
          <w:color w:val="435363"/>
        </w:rPr>
        <w:t>For solely time-based RSU awards and the time-based vesting portion of each named executive officer’s RSU award, the grant date fair value is equal to the number of shares underlying the RSUs, multiplied by the closing price of our Common Stock on the date of grant. For the performance-vesting portion of each named executive officer’s RSU award, the grant date fair value is determined based on the closing price of our Common Stock on the date of grant multiplied by a factor reflecting achievement of the probable outcome of the total debt reduction and relative pre-tax income margin improvement versus a pre-defined group of airlines as applicable (which was 100%).</w:t>
      </w:r>
    </w:p>
    <w:p>
      <w:pPr>
        <w:spacing w:after="0" w:line="45" w:lineRule="exact"/>
        <w:rPr>
          <w:rFonts w:ascii="Arial" w:cs="Arial" w:eastAsia="Arial" w:hAnsi="Arial"/>
          <w:sz w:val="12"/>
          <w:szCs w:val="12"/>
          <w:color w:val="435363"/>
        </w:rPr>
      </w:pPr>
    </w:p>
    <w:p>
      <w:pPr>
        <w:ind w:left="640" w:right="140" w:hanging="416"/>
        <w:spacing w:after="0" w:line="245" w:lineRule="auto"/>
        <w:tabs>
          <w:tab w:leader="none" w:pos="640" w:val="left"/>
        </w:tabs>
        <w:numPr>
          <w:ilvl w:val="0"/>
          <w:numId w:val="54"/>
        </w:numPr>
        <w:rPr>
          <w:rFonts w:ascii="Arial" w:cs="Arial" w:eastAsia="Arial" w:hAnsi="Arial"/>
          <w:sz w:val="12"/>
          <w:szCs w:val="12"/>
          <w:color w:val="435363"/>
        </w:rPr>
      </w:pPr>
      <w:r>
        <w:rPr>
          <w:rFonts w:ascii="Arial" w:cs="Arial" w:eastAsia="Arial" w:hAnsi="Arial"/>
          <w:sz w:val="12"/>
          <w:szCs w:val="12"/>
          <w:color w:val="435363"/>
        </w:rPr>
        <w:t>Represents the performance-vesting portion of the named executive officers’ 2023 annual RSU awards that vest on the third anniversary of the grant date, subject to the executive’s continued service and based on the Company’s achievement of (i) total debt reduction from year-end 2022 to year-end 2025 and (ii) pre-tax income margin improvement relative to the pre-tax income margin improvement for a pre-defined group of airlines based on 2023-2025 pre-tax income margin over a 2019 baseline. The number of shares that will be issued with respect to the performance-vesting RSUs varies between 25% and 200% depending on the Company’s performance, and no shares will be issued if threshold performance is not achieved.</w:t>
      </w:r>
    </w:p>
    <w:p>
      <w:pPr>
        <w:spacing w:after="0" w:line="45" w:lineRule="exact"/>
        <w:rPr>
          <w:rFonts w:ascii="Arial" w:cs="Arial" w:eastAsia="Arial" w:hAnsi="Arial"/>
          <w:sz w:val="12"/>
          <w:szCs w:val="12"/>
          <w:color w:val="435363"/>
        </w:rPr>
      </w:pPr>
    </w:p>
    <w:p>
      <w:pPr>
        <w:ind w:left="640" w:right="80" w:hanging="416"/>
        <w:spacing w:after="0" w:line="245" w:lineRule="auto"/>
        <w:tabs>
          <w:tab w:leader="none" w:pos="640" w:val="left"/>
        </w:tabs>
        <w:numPr>
          <w:ilvl w:val="0"/>
          <w:numId w:val="54"/>
        </w:numPr>
        <w:rPr>
          <w:rFonts w:ascii="Arial" w:cs="Arial" w:eastAsia="Arial" w:hAnsi="Arial"/>
          <w:sz w:val="12"/>
          <w:szCs w:val="12"/>
          <w:color w:val="435363"/>
        </w:rPr>
      </w:pPr>
      <w:r>
        <w:rPr>
          <w:rFonts w:ascii="Arial" w:cs="Arial" w:eastAsia="Arial" w:hAnsi="Arial"/>
          <w:sz w:val="12"/>
          <w:szCs w:val="12"/>
          <w:color w:val="435363"/>
        </w:rPr>
        <w:t>Represents the performance-vesting portion of the named executive officers’ 2023 one-time and promotion RSU awards that vest on the third anniversary of the grant date, subject to the executive’s continued service and based on the Company’s achievement of (i) total debt reduction from year-end 2022 to year-end 2025 and (ii) pre-tax income margin improvement relative to the pre-tax income margin improvement for a pre-defined group of airlines based on 2023-2025 pre-tax income margin over a 2019 baseline. The number of shares that will be issued with respect to the performance-vesting RSUs varies between 25% and 200% depending on the Company’s performance, and no shares will be issued if threshold performance is not achieved.</w:t>
      </w:r>
    </w:p>
    <w:p>
      <w:pPr>
        <w:spacing w:after="0" w:line="45" w:lineRule="exact"/>
        <w:rPr>
          <w:rFonts w:ascii="Arial" w:cs="Arial" w:eastAsia="Arial" w:hAnsi="Arial"/>
          <w:sz w:val="12"/>
          <w:szCs w:val="12"/>
          <w:color w:val="435363"/>
        </w:rPr>
      </w:pPr>
    </w:p>
    <w:p>
      <w:pPr>
        <w:ind w:left="640" w:right="80" w:hanging="416"/>
        <w:spacing w:after="0" w:line="274" w:lineRule="auto"/>
        <w:tabs>
          <w:tab w:leader="none" w:pos="640" w:val="left"/>
        </w:tabs>
        <w:numPr>
          <w:ilvl w:val="0"/>
          <w:numId w:val="54"/>
        </w:numPr>
        <w:rPr>
          <w:rFonts w:ascii="Arial" w:cs="Arial" w:eastAsia="Arial" w:hAnsi="Arial"/>
          <w:sz w:val="12"/>
          <w:szCs w:val="12"/>
          <w:color w:val="435363"/>
        </w:rPr>
      </w:pPr>
      <w:r>
        <w:rPr>
          <w:rFonts w:ascii="Arial" w:cs="Arial" w:eastAsia="Arial" w:hAnsi="Arial"/>
          <w:sz w:val="12"/>
          <w:szCs w:val="12"/>
          <w:color w:val="435363"/>
        </w:rPr>
        <w:t>Represents the time-vesting portion of the named executive officers’ 2023 annual RSU awards that vest, subject to the executive’s continued employment, with respect to 66.66% on the first anniversary of the grant date and with respect to 33.33% of the shares on the second anniversary of the grant date.</w:t>
      </w:r>
    </w:p>
    <w:p>
      <w:pPr>
        <w:spacing w:after="0" w:line="29" w:lineRule="exact"/>
        <w:rPr>
          <w:rFonts w:ascii="Arial" w:cs="Arial" w:eastAsia="Arial" w:hAnsi="Arial"/>
          <w:sz w:val="12"/>
          <w:szCs w:val="12"/>
          <w:color w:val="435363"/>
        </w:rPr>
      </w:pPr>
    </w:p>
    <w:p>
      <w:pPr>
        <w:ind w:left="640" w:right="220" w:hanging="416"/>
        <w:spacing w:after="0" w:line="274" w:lineRule="auto"/>
        <w:tabs>
          <w:tab w:leader="none" w:pos="640" w:val="left"/>
        </w:tabs>
        <w:numPr>
          <w:ilvl w:val="0"/>
          <w:numId w:val="54"/>
        </w:numPr>
        <w:rPr>
          <w:rFonts w:ascii="Arial" w:cs="Arial" w:eastAsia="Arial" w:hAnsi="Arial"/>
          <w:sz w:val="12"/>
          <w:szCs w:val="12"/>
          <w:color w:val="435363"/>
        </w:rPr>
      </w:pPr>
      <w:r>
        <w:rPr>
          <w:rFonts w:ascii="Arial" w:cs="Arial" w:eastAsia="Arial" w:hAnsi="Arial"/>
          <w:sz w:val="12"/>
          <w:szCs w:val="12"/>
          <w:color w:val="435363"/>
        </w:rPr>
        <w:t>Represents the time-vesting portion of the named executive officers’ 2023 one-time and promotion RSU awards that vest, subject to the executive’s continued employment, with respect to 66.66% on the first anniversary of the grant date and with respect to 33.33% of the shares on the second anniversary of the grant date.</w:t>
      </w:r>
    </w:p>
    <w:p>
      <w:pPr>
        <w:spacing w:after="0" w:line="29" w:lineRule="exact"/>
        <w:rPr>
          <w:rFonts w:ascii="Arial" w:cs="Arial" w:eastAsia="Arial" w:hAnsi="Arial"/>
          <w:sz w:val="12"/>
          <w:szCs w:val="12"/>
          <w:color w:val="435363"/>
        </w:rPr>
      </w:pPr>
    </w:p>
    <w:p>
      <w:pPr>
        <w:ind w:left="640" w:hanging="416"/>
        <w:spacing w:after="0"/>
        <w:tabs>
          <w:tab w:leader="none" w:pos="640" w:val="left"/>
        </w:tabs>
        <w:numPr>
          <w:ilvl w:val="0"/>
          <w:numId w:val="54"/>
        </w:numPr>
        <w:rPr>
          <w:rFonts w:ascii="Arial" w:cs="Arial" w:eastAsia="Arial" w:hAnsi="Arial"/>
          <w:sz w:val="12"/>
          <w:szCs w:val="12"/>
          <w:color w:val="435363"/>
        </w:rPr>
      </w:pPr>
      <w:r>
        <w:rPr>
          <w:rFonts w:ascii="Arial" w:cs="Arial" w:eastAsia="Arial" w:hAnsi="Arial"/>
          <w:sz w:val="12"/>
          <w:szCs w:val="12"/>
          <w:color w:val="435363"/>
        </w:rPr>
        <w:t>Represents Mr. Johnson’s promotion RSU grant that vests over three years, with one-third of the shares vesting on each of the first, second and third anniversaries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217805</wp:posOffset>
            </wp:positionV>
            <wp:extent cx="5177155" cy="1682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8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70</w:t>
      </w:r>
    </w:p>
    <w:p>
      <w:pPr>
        <w:spacing w:after="0" w:line="3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Outstanding Equity Awards at 2023 Fiscal Year-End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The following table provides information regarding all outstanding equity awards held by each of our named executive officers as of December 31, 2023.</w:t>
      </w:r>
    </w:p>
    <w:p>
      <w:pPr>
        <w:spacing w:after="0" w:line="244"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3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bottom w:val="single" w:sz="8" w:color="BF0000"/>
            </w:tcBorders>
          </w:tcPr>
          <w:p>
            <w:pPr>
              <w:spacing w:after="0"/>
              <w:rPr>
                <w:sz w:val="14"/>
                <w:szCs w:val="14"/>
                <w:color w:val="auto"/>
              </w:rPr>
            </w:pPr>
          </w:p>
        </w:tc>
        <w:tc>
          <w:tcPr>
            <w:tcW w:w="1620" w:type="dxa"/>
            <w:vAlign w:val="bottom"/>
            <w:tcBorders>
              <w:bottom w:val="single" w:sz="8" w:color="BF0000"/>
            </w:tcBorders>
          </w:tcPr>
          <w:p>
            <w:pPr>
              <w:spacing w:after="0"/>
              <w:rPr>
                <w:sz w:val="14"/>
                <w:szCs w:val="14"/>
                <w:color w:val="auto"/>
              </w:rPr>
            </w:pPr>
          </w:p>
        </w:tc>
        <w:tc>
          <w:tcPr>
            <w:tcW w:w="1520" w:type="dxa"/>
            <w:vAlign w:val="bottom"/>
            <w:tcBorders>
              <w:bottom w:val="single" w:sz="8" w:color="BF0000"/>
            </w:tcBorders>
          </w:tcPr>
          <w:p>
            <w:pPr>
              <w:jc w:val="right"/>
              <w:ind w:right="3"/>
              <w:spacing w:after="0"/>
              <w:rPr>
                <w:sz w:val="20"/>
                <w:szCs w:val="20"/>
                <w:color w:val="auto"/>
              </w:rPr>
            </w:pPr>
            <w:r>
              <w:rPr>
                <w:rFonts w:ascii="Arial" w:cs="Arial" w:eastAsia="Arial" w:hAnsi="Arial"/>
                <w:sz w:val="14"/>
                <w:szCs w:val="14"/>
                <w:b w:val="1"/>
                <w:bCs w:val="1"/>
                <w:color w:val="3575B3"/>
              </w:rPr>
              <w:t>Stock Awards</w:t>
            </w:r>
          </w:p>
        </w:tc>
        <w:tc>
          <w:tcPr>
            <w:tcW w:w="1520" w:type="dxa"/>
            <w:vAlign w:val="bottom"/>
            <w:tcBorders>
              <w:bottom w:val="single" w:sz="8" w:color="BF0000"/>
            </w:tcBorders>
          </w:tcPr>
          <w:p>
            <w:pPr>
              <w:spacing w:after="0"/>
              <w:rPr>
                <w:sz w:val="14"/>
                <w:szCs w:val="14"/>
                <w:color w:val="auto"/>
              </w:rPr>
            </w:pPr>
          </w:p>
        </w:tc>
        <w:tc>
          <w:tcPr>
            <w:tcW w:w="1400" w:type="dxa"/>
            <w:vAlign w:val="bottom"/>
            <w:tcBorders>
              <w:bottom w:val="single" w:sz="8" w:color="BF0000"/>
            </w:tcBorders>
          </w:tcPr>
          <w:p>
            <w:pPr>
              <w:spacing w:after="0"/>
              <w:rPr>
                <w:sz w:val="14"/>
                <w:szCs w:val="14"/>
                <w:color w:val="auto"/>
              </w:rPr>
            </w:pPr>
          </w:p>
        </w:tc>
        <w:tc>
          <w:tcPr>
            <w:tcW w:w="60" w:type="dxa"/>
            <w:vAlign w:val="bottom"/>
          </w:tcPr>
          <w:p>
            <w:pPr>
              <w:spacing w:after="0"/>
              <w:rPr>
                <w:sz w:val="14"/>
                <w:szCs w:val="14"/>
                <w:color w:val="auto"/>
              </w:rPr>
            </w:pPr>
          </w:p>
        </w:tc>
      </w:tr>
      <w:tr>
        <w:trPr>
          <w:trHeight w:val="143"/>
        </w:trPr>
        <w:tc>
          <w:tcPr>
            <w:tcW w:w="3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0" w:type="dxa"/>
            <w:vAlign w:val="bottom"/>
          </w:tcPr>
          <w:p>
            <w:pPr>
              <w:jc w:val="center"/>
              <w:ind w:left="103"/>
              <w:spacing w:after="0" w:line="143" w:lineRule="exact"/>
              <w:rPr>
                <w:sz w:val="20"/>
                <w:szCs w:val="20"/>
                <w:color w:val="auto"/>
              </w:rPr>
            </w:pPr>
            <w:r>
              <w:rPr>
                <w:rFonts w:ascii="Arial" w:cs="Arial" w:eastAsia="Arial" w:hAnsi="Arial"/>
                <w:sz w:val="14"/>
                <w:szCs w:val="14"/>
                <w:b w:val="1"/>
                <w:bCs w:val="1"/>
                <w:color w:val="3575B3"/>
              </w:rPr>
              <w:t>Market or Payout</w:t>
            </w:r>
          </w:p>
        </w:tc>
        <w:tc>
          <w:tcPr>
            <w:tcW w:w="60" w:type="dxa"/>
            <w:vAlign w:val="bottom"/>
          </w:tcPr>
          <w:p>
            <w:pPr>
              <w:spacing w:after="0"/>
              <w:rPr>
                <w:sz w:val="12"/>
                <w:szCs w:val="12"/>
                <w:color w:val="auto"/>
              </w:rPr>
            </w:pPr>
          </w:p>
        </w:tc>
      </w:tr>
      <w:tr>
        <w:trPr>
          <w:trHeight w:val="159"/>
        </w:trPr>
        <w:tc>
          <w:tcPr>
            <w:tcW w:w="3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20" w:type="dxa"/>
            <w:vAlign w:val="bottom"/>
          </w:tcPr>
          <w:p>
            <w:pPr>
              <w:jc w:val="center"/>
              <w:ind w:right="186"/>
              <w:spacing w:after="0" w:line="159" w:lineRule="exact"/>
              <w:rPr>
                <w:sz w:val="20"/>
                <w:szCs w:val="20"/>
                <w:color w:val="auto"/>
              </w:rPr>
            </w:pPr>
            <w:r>
              <w:rPr>
                <w:rFonts w:ascii="Arial" w:cs="Arial" w:eastAsia="Arial" w:hAnsi="Arial"/>
                <w:sz w:val="14"/>
                <w:szCs w:val="14"/>
                <w:b w:val="1"/>
                <w:bCs w:val="1"/>
                <w:color w:val="3575B3"/>
                <w:w w:val="99"/>
              </w:rPr>
              <w:t>Number of</w:t>
            </w:r>
          </w:p>
        </w:tc>
        <w:tc>
          <w:tcPr>
            <w:tcW w:w="1460" w:type="dxa"/>
            <w:vAlign w:val="bottom"/>
            <w:gridSpan w:val="2"/>
          </w:tcPr>
          <w:p>
            <w:pPr>
              <w:jc w:val="center"/>
              <w:ind w:left="43"/>
              <w:spacing w:after="0" w:line="159" w:lineRule="exact"/>
              <w:rPr>
                <w:sz w:val="20"/>
                <w:szCs w:val="20"/>
                <w:color w:val="auto"/>
              </w:rPr>
            </w:pPr>
            <w:r>
              <w:rPr>
                <w:rFonts w:ascii="Arial" w:cs="Arial" w:eastAsia="Arial" w:hAnsi="Arial"/>
                <w:sz w:val="14"/>
                <w:szCs w:val="14"/>
                <w:b w:val="1"/>
                <w:bCs w:val="1"/>
                <w:color w:val="3575B3"/>
                <w:w w:val="99"/>
              </w:rPr>
              <w:t>Value of</w:t>
            </w:r>
          </w:p>
        </w:tc>
      </w:tr>
      <w:tr>
        <w:trPr>
          <w:trHeight w:val="159"/>
        </w:trPr>
        <w:tc>
          <w:tcPr>
            <w:tcW w:w="3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20" w:type="dxa"/>
            <w:vAlign w:val="bottom"/>
          </w:tcPr>
          <w:p>
            <w:pPr>
              <w:jc w:val="center"/>
              <w:spacing w:after="0" w:line="159" w:lineRule="exact"/>
              <w:rPr>
                <w:sz w:val="20"/>
                <w:szCs w:val="20"/>
                <w:color w:val="auto"/>
              </w:rPr>
            </w:pPr>
            <w:r>
              <w:rPr>
                <w:rFonts w:ascii="Arial" w:cs="Arial" w:eastAsia="Arial" w:hAnsi="Arial"/>
                <w:sz w:val="14"/>
                <w:szCs w:val="14"/>
                <w:b w:val="1"/>
                <w:bCs w:val="1"/>
                <w:color w:val="3575B3"/>
                <w:w w:val="99"/>
              </w:rPr>
              <w:t>Number of</w:t>
            </w:r>
          </w:p>
        </w:tc>
        <w:tc>
          <w:tcPr>
            <w:tcW w:w="1520" w:type="dxa"/>
            <w:vAlign w:val="bottom"/>
          </w:tcPr>
          <w:p>
            <w:pPr>
              <w:jc w:val="center"/>
              <w:ind w:right="43"/>
              <w:spacing w:after="0" w:line="159" w:lineRule="exact"/>
              <w:rPr>
                <w:sz w:val="20"/>
                <w:szCs w:val="20"/>
                <w:color w:val="auto"/>
              </w:rPr>
            </w:pPr>
            <w:r>
              <w:rPr>
                <w:rFonts w:ascii="Arial" w:cs="Arial" w:eastAsia="Arial" w:hAnsi="Arial"/>
                <w:sz w:val="14"/>
                <w:szCs w:val="14"/>
                <w:b w:val="1"/>
                <w:bCs w:val="1"/>
                <w:color w:val="3575B3"/>
              </w:rPr>
              <w:t>Market Value of</w:t>
            </w:r>
          </w:p>
        </w:tc>
        <w:tc>
          <w:tcPr>
            <w:tcW w:w="1520" w:type="dxa"/>
            <w:vAlign w:val="bottom"/>
          </w:tcPr>
          <w:p>
            <w:pPr>
              <w:jc w:val="center"/>
              <w:ind w:right="186"/>
              <w:spacing w:after="0" w:line="159" w:lineRule="exact"/>
              <w:rPr>
                <w:sz w:val="20"/>
                <w:szCs w:val="20"/>
                <w:color w:val="auto"/>
              </w:rPr>
            </w:pPr>
            <w:r>
              <w:rPr>
                <w:rFonts w:ascii="Arial" w:cs="Arial" w:eastAsia="Arial" w:hAnsi="Arial"/>
                <w:sz w:val="14"/>
                <w:szCs w:val="14"/>
                <w:b w:val="1"/>
                <w:bCs w:val="1"/>
                <w:color w:val="3575B3"/>
              </w:rPr>
              <w:t>Unearned</w:t>
            </w:r>
          </w:p>
        </w:tc>
        <w:tc>
          <w:tcPr>
            <w:tcW w:w="1460" w:type="dxa"/>
            <w:vAlign w:val="bottom"/>
            <w:gridSpan w:val="2"/>
          </w:tcPr>
          <w:p>
            <w:pPr>
              <w:jc w:val="center"/>
              <w:ind w:left="23"/>
              <w:spacing w:after="0" w:line="159" w:lineRule="exact"/>
              <w:rPr>
                <w:sz w:val="20"/>
                <w:szCs w:val="20"/>
                <w:color w:val="auto"/>
              </w:rPr>
            </w:pPr>
            <w:r>
              <w:rPr>
                <w:rFonts w:ascii="Arial" w:cs="Arial" w:eastAsia="Arial" w:hAnsi="Arial"/>
                <w:sz w:val="14"/>
                <w:szCs w:val="14"/>
                <w:b w:val="1"/>
                <w:bCs w:val="1"/>
                <w:color w:val="3575B3"/>
              </w:rPr>
              <w:t>Unearned Shares,</w:t>
            </w:r>
          </w:p>
        </w:tc>
      </w:tr>
      <w:tr>
        <w:trPr>
          <w:trHeight w:val="159"/>
        </w:trPr>
        <w:tc>
          <w:tcPr>
            <w:tcW w:w="3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20" w:type="dxa"/>
            <w:vAlign w:val="bottom"/>
          </w:tcPr>
          <w:p>
            <w:pPr>
              <w:jc w:val="center"/>
              <w:spacing w:after="0" w:line="159" w:lineRule="exact"/>
              <w:rPr>
                <w:sz w:val="20"/>
                <w:szCs w:val="20"/>
                <w:color w:val="auto"/>
              </w:rPr>
            </w:pPr>
            <w:r>
              <w:rPr>
                <w:rFonts w:ascii="Arial" w:cs="Arial" w:eastAsia="Arial" w:hAnsi="Arial"/>
                <w:sz w:val="14"/>
                <w:szCs w:val="14"/>
                <w:b w:val="1"/>
                <w:bCs w:val="1"/>
                <w:color w:val="3575B3"/>
                <w:w w:val="99"/>
              </w:rPr>
              <w:t>Shares or</w:t>
            </w:r>
          </w:p>
        </w:tc>
        <w:tc>
          <w:tcPr>
            <w:tcW w:w="1520" w:type="dxa"/>
            <w:vAlign w:val="bottom"/>
          </w:tcPr>
          <w:p>
            <w:pPr>
              <w:jc w:val="center"/>
              <w:ind w:right="23"/>
              <w:spacing w:after="0" w:line="159" w:lineRule="exact"/>
              <w:rPr>
                <w:sz w:val="20"/>
                <w:szCs w:val="20"/>
                <w:color w:val="auto"/>
              </w:rPr>
            </w:pPr>
            <w:r>
              <w:rPr>
                <w:rFonts w:ascii="Arial" w:cs="Arial" w:eastAsia="Arial" w:hAnsi="Arial"/>
                <w:sz w:val="14"/>
                <w:szCs w:val="14"/>
                <w:b w:val="1"/>
                <w:bCs w:val="1"/>
                <w:color w:val="3575B3"/>
              </w:rPr>
              <w:t>Shares or</w:t>
            </w:r>
          </w:p>
        </w:tc>
        <w:tc>
          <w:tcPr>
            <w:tcW w:w="1520" w:type="dxa"/>
            <w:vAlign w:val="bottom"/>
          </w:tcPr>
          <w:p>
            <w:pPr>
              <w:jc w:val="right"/>
              <w:ind w:right="266"/>
              <w:spacing w:after="0" w:line="159" w:lineRule="exact"/>
              <w:rPr>
                <w:sz w:val="20"/>
                <w:szCs w:val="20"/>
                <w:color w:val="auto"/>
              </w:rPr>
            </w:pPr>
            <w:r>
              <w:rPr>
                <w:rFonts w:ascii="Arial" w:cs="Arial" w:eastAsia="Arial" w:hAnsi="Arial"/>
                <w:sz w:val="14"/>
                <w:szCs w:val="14"/>
                <w:b w:val="1"/>
                <w:bCs w:val="1"/>
                <w:color w:val="3575B3"/>
              </w:rPr>
              <w:t>Shares, Units, or</w:t>
            </w:r>
          </w:p>
        </w:tc>
        <w:tc>
          <w:tcPr>
            <w:tcW w:w="1460" w:type="dxa"/>
            <w:vAlign w:val="bottom"/>
            <w:gridSpan w:val="2"/>
          </w:tcPr>
          <w:p>
            <w:pPr>
              <w:jc w:val="center"/>
              <w:ind w:left="43"/>
              <w:spacing w:after="0" w:line="159" w:lineRule="exact"/>
              <w:rPr>
                <w:sz w:val="20"/>
                <w:szCs w:val="20"/>
                <w:color w:val="auto"/>
              </w:rPr>
            </w:pPr>
            <w:r>
              <w:rPr>
                <w:rFonts w:ascii="Arial" w:cs="Arial" w:eastAsia="Arial" w:hAnsi="Arial"/>
                <w:sz w:val="14"/>
                <w:szCs w:val="14"/>
                <w:b w:val="1"/>
                <w:bCs w:val="1"/>
                <w:color w:val="3575B3"/>
              </w:rPr>
              <w:t>Units, or</w:t>
            </w:r>
          </w:p>
        </w:tc>
      </w:tr>
      <w:tr>
        <w:trPr>
          <w:trHeight w:val="159"/>
        </w:trPr>
        <w:tc>
          <w:tcPr>
            <w:tcW w:w="3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20" w:type="dxa"/>
            <w:vAlign w:val="bottom"/>
          </w:tcPr>
          <w:p>
            <w:pPr>
              <w:jc w:val="center"/>
              <w:spacing w:after="0" w:line="159" w:lineRule="exact"/>
              <w:rPr>
                <w:sz w:val="20"/>
                <w:szCs w:val="20"/>
                <w:color w:val="auto"/>
              </w:rPr>
            </w:pPr>
            <w:r>
              <w:rPr>
                <w:rFonts w:ascii="Arial" w:cs="Arial" w:eastAsia="Arial" w:hAnsi="Arial"/>
                <w:sz w:val="14"/>
                <w:szCs w:val="14"/>
                <w:b w:val="1"/>
                <w:bCs w:val="1"/>
                <w:color w:val="3575B3"/>
              </w:rPr>
              <w:t>Units of Stock</w:t>
            </w:r>
          </w:p>
        </w:tc>
        <w:tc>
          <w:tcPr>
            <w:tcW w:w="1520" w:type="dxa"/>
            <w:vAlign w:val="bottom"/>
          </w:tcPr>
          <w:p>
            <w:pPr>
              <w:jc w:val="center"/>
              <w:ind w:right="23"/>
              <w:spacing w:after="0" w:line="159" w:lineRule="exact"/>
              <w:rPr>
                <w:sz w:val="20"/>
                <w:szCs w:val="20"/>
                <w:color w:val="auto"/>
              </w:rPr>
            </w:pPr>
            <w:r>
              <w:rPr>
                <w:rFonts w:ascii="Arial" w:cs="Arial" w:eastAsia="Arial" w:hAnsi="Arial"/>
                <w:sz w:val="14"/>
                <w:szCs w:val="14"/>
                <w:b w:val="1"/>
                <w:bCs w:val="1"/>
                <w:color w:val="3575B3"/>
                <w:w w:val="99"/>
              </w:rPr>
              <w:t>Units of Stock</w:t>
            </w:r>
          </w:p>
        </w:tc>
        <w:tc>
          <w:tcPr>
            <w:tcW w:w="1520" w:type="dxa"/>
            <w:vAlign w:val="bottom"/>
          </w:tcPr>
          <w:p>
            <w:pPr>
              <w:jc w:val="center"/>
              <w:ind w:right="186"/>
              <w:spacing w:after="0" w:line="159" w:lineRule="exact"/>
              <w:rPr>
                <w:sz w:val="20"/>
                <w:szCs w:val="20"/>
                <w:color w:val="auto"/>
              </w:rPr>
            </w:pPr>
            <w:r>
              <w:rPr>
                <w:rFonts w:ascii="Arial" w:cs="Arial" w:eastAsia="Arial" w:hAnsi="Arial"/>
                <w:sz w:val="14"/>
                <w:szCs w:val="14"/>
                <w:b w:val="1"/>
                <w:bCs w:val="1"/>
                <w:color w:val="3575B3"/>
              </w:rPr>
              <w:t>Other Rights</w:t>
            </w:r>
          </w:p>
        </w:tc>
        <w:tc>
          <w:tcPr>
            <w:tcW w:w="1460" w:type="dxa"/>
            <w:vAlign w:val="bottom"/>
            <w:gridSpan w:val="2"/>
          </w:tcPr>
          <w:p>
            <w:pPr>
              <w:jc w:val="center"/>
              <w:ind w:left="43"/>
              <w:spacing w:after="0" w:line="159" w:lineRule="exact"/>
              <w:rPr>
                <w:sz w:val="20"/>
                <w:szCs w:val="20"/>
                <w:color w:val="auto"/>
              </w:rPr>
            </w:pPr>
            <w:r>
              <w:rPr>
                <w:rFonts w:ascii="Arial" w:cs="Arial" w:eastAsia="Arial" w:hAnsi="Arial"/>
                <w:sz w:val="14"/>
                <w:szCs w:val="14"/>
                <w:b w:val="1"/>
                <w:bCs w:val="1"/>
                <w:color w:val="3575B3"/>
              </w:rPr>
              <w:t>Other Rights</w:t>
            </w:r>
          </w:p>
        </w:tc>
      </w:tr>
      <w:tr>
        <w:trPr>
          <w:trHeight w:val="159"/>
        </w:trPr>
        <w:tc>
          <w:tcPr>
            <w:tcW w:w="3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20" w:type="dxa"/>
            <w:vAlign w:val="bottom"/>
          </w:tcPr>
          <w:p>
            <w:pPr>
              <w:jc w:val="center"/>
              <w:spacing w:after="0" w:line="159" w:lineRule="exact"/>
              <w:rPr>
                <w:sz w:val="20"/>
                <w:szCs w:val="20"/>
                <w:color w:val="auto"/>
              </w:rPr>
            </w:pPr>
            <w:r>
              <w:rPr>
                <w:rFonts w:ascii="Arial" w:cs="Arial" w:eastAsia="Arial" w:hAnsi="Arial"/>
                <w:sz w:val="14"/>
                <w:szCs w:val="14"/>
                <w:b w:val="1"/>
                <w:bCs w:val="1"/>
                <w:color w:val="3575B3"/>
              </w:rPr>
              <w:t>That Have</w:t>
            </w:r>
          </w:p>
        </w:tc>
        <w:tc>
          <w:tcPr>
            <w:tcW w:w="1520" w:type="dxa"/>
            <w:vAlign w:val="bottom"/>
          </w:tcPr>
          <w:p>
            <w:pPr>
              <w:jc w:val="center"/>
              <w:ind w:right="43"/>
              <w:spacing w:after="0" w:line="159" w:lineRule="exact"/>
              <w:rPr>
                <w:sz w:val="20"/>
                <w:szCs w:val="20"/>
                <w:color w:val="auto"/>
              </w:rPr>
            </w:pPr>
            <w:r>
              <w:rPr>
                <w:rFonts w:ascii="Arial" w:cs="Arial" w:eastAsia="Arial" w:hAnsi="Arial"/>
                <w:sz w:val="14"/>
                <w:szCs w:val="14"/>
                <w:b w:val="1"/>
                <w:bCs w:val="1"/>
                <w:color w:val="3575B3"/>
              </w:rPr>
              <w:t>That Have</w:t>
            </w:r>
          </w:p>
        </w:tc>
        <w:tc>
          <w:tcPr>
            <w:tcW w:w="1520" w:type="dxa"/>
            <w:vAlign w:val="bottom"/>
          </w:tcPr>
          <w:p>
            <w:pPr>
              <w:jc w:val="center"/>
              <w:ind w:right="186"/>
              <w:spacing w:after="0" w:line="159" w:lineRule="exact"/>
              <w:rPr>
                <w:sz w:val="20"/>
                <w:szCs w:val="20"/>
                <w:color w:val="auto"/>
              </w:rPr>
            </w:pPr>
            <w:r>
              <w:rPr>
                <w:rFonts w:ascii="Arial" w:cs="Arial" w:eastAsia="Arial" w:hAnsi="Arial"/>
                <w:sz w:val="14"/>
                <w:szCs w:val="14"/>
                <w:b w:val="1"/>
                <w:bCs w:val="1"/>
                <w:color w:val="3575B3"/>
                <w:w w:val="98"/>
              </w:rPr>
              <w:t>That Have</w:t>
            </w:r>
          </w:p>
        </w:tc>
        <w:tc>
          <w:tcPr>
            <w:tcW w:w="1460" w:type="dxa"/>
            <w:vAlign w:val="bottom"/>
            <w:gridSpan w:val="2"/>
          </w:tcPr>
          <w:p>
            <w:pPr>
              <w:jc w:val="center"/>
              <w:ind w:left="43"/>
              <w:spacing w:after="0" w:line="159" w:lineRule="exact"/>
              <w:rPr>
                <w:sz w:val="20"/>
                <w:szCs w:val="20"/>
                <w:color w:val="auto"/>
              </w:rPr>
            </w:pPr>
            <w:r>
              <w:rPr>
                <w:rFonts w:ascii="Arial" w:cs="Arial" w:eastAsia="Arial" w:hAnsi="Arial"/>
                <w:sz w:val="14"/>
                <w:szCs w:val="14"/>
                <w:b w:val="1"/>
                <w:bCs w:val="1"/>
                <w:color w:val="3575B3"/>
                <w:w w:val="98"/>
              </w:rPr>
              <w:t>That Have</w:t>
            </w:r>
          </w:p>
        </w:tc>
      </w:tr>
      <w:tr>
        <w:trPr>
          <w:trHeight w:val="155"/>
        </w:trPr>
        <w:tc>
          <w:tcPr>
            <w:tcW w:w="3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20" w:type="dxa"/>
            <w:vAlign w:val="bottom"/>
          </w:tcPr>
          <w:p>
            <w:pPr>
              <w:jc w:val="center"/>
              <w:spacing w:after="0" w:line="155" w:lineRule="exact"/>
              <w:rPr>
                <w:sz w:val="20"/>
                <w:szCs w:val="20"/>
                <w:color w:val="auto"/>
              </w:rPr>
            </w:pPr>
            <w:r>
              <w:rPr>
                <w:rFonts w:ascii="Arial" w:cs="Arial" w:eastAsia="Arial" w:hAnsi="Arial"/>
                <w:sz w:val="14"/>
                <w:szCs w:val="14"/>
                <w:b w:val="1"/>
                <w:bCs w:val="1"/>
                <w:color w:val="3575B3"/>
                <w:w w:val="98"/>
              </w:rPr>
              <w:t>Not Vested</w:t>
            </w:r>
          </w:p>
        </w:tc>
        <w:tc>
          <w:tcPr>
            <w:tcW w:w="1520" w:type="dxa"/>
            <w:vAlign w:val="bottom"/>
          </w:tcPr>
          <w:p>
            <w:pPr>
              <w:jc w:val="center"/>
              <w:ind w:right="43"/>
              <w:spacing w:after="0" w:line="155" w:lineRule="exact"/>
              <w:rPr>
                <w:sz w:val="20"/>
                <w:szCs w:val="20"/>
                <w:color w:val="auto"/>
              </w:rPr>
            </w:pPr>
            <w:r>
              <w:rPr>
                <w:rFonts w:ascii="Arial" w:cs="Arial" w:eastAsia="Arial" w:hAnsi="Arial"/>
                <w:sz w:val="14"/>
                <w:szCs w:val="14"/>
                <w:b w:val="1"/>
                <w:bCs w:val="1"/>
                <w:color w:val="3575B3"/>
                <w:w w:val="98"/>
              </w:rPr>
              <w:t>Not Vested</w:t>
            </w:r>
          </w:p>
        </w:tc>
        <w:tc>
          <w:tcPr>
            <w:tcW w:w="1520" w:type="dxa"/>
            <w:vAlign w:val="bottom"/>
          </w:tcPr>
          <w:p>
            <w:pPr>
              <w:jc w:val="center"/>
              <w:ind w:right="186"/>
              <w:spacing w:after="0" w:line="155" w:lineRule="exact"/>
              <w:rPr>
                <w:sz w:val="20"/>
                <w:szCs w:val="20"/>
                <w:color w:val="auto"/>
              </w:rPr>
            </w:pPr>
            <w:r>
              <w:rPr>
                <w:rFonts w:ascii="Arial" w:cs="Arial" w:eastAsia="Arial" w:hAnsi="Arial"/>
                <w:sz w:val="14"/>
                <w:szCs w:val="14"/>
                <w:b w:val="1"/>
                <w:bCs w:val="1"/>
                <w:color w:val="3575B3"/>
              </w:rPr>
              <w:t>Not Vested</w:t>
            </w:r>
          </w:p>
        </w:tc>
        <w:tc>
          <w:tcPr>
            <w:tcW w:w="1460" w:type="dxa"/>
            <w:vAlign w:val="bottom"/>
            <w:gridSpan w:val="2"/>
          </w:tcPr>
          <w:p>
            <w:pPr>
              <w:jc w:val="center"/>
              <w:ind w:left="43"/>
              <w:spacing w:after="0" w:line="155" w:lineRule="exact"/>
              <w:rPr>
                <w:sz w:val="20"/>
                <w:szCs w:val="20"/>
                <w:color w:val="auto"/>
              </w:rPr>
            </w:pPr>
            <w:r>
              <w:rPr>
                <w:rFonts w:ascii="Arial" w:cs="Arial" w:eastAsia="Arial" w:hAnsi="Arial"/>
                <w:sz w:val="14"/>
                <w:szCs w:val="14"/>
                <w:b w:val="1"/>
                <w:bCs w:val="1"/>
                <w:color w:val="3575B3"/>
              </w:rPr>
              <w:t>Not Vested</w:t>
            </w:r>
          </w:p>
        </w:tc>
      </w:tr>
      <w:tr>
        <w:trPr>
          <w:trHeight w:val="185"/>
        </w:trPr>
        <w:tc>
          <w:tcPr>
            <w:tcW w:w="3520" w:type="dxa"/>
            <w:vAlign w:val="bottom"/>
            <w:tcBorders>
              <w:bottom w:val="single" w:sz="8" w:color="BF0000"/>
            </w:tcBorders>
          </w:tcPr>
          <w:p>
            <w:pPr>
              <w:ind w:left="60"/>
              <w:spacing w:after="0"/>
              <w:rPr>
                <w:sz w:val="20"/>
                <w:szCs w:val="20"/>
                <w:color w:val="auto"/>
              </w:rPr>
            </w:pPr>
            <w:r>
              <w:rPr>
                <w:rFonts w:ascii="Arial" w:cs="Arial" w:eastAsia="Arial" w:hAnsi="Arial"/>
                <w:sz w:val="14"/>
                <w:szCs w:val="14"/>
                <w:b w:val="1"/>
                <w:bCs w:val="1"/>
                <w:color w:val="3575B3"/>
              </w:rPr>
              <w:t>Name</w:t>
            </w:r>
          </w:p>
        </w:tc>
        <w:tc>
          <w:tcPr>
            <w:tcW w:w="300" w:type="dxa"/>
            <w:vAlign w:val="bottom"/>
            <w:tcBorders>
              <w:bottom w:val="single" w:sz="8" w:color="BF0000"/>
            </w:tcBorders>
          </w:tcPr>
          <w:p>
            <w:pPr>
              <w:spacing w:after="0"/>
              <w:rPr>
                <w:sz w:val="16"/>
                <w:szCs w:val="16"/>
                <w:color w:val="auto"/>
              </w:rPr>
            </w:pPr>
          </w:p>
        </w:tc>
        <w:tc>
          <w:tcPr>
            <w:tcW w:w="860" w:type="dxa"/>
            <w:vAlign w:val="bottom"/>
            <w:tcBorders>
              <w:bottom w:val="single" w:sz="8" w:color="BF0000"/>
            </w:tcBorders>
          </w:tcPr>
          <w:p>
            <w:pPr>
              <w:jc w:val="right"/>
              <w:ind w:right="1"/>
              <w:spacing w:after="0"/>
              <w:rPr>
                <w:sz w:val="20"/>
                <w:szCs w:val="20"/>
                <w:color w:val="auto"/>
              </w:rPr>
            </w:pPr>
            <w:r>
              <w:rPr>
                <w:rFonts w:ascii="Arial" w:cs="Arial" w:eastAsia="Arial" w:hAnsi="Arial"/>
                <w:sz w:val="14"/>
                <w:szCs w:val="14"/>
                <w:b w:val="1"/>
                <w:bCs w:val="1"/>
                <w:color w:val="3575B3"/>
              </w:rPr>
              <w:t>Grant Date</w:t>
            </w:r>
          </w:p>
        </w:tc>
        <w:tc>
          <w:tcPr>
            <w:tcW w:w="1620" w:type="dxa"/>
            <w:vAlign w:val="bottom"/>
            <w:tcBorders>
              <w:bottom w:val="single" w:sz="8" w:color="BF0000"/>
            </w:tcBorders>
          </w:tcPr>
          <w:p>
            <w:pPr>
              <w:jc w:val="center"/>
              <w:spacing w:after="0"/>
              <w:rPr>
                <w:sz w:val="20"/>
                <w:szCs w:val="20"/>
                <w:color w:val="auto"/>
              </w:rPr>
            </w:pPr>
            <w:r>
              <w:rPr>
                <w:rFonts w:ascii="Arial" w:cs="Arial" w:eastAsia="Arial" w:hAnsi="Arial"/>
                <w:sz w:val="14"/>
                <w:szCs w:val="14"/>
                <w:b w:val="1"/>
                <w:bCs w:val="1"/>
                <w:color w:val="3575B3"/>
                <w:w w:val="93"/>
              </w:rPr>
              <w:t>(#)</w:t>
            </w:r>
          </w:p>
        </w:tc>
        <w:tc>
          <w:tcPr>
            <w:tcW w:w="1520" w:type="dxa"/>
            <w:vAlign w:val="bottom"/>
            <w:tcBorders>
              <w:bottom w:val="single" w:sz="8" w:color="BF0000"/>
            </w:tcBorders>
          </w:tcPr>
          <w:p>
            <w:pPr>
              <w:jc w:val="center"/>
              <w:ind w:right="43"/>
              <w:spacing w:after="0" w:line="186" w:lineRule="exact"/>
              <w:rPr>
                <w:sz w:val="20"/>
                <w:szCs w:val="20"/>
                <w:color w:val="auto"/>
              </w:rPr>
            </w:pPr>
            <w:r>
              <w:rPr>
                <w:rFonts w:ascii="Arial" w:cs="Arial" w:eastAsia="Arial" w:hAnsi="Arial"/>
                <w:sz w:val="14"/>
                <w:szCs w:val="14"/>
                <w:b w:val="1"/>
                <w:bCs w:val="1"/>
                <w:color w:val="3575B3"/>
                <w:w w:val="92"/>
              </w:rPr>
              <w:t>($)</w:t>
            </w:r>
            <w:r>
              <w:rPr>
                <w:rFonts w:ascii="Arial" w:cs="Arial" w:eastAsia="Arial" w:hAnsi="Arial"/>
                <w:sz w:val="21"/>
                <w:szCs w:val="21"/>
                <w:b w:val="1"/>
                <w:bCs w:val="1"/>
                <w:color w:val="3575B3"/>
                <w:w w:val="92"/>
                <w:vertAlign w:val="superscript"/>
              </w:rPr>
              <w:t>(j)</w:t>
            </w:r>
          </w:p>
        </w:tc>
        <w:tc>
          <w:tcPr>
            <w:tcW w:w="1520" w:type="dxa"/>
            <w:vAlign w:val="bottom"/>
            <w:tcBorders>
              <w:bottom w:val="single" w:sz="8" w:color="BF0000"/>
            </w:tcBorders>
          </w:tcPr>
          <w:p>
            <w:pPr>
              <w:jc w:val="center"/>
              <w:ind w:right="186"/>
              <w:spacing w:after="0"/>
              <w:rPr>
                <w:sz w:val="20"/>
                <w:szCs w:val="20"/>
                <w:color w:val="auto"/>
              </w:rPr>
            </w:pPr>
            <w:r>
              <w:rPr>
                <w:rFonts w:ascii="Arial" w:cs="Arial" w:eastAsia="Arial" w:hAnsi="Arial"/>
                <w:sz w:val="14"/>
                <w:szCs w:val="14"/>
                <w:b w:val="1"/>
                <w:bCs w:val="1"/>
                <w:color w:val="3575B3"/>
              </w:rPr>
              <w:t>(#)</w:t>
            </w:r>
          </w:p>
        </w:tc>
        <w:tc>
          <w:tcPr>
            <w:tcW w:w="1460" w:type="dxa"/>
            <w:vAlign w:val="bottom"/>
            <w:tcBorders>
              <w:bottom w:val="single" w:sz="8" w:color="BF0000"/>
            </w:tcBorders>
            <w:gridSpan w:val="2"/>
          </w:tcPr>
          <w:p>
            <w:pPr>
              <w:jc w:val="center"/>
              <w:ind w:left="43"/>
              <w:spacing w:after="0" w:line="186" w:lineRule="exact"/>
              <w:rPr>
                <w:sz w:val="20"/>
                <w:szCs w:val="20"/>
                <w:color w:val="auto"/>
              </w:rPr>
            </w:pPr>
            <w:r>
              <w:rPr>
                <w:rFonts w:ascii="Arial" w:cs="Arial" w:eastAsia="Arial" w:hAnsi="Arial"/>
                <w:sz w:val="14"/>
                <w:szCs w:val="14"/>
                <w:b w:val="1"/>
                <w:bCs w:val="1"/>
                <w:color w:val="3575B3"/>
                <w:w w:val="85"/>
              </w:rPr>
              <w:t>($)</w:t>
            </w:r>
            <w:r>
              <w:rPr>
                <w:rFonts w:ascii="Arial" w:cs="Arial" w:eastAsia="Arial" w:hAnsi="Arial"/>
                <w:sz w:val="21"/>
                <w:szCs w:val="21"/>
                <w:b w:val="1"/>
                <w:bCs w:val="1"/>
                <w:color w:val="3575B3"/>
                <w:w w:val="85"/>
                <w:vertAlign w:val="superscript"/>
              </w:rPr>
              <w:t>(j)</w:t>
            </w:r>
          </w:p>
        </w:tc>
      </w:tr>
      <w:tr>
        <w:trPr>
          <w:trHeight w:val="164"/>
        </w:trPr>
        <w:tc>
          <w:tcPr>
            <w:tcW w:w="3520" w:type="dxa"/>
            <w:vAlign w:val="bottom"/>
          </w:tcPr>
          <w:p>
            <w:pPr>
              <w:ind w:left="60"/>
              <w:spacing w:after="0" w:line="165" w:lineRule="exact"/>
              <w:rPr>
                <w:sz w:val="20"/>
                <w:szCs w:val="20"/>
                <w:color w:val="auto"/>
              </w:rPr>
            </w:pPr>
            <w:r>
              <w:rPr>
                <w:rFonts w:ascii="Arial" w:cs="Arial" w:eastAsia="Arial" w:hAnsi="Arial"/>
                <w:sz w:val="16"/>
                <w:szCs w:val="16"/>
                <w:b w:val="1"/>
                <w:bCs w:val="1"/>
                <w:color w:val="435363"/>
              </w:rPr>
              <w:t>Robert Isom</w:t>
            </w:r>
          </w:p>
        </w:tc>
        <w:tc>
          <w:tcPr>
            <w:tcW w:w="1160" w:type="dxa"/>
            <w:vAlign w:val="bottom"/>
            <w:gridSpan w:val="2"/>
          </w:tcPr>
          <w:p>
            <w:pPr>
              <w:jc w:val="right"/>
              <w:spacing w:after="0" w:line="165" w:lineRule="exact"/>
              <w:rPr>
                <w:sz w:val="20"/>
                <w:szCs w:val="20"/>
                <w:color w:val="auto"/>
              </w:rPr>
            </w:pPr>
            <w:r>
              <w:rPr>
                <w:rFonts w:ascii="Arial" w:cs="Arial" w:eastAsia="Arial" w:hAnsi="Arial"/>
                <w:sz w:val="16"/>
                <w:szCs w:val="16"/>
                <w:color w:val="435363"/>
              </w:rPr>
              <w:t>9/20/2023</w:t>
            </w:r>
          </w:p>
        </w:tc>
        <w:tc>
          <w:tcPr>
            <w:tcW w:w="1620" w:type="dxa"/>
            <w:vAlign w:val="bottom"/>
          </w:tcPr>
          <w:p>
            <w:pPr>
              <w:jc w:val="right"/>
              <w:ind w:right="107"/>
              <w:spacing w:after="0" w:line="164" w:lineRule="exact"/>
              <w:rPr>
                <w:sz w:val="20"/>
                <w:szCs w:val="20"/>
                <w:color w:val="auto"/>
              </w:rPr>
            </w:pPr>
            <w:r>
              <w:rPr>
                <w:rFonts w:ascii="Arial" w:cs="Arial" w:eastAsia="Arial" w:hAnsi="Arial"/>
                <w:sz w:val="13"/>
                <w:szCs w:val="13"/>
                <w:color w:val="435363"/>
              </w:rPr>
              <w:t>430,704</w:t>
            </w:r>
            <w:r>
              <w:rPr>
                <w:rFonts w:ascii="Arial" w:cs="Arial" w:eastAsia="Arial" w:hAnsi="Arial"/>
                <w:sz w:val="19"/>
                <w:szCs w:val="19"/>
                <w:color w:val="435363"/>
                <w:vertAlign w:val="superscript"/>
              </w:rPr>
              <w:t>(a)</w:t>
            </w:r>
          </w:p>
        </w:tc>
        <w:tc>
          <w:tcPr>
            <w:tcW w:w="1520" w:type="dxa"/>
            <w:vAlign w:val="bottom"/>
          </w:tcPr>
          <w:p>
            <w:pPr>
              <w:jc w:val="right"/>
              <w:ind w:right="223"/>
              <w:spacing w:after="0" w:line="165" w:lineRule="exact"/>
              <w:rPr>
                <w:sz w:val="20"/>
                <w:szCs w:val="20"/>
                <w:color w:val="auto"/>
              </w:rPr>
            </w:pPr>
            <w:r>
              <w:rPr>
                <w:rFonts w:ascii="Arial" w:cs="Arial" w:eastAsia="Arial" w:hAnsi="Arial"/>
                <w:sz w:val="16"/>
                <w:szCs w:val="16"/>
                <w:color w:val="435363"/>
              </w:rPr>
              <w:t>5,917,873</w:t>
            </w:r>
          </w:p>
        </w:tc>
        <w:tc>
          <w:tcPr>
            <w:tcW w:w="1520" w:type="dxa"/>
            <w:vAlign w:val="bottom"/>
          </w:tcPr>
          <w:p>
            <w:pPr>
              <w:jc w:val="right"/>
              <w:ind w:right="106"/>
              <w:spacing w:after="0" w:line="164" w:lineRule="exact"/>
              <w:rPr>
                <w:sz w:val="20"/>
                <w:szCs w:val="20"/>
                <w:color w:val="auto"/>
              </w:rPr>
            </w:pPr>
            <w:r>
              <w:rPr>
                <w:rFonts w:ascii="Arial" w:cs="Arial" w:eastAsia="Arial" w:hAnsi="Arial"/>
                <w:sz w:val="13"/>
                <w:szCs w:val="13"/>
                <w:color w:val="435363"/>
              </w:rPr>
              <w:t>430,704</w:t>
            </w:r>
            <w:r>
              <w:rPr>
                <w:rFonts w:ascii="Arial" w:cs="Arial" w:eastAsia="Arial" w:hAnsi="Arial"/>
                <w:sz w:val="19"/>
                <w:szCs w:val="19"/>
                <w:color w:val="435363"/>
                <w:vertAlign w:val="superscript"/>
              </w:rPr>
              <w:t>(b)</w:t>
            </w:r>
          </w:p>
        </w:tc>
        <w:tc>
          <w:tcPr>
            <w:tcW w:w="1400" w:type="dxa"/>
            <w:vAlign w:val="bottom"/>
          </w:tcPr>
          <w:p>
            <w:pPr>
              <w:jc w:val="right"/>
              <w:spacing w:after="0" w:line="165" w:lineRule="exact"/>
              <w:rPr>
                <w:sz w:val="20"/>
                <w:szCs w:val="20"/>
                <w:color w:val="auto"/>
              </w:rPr>
            </w:pPr>
            <w:r>
              <w:rPr>
                <w:rFonts w:ascii="Arial" w:cs="Arial" w:eastAsia="Arial" w:hAnsi="Arial"/>
                <w:sz w:val="16"/>
                <w:szCs w:val="16"/>
                <w:color w:val="435363"/>
              </w:rPr>
              <w:t>5,917,873</w:t>
            </w:r>
          </w:p>
        </w:tc>
        <w:tc>
          <w:tcPr>
            <w:tcW w:w="60" w:type="dxa"/>
            <w:vAlign w:val="bottom"/>
          </w:tcPr>
          <w:p>
            <w:pPr>
              <w:spacing w:after="0"/>
              <w:rPr>
                <w:sz w:val="14"/>
                <w:szCs w:val="14"/>
                <w:color w:val="auto"/>
              </w:rPr>
            </w:pPr>
          </w:p>
        </w:tc>
      </w:tr>
      <w:tr>
        <w:trPr>
          <w:trHeight w:val="185"/>
        </w:trPr>
        <w:tc>
          <w:tcPr>
            <w:tcW w:w="35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435363"/>
              </w:rPr>
              <w:t>9/20/2023</w:t>
            </w:r>
          </w:p>
        </w:tc>
        <w:tc>
          <w:tcPr>
            <w:tcW w:w="1620" w:type="dxa"/>
            <w:vAlign w:val="bottom"/>
          </w:tcPr>
          <w:p>
            <w:pPr>
              <w:jc w:val="right"/>
              <w:ind w:right="107"/>
              <w:spacing w:after="0" w:line="186" w:lineRule="exact"/>
              <w:rPr>
                <w:sz w:val="20"/>
                <w:szCs w:val="20"/>
                <w:color w:val="auto"/>
              </w:rPr>
            </w:pPr>
            <w:r>
              <w:rPr>
                <w:rFonts w:ascii="Arial" w:cs="Arial" w:eastAsia="Arial" w:hAnsi="Arial"/>
                <w:sz w:val="15"/>
                <w:szCs w:val="15"/>
                <w:color w:val="435363"/>
              </w:rPr>
              <w:t>210,566</w:t>
            </w:r>
            <w:r>
              <w:rPr>
                <w:rFonts w:ascii="Arial" w:cs="Arial" w:eastAsia="Arial" w:hAnsi="Arial"/>
                <w:sz w:val="21"/>
                <w:szCs w:val="21"/>
                <w:color w:val="435363"/>
                <w:vertAlign w:val="superscript"/>
              </w:rPr>
              <w:t>(c)</w:t>
            </w:r>
          </w:p>
        </w:tc>
        <w:tc>
          <w:tcPr>
            <w:tcW w:w="1520" w:type="dxa"/>
            <w:vAlign w:val="bottom"/>
          </w:tcPr>
          <w:p>
            <w:pPr>
              <w:jc w:val="right"/>
              <w:ind w:right="223"/>
              <w:spacing w:after="0"/>
              <w:rPr>
                <w:sz w:val="20"/>
                <w:szCs w:val="20"/>
                <w:color w:val="auto"/>
              </w:rPr>
            </w:pPr>
            <w:r>
              <w:rPr>
                <w:rFonts w:ascii="Arial" w:cs="Arial" w:eastAsia="Arial" w:hAnsi="Arial"/>
                <w:sz w:val="16"/>
                <w:szCs w:val="16"/>
                <w:color w:val="435363"/>
              </w:rPr>
              <w:t>2,893,177</w:t>
            </w:r>
          </w:p>
        </w:tc>
        <w:tc>
          <w:tcPr>
            <w:tcW w:w="1520" w:type="dxa"/>
            <w:vAlign w:val="bottom"/>
          </w:tcPr>
          <w:p>
            <w:pPr>
              <w:jc w:val="right"/>
              <w:ind w:right="106"/>
              <w:spacing w:after="0" w:line="186" w:lineRule="exact"/>
              <w:rPr>
                <w:sz w:val="20"/>
                <w:szCs w:val="20"/>
                <w:color w:val="auto"/>
              </w:rPr>
            </w:pPr>
            <w:r>
              <w:rPr>
                <w:rFonts w:ascii="Arial" w:cs="Arial" w:eastAsia="Arial" w:hAnsi="Arial"/>
                <w:sz w:val="15"/>
                <w:szCs w:val="15"/>
                <w:color w:val="435363"/>
              </w:rPr>
              <w:t>421,133</w:t>
            </w:r>
            <w:r>
              <w:rPr>
                <w:rFonts w:ascii="Arial" w:cs="Arial" w:eastAsia="Arial" w:hAnsi="Arial"/>
                <w:sz w:val="21"/>
                <w:szCs w:val="21"/>
                <w:color w:val="435363"/>
                <w:vertAlign w:val="superscript"/>
              </w:rPr>
              <w:t>(d)</w:t>
            </w:r>
          </w:p>
        </w:tc>
        <w:tc>
          <w:tcPr>
            <w:tcW w:w="1400" w:type="dxa"/>
            <w:vAlign w:val="bottom"/>
          </w:tcPr>
          <w:p>
            <w:pPr>
              <w:jc w:val="right"/>
              <w:spacing w:after="0"/>
              <w:rPr>
                <w:sz w:val="20"/>
                <w:szCs w:val="20"/>
                <w:color w:val="auto"/>
              </w:rPr>
            </w:pPr>
            <w:r>
              <w:rPr>
                <w:rFonts w:ascii="Arial" w:cs="Arial" w:eastAsia="Arial" w:hAnsi="Arial"/>
                <w:sz w:val="16"/>
                <w:szCs w:val="16"/>
                <w:color w:val="435363"/>
              </w:rPr>
              <w:t>5,786,367</w:t>
            </w:r>
          </w:p>
        </w:tc>
        <w:tc>
          <w:tcPr>
            <w:tcW w:w="60" w:type="dxa"/>
            <w:vAlign w:val="bottom"/>
          </w:tcPr>
          <w:p>
            <w:pPr>
              <w:spacing w:after="0"/>
              <w:rPr>
                <w:sz w:val="16"/>
                <w:szCs w:val="16"/>
                <w:color w:val="auto"/>
              </w:rPr>
            </w:pPr>
          </w:p>
        </w:tc>
      </w:tr>
      <w:tr>
        <w:trPr>
          <w:trHeight w:val="185"/>
        </w:trPr>
        <w:tc>
          <w:tcPr>
            <w:tcW w:w="35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435363"/>
              </w:rPr>
              <w:t>2/24/2022</w:t>
            </w:r>
          </w:p>
        </w:tc>
        <w:tc>
          <w:tcPr>
            <w:tcW w:w="1620" w:type="dxa"/>
            <w:vAlign w:val="bottom"/>
          </w:tcPr>
          <w:p>
            <w:pPr>
              <w:jc w:val="right"/>
              <w:ind w:right="107"/>
              <w:spacing w:after="0" w:line="186" w:lineRule="exact"/>
              <w:rPr>
                <w:sz w:val="20"/>
                <w:szCs w:val="20"/>
                <w:color w:val="auto"/>
              </w:rPr>
            </w:pPr>
            <w:r>
              <w:rPr>
                <w:rFonts w:ascii="Arial" w:cs="Arial" w:eastAsia="Arial" w:hAnsi="Arial"/>
                <w:sz w:val="15"/>
                <w:szCs w:val="15"/>
                <w:color w:val="435363"/>
              </w:rPr>
              <w:t>21,539</w:t>
            </w:r>
            <w:r>
              <w:rPr>
                <w:rFonts w:ascii="Arial" w:cs="Arial" w:eastAsia="Arial" w:hAnsi="Arial"/>
                <w:sz w:val="21"/>
                <w:szCs w:val="21"/>
                <w:color w:val="435363"/>
                <w:vertAlign w:val="superscript"/>
              </w:rPr>
              <w:t>(e)</w:t>
            </w:r>
          </w:p>
        </w:tc>
        <w:tc>
          <w:tcPr>
            <w:tcW w:w="1520" w:type="dxa"/>
            <w:vAlign w:val="bottom"/>
          </w:tcPr>
          <w:p>
            <w:pPr>
              <w:jc w:val="right"/>
              <w:ind w:right="223"/>
              <w:spacing w:after="0"/>
              <w:rPr>
                <w:sz w:val="20"/>
                <w:szCs w:val="20"/>
                <w:color w:val="auto"/>
              </w:rPr>
            </w:pPr>
            <w:r>
              <w:rPr>
                <w:rFonts w:ascii="Arial" w:cs="Arial" w:eastAsia="Arial" w:hAnsi="Arial"/>
                <w:sz w:val="16"/>
                <w:szCs w:val="16"/>
                <w:color w:val="435363"/>
              </w:rPr>
              <w:t>295,946</w:t>
            </w:r>
          </w:p>
        </w:tc>
        <w:tc>
          <w:tcPr>
            <w:tcW w:w="1520" w:type="dxa"/>
            <w:vAlign w:val="bottom"/>
          </w:tcPr>
          <w:p>
            <w:pPr>
              <w:jc w:val="right"/>
              <w:ind w:right="146"/>
              <w:spacing w:after="0" w:line="186" w:lineRule="exact"/>
              <w:rPr>
                <w:sz w:val="20"/>
                <w:szCs w:val="20"/>
                <w:color w:val="auto"/>
              </w:rPr>
            </w:pPr>
            <w:r>
              <w:rPr>
                <w:rFonts w:ascii="Arial" w:cs="Arial" w:eastAsia="Arial" w:hAnsi="Arial"/>
                <w:sz w:val="15"/>
                <w:szCs w:val="15"/>
                <w:color w:val="435363"/>
              </w:rPr>
              <w:t>172,312</w:t>
            </w:r>
            <w:r>
              <w:rPr>
                <w:rFonts w:ascii="Arial" w:cs="Arial" w:eastAsia="Arial" w:hAnsi="Arial"/>
                <w:sz w:val="21"/>
                <w:szCs w:val="21"/>
                <w:color w:val="435363"/>
                <w:vertAlign w:val="superscript"/>
              </w:rPr>
              <w:t>(f)</w:t>
            </w:r>
          </w:p>
        </w:tc>
        <w:tc>
          <w:tcPr>
            <w:tcW w:w="1400" w:type="dxa"/>
            <w:vAlign w:val="bottom"/>
          </w:tcPr>
          <w:p>
            <w:pPr>
              <w:jc w:val="right"/>
              <w:spacing w:after="0"/>
              <w:rPr>
                <w:sz w:val="20"/>
                <w:szCs w:val="20"/>
                <w:color w:val="auto"/>
              </w:rPr>
            </w:pPr>
            <w:r>
              <w:rPr>
                <w:rFonts w:ascii="Arial" w:cs="Arial" w:eastAsia="Arial" w:hAnsi="Arial"/>
                <w:sz w:val="16"/>
                <w:szCs w:val="16"/>
                <w:color w:val="435363"/>
              </w:rPr>
              <w:t>2,367,567</w:t>
            </w:r>
          </w:p>
        </w:tc>
        <w:tc>
          <w:tcPr>
            <w:tcW w:w="60" w:type="dxa"/>
            <w:vAlign w:val="bottom"/>
          </w:tcPr>
          <w:p>
            <w:pPr>
              <w:spacing w:after="0"/>
              <w:rPr>
                <w:sz w:val="16"/>
                <w:szCs w:val="16"/>
                <w:color w:val="auto"/>
              </w:rPr>
            </w:pPr>
          </w:p>
        </w:tc>
      </w:tr>
      <w:tr>
        <w:trPr>
          <w:trHeight w:val="266"/>
        </w:trPr>
        <w:tc>
          <w:tcPr>
            <w:tcW w:w="352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435363"/>
              </w:rPr>
              <w:t>2/16/2021</w:t>
            </w:r>
          </w:p>
        </w:tc>
        <w:tc>
          <w:tcPr>
            <w:tcW w:w="1620" w:type="dxa"/>
            <w:vAlign w:val="bottom"/>
          </w:tcPr>
          <w:p>
            <w:pPr>
              <w:jc w:val="right"/>
              <w:ind w:right="107"/>
              <w:spacing w:after="0"/>
              <w:rPr>
                <w:sz w:val="20"/>
                <w:szCs w:val="20"/>
                <w:color w:val="auto"/>
              </w:rPr>
            </w:pPr>
            <w:r>
              <w:rPr>
                <w:rFonts w:ascii="Arial" w:cs="Arial" w:eastAsia="Arial" w:hAnsi="Arial"/>
                <w:sz w:val="16"/>
                <w:szCs w:val="16"/>
                <w:color w:val="435363"/>
              </w:rPr>
              <w:t>46,914</w:t>
            </w:r>
            <w:r>
              <w:rPr>
                <w:rFonts w:ascii="Arial" w:cs="Arial" w:eastAsia="Arial" w:hAnsi="Arial"/>
                <w:sz w:val="23"/>
                <w:szCs w:val="23"/>
                <w:color w:val="435363"/>
                <w:vertAlign w:val="superscript"/>
              </w:rPr>
              <w:t>(g)</w:t>
            </w:r>
          </w:p>
        </w:tc>
        <w:tc>
          <w:tcPr>
            <w:tcW w:w="1520" w:type="dxa"/>
            <w:vAlign w:val="bottom"/>
          </w:tcPr>
          <w:p>
            <w:pPr>
              <w:jc w:val="right"/>
              <w:ind w:right="223"/>
              <w:spacing w:after="0"/>
              <w:rPr>
                <w:sz w:val="20"/>
                <w:szCs w:val="20"/>
                <w:color w:val="auto"/>
              </w:rPr>
            </w:pPr>
            <w:r>
              <w:rPr>
                <w:rFonts w:ascii="Arial" w:cs="Arial" w:eastAsia="Arial" w:hAnsi="Arial"/>
                <w:sz w:val="16"/>
                <w:szCs w:val="16"/>
                <w:color w:val="435363"/>
              </w:rPr>
              <w:t>644,598</w:t>
            </w:r>
          </w:p>
        </w:tc>
        <w:tc>
          <w:tcPr>
            <w:tcW w:w="1520" w:type="dxa"/>
            <w:vAlign w:val="bottom"/>
          </w:tcPr>
          <w:p>
            <w:pPr>
              <w:jc w:val="right"/>
              <w:ind w:right="246"/>
              <w:spacing w:after="0"/>
              <w:rPr>
                <w:sz w:val="20"/>
                <w:szCs w:val="20"/>
                <w:color w:val="auto"/>
              </w:rPr>
            </w:pPr>
            <w:r>
              <w:rPr>
                <w:rFonts w:ascii="Arial" w:cs="Arial" w:eastAsia="Arial" w:hAnsi="Arial"/>
                <w:sz w:val="16"/>
                <w:szCs w:val="16"/>
                <w:color w:val="435363"/>
              </w:rPr>
              <w:t>-</w:t>
            </w:r>
          </w:p>
        </w:tc>
        <w:tc>
          <w:tcPr>
            <w:tcW w:w="1400" w:type="dxa"/>
            <w:vAlign w:val="bottom"/>
          </w:tcPr>
          <w:p>
            <w:pPr>
              <w:jc w:val="right"/>
              <w:spacing w:after="0"/>
              <w:rPr>
                <w:sz w:val="20"/>
                <w:szCs w:val="20"/>
                <w:color w:val="auto"/>
              </w:rPr>
            </w:pPr>
            <w:r>
              <w:rPr>
                <w:rFonts w:ascii="Arial" w:cs="Arial" w:eastAsia="Arial" w:hAnsi="Arial"/>
                <w:sz w:val="16"/>
                <w:szCs w:val="16"/>
                <w:color w:val="435363"/>
              </w:rPr>
              <w:t>-</w:t>
            </w:r>
          </w:p>
        </w:tc>
        <w:tc>
          <w:tcPr>
            <w:tcW w:w="60" w:type="dxa"/>
            <w:vAlign w:val="bottom"/>
          </w:tcPr>
          <w:p>
            <w:pPr>
              <w:spacing w:after="0"/>
              <w:rPr>
                <w:sz w:val="23"/>
                <w:szCs w:val="23"/>
                <w:color w:val="auto"/>
              </w:rPr>
            </w:pPr>
          </w:p>
        </w:tc>
      </w:tr>
      <w:tr>
        <w:trPr>
          <w:trHeight w:val="198"/>
        </w:trPr>
        <w:tc>
          <w:tcPr>
            <w:tcW w:w="352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435363"/>
              </w:rPr>
              <w:t>Steve Johnson</w:t>
            </w:r>
          </w:p>
        </w:tc>
        <w:tc>
          <w:tcPr>
            <w:tcW w:w="300" w:type="dxa"/>
            <w:vAlign w:val="bottom"/>
            <w:shd w:val="clear" w:color="auto" w:fill="EDEDED"/>
          </w:tcPr>
          <w:p>
            <w:pPr>
              <w:spacing w:after="0"/>
              <w:rPr>
                <w:sz w:val="17"/>
                <w:szCs w:val="17"/>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9/20/2023</w:t>
            </w:r>
          </w:p>
        </w:tc>
        <w:tc>
          <w:tcPr>
            <w:tcW w:w="1620" w:type="dxa"/>
            <w:vAlign w:val="bottom"/>
            <w:shd w:val="clear" w:color="auto" w:fill="EDEDED"/>
          </w:tcPr>
          <w:p>
            <w:pPr>
              <w:jc w:val="right"/>
              <w:ind w:right="107"/>
              <w:spacing w:after="0" w:line="198" w:lineRule="exact"/>
              <w:rPr>
                <w:sz w:val="20"/>
                <w:szCs w:val="20"/>
                <w:color w:val="auto"/>
              </w:rPr>
            </w:pPr>
            <w:r>
              <w:rPr>
                <w:rFonts w:ascii="Arial" w:cs="Arial" w:eastAsia="Arial" w:hAnsi="Arial"/>
                <w:sz w:val="15"/>
                <w:szCs w:val="15"/>
                <w:color w:val="435363"/>
              </w:rPr>
              <w:t>140,704</w:t>
            </w:r>
            <w:r>
              <w:rPr>
                <w:rFonts w:ascii="Arial" w:cs="Arial" w:eastAsia="Arial" w:hAnsi="Arial"/>
                <w:sz w:val="22"/>
                <w:szCs w:val="22"/>
                <w:color w:val="435363"/>
                <w:vertAlign w:val="superscript"/>
              </w:rPr>
              <w:t>(a)</w:t>
            </w:r>
          </w:p>
        </w:tc>
        <w:tc>
          <w:tcPr>
            <w:tcW w:w="1520" w:type="dxa"/>
            <w:vAlign w:val="bottom"/>
            <w:shd w:val="clear" w:color="auto" w:fill="EDEDED"/>
          </w:tcPr>
          <w:p>
            <w:pPr>
              <w:jc w:val="right"/>
              <w:ind w:right="223"/>
              <w:spacing w:after="0"/>
              <w:rPr>
                <w:sz w:val="20"/>
                <w:szCs w:val="20"/>
                <w:color w:val="auto"/>
              </w:rPr>
            </w:pPr>
            <w:r>
              <w:rPr>
                <w:rFonts w:ascii="Arial" w:cs="Arial" w:eastAsia="Arial" w:hAnsi="Arial"/>
                <w:sz w:val="16"/>
                <w:szCs w:val="16"/>
                <w:color w:val="435363"/>
              </w:rPr>
              <w:t>1,933,273</w:t>
            </w:r>
          </w:p>
        </w:tc>
        <w:tc>
          <w:tcPr>
            <w:tcW w:w="1520" w:type="dxa"/>
            <w:vAlign w:val="bottom"/>
            <w:shd w:val="clear" w:color="auto" w:fill="EDEDED"/>
          </w:tcPr>
          <w:p>
            <w:pPr>
              <w:jc w:val="right"/>
              <w:ind w:right="106"/>
              <w:spacing w:after="0" w:line="198" w:lineRule="exact"/>
              <w:rPr>
                <w:sz w:val="20"/>
                <w:szCs w:val="20"/>
                <w:color w:val="auto"/>
              </w:rPr>
            </w:pPr>
            <w:r>
              <w:rPr>
                <w:rFonts w:ascii="Arial" w:cs="Arial" w:eastAsia="Arial" w:hAnsi="Arial"/>
                <w:sz w:val="15"/>
                <w:szCs w:val="15"/>
                <w:color w:val="435363"/>
              </w:rPr>
              <w:t>140,704</w:t>
            </w:r>
            <w:r>
              <w:rPr>
                <w:rFonts w:ascii="Arial" w:cs="Arial" w:eastAsia="Arial" w:hAnsi="Arial"/>
                <w:sz w:val="22"/>
                <w:szCs w:val="22"/>
                <w:color w:val="435363"/>
                <w:vertAlign w:val="superscript"/>
              </w:rPr>
              <w:t>(b)</w:t>
            </w:r>
          </w:p>
        </w:tc>
        <w:tc>
          <w:tcPr>
            <w:tcW w:w="140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1,933,273</w:t>
            </w:r>
          </w:p>
        </w:tc>
        <w:tc>
          <w:tcPr>
            <w:tcW w:w="60" w:type="dxa"/>
            <w:vAlign w:val="bottom"/>
            <w:shd w:val="clear" w:color="auto" w:fill="EDEDED"/>
          </w:tcPr>
          <w:p>
            <w:pPr>
              <w:spacing w:after="0"/>
              <w:rPr>
                <w:sz w:val="17"/>
                <w:szCs w:val="17"/>
                <w:color w:val="auto"/>
              </w:rPr>
            </w:pPr>
          </w:p>
        </w:tc>
      </w:tr>
      <w:tr>
        <w:trPr>
          <w:trHeight w:val="185"/>
        </w:trPr>
        <w:tc>
          <w:tcPr>
            <w:tcW w:w="352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9/20/2023</w:t>
            </w:r>
          </w:p>
        </w:tc>
        <w:tc>
          <w:tcPr>
            <w:tcW w:w="1620" w:type="dxa"/>
            <w:vAlign w:val="bottom"/>
            <w:shd w:val="clear" w:color="auto" w:fill="EDEDED"/>
          </w:tcPr>
          <w:p>
            <w:pPr>
              <w:jc w:val="right"/>
              <w:ind w:right="107"/>
              <w:spacing w:after="0" w:line="186" w:lineRule="exact"/>
              <w:rPr>
                <w:sz w:val="20"/>
                <w:szCs w:val="20"/>
                <w:color w:val="auto"/>
              </w:rPr>
            </w:pPr>
            <w:r>
              <w:rPr>
                <w:rFonts w:ascii="Arial" w:cs="Arial" w:eastAsia="Arial" w:hAnsi="Arial"/>
                <w:sz w:val="15"/>
                <w:szCs w:val="15"/>
                <w:color w:val="435363"/>
              </w:rPr>
              <w:t>181,554</w:t>
            </w:r>
            <w:r>
              <w:rPr>
                <w:rFonts w:ascii="Arial" w:cs="Arial" w:eastAsia="Arial" w:hAnsi="Arial"/>
                <w:sz w:val="21"/>
                <w:szCs w:val="21"/>
                <w:color w:val="435363"/>
                <w:vertAlign w:val="superscript"/>
              </w:rPr>
              <w:t>(h)</w:t>
            </w:r>
          </w:p>
        </w:tc>
        <w:tc>
          <w:tcPr>
            <w:tcW w:w="1520" w:type="dxa"/>
            <w:vAlign w:val="bottom"/>
            <w:shd w:val="clear" w:color="auto" w:fill="EDEDED"/>
          </w:tcPr>
          <w:p>
            <w:pPr>
              <w:jc w:val="right"/>
              <w:ind w:right="223"/>
              <w:spacing w:after="0"/>
              <w:rPr>
                <w:sz w:val="20"/>
                <w:szCs w:val="20"/>
                <w:color w:val="auto"/>
              </w:rPr>
            </w:pPr>
            <w:r>
              <w:rPr>
                <w:rFonts w:ascii="Arial" w:cs="Arial" w:eastAsia="Arial" w:hAnsi="Arial"/>
                <w:sz w:val="16"/>
                <w:szCs w:val="16"/>
                <w:color w:val="435363"/>
              </w:rPr>
              <w:t>2,494,552</w:t>
            </w:r>
          </w:p>
        </w:tc>
        <w:tc>
          <w:tcPr>
            <w:tcW w:w="1520" w:type="dxa"/>
            <w:vAlign w:val="bottom"/>
            <w:shd w:val="clear" w:color="auto" w:fill="EDEDED"/>
          </w:tcPr>
          <w:p>
            <w:pPr>
              <w:jc w:val="right"/>
              <w:ind w:right="246"/>
              <w:spacing w:after="0"/>
              <w:rPr>
                <w:sz w:val="20"/>
                <w:szCs w:val="20"/>
                <w:color w:val="auto"/>
              </w:rPr>
            </w:pPr>
            <w:r>
              <w:rPr>
                <w:rFonts w:ascii="Arial" w:cs="Arial" w:eastAsia="Arial" w:hAnsi="Arial"/>
                <w:sz w:val="16"/>
                <w:szCs w:val="16"/>
                <w:color w:val="435363"/>
              </w:rPr>
              <w:t>-</w:t>
            </w:r>
          </w:p>
        </w:tc>
        <w:tc>
          <w:tcPr>
            <w:tcW w:w="140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w:t>
            </w:r>
          </w:p>
        </w:tc>
        <w:tc>
          <w:tcPr>
            <w:tcW w:w="60" w:type="dxa"/>
            <w:vAlign w:val="bottom"/>
            <w:shd w:val="clear" w:color="auto" w:fill="EDEDED"/>
          </w:tcPr>
          <w:p>
            <w:pPr>
              <w:spacing w:after="0"/>
              <w:rPr>
                <w:sz w:val="16"/>
                <w:szCs w:val="16"/>
                <w:color w:val="auto"/>
              </w:rPr>
            </w:pPr>
          </w:p>
        </w:tc>
      </w:tr>
      <w:tr>
        <w:trPr>
          <w:trHeight w:val="185"/>
        </w:trPr>
        <w:tc>
          <w:tcPr>
            <w:tcW w:w="352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2/24/2022</w:t>
            </w:r>
          </w:p>
        </w:tc>
        <w:tc>
          <w:tcPr>
            <w:tcW w:w="1620" w:type="dxa"/>
            <w:vAlign w:val="bottom"/>
            <w:shd w:val="clear" w:color="auto" w:fill="EDEDED"/>
          </w:tcPr>
          <w:p>
            <w:pPr>
              <w:jc w:val="right"/>
              <w:ind w:right="107"/>
              <w:spacing w:after="0" w:line="186" w:lineRule="exact"/>
              <w:rPr>
                <w:sz w:val="20"/>
                <w:szCs w:val="20"/>
                <w:color w:val="auto"/>
              </w:rPr>
            </w:pPr>
            <w:r>
              <w:rPr>
                <w:rFonts w:ascii="Arial" w:cs="Arial" w:eastAsia="Arial" w:hAnsi="Arial"/>
                <w:sz w:val="15"/>
                <w:szCs w:val="15"/>
                <w:color w:val="435363"/>
              </w:rPr>
              <w:t>15,891</w:t>
            </w:r>
            <w:r>
              <w:rPr>
                <w:rFonts w:ascii="Arial" w:cs="Arial" w:eastAsia="Arial" w:hAnsi="Arial"/>
                <w:sz w:val="21"/>
                <w:szCs w:val="21"/>
                <w:color w:val="435363"/>
                <w:vertAlign w:val="superscript"/>
              </w:rPr>
              <w:t>(e)</w:t>
            </w:r>
          </w:p>
        </w:tc>
        <w:tc>
          <w:tcPr>
            <w:tcW w:w="1520" w:type="dxa"/>
            <w:vAlign w:val="bottom"/>
            <w:shd w:val="clear" w:color="auto" w:fill="EDEDED"/>
          </w:tcPr>
          <w:p>
            <w:pPr>
              <w:jc w:val="right"/>
              <w:ind w:right="223"/>
              <w:spacing w:after="0"/>
              <w:rPr>
                <w:sz w:val="20"/>
                <w:szCs w:val="20"/>
                <w:color w:val="auto"/>
              </w:rPr>
            </w:pPr>
            <w:r>
              <w:rPr>
                <w:rFonts w:ascii="Arial" w:cs="Arial" w:eastAsia="Arial" w:hAnsi="Arial"/>
                <w:sz w:val="16"/>
                <w:szCs w:val="16"/>
                <w:color w:val="435363"/>
              </w:rPr>
              <w:t>218,342</w:t>
            </w:r>
          </w:p>
        </w:tc>
        <w:tc>
          <w:tcPr>
            <w:tcW w:w="1520" w:type="dxa"/>
            <w:vAlign w:val="bottom"/>
            <w:shd w:val="clear" w:color="auto" w:fill="EDEDED"/>
          </w:tcPr>
          <w:p>
            <w:pPr>
              <w:jc w:val="right"/>
              <w:ind w:right="146"/>
              <w:spacing w:after="0" w:line="186" w:lineRule="exact"/>
              <w:rPr>
                <w:sz w:val="20"/>
                <w:szCs w:val="20"/>
                <w:color w:val="auto"/>
              </w:rPr>
            </w:pPr>
            <w:r>
              <w:rPr>
                <w:rFonts w:ascii="Arial" w:cs="Arial" w:eastAsia="Arial" w:hAnsi="Arial"/>
                <w:sz w:val="15"/>
                <w:szCs w:val="15"/>
                <w:color w:val="435363"/>
              </w:rPr>
              <w:t>127,123</w:t>
            </w:r>
            <w:r>
              <w:rPr>
                <w:rFonts w:ascii="Arial" w:cs="Arial" w:eastAsia="Arial" w:hAnsi="Arial"/>
                <w:sz w:val="21"/>
                <w:szCs w:val="21"/>
                <w:color w:val="435363"/>
                <w:vertAlign w:val="superscript"/>
              </w:rPr>
              <w:t>(f)</w:t>
            </w:r>
          </w:p>
        </w:tc>
        <w:tc>
          <w:tcPr>
            <w:tcW w:w="140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1,746,673</w:t>
            </w:r>
          </w:p>
        </w:tc>
        <w:tc>
          <w:tcPr>
            <w:tcW w:w="60" w:type="dxa"/>
            <w:vAlign w:val="bottom"/>
            <w:shd w:val="clear" w:color="auto" w:fill="EDEDED"/>
          </w:tcPr>
          <w:p>
            <w:pPr>
              <w:spacing w:after="0"/>
              <w:rPr>
                <w:sz w:val="16"/>
                <w:szCs w:val="16"/>
                <w:color w:val="auto"/>
              </w:rPr>
            </w:pPr>
          </w:p>
        </w:tc>
      </w:tr>
      <w:tr>
        <w:trPr>
          <w:trHeight w:val="266"/>
        </w:trPr>
        <w:tc>
          <w:tcPr>
            <w:tcW w:w="3520" w:type="dxa"/>
            <w:vAlign w:val="bottom"/>
            <w:shd w:val="clear" w:color="auto" w:fill="EDEDED"/>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2/16/2021</w:t>
            </w:r>
          </w:p>
        </w:tc>
        <w:tc>
          <w:tcPr>
            <w:tcW w:w="1620" w:type="dxa"/>
            <w:vAlign w:val="bottom"/>
            <w:shd w:val="clear" w:color="auto" w:fill="EDEDED"/>
          </w:tcPr>
          <w:p>
            <w:pPr>
              <w:jc w:val="right"/>
              <w:ind w:right="107"/>
              <w:spacing w:after="0"/>
              <w:rPr>
                <w:sz w:val="20"/>
                <w:szCs w:val="20"/>
                <w:color w:val="auto"/>
              </w:rPr>
            </w:pPr>
            <w:r>
              <w:rPr>
                <w:rFonts w:ascii="Arial" w:cs="Arial" w:eastAsia="Arial" w:hAnsi="Arial"/>
                <w:sz w:val="16"/>
                <w:szCs w:val="16"/>
                <w:color w:val="435363"/>
              </w:rPr>
              <w:t>31,706</w:t>
            </w:r>
            <w:r>
              <w:rPr>
                <w:rFonts w:ascii="Arial" w:cs="Arial" w:eastAsia="Arial" w:hAnsi="Arial"/>
                <w:sz w:val="23"/>
                <w:szCs w:val="23"/>
                <w:color w:val="435363"/>
                <w:vertAlign w:val="superscript"/>
              </w:rPr>
              <w:t>(g)</w:t>
            </w:r>
          </w:p>
        </w:tc>
        <w:tc>
          <w:tcPr>
            <w:tcW w:w="1520" w:type="dxa"/>
            <w:vAlign w:val="bottom"/>
            <w:shd w:val="clear" w:color="auto" w:fill="EDEDED"/>
          </w:tcPr>
          <w:p>
            <w:pPr>
              <w:jc w:val="right"/>
              <w:ind w:right="223"/>
              <w:spacing w:after="0"/>
              <w:rPr>
                <w:sz w:val="20"/>
                <w:szCs w:val="20"/>
                <w:color w:val="auto"/>
              </w:rPr>
            </w:pPr>
            <w:r>
              <w:rPr>
                <w:rFonts w:ascii="Arial" w:cs="Arial" w:eastAsia="Arial" w:hAnsi="Arial"/>
                <w:sz w:val="16"/>
                <w:szCs w:val="16"/>
                <w:color w:val="435363"/>
              </w:rPr>
              <w:t>435,640</w:t>
            </w:r>
          </w:p>
        </w:tc>
        <w:tc>
          <w:tcPr>
            <w:tcW w:w="1520" w:type="dxa"/>
            <w:vAlign w:val="bottom"/>
            <w:shd w:val="clear" w:color="auto" w:fill="EDEDED"/>
          </w:tcPr>
          <w:p>
            <w:pPr>
              <w:jc w:val="right"/>
              <w:ind w:right="246"/>
              <w:spacing w:after="0"/>
              <w:rPr>
                <w:sz w:val="20"/>
                <w:szCs w:val="20"/>
                <w:color w:val="auto"/>
              </w:rPr>
            </w:pPr>
            <w:r>
              <w:rPr>
                <w:rFonts w:ascii="Arial" w:cs="Arial" w:eastAsia="Arial" w:hAnsi="Arial"/>
                <w:sz w:val="16"/>
                <w:szCs w:val="16"/>
                <w:color w:val="435363"/>
              </w:rPr>
              <w:t>-</w:t>
            </w:r>
          </w:p>
        </w:tc>
        <w:tc>
          <w:tcPr>
            <w:tcW w:w="140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w:t>
            </w:r>
          </w:p>
        </w:tc>
        <w:tc>
          <w:tcPr>
            <w:tcW w:w="60" w:type="dxa"/>
            <w:vAlign w:val="bottom"/>
            <w:shd w:val="clear" w:color="auto" w:fill="EDEDED"/>
          </w:tcPr>
          <w:p>
            <w:pPr>
              <w:spacing w:after="0"/>
              <w:rPr>
                <w:sz w:val="23"/>
                <w:szCs w:val="23"/>
                <w:color w:val="auto"/>
              </w:rPr>
            </w:pPr>
          </w:p>
        </w:tc>
      </w:tr>
      <w:tr>
        <w:trPr>
          <w:trHeight w:val="171"/>
        </w:trPr>
        <w:tc>
          <w:tcPr>
            <w:tcW w:w="3520" w:type="dxa"/>
            <w:vAlign w:val="bottom"/>
          </w:tcPr>
          <w:p>
            <w:pPr>
              <w:ind w:left="60"/>
              <w:spacing w:after="0" w:line="171" w:lineRule="exact"/>
              <w:rPr>
                <w:sz w:val="20"/>
                <w:szCs w:val="20"/>
                <w:color w:val="auto"/>
              </w:rPr>
            </w:pPr>
            <w:r>
              <w:rPr>
                <w:rFonts w:ascii="Arial" w:cs="Arial" w:eastAsia="Arial" w:hAnsi="Arial"/>
                <w:sz w:val="16"/>
                <w:szCs w:val="16"/>
                <w:b w:val="1"/>
                <w:bCs w:val="1"/>
                <w:color w:val="435363"/>
              </w:rPr>
              <w:t>Priya Aiyar</w:t>
            </w:r>
          </w:p>
        </w:tc>
        <w:tc>
          <w:tcPr>
            <w:tcW w:w="30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6"/>
                <w:szCs w:val="16"/>
                <w:color w:val="435363"/>
              </w:rPr>
              <w:t>7/12/2023</w:t>
            </w:r>
          </w:p>
        </w:tc>
        <w:tc>
          <w:tcPr>
            <w:tcW w:w="1620" w:type="dxa"/>
            <w:vAlign w:val="bottom"/>
          </w:tcPr>
          <w:p>
            <w:pPr>
              <w:jc w:val="right"/>
              <w:ind w:right="107"/>
              <w:spacing w:after="0" w:line="171" w:lineRule="exact"/>
              <w:rPr>
                <w:sz w:val="20"/>
                <w:szCs w:val="20"/>
                <w:color w:val="auto"/>
              </w:rPr>
            </w:pPr>
            <w:r>
              <w:rPr>
                <w:rFonts w:ascii="Arial" w:cs="Arial" w:eastAsia="Arial" w:hAnsi="Arial"/>
                <w:sz w:val="13"/>
                <w:szCs w:val="13"/>
                <w:color w:val="435363"/>
              </w:rPr>
              <w:t>19,952</w:t>
            </w:r>
            <w:r>
              <w:rPr>
                <w:rFonts w:ascii="Arial" w:cs="Arial" w:eastAsia="Arial" w:hAnsi="Arial"/>
                <w:sz w:val="19"/>
                <w:szCs w:val="19"/>
                <w:color w:val="435363"/>
                <w:vertAlign w:val="superscript"/>
              </w:rPr>
              <w:t>(c)</w:t>
            </w:r>
          </w:p>
        </w:tc>
        <w:tc>
          <w:tcPr>
            <w:tcW w:w="1520" w:type="dxa"/>
            <w:vAlign w:val="bottom"/>
          </w:tcPr>
          <w:p>
            <w:pPr>
              <w:jc w:val="right"/>
              <w:ind w:right="223"/>
              <w:spacing w:after="0" w:line="171" w:lineRule="exact"/>
              <w:rPr>
                <w:sz w:val="20"/>
                <w:szCs w:val="20"/>
                <w:color w:val="auto"/>
              </w:rPr>
            </w:pPr>
            <w:r>
              <w:rPr>
                <w:rFonts w:ascii="Arial" w:cs="Arial" w:eastAsia="Arial" w:hAnsi="Arial"/>
                <w:sz w:val="16"/>
                <w:szCs w:val="16"/>
                <w:color w:val="435363"/>
              </w:rPr>
              <w:t>274,140</w:t>
            </w:r>
          </w:p>
        </w:tc>
        <w:tc>
          <w:tcPr>
            <w:tcW w:w="1520" w:type="dxa"/>
            <w:vAlign w:val="bottom"/>
          </w:tcPr>
          <w:p>
            <w:pPr>
              <w:jc w:val="right"/>
              <w:ind w:right="106"/>
              <w:spacing w:after="0" w:line="171" w:lineRule="exact"/>
              <w:rPr>
                <w:sz w:val="20"/>
                <w:szCs w:val="20"/>
                <w:color w:val="auto"/>
              </w:rPr>
            </w:pPr>
            <w:r>
              <w:rPr>
                <w:rFonts w:ascii="Arial" w:cs="Arial" w:eastAsia="Arial" w:hAnsi="Arial"/>
                <w:sz w:val="13"/>
                <w:szCs w:val="13"/>
                <w:color w:val="435363"/>
              </w:rPr>
              <w:t>19,953</w:t>
            </w:r>
            <w:r>
              <w:rPr>
                <w:rFonts w:ascii="Arial" w:cs="Arial" w:eastAsia="Arial" w:hAnsi="Arial"/>
                <w:sz w:val="19"/>
                <w:szCs w:val="19"/>
                <w:color w:val="435363"/>
                <w:vertAlign w:val="superscript"/>
              </w:rPr>
              <w:t>(d)</w:t>
            </w:r>
          </w:p>
        </w:tc>
        <w:tc>
          <w:tcPr>
            <w:tcW w:w="1400" w:type="dxa"/>
            <w:vAlign w:val="bottom"/>
          </w:tcPr>
          <w:p>
            <w:pPr>
              <w:jc w:val="right"/>
              <w:spacing w:after="0" w:line="171" w:lineRule="exact"/>
              <w:rPr>
                <w:sz w:val="20"/>
                <w:szCs w:val="20"/>
                <w:color w:val="auto"/>
              </w:rPr>
            </w:pPr>
            <w:r>
              <w:rPr>
                <w:rFonts w:ascii="Arial" w:cs="Arial" w:eastAsia="Arial" w:hAnsi="Arial"/>
                <w:sz w:val="16"/>
                <w:szCs w:val="16"/>
                <w:color w:val="435363"/>
              </w:rPr>
              <w:t>274,154</w:t>
            </w:r>
          </w:p>
        </w:tc>
        <w:tc>
          <w:tcPr>
            <w:tcW w:w="60" w:type="dxa"/>
            <w:vAlign w:val="bottom"/>
          </w:tcPr>
          <w:p>
            <w:pPr>
              <w:spacing w:after="0"/>
              <w:rPr>
                <w:sz w:val="14"/>
                <w:szCs w:val="14"/>
                <w:color w:val="auto"/>
              </w:rPr>
            </w:pPr>
          </w:p>
        </w:tc>
      </w:tr>
      <w:tr>
        <w:trPr>
          <w:trHeight w:val="185"/>
        </w:trPr>
        <w:tc>
          <w:tcPr>
            <w:tcW w:w="35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435363"/>
              </w:rPr>
              <w:t>5/2/2023</w:t>
            </w:r>
          </w:p>
        </w:tc>
        <w:tc>
          <w:tcPr>
            <w:tcW w:w="1620" w:type="dxa"/>
            <w:vAlign w:val="bottom"/>
          </w:tcPr>
          <w:p>
            <w:pPr>
              <w:jc w:val="right"/>
              <w:ind w:right="107"/>
              <w:spacing w:after="0" w:line="186" w:lineRule="exact"/>
              <w:rPr>
                <w:sz w:val="20"/>
                <w:szCs w:val="20"/>
                <w:color w:val="auto"/>
              </w:rPr>
            </w:pPr>
            <w:r>
              <w:rPr>
                <w:rFonts w:ascii="Arial" w:cs="Arial" w:eastAsia="Arial" w:hAnsi="Arial"/>
                <w:sz w:val="15"/>
                <w:szCs w:val="15"/>
                <w:color w:val="435363"/>
              </w:rPr>
              <w:t>85,693</w:t>
            </w:r>
            <w:r>
              <w:rPr>
                <w:rFonts w:ascii="Arial" w:cs="Arial" w:eastAsia="Arial" w:hAnsi="Arial"/>
                <w:sz w:val="21"/>
                <w:szCs w:val="21"/>
                <w:color w:val="435363"/>
                <w:vertAlign w:val="superscript"/>
              </w:rPr>
              <w:t>(a)</w:t>
            </w:r>
          </w:p>
        </w:tc>
        <w:tc>
          <w:tcPr>
            <w:tcW w:w="1520" w:type="dxa"/>
            <w:vAlign w:val="bottom"/>
          </w:tcPr>
          <w:p>
            <w:pPr>
              <w:jc w:val="right"/>
              <w:ind w:right="223"/>
              <w:spacing w:after="0"/>
              <w:rPr>
                <w:sz w:val="20"/>
                <w:szCs w:val="20"/>
                <w:color w:val="auto"/>
              </w:rPr>
            </w:pPr>
            <w:r>
              <w:rPr>
                <w:rFonts w:ascii="Arial" w:cs="Arial" w:eastAsia="Arial" w:hAnsi="Arial"/>
                <w:sz w:val="16"/>
                <w:szCs w:val="16"/>
                <w:color w:val="435363"/>
              </w:rPr>
              <w:t>1,177,422</w:t>
            </w:r>
          </w:p>
        </w:tc>
        <w:tc>
          <w:tcPr>
            <w:tcW w:w="1520" w:type="dxa"/>
            <w:vAlign w:val="bottom"/>
          </w:tcPr>
          <w:p>
            <w:pPr>
              <w:jc w:val="right"/>
              <w:ind w:right="106"/>
              <w:spacing w:after="0" w:line="186" w:lineRule="exact"/>
              <w:rPr>
                <w:sz w:val="20"/>
                <w:szCs w:val="20"/>
                <w:color w:val="auto"/>
              </w:rPr>
            </w:pPr>
            <w:r>
              <w:rPr>
                <w:rFonts w:ascii="Arial" w:cs="Arial" w:eastAsia="Arial" w:hAnsi="Arial"/>
                <w:sz w:val="15"/>
                <w:szCs w:val="15"/>
                <w:color w:val="435363"/>
              </w:rPr>
              <w:t>85,693</w:t>
            </w:r>
            <w:r>
              <w:rPr>
                <w:rFonts w:ascii="Arial" w:cs="Arial" w:eastAsia="Arial" w:hAnsi="Arial"/>
                <w:sz w:val="21"/>
                <w:szCs w:val="21"/>
                <w:color w:val="435363"/>
                <w:vertAlign w:val="superscript"/>
              </w:rPr>
              <w:t>(b)</w:t>
            </w:r>
          </w:p>
        </w:tc>
        <w:tc>
          <w:tcPr>
            <w:tcW w:w="1400" w:type="dxa"/>
            <w:vAlign w:val="bottom"/>
          </w:tcPr>
          <w:p>
            <w:pPr>
              <w:jc w:val="right"/>
              <w:spacing w:after="0"/>
              <w:rPr>
                <w:sz w:val="20"/>
                <w:szCs w:val="20"/>
                <w:color w:val="auto"/>
              </w:rPr>
            </w:pPr>
            <w:r>
              <w:rPr>
                <w:rFonts w:ascii="Arial" w:cs="Arial" w:eastAsia="Arial" w:hAnsi="Arial"/>
                <w:sz w:val="16"/>
                <w:szCs w:val="16"/>
                <w:color w:val="435363"/>
              </w:rPr>
              <w:t>1,177,422</w:t>
            </w:r>
          </w:p>
        </w:tc>
        <w:tc>
          <w:tcPr>
            <w:tcW w:w="60" w:type="dxa"/>
            <w:vAlign w:val="bottom"/>
          </w:tcPr>
          <w:p>
            <w:pPr>
              <w:spacing w:after="0"/>
              <w:rPr>
                <w:sz w:val="16"/>
                <w:szCs w:val="16"/>
                <w:color w:val="auto"/>
              </w:rPr>
            </w:pPr>
          </w:p>
        </w:tc>
      </w:tr>
      <w:tr>
        <w:trPr>
          <w:trHeight w:val="185"/>
        </w:trPr>
        <w:tc>
          <w:tcPr>
            <w:tcW w:w="35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435363"/>
              </w:rPr>
              <w:t>12/12/2022</w:t>
            </w:r>
          </w:p>
        </w:tc>
        <w:tc>
          <w:tcPr>
            <w:tcW w:w="1620" w:type="dxa"/>
            <w:vAlign w:val="bottom"/>
          </w:tcPr>
          <w:p>
            <w:pPr>
              <w:jc w:val="right"/>
              <w:ind w:right="107"/>
              <w:spacing w:after="0" w:line="186" w:lineRule="exact"/>
              <w:rPr>
                <w:sz w:val="20"/>
                <w:szCs w:val="20"/>
                <w:color w:val="auto"/>
              </w:rPr>
            </w:pPr>
            <w:r>
              <w:rPr>
                <w:rFonts w:ascii="Arial" w:cs="Arial" w:eastAsia="Arial" w:hAnsi="Arial"/>
                <w:sz w:val="15"/>
                <w:szCs w:val="15"/>
                <w:color w:val="435363"/>
              </w:rPr>
              <w:t>73,943</w:t>
            </w:r>
            <w:r>
              <w:rPr>
                <w:rFonts w:ascii="Arial" w:cs="Arial" w:eastAsia="Arial" w:hAnsi="Arial"/>
                <w:sz w:val="21"/>
                <w:szCs w:val="21"/>
                <w:color w:val="435363"/>
                <w:vertAlign w:val="superscript"/>
              </w:rPr>
              <w:t>(h)</w:t>
            </w:r>
          </w:p>
        </w:tc>
        <w:tc>
          <w:tcPr>
            <w:tcW w:w="1520" w:type="dxa"/>
            <w:vAlign w:val="bottom"/>
          </w:tcPr>
          <w:p>
            <w:pPr>
              <w:jc w:val="right"/>
              <w:ind w:right="223"/>
              <w:spacing w:after="0"/>
              <w:rPr>
                <w:sz w:val="20"/>
                <w:szCs w:val="20"/>
                <w:color w:val="auto"/>
              </w:rPr>
            </w:pPr>
            <w:r>
              <w:rPr>
                <w:rFonts w:ascii="Arial" w:cs="Arial" w:eastAsia="Arial" w:hAnsi="Arial"/>
                <w:sz w:val="16"/>
                <w:szCs w:val="16"/>
                <w:color w:val="435363"/>
              </w:rPr>
              <w:t>1,015,977</w:t>
            </w:r>
          </w:p>
        </w:tc>
        <w:tc>
          <w:tcPr>
            <w:tcW w:w="1520" w:type="dxa"/>
            <w:vAlign w:val="bottom"/>
          </w:tcPr>
          <w:p>
            <w:pPr>
              <w:jc w:val="right"/>
              <w:ind w:right="246"/>
              <w:spacing w:after="0"/>
              <w:rPr>
                <w:sz w:val="20"/>
                <w:szCs w:val="20"/>
                <w:color w:val="auto"/>
              </w:rPr>
            </w:pPr>
            <w:r>
              <w:rPr>
                <w:rFonts w:ascii="Arial" w:cs="Arial" w:eastAsia="Arial" w:hAnsi="Arial"/>
                <w:sz w:val="16"/>
                <w:szCs w:val="16"/>
                <w:color w:val="435363"/>
              </w:rPr>
              <w:t>-</w:t>
            </w:r>
          </w:p>
        </w:tc>
        <w:tc>
          <w:tcPr>
            <w:tcW w:w="1400" w:type="dxa"/>
            <w:vAlign w:val="bottom"/>
          </w:tcPr>
          <w:p>
            <w:pPr>
              <w:jc w:val="right"/>
              <w:spacing w:after="0"/>
              <w:rPr>
                <w:sz w:val="20"/>
                <w:szCs w:val="20"/>
                <w:color w:val="auto"/>
              </w:rPr>
            </w:pPr>
            <w:r>
              <w:rPr>
                <w:rFonts w:ascii="Arial" w:cs="Arial" w:eastAsia="Arial" w:hAnsi="Arial"/>
                <w:sz w:val="16"/>
                <w:szCs w:val="16"/>
                <w:color w:val="435363"/>
              </w:rPr>
              <w:t>-</w:t>
            </w:r>
          </w:p>
        </w:tc>
        <w:tc>
          <w:tcPr>
            <w:tcW w:w="60" w:type="dxa"/>
            <w:vAlign w:val="bottom"/>
          </w:tcPr>
          <w:p>
            <w:pPr>
              <w:spacing w:after="0"/>
              <w:rPr>
                <w:sz w:val="16"/>
                <w:szCs w:val="16"/>
                <w:color w:val="auto"/>
              </w:rPr>
            </w:pPr>
          </w:p>
        </w:tc>
      </w:tr>
      <w:tr>
        <w:trPr>
          <w:trHeight w:val="185"/>
        </w:trPr>
        <w:tc>
          <w:tcPr>
            <w:tcW w:w="35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435363"/>
              </w:rPr>
              <w:t>11/16/2021</w:t>
            </w:r>
          </w:p>
        </w:tc>
        <w:tc>
          <w:tcPr>
            <w:tcW w:w="1620" w:type="dxa"/>
            <w:vAlign w:val="bottom"/>
          </w:tcPr>
          <w:p>
            <w:pPr>
              <w:jc w:val="right"/>
              <w:ind w:right="107"/>
              <w:spacing w:after="0" w:line="186" w:lineRule="exact"/>
              <w:rPr>
                <w:sz w:val="20"/>
                <w:szCs w:val="20"/>
                <w:color w:val="auto"/>
              </w:rPr>
            </w:pPr>
            <w:r>
              <w:rPr>
                <w:rFonts w:ascii="Arial" w:cs="Arial" w:eastAsia="Arial" w:hAnsi="Arial"/>
                <w:sz w:val="15"/>
                <w:szCs w:val="15"/>
                <w:color w:val="435363"/>
              </w:rPr>
              <w:t>26,462</w:t>
            </w:r>
            <w:r>
              <w:rPr>
                <w:rFonts w:ascii="Arial" w:cs="Arial" w:eastAsia="Arial" w:hAnsi="Arial"/>
                <w:sz w:val="21"/>
                <w:szCs w:val="21"/>
                <w:color w:val="435363"/>
                <w:vertAlign w:val="superscript"/>
              </w:rPr>
              <w:t>(h)</w:t>
            </w:r>
          </w:p>
        </w:tc>
        <w:tc>
          <w:tcPr>
            <w:tcW w:w="1520" w:type="dxa"/>
            <w:vAlign w:val="bottom"/>
          </w:tcPr>
          <w:p>
            <w:pPr>
              <w:jc w:val="right"/>
              <w:ind w:right="223"/>
              <w:spacing w:after="0"/>
              <w:rPr>
                <w:sz w:val="20"/>
                <w:szCs w:val="20"/>
                <w:color w:val="auto"/>
              </w:rPr>
            </w:pPr>
            <w:r>
              <w:rPr>
                <w:rFonts w:ascii="Arial" w:cs="Arial" w:eastAsia="Arial" w:hAnsi="Arial"/>
                <w:sz w:val="16"/>
                <w:szCs w:val="16"/>
                <w:color w:val="435363"/>
              </w:rPr>
              <w:t>363,588</w:t>
            </w:r>
          </w:p>
        </w:tc>
        <w:tc>
          <w:tcPr>
            <w:tcW w:w="1520" w:type="dxa"/>
            <w:vAlign w:val="bottom"/>
          </w:tcPr>
          <w:p>
            <w:pPr>
              <w:jc w:val="right"/>
              <w:ind w:right="246"/>
              <w:spacing w:after="0"/>
              <w:rPr>
                <w:sz w:val="20"/>
                <w:szCs w:val="20"/>
                <w:color w:val="auto"/>
              </w:rPr>
            </w:pPr>
            <w:r>
              <w:rPr>
                <w:rFonts w:ascii="Arial" w:cs="Arial" w:eastAsia="Arial" w:hAnsi="Arial"/>
                <w:sz w:val="16"/>
                <w:szCs w:val="16"/>
                <w:color w:val="435363"/>
              </w:rPr>
              <w:t>-</w:t>
            </w:r>
          </w:p>
        </w:tc>
        <w:tc>
          <w:tcPr>
            <w:tcW w:w="1400" w:type="dxa"/>
            <w:vAlign w:val="bottom"/>
          </w:tcPr>
          <w:p>
            <w:pPr>
              <w:jc w:val="right"/>
              <w:spacing w:after="0"/>
              <w:rPr>
                <w:sz w:val="20"/>
                <w:szCs w:val="20"/>
                <w:color w:val="auto"/>
              </w:rPr>
            </w:pPr>
            <w:r>
              <w:rPr>
                <w:rFonts w:ascii="Arial" w:cs="Arial" w:eastAsia="Arial" w:hAnsi="Arial"/>
                <w:sz w:val="16"/>
                <w:szCs w:val="16"/>
                <w:color w:val="435363"/>
              </w:rPr>
              <w:t>-</w:t>
            </w:r>
          </w:p>
        </w:tc>
        <w:tc>
          <w:tcPr>
            <w:tcW w:w="60" w:type="dxa"/>
            <w:vAlign w:val="bottom"/>
          </w:tcPr>
          <w:p>
            <w:pPr>
              <w:spacing w:after="0"/>
              <w:rPr>
                <w:sz w:val="16"/>
                <w:szCs w:val="16"/>
                <w:color w:val="auto"/>
              </w:rPr>
            </w:pPr>
          </w:p>
        </w:tc>
      </w:tr>
      <w:tr>
        <w:trPr>
          <w:trHeight w:val="266"/>
        </w:trPr>
        <w:tc>
          <w:tcPr>
            <w:tcW w:w="352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435363"/>
              </w:rPr>
              <w:t>2/16/2021</w:t>
            </w:r>
          </w:p>
        </w:tc>
        <w:tc>
          <w:tcPr>
            <w:tcW w:w="1620" w:type="dxa"/>
            <w:vAlign w:val="bottom"/>
          </w:tcPr>
          <w:p>
            <w:pPr>
              <w:jc w:val="right"/>
              <w:ind w:right="107"/>
              <w:spacing w:after="0"/>
              <w:rPr>
                <w:sz w:val="20"/>
                <w:szCs w:val="20"/>
                <w:color w:val="auto"/>
              </w:rPr>
            </w:pPr>
            <w:r>
              <w:rPr>
                <w:rFonts w:ascii="Arial" w:cs="Arial" w:eastAsia="Arial" w:hAnsi="Arial"/>
                <w:sz w:val="16"/>
                <w:szCs w:val="16"/>
                <w:color w:val="435363"/>
              </w:rPr>
              <w:t>6,079</w:t>
            </w:r>
            <w:r>
              <w:rPr>
                <w:rFonts w:ascii="Arial" w:cs="Arial" w:eastAsia="Arial" w:hAnsi="Arial"/>
                <w:sz w:val="23"/>
                <w:szCs w:val="23"/>
                <w:color w:val="435363"/>
                <w:vertAlign w:val="superscript"/>
              </w:rPr>
              <w:t>(h)</w:t>
            </w:r>
          </w:p>
        </w:tc>
        <w:tc>
          <w:tcPr>
            <w:tcW w:w="1520" w:type="dxa"/>
            <w:vAlign w:val="bottom"/>
          </w:tcPr>
          <w:p>
            <w:pPr>
              <w:jc w:val="right"/>
              <w:ind w:right="223"/>
              <w:spacing w:after="0"/>
              <w:rPr>
                <w:sz w:val="20"/>
                <w:szCs w:val="20"/>
                <w:color w:val="auto"/>
              </w:rPr>
            </w:pPr>
            <w:r>
              <w:rPr>
                <w:rFonts w:ascii="Arial" w:cs="Arial" w:eastAsia="Arial" w:hAnsi="Arial"/>
                <w:sz w:val="16"/>
                <w:szCs w:val="16"/>
                <w:color w:val="435363"/>
              </w:rPr>
              <w:t>83,525</w:t>
            </w:r>
          </w:p>
        </w:tc>
        <w:tc>
          <w:tcPr>
            <w:tcW w:w="1520" w:type="dxa"/>
            <w:vAlign w:val="bottom"/>
          </w:tcPr>
          <w:p>
            <w:pPr>
              <w:jc w:val="right"/>
              <w:ind w:right="246"/>
              <w:spacing w:after="0"/>
              <w:rPr>
                <w:sz w:val="20"/>
                <w:szCs w:val="20"/>
                <w:color w:val="auto"/>
              </w:rPr>
            </w:pPr>
            <w:r>
              <w:rPr>
                <w:rFonts w:ascii="Arial" w:cs="Arial" w:eastAsia="Arial" w:hAnsi="Arial"/>
                <w:sz w:val="16"/>
                <w:szCs w:val="16"/>
                <w:color w:val="435363"/>
              </w:rPr>
              <w:t>-</w:t>
            </w:r>
          </w:p>
        </w:tc>
        <w:tc>
          <w:tcPr>
            <w:tcW w:w="1400" w:type="dxa"/>
            <w:vAlign w:val="bottom"/>
          </w:tcPr>
          <w:p>
            <w:pPr>
              <w:jc w:val="right"/>
              <w:spacing w:after="0"/>
              <w:rPr>
                <w:sz w:val="20"/>
                <w:szCs w:val="20"/>
                <w:color w:val="auto"/>
              </w:rPr>
            </w:pPr>
            <w:r>
              <w:rPr>
                <w:rFonts w:ascii="Arial" w:cs="Arial" w:eastAsia="Arial" w:hAnsi="Arial"/>
                <w:sz w:val="16"/>
                <w:szCs w:val="16"/>
                <w:color w:val="435363"/>
              </w:rPr>
              <w:t>-</w:t>
            </w:r>
          </w:p>
        </w:tc>
        <w:tc>
          <w:tcPr>
            <w:tcW w:w="60" w:type="dxa"/>
            <w:vAlign w:val="bottom"/>
          </w:tcPr>
          <w:p>
            <w:pPr>
              <w:spacing w:after="0"/>
              <w:rPr>
                <w:sz w:val="23"/>
                <w:szCs w:val="23"/>
                <w:color w:val="auto"/>
              </w:rPr>
            </w:pPr>
          </w:p>
        </w:tc>
      </w:tr>
      <w:tr>
        <w:trPr>
          <w:trHeight w:val="198"/>
        </w:trPr>
        <w:tc>
          <w:tcPr>
            <w:tcW w:w="352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435363"/>
              </w:rPr>
              <w:t>Devon May</w:t>
            </w:r>
          </w:p>
        </w:tc>
        <w:tc>
          <w:tcPr>
            <w:tcW w:w="300" w:type="dxa"/>
            <w:vAlign w:val="bottom"/>
            <w:shd w:val="clear" w:color="auto" w:fill="EDEDED"/>
          </w:tcPr>
          <w:p>
            <w:pPr>
              <w:spacing w:after="0"/>
              <w:rPr>
                <w:sz w:val="17"/>
                <w:szCs w:val="17"/>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5/2/2023</w:t>
            </w:r>
          </w:p>
        </w:tc>
        <w:tc>
          <w:tcPr>
            <w:tcW w:w="1620" w:type="dxa"/>
            <w:vAlign w:val="bottom"/>
            <w:shd w:val="clear" w:color="auto" w:fill="EDEDED"/>
          </w:tcPr>
          <w:p>
            <w:pPr>
              <w:jc w:val="right"/>
              <w:ind w:right="107"/>
              <w:spacing w:after="0" w:line="198" w:lineRule="exact"/>
              <w:rPr>
                <w:sz w:val="20"/>
                <w:szCs w:val="20"/>
                <w:color w:val="auto"/>
              </w:rPr>
            </w:pPr>
            <w:r>
              <w:rPr>
                <w:rFonts w:ascii="Arial" w:cs="Arial" w:eastAsia="Arial" w:hAnsi="Arial"/>
                <w:sz w:val="15"/>
                <w:szCs w:val="15"/>
                <w:color w:val="435363"/>
              </w:rPr>
              <w:t>85,693</w:t>
            </w:r>
            <w:r>
              <w:rPr>
                <w:rFonts w:ascii="Arial" w:cs="Arial" w:eastAsia="Arial" w:hAnsi="Arial"/>
                <w:sz w:val="22"/>
                <w:szCs w:val="22"/>
                <w:color w:val="435363"/>
                <w:vertAlign w:val="superscript"/>
              </w:rPr>
              <w:t>(a)</w:t>
            </w:r>
          </w:p>
        </w:tc>
        <w:tc>
          <w:tcPr>
            <w:tcW w:w="1520" w:type="dxa"/>
            <w:vAlign w:val="bottom"/>
            <w:shd w:val="clear" w:color="auto" w:fill="EDEDED"/>
          </w:tcPr>
          <w:p>
            <w:pPr>
              <w:jc w:val="right"/>
              <w:ind w:right="223"/>
              <w:spacing w:after="0"/>
              <w:rPr>
                <w:sz w:val="20"/>
                <w:szCs w:val="20"/>
                <w:color w:val="auto"/>
              </w:rPr>
            </w:pPr>
            <w:r>
              <w:rPr>
                <w:rFonts w:ascii="Arial" w:cs="Arial" w:eastAsia="Arial" w:hAnsi="Arial"/>
                <w:sz w:val="16"/>
                <w:szCs w:val="16"/>
                <w:color w:val="435363"/>
              </w:rPr>
              <w:t>1,177,422</w:t>
            </w:r>
          </w:p>
        </w:tc>
        <w:tc>
          <w:tcPr>
            <w:tcW w:w="1520" w:type="dxa"/>
            <w:vAlign w:val="bottom"/>
            <w:shd w:val="clear" w:color="auto" w:fill="EDEDED"/>
          </w:tcPr>
          <w:p>
            <w:pPr>
              <w:jc w:val="right"/>
              <w:ind w:right="106"/>
              <w:spacing w:after="0" w:line="198" w:lineRule="exact"/>
              <w:rPr>
                <w:sz w:val="20"/>
                <w:szCs w:val="20"/>
                <w:color w:val="auto"/>
              </w:rPr>
            </w:pPr>
            <w:r>
              <w:rPr>
                <w:rFonts w:ascii="Arial" w:cs="Arial" w:eastAsia="Arial" w:hAnsi="Arial"/>
                <w:sz w:val="15"/>
                <w:szCs w:val="15"/>
                <w:color w:val="435363"/>
              </w:rPr>
              <w:t>85,693</w:t>
            </w:r>
            <w:r>
              <w:rPr>
                <w:rFonts w:ascii="Arial" w:cs="Arial" w:eastAsia="Arial" w:hAnsi="Arial"/>
                <w:sz w:val="22"/>
                <w:szCs w:val="22"/>
                <w:color w:val="435363"/>
                <w:vertAlign w:val="superscript"/>
              </w:rPr>
              <w:t>(b)</w:t>
            </w:r>
          </w:p>
        </w:tc>
        <w:tc>
          <w:tcPr>
            <w:tcW w:w="140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1,177,422</w:t>
            </w:r>
          </w:p>
        </w:tc>
        <w:tc>
          <w:tcPr>
            <w:tcW w:w="60" w:type="dxa"/>
            <w:vAlign w:val="bottom"/>
            <w:shd w:val="clear" w:color="auto" w:fill="EDEDED"/>
          </w:tcPr>
          <w:p>
            <w:pPr>
              <w:spacing w:after="0"/>
              <w:rPr>
                <w:sz w:val="17"/>
                <w:szCs w:val="17"/>
                <w:color w:val="auto"/>
              </w:rPr>
            </w:pPr>
          </w:p>
        </w:tc>
      </w:tr>
      <w:tr>
        <w:trPr>
          <w:trHeight w:val="185"/>
        </w:trPr>
        <w:tc>
          <w:tcPr>
            <w:tcW w:w="3520" w:type="dxa"/>
            <w:vAlign w:val="bottom"/>
            <w:shd w:val="clear" w:color="auto" w:fill="EDEDED"/>
          </w:tcPr>
          <w:p>
            <w:pPr>
              <w:spacing w:after="0"/>
              <w:rPr>
                <w:sz w:val="16"/>
                <w:szCs w:val="16"/>
                <w:color w:val="auto"/>
              </w:rPr>
            </w:pPr>
          </w:p>
        </w:tc>
        <w:tc>
          <w:tcPr>
            <w:tcW w:w="300" w:type="dxa"/>
            <w:vAlign w:val="bottom"/>
            <w:shd w:val="clear" w:color="auto" w:fill="EDEDED"/>
          </w:tcPr>
          <w:p>
            <w:pPr>
              <w:spacing w:after="0"/>
              <w:rPr>
                <w:sz w:val="16"/>
                <w:szCs w:val="16"/>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12/12/2022</w:t>
            </w:r>
          </w:p>
        </w:tc>
        <w:tc>
          <w:tcPr>
            <w:tcW w:w="1620" w:type="dxa"/>
            <w:vAlign w:val="bottom"/>
            <w:shd w:val="clear" w:color="auto" w:fill="EDEDED"/>
          </w:tcPr>
          <w:p>
            <w:pPr>
              <w:jc w:val="right"/>
              <w:ind w:right="107"/>
              <w:spacing w:after="0" w:line="186" w:lineRule="exact"/>
              <w:rPr>
                <w:sz w:val="20"/>
                <w:szCs w:val="20"/>
                <w:color w:val="auto"/>
              </w:rPr>
            </w:pPr>
            <w:r>
              <w:rPr>
                <w:rFonts w:ascii="Arial" w:cs="Arial" w:eastAsia="Arial" w:hAnsi="Arial"/>
                <w:sz w:val="15"/>
                <w:szCs w:val="15"/>
                <w:color w:val="435363"/>
              </w:rPr>
              <w:t>58,685</w:t>
            </w:r>
            <w:r>
              <w:rPr>
                <w:rFonts w:ascii="Arial" w:cs="Arial" w:eastAsia="Arial" w:hAnsi="Arial"/>
                <w:sz w:val="21"/>
                <w:szCs w:val="21"/>
                <w:color w:val="435363"/>
                <w:vertAlign w:val="superscript"/>
              </w:rPr>
              <w:t>(h)</w:t>
            </w:r>
          </w:p>
        </w:tc>
        <w:tc>
          <w:tcPr>
            <w:tcW w:w="1520" w:type="dxa"/>
            <w:vAlign w:val="bottom"/>
            <w:shd w:val="clear" w:color="auto" w:fill="EDEDED"/>
          </w:tcPr>
          <w:p>
            <w:pPr>
              <w:jc w:val="right"/>
              <w:ind w:right="223"/>
              <w:spacing w:after="0"/>
              <w:rPr>
                <w:sz w:val="20"/>
                <w:szCs w:val="20"/>
                <w:color w:val="auto"/>
              </w:rPr>
            </w:pPr>
            <w:r>
              <w:rPr>
                <w:rFonts w:ascii="Arial" w:cs="Arial" w:eastAsia="Arial" w:hAnsi="Arial"/>
                <w:sz w:val="16"/>
                <w:szCs w:val="16"/>
                <w:color w:val="435363"/>
              </w:rPr>
              <w:t>806,332</w:t>
            </w:r>
          </w:p>
        </w:tc>
        <w:tc>
          <w:tcPr>
            <w:tcW w:w="1520" w:type="dxa"/>
            <w:vAlign w:val="bottom"/>
            <w:shd w:val="clear" w:color="auto" w:fill="EDEDED"/>
          </w:tcPr>
          <w:p>
            <w:pPr>
              <w:jc w:val="right"/>
              <w:ind w:right="246"/>
              <w:spacing w:after="0"/>
              <w:rPr>
                <w:sz w:val="20"/>
                <w:szCs w:val="20"/>
                <w:color w:val="auto"/>
              </w:rPr>
            </w:pPr>
            <w:r>
              <w:rPr>
                <w:rFonts w:ascii="Arial" w:cs="Arial" w:eastAsia="Arial" w:hAnsi="Arial"/>
                <w:sz w:val="16"/>
                <w:szCs w:val="16"/>
                <w:color w:val="435363"/>
              </w:rPr>
              <w:t>-</w:t>
            </w:r>
          </w:p>
        </w:tc>
        <w:tc>
          <w:tcPr>
            <w:tcW w:w="140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w:t>
            </w:r>
          </w:p>
        </w:tc>
        <w:tc>
          <w:tcPr>
            <w:tcW w:w="60" w:type="dxa"/>
            <w:vAlign w:val="bottom"/>
            <w:shd w:val="clear" w:color="auto" w:fill="EDEDED"/>
          </w:tcPr>
          <w:p>
            <w:pPr>
              <w:spacing w:after="0"/>
              <w:rPr>
                <w:sz w:val="16"/>
                <w:szCs w:val="16"/>
                <w:color w:val="auto"/>
              </w:rPr>
            </w:pPr>
          </w:p>
        </w:tc>
      </w:tr>
      <w:tr>
        <w:trPr>
          <w:trHeight w:val="266"/>
        </w:trPr>
        <w:tc>
          <w:tcPr>
            <w:tcW w:w="3520" w:type="dxa"/>
            <w:vAlign w:val="bottom"/>
            <w:shd w:val="clear" w:color="auto" w:fill="EDEDED"/>
          </w:tcPr>
          <w:p>
            <w:pPr>
              <w:spacing w:after="0"/>
              <w:rPr>
                <w:sz w:val="23"/>
                <w:szCs w:val="23"/>
                <w:color w:val="auto"/>
              </w:rPr>
            </w:pPr>
          </w:p>
        </w:tc>
        <w:tc>
          <w:tcPr>
            <w:tcW w:w="300" w:type="dxa"/>
            <w:vAlign w:val="bottom"/>
            <w:shd w:val="clear" w:color="auto" w:fill="EDEDED"/>
          </w:tcPr>
          <w:p>
            <w:pPr>
              <w:spacing w:after="0"/>
              <w:rPr>
                <w:sz w:val="23"/>
                <w:szCs w:val="23"/>
                <w:color w:val="auto"/>
              </w:rPr>
            </w:pPr>
          </w:p>
        </w:tc>
        <w:tc>
          <w:tcPr>
            <w:tcW w:w="86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11/16/2021</w:t>
            </w:r>
          </w:p>
        </w:tc>
        <w:tc>
          <w:tcPr>
            <w:tcW w:w="1620" w:type="dxa"/>
            <w:vAlign w:val="bottom"/>
            <w:shd w:val="clear" w:color="auto" w:fill="EDEDED"/>
          </w:tcPr>
          <w:p>
            <w:pPr>
              <w:jc w:val="right"/>
              <w:ind w:right="107"/>
              <w:spacing w:after="0"/>
              <w:rPr>
                <w:sz w:val="20"/>
                <w:szCs w:val="20"/>
                <w:color w:val="auto"/>
              </w:rPr>
            </w:pPr>
            <w:r>
              <w:rPr>
                <w:rFonts w:ascii="Arial" w:cs="Arial" w:eastAsia="Arial" w:hAnsi="Arial"/>
                <w:sz w:val="16"/>
                <w:szCs w:val="16"/>
                <w:color w:val="435363"/>
              </w:rPr>
              <w:t>21,001</w:t>
            </w:r>
            <w:r>
              <w:rPr>
                <w:rFonts w:ascii="Arial" w:cs="Arial" w:eastAsia="Arial" w:hAnsi="Arial"/>
                <w:sz w:val="23"/>
                <w:szCs w:val="23"/>
                <w:color w:val="435363"/>
                <w:vertAlign w:val="superscript"/>
              </w:rPr>
              <w:t>(h)</w:t>
            </w:r>
          </w:p>
        </w:tc>
        <w:tc>
          <w:tcPr>
            <w:tcW w:w="1520" w:type="dxa"/>
            <w:vAlign w:val="bottom"/>
            <w:shd w:val="clear" w:color="auto" w:fill="EDEDED"/>
          </w:tcPr>
          <w:p>
            <w:pPr>
              <w:jc w:val="right"/>
              <w:ind w:right="223"/>
              <w:spacing w:after="0"/>
              <w:rPr>
                <w:sz w:val="20"/>
                <w:szCs w:val="20"/>
                <w:color w:val="auto"/>
              </w:rPr>
            </w:pPr>
            <w:r>
              <w:rPr>
                <w:rFonts w:ascii="Arial" w:cs="Arial" w:eastAsia="Arial" w:hAnsi="Arial"/>
                <w:sz w:val="16"/>
                <w:szCs w:val="16"/>
                <w:color w:val="435363"/>
              </w:rPr>
              <w:t>288,554</w:t>
            </w:r>
          </w:p>
        </w:tc>
        <w:tc>
          <w:tcPr>
            <w:tcW w:w="1520" w:type="dxa"/>
            <w:vAlign w:val="bottom"/>
            <w:shd w:val="clear" w:color="auto" w:fill="EDEDED"/>
          </w:tcPr>
          <w:p>
            <w:pPr>
              <w:jc w:val="right"/>
              <w:ind w:right="246"/>
              <w:spacing w:after="0"/>
              <w:rPr>
                <w:sz w:val="20"/>
                <w:szCs w:val="20"/>
                <w:color w:val="auto"/>
              </w:rPr>
            </w:pPr>
            <w:r>
              <w:rPr>
                <w:rFonts w:ascii="Arial" w:cs="Arial" w:eastAsia="Arial" w:hAnsi="Arial"/>
                <w:sz w:val="16"/>
                <w:szCs w:val="16"/>
                <w:color w:val="435363"/>
              </w:rPr>
              <w:t>-</w:t>
            </w:r>
          </w:p>
        </w:tc>
        <w:tc>
          <w:tcPr>
            <w:tcW w:w="140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w:t>
            </w:r>
          </w:p>
        </w:tc>
        <w:tc>
          <w:tcPr>
            <w:tcW w:w="60" w:type="dxa"/>
            <w:vAlign w:val="bottom"/>
            <w:shd w:val="clear" w:color="auto" w:fill="EDEDED"/>
          </w:tcPr>
          <w:p>
            <w:pPr>
              <w:spacing w:after="0"/>
              <w:rPr>
                <w:sz w:val="23"/>
                <w:szCs w:val="23"/>
                <w:color w:val="auto"/>
              </w:rPr>
            </w:pPr>
          </w:p>
        </w:tc>
      </w:tr>
      <w:tr>
        <w:trPr>
          <w:trHeight w:val="171"/>
        </w:trPr>
        <w:tc>
          <w:tcPr>
            <w:tcW w:w="3520" w:type="dxa"/>
            <w:vAlign w:val="bottom"/>
          </w:tcPr>
          <w:p>
            <w:pPr>
              <w:ind w:left="60"/>
              <w:spacing w:after="0" w:line="171" w:lineRule="exact"/>
              <w:rPr>
                <w:sz w:val="20"/>
                <w:szCs w:val="20"/>
                <w:color w:val="auto"/>
              </w:rPr>
            </w:pPr>
            <w:r>
              <w:rPr>
                <w:rFonts w:ascii="Arial" w:cs="Arial" w:eastAsia="Arial" w:hAnsi="Arial"/>
                <w:sz w:val="16"/>
                <w:szCs w:val="16"/>
                <w:b w:val="1"/>
                <w:bCs w:val="1"/>
                <w:color w:val="435363"/>
              </w:rPr>
              <w:t>Vasu Raja</w:t>
            </w:r>
          </w:p>
        </w:tc>
        <w:tc>
          <w:tcPr>
            <w:tcW w:w="30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6"/>
                <w:szCs w:val="16"/>
                <w:color w:val="435363"/>
              </w:rPr>
              <w:t>7/12/2023</w:t>
            </w:r>
          </w:p>
        </w:tc>
        <w:tc>
          <w:tcPr>
            <w:tcW w:w="1620" w:type="dxa"/>
            <w:vAlign w:val="bottom"/>
          </w:tcPr>
          <w:p>
            <w:pPr>
              <w:jc w:val="right"/>
              <w:ind w:right="107"/>
              <w:spacing w:after="0" w:line="171" w:lineRule="exact"/>
              <w:rPr>
                <w:sz w:val="20"/>
                <w:szCs w:val="20"/>
                <w:color w:val="auto"/>
              </w:rPr>
            </w:pPr>
            <w:r>
              <w:rPr>
                <w:rFonts w:ascii="Arial" w:cs="Arial" w:eastAsia="Arial" w:hAnsi="Arial"/>
                <w:sz w:val="13"/>
                <w:szCs w:val="13"/>
                <w:color w:val="435363"/>
              </w:rPr>
              <w:t>32,661</w:t>
            </w:r>
            <w:r>
              <w:rPr>
                <w:rFonts w:ascii="Arial" w:cs="Arial" w:eastAsia="Arial" w:hAnsi="Arial"/>
                <w:sz w:val="19"/>
                <w:szCs w:val="19"/>
                <w:color w:val="435363"/>
                <w:vertAlign w:val="superscript"/>
              </w:rPr>
              <w:t>(c)</w:t>
            </w:r>
          </w:p>
        </w:tc>
        <w:tc>
          <w:tcPr>
            <w:tcW w:w="1520" w:type="dxa"/>
            <w:vAlign w:val="bottom"/>
          </w:tcPr>
          <w:p>
            <w:pPr>
              <w:jc w:val="right"/>
              <w:ind w:right="223"/>
              <w:spacing w:after="0" w:line="171" w:lineRule="exact"/>
              <w:rPr>
                <w:sz w:val="20"/>
                <w:szCs w:val="20"/>
                <w:color w:val="auto"/>
              </w:rPr>
            </w:pPr>
            <w:r>
              <w:rPr>
                <w:rFonts w:ascii="Arial" w:cs="Arial" w:eastAsia="Arial" w:hAnsi="Arial"/>
                <w:sz w:val="16"/>
                <w:szCs w:val="16"/>
                <w:color w:val="435363"/>
              </w:rPr>
              <w:t>448,762</w:t>
            </w:r>
          </w:p>
        </w:tc>
        <w:tc>
          <w:tcPr>
            <w:tcW w:w="1520" w:type="dxa"/>
            <w:vAlign w:val="bottom"/>
          </w:tcPr>
          <w:p>
            <w:pPr>
              <w:jc w:val="right"/>
              <w:ind w:right="106"/>
              <w:spacing w:after="0" w:line="171" w:lineRule="exact"/>
              <w:rPr>
                <w:sz w:val="20"/>
                <w:szCs w:val="20"/>
                <w:color w:val="auto"/>
              </w:rPr>
            </w:pPr>
            <w:r>
              <w:rPr>
                <w:rFonts w:ascii="Arial" w:cs="Arial" w:eastAsia="Arial" w:hAnsi="Arial"/>
                <w:sz w:val="13"/>
                <w:szCs w:val="13"/>
                <w:color w:val="435363"/>
              </w:rPr>
              <w:t>32,662</w:t>
            </w:r>
            <w:r>
              <w:rPr>
                <w:rFonts w:ascii="Arial" w:cs="Arial" w:eastAsia="Arial" w:hAnsi="Arial"/>
                <w:sz w:val="19"/>
                <w:szCs w:val="19"/>
                <w:color w:val="435363"/>
                <w:vertAlign w:val="superscript"/>
              </w:rPr>
              <w:t>(d)</w:t>
            </w:r>
          </w:p>
        </w:tc>
        <w:tc>
          <w:tcPr>
            <w:tcW w:w="1400" w:type="dxa"/>
            <w:vAlign w:val="bottom"/>
          </w:tcPr>
          <w:p>
            <w:pPr>
              <w:jc w:val="right"/>
              <w:spacing w:after="0" w:line="171" w:lineRule="exact"/>
              <w:rPr>
                <w:sz w:val="20"/>
                <w:szCs w:val="20"/>
                <w:color w:val="auto"/>
              </w:rPr>
            </w:pPr>
            <w:r>
              <w:rPr>
                <w:rFonts w:ascii="Arial" w:cs="Arial" w:eastAsia="Arial" w:hAnsi="Arial"/>
                <w:sz w:val="16"/>
                <w:szCs w:val="16"/>
                <w:color w:val="435363"/>
              </w:rPr>
              <w:t>448,776</w:t>
            </w:r>
          </w:p>
        </w:tc>
        <w:tc>
          <w:tcPr>
            <w:tcW w:w="60" w:type="dxa"/>
            <w:vAlign w:val="bottom"/>
          </w:tcPr>
          <w:p>
            <w:pPr>
              <w:spacing w:after="0"/>
              <w:rPr>
                <w:sz w:val="14"/>
                <w:szCs w:val="14"/>
                <w:color w:val="auto"/>
              </w:rPr>
            </w:pPr>
          </w:p>
        </w:tc>
      </w:tr>
      <w:tr>
        <w:trPr>
          <w:trHeight w:val="185"/>
        </w:trPr>
        <w:tc>
          <w:tcPr>
            <w:tcW w:w="35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435363"/>
              </w:rPr>
              <w:t>5/2/2023</w:t>
            </w:r>
          </w:p>
        </w:tc>
        <w:tc>
          <w:tcPr>
            <w:tcW w:w="1620" w:type="dxa"/>
            <w:vAlign w:val="bottom"/>
          </w:tcPr>
          <w:p>
            <w:pPr>
              <w:jc w:val="right"/>
              <w:ind w:right="107"/>
              <w:spacing w:after="0" w:line="186" w:lineRule="exact"/>
              <w:rPr>
                <w:sz w:val="20"/>
                <w:szCs w:val="20"/>
                <w:color w:val="auto"/>
              </w:rPr>
            </w:pPr>
            <w:r>
              <w:rPr>
                <w:rFonts w:ascii="Arial" w:cs="Arial" w:eastAsia="Arial" w:hAnsi="Arial"/>
                <w:sz w:val="15"/>
                <w:szCs w:val="15"/>
                <w:color w:val="435363"/>
              </w:rPr>
              <w:t>103,848</w:t>
            </w:r>
            <w:r>
              <w:rPr>
                <w:rFonts w:ascii="Arial" w:cs="Arial" w:eastAsia="Arial" w:hAnsi="Arial"/>
                <w:sz w:val="21"/>
                <w:szCs w:val="21"/>
                <w:color w:val="435363"/>
                <w:vertAlign w:val="superscript"/>
              </w:rPr>
              <w:t>(a)</w:t>
            </w:r>
          </w:p>
        </w:tc>
        <w:tc>
          <w:tcPr>
            <w:tcW w:w="1520" w:type="dxa"/>
            <w:vAlign w:val="bottom"/>
          </w:tcPr>
          <w:p>
            <w:pPr>
              <w:jc w:val="right"/>
              <w:ind w:right="223"/>
              <w:spacing w:after="0"/>
              <w:rPr>
                <w:sz w:val="20"/>
                <w:szCs w:val="20"/>
                <w:color w:val="auto"/>
              </w:rPr>
            </w:pPr>
            <w:r>
              <w:rPr>
                <w:rFonts w:ascii="Arial" w:cs="Arial" w:eastAsia="Arial" w:hAnsi="Arial"/>
                <w:sz w:val="16"/>
                <w:szCs w:val="16"/>
                <w:color w:val="435363"/>
              </w:rPr>
              <w:t>1,426,872</w:t>
            </w:r>
          </w:p>
        </w:tc>
        <w:tc>
          <w:tcPr>
            <w:tcW w:w="1520" w:type="dxa"/>
            <w:vAlign w:val="bottom"/>
          </w:tcPr>
          <w:p>
            <w:pPr>
              <w:jc w:val="right"/>
              <w:ind w:right="106"/>
              <w:spacing w:after="0" w:line="186" w:lineRule="exact"/>
              <w:rPr>
                <w:sz w:val="20"/>
                <w:szCs w:val="20"/>
                <w:color w:val="auto"/>
              </w:rPr>
            </w:pPr>
            <w:r>
              <w:rPr>
                <w:rFonts w:ascii="Arial" w:cs="Arial" w:eastAsia="Arial" w:hAnsi="Arial"/>
                <w:sz w:val="15"/>
                <w:szCs w:val="15"/>
                <w:color w:val="435363"/>
              </w:rPr>
              <w:t>103,848</w:t>
            </w:r>
            <w:r>
              <w:rPr>
                <w:rFonts w:ascii="Arial" w:cs="Arial" w:eastAsia="Arial" w:hAnsi="Arial"/>
                <w:sz w:val="21"/>
                <w:szCs w:val="21"/>
                <w:color w:val="435363"/>
                <w:vertAlign w:val="superscript"/>
              </w:rPr>
              <w:t>(b)</w:t>
            </w:r>
          </w:p>
        </w:tc>
        <w:tc>
          <w:tcPr>
            <w:tcW w:w="1400" w:type="dxa"/>
            <w:vAlign w:val="bottom"/>
          </w:tcPr>
          <w:p>
            <w:pPr>
              <w:jc w:val="right"/>
              <w:spacing w:after="0"/>
              <w:rPr>
                <w:sz w:val="20"/>
                <w:szCs w:val="20"/>
                <w:color w:val="auto"/>
              </w:rPr>
            </w:pPr>
            <w:r>
              <w:rPr>
                <w:rFonts w:ascii="Arial" w:cs="Arial" w:eastAsia="Arial" w:hAnsi="Arial"/>
                <w:sz w:val="16"/>
                <w:szCs w:val="16"/>
                <w:color w:val="435363"/>
              </w:rPr>
              <w:t>1,426,872</w:t>
            </w:r>
          </w:p>
        </w:tc>
        <w:tc>
          <w:tcPr>
            <w:tcW w:w="60" w:type="dxa"/>
            <w:vAlign w:val="bottom"/>
          </w:tcPr>
          <w:p>
            <w:pPr>
              <w:spacing w:after="0"/>
              <w:rPr>
                <w:sz w:val="16"/>
                <w:szCs w:val="16"/>
                <w:color w:val="auto"/>
              </w:rPr>
            </w:pPr>
          </w:p>
        </w:tc>
      </w:tr>
      <w:tr>
        <w:trPr>
          <w:trHeight w:val="185"/>
        </w:trPr>
        <w:tc>
          <w:tcPr>
            <w:tcW w:w="35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435363"/>
              </w:rPr>
              <w:t>12/12/2022</w:t>
            </w:r>
          </w:p>
        </w:tc>
        <w:tc>
          <w:tcPr>
            <w:tcW w:w="1620" w:type="dxa"/>
            <w:vAlign w:val="bottom"/>
          </w:tcPr>
          <w:p>
            <w:pPr>
              <w:jc w:val="right"/>
              <w:ind w:right="107"/>
              <w:spacing w:after="0" w:line="186" w:lineRule="exact"/>
              <w:rPr>
                <w:sz w:val="20"/>
                <w:szCs w:val="20"/>
                <w:color w:val="auto"/>
              </w:rPr>
            </w:pPr>
            <w:r>
              <w:rPr>
                <w:rFonts w:ascii="Arial" w:cs="Arial" w:eastAsia="Arial" w:hAnsi="Arial"/>
                <w:sz w:val="15"/>
                <w:szCs w:val="15"/>
                <w:color w:val="435363"/>
              </w:rPr>
              <w:t>24,882</w:t>
            </w:r>
            <w:r>
              <w:rPr>
                <w:rFonts w:ascii="Arial" w:cs="Arial" w:eastAsia="Arial" w:hAnsi="Arial"/>
                <w:sz w:val="21"/>
                <w:szCs w:val="21"/>
                <w:color w:val="435363"/>
                <w:vertAlign w:val="superscript"/>
              </w:rPr>
              <w:t>(h)</w:t>
            </w:r>
          </w:p>
        </w:tc>
        <w:tc>
          <w:tcPr>
            <w:tcW w:w="1520" w:type="dxa"/>
            <w:vAlign w:val="bottom"/>
          </w:tcPr>
          <w:p>
            <w:pPr>
              <w:jc w:val="right"/>
              <w:ind w:right="223"/>
              <w:spacing w:after="0"/>
              <w:rPr>
                <w:sz w:val="20"/>
                <w:szCs w:val="20"/>
                <w:color w:val="auto"/>
              </w:rPr>
            </w:pPr>
            <w:r>
              <w:rPr>
                <w:rFonts w:ascii="Arial" w:cs="Arial" w:eastAsia="Arial" w:hAnsi="Arial"/>
                <w:sz w:val="16"/>
                <w:szCs w:val="16"/>
                <w:color w:val="435363"/>
              </w:rPr>
              <w:t>341,879</w:t>
            </w:r>
          </w:p>
        </w:tc>
        <w:tc>
          <w:tcPr>
            <w:tcW w:w="1520" w:type="dxa"/>
            <w:vAlign w:val="bottom"/>
          </w:tcPr>
          <w:p>
            <w:pPr>
              <w:jc w:val="right"/>
              <w:ind w:right="246"/>
              <w:spacing w:after="0"/>
              <w:rPr>
                <w:sz w:val="20"/>
                <w:szCs w:val="20"/>
                <w:color w:val="auto"/>
              </w:rPr>
            </w:pPr>
            <w:r>
              <w:rPr>
                <w:rFonts w:ascii="Arial" w:cs="Arial" w:eastAsia="Arial" w:hAnsi="Arial"/>
                <w:sz w:val="16"/>
                <w:szCs w:val="16"/>
                <w:color w:val="435363"/>
              </w:rPr>
              <w:t>-</w:t>
            </w:r>
          </w:p>
        </w:tc>
        <w:tc>
          <w:tcPr>
            <w:tcW w:w="1400" w:type="dxa"/>
            <w:vAlign w:val="bottom"/>
          </w:tcPr>
          <w:p>
            <w:pPr>
              <w:jc w:val="right"/>
              <w:spacing w:after="0"/>
              <w:rPr>
                <w:sz w:val="20"/>
                <w:szCs w:val="20"/>
                <w:color w:val="auto"/>
              </w:rPr>
            </w:pPr>
            <w:r>
              <w:rPr>
                <w:rFonts w:ascii="Arial" w:cs="Arial" w:eastAsia="Arial" w:hAnsi="Arial"/>
                <w:sz w:val="16"/>
                <w:szCs w:val="16"/>
                <w:color w:val="435363"/>
              </w:rPr>
              <w:t>-</w:t>
            </w:r>
          </w:p>
        </w:tc>
        <w:tc>
          <w:tcPr>
            <w:tcW w:w="60" w:type="dxa"/>
            <w:vAlign w:val="bottom"/>
          </w:tcPr>
          <w:p>
            <w:pPr>
              <w:spacing w:after="0"/>
              <w:rPr>
                <w:sz w:val="16"/>
                <w:szCs w:val="16"/>
                <w:color w:val="auto"/>
              </w:rPr>
            </w:pPr>
          </w:p>
        </w:tc>
      </w:tr>
      <w:tr>
        <w:trPr>
          <w:trHeight w:val="320"/>
        </w:trPr>
        <w:tc>
          <w:tcPr>
            <w:tcW w:w="35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435363"/>
              </w:rPr>
              <w:t>11/16/2021</w:t>
            </w:r>
          </w:p>
        </w:tc>
        <w:tc>
          <w:tcPr>
            <w:tcW w:w="1620" w:type="dxa"/>
            <w:vAlign w:val="bottom"/>
          </w:tcPr>
          <w:p>
            <w:pPr>
              <w:jc w:val="right"/>
              <w:ind w:right="107"/>
              <w:spacing w:after="0"/>
              <w:rPr>
                <w:sz w:val="20"/>
                <w:szCs w:val="20"/>
                <w:color w:val="auto"/>
              </w:rPr>
            </w:pPr>
            <w:r>
              <w:rPr>
                <w:rFonts w:ascii="Arial" w:cs="Arial" w:eastAsia="Arial" w:hAnsi="Arial"/>
                <w:sz w:val="16"/>
                <w:szCs w:val="16"/>
                <w:color w:val="435363"/>
              </w:rPr>
              <w:t>8,736</w:t>
            </w:r>
            <w:r>
              <w:rPr>
                <w:rFonts w:ascii="Arial" w:cs="Arial" w:eastAsia="Arial" w:hAnsi="Arial"/>
                <w:sz w:val="23"/>
                <w:szCs w:val="23"/>
                <w:color w:val="435363"/>
                <w:vertAlign w:val="superscript"/>
              </w:rPr>
              <w:t>(h)</w:t>
            </w:r>
          </w:p>
        </w:tc>
        <w:tc>
          <w:tcPr>
            <w:tcW w:w="1520" w:type="dxa"/>
            <w:vAlign w:val="bottom"/>
          </w:tcPr>
          <w:p>
            <w:pPr>
              <w:jc w:val="right"/>
              <w:ind w:right="223"/>
              <w:spacing w:after="0"/>
              <w:rPr>
                <w:sz w:val="20"/>
                <w:szCs w:val="20"/>
                <w:color w:val="auto"/>
              </w:rPr>
            </w:pPr>
            <w:r>
              <w:rPr>
                <w:rFonts w:ascii="Arial" w:cs="Arial" w:eastAsia="Arial" w:hAnsi="Arial"/>
                <w:sz w:val="16"/>
                <w:szCs w:val="16"/>
                <w:color w:val="435363"/>
              </w:rPr>
              <w:t>120,033</w:t>
            </w:r>
          </w:p>
        </w:tc>
        <w:tc>
          <w:tcPr>
            <w:tcW w:w="1520" w:type="dxa"/>
            <w:vAlign w:val="bottom"/>
          </w:tcPr>
          <w:p>
            <w:pPr>
              <w:jc w:val="right"/>
              <w:ind w:right="246"/>
              <w:spacing w:after="0"/>
              <w:rPr>
                <w:sz w:val="20"/>
                <w:szCs w:val="20"/>
                <w:color w:val="auto"/>
              </w:rPr>
            </w:pPr>
            <w:r>
              <w:rPr>
                <w:rFonts w:ascii="Arial" w:cs="Arial" w:eastAsia="Arial" w:hAnsi="Arial"/>
                <w:sz w:val="16"/>
                <w:szCs w:val="16"/>
                <w:color w:val="435363"/>
              </w:rPr>
              <w:t>-</w:t>
            </w:r>
          </w:p>
        </w:tc>
        <w:tc>
          <w:tcPr>
            <w:tcW w:w="1400" w:type="dxa"/>
            <w:vAlign w:val="bottom"/>
          </w:tcPr>
          <w:p>
            <w:pPr>
              <w:jc w:val="right"/>
              <w:spacing w:after="0"/>
              <w:rPr>
                <w:sz w:val="20"/>
                <w:szCs w:val="20"/>
                <w:color w:val="auto"/>
              </w:rPr>
            </w:pPr>
            <w:r>
              <w:rPr>
                <w:rFonts w:ascii="Arial" w:cs="Arial" w:eastAsia="Arial" w:hAnsi="Arial"/>
                <w:sz w:val="16"/>
                <w:szCs w:val="16"/>
                <w:color w:val="435363"/>
              </w:rPr>
              <w:t>-</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-33655</wp:posOffset>
            </wp:positionV>
            <wp:extent cx="685736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1" w:lineRule="exact"/>
        <w:rPr>
          <w:sz w:val="20"/>
          <w:szCs w:val="20"/>
          <w:color w:val="auto"/>
        </w:rPr>
      </w:pPr>
    </w:p>
    <w:p>
      <w:pPr>
        <w:ind w:left="640" w:right="80" w:hanging="416"/>
        <w:spacing w:after="0" w:line="274" w:lineRule="auto"/>
        <w:tabs>
          <w:tab w:leader="none" w:pos="640" w:val="left"/>
        </w:tabs>
        <w:numPr>
          <w:ilvl w:val="0"/>
          <w:numId w:val="55"/>
        </w:numPr>
        <w:rPr>
          <w:rFonts w:ascii="Arial" w:cs="Arial" w:eastAsia="Arial" w:hAnsi="Arial"/>
          <w:sz w:val="12"/>
          <w:szCs w:val="12"/>
          <w:color w:val="435363"/>
        </w:rPr>
      </w:pPr>
      <w:r>
        <w:rPr>
          <w:rFonts w:ascii="Arial" w:cs="Arial" w:eastAsia="Arial" w:hAnsi="Arial"/>
          <w:sz w:val="12"/>
          <w:szCs w:val="12"/>
          <w:color w:val="435363"/>
        </w:rPr>
        <w:t>Represents the time-vesting portion of the named executive officer’s 2023 annual RSU awards that vest, subject to the executive’s continued employment, with respect to 66.66% on the first anniversary of the grant date and with respect to 33.33% of the shares on the second anniversary of the grant date.</w:t>
      </w:r>
    </w:p>
    <w:p>
      <w:pPr>
        <w:spacing w:after="0" w:line="29" w:lineRule="exact"/>
        <w:rPr>
          <w:rFonts w:ascii="Arial" w:cs="Arial" w:eastAsia="Arial" w:hAnsi="Arial"/>
          <w:sz w:val="12"/>
          <w:szCs w:val="12"/>
          <w:color w:val="435363"/>
        </w:rPr>
      </w:pPr>
    </w:p>
    <w:p>
      <w:pPr>
        <w:ind w:left="640" w:right="140" w:hanging="416"/>
        <w:spacing w:after="0" w:line="241" w:lineRule="auto"/>
        <w:tabs>
          <w:tab w:leader="none" w:pos="640" w:val="left"/>
        </w:tabs>
        <w:numPr>
          <w:ilvl w:val="0"/>
          <w:numId w:val="55"/>
        </w:numPr>
        <w:rPr>
          <w:rFonts w:ascii="Arial" w:cs="Arial" w:eastAsia="Arial" w:hAnsi="Arial"/>
          <w:sz w:val="12"/>
          <w:szCs w:val="12"/>
          <w:color w:val="435363"/>
        </w:rPr>
      </w:pPr>
      <w:r>
        <w:rPr>
          <w:rFonts w:ascii="Arial" w:cs="Arial" w:eastAsia="Arial" w:hAnsi="Arial"/>
          <w:sz w:val="12"/>
          <w:szCs w:val="12"/>
          <w:color w:val="435363"/>
        </w:rPr>
        <w:t>Represents the performance-vesting portion of the named executive officers’ 2023 annual RSU awards that vest on the third anniversary of the grant date, subject to the executive’s continued service and based on the Company’s achievement of (i) total debt reduction from year-end 2022 to year-end 2025 and (ii) pre-tax income margin improvement relative to the pre-tax income margin improvement for a pre-defined group of airlines based on 2023-2025 pre-tax income margin over a 2019 baseline. The number of shares that will be issued with respect to the performance-vesting RSUs varies between 25% and 200% depending on the Company’s performance, and no shares will be issued if threshold performance is not achieved. Based on our expected attainment level as of December 31, 2023, the target number of RSUs is shown.</w:t>
      </w:r>
    </w:p>
    <w:p>
      <w:pPr>
        <w:spacing w:after="0" w:line="48" w:lineRule="exact"/>
        <w:rPr>
          <w:rFonts w:ascii="Arial" w:cs="Arial" w:eastAsia="Arial" w:hAnsi="Arial"/>
          <w:sz w:val="12"/>
          <w:szCs w:val="12"/>
          <w:color w:val="435363"/>
        </w:rPr>
      </w:pPr>
    </w:p>
    <w:p>
      <w:pPr>
        <w:ind w:left="640" w:right="220" w:hanging="416"/>
        <w:spacing w:after="0" w:line="274" w:lineRule="auto"/>
        <w:tabs>
          <w:tab w:leader="none" w:pos="640" w:val="left"/>
        </w:tabs>
        <w:numPr>
          <w:ilvl w:val="0"/>
          <w:numId w:val="55"/>
        </w:numPr>
        <w:rPr>
          <w:rFonts w:ascii="Arial" w:cs="Arial" w:eastAsia="Arial" w:hAnsi="Arial"/>
          <w:sz w:val="12"/>
          <w:szCs w:val="12"/>
          <w:color w:val="435363"/>
        </w:rPr>
      </w:pPr>
      <w:r>
        <w:rPr>
          <w:rFonts w:ascii="Arial" w:cs="Arial" w:eastAsia="Arial" w:hAnsi="Arial"/>
          <w:sz w:val="12"/>
          <w:szCs w:val="12"/>
          <w:color w:val="435363"/>
        </w:rPr>
        <w:t>Represents the time-vesting portion of the named executive officers’ 2023 one-time and promotion RSU awards that vest, subject to the executive’s continued employment, with respect to 66.66% on the first anniversary of the grant date and with respect to 33.33% of the shares on the second anniversary of the grant date.</w:t>
      </w:r>
    </w:p>
    <w:p>
      <w:pPr>
        <w:spacing w:after="0" w:line="29" w:lineRule="exact"/>
        <w:rPr>
          <w:rFonts w:ascii="Arial" w:cs="Arial" w:eastAsia="Arial" w:hAnsi="Arial"/>
          <w:sz w:val="12"/>
          <w:szCs w:val="12"/>
          <w:color w:val="435363"/>
        </w:rPr>
      </w:pPr>
    </w:p>
    <w:p>
      <w:pPr>
        <w:ind w:left="640" w:right="80" w:hanging="416"/>
        <w:spacing w:after="0" w:line="241" w:lineRule="auto"/>
        <w:tabs>
          <w:tab w:leader="none" w:pos="640" w:val="left"/>
        </w:tabs>
        <w:numPr>
          <w:ilvl w:val="0"/>
          <w:numId w:val="55"/>
        </w:numPr>
        <w:rPr>
          <w:rFonts w:ascii="Arial" w:cs="Arial" w:eastAsia="Arial" w:hAnsi="Arial"/>
          <w:sz w:val="12"/>
          <w:szCs w:val="12"/>
          <w:color w:val="435363"/>
        </w:rPr>
      </w:pPr>
      <w:r>
        <w:rPr>
          <w:rFonts w:ascii="Arial" w:cs="Arial" w:eastAsia="Arial" w:hAnsi="Arial"/>
          <w:sz w:val="12"/>
          <w:szCs w:val="12"/>
          <w:color w:val="435363"/>
        </w:rPr>
        <w:t>Represents the performance-vesting portion of the named executive officers’ 2023 one-time and promotion RSU awards that vest on the third anniversary of the grant date, subject to the executive’s continued service and based on the Company’s achievement of (i) total debt reduction from year-end 2022 to year-end 2025 and (ii) pre-tax income margin improvement relative to the pre-tax income margin improvement for a pre-defined group of airlines based on 2023-2025 pre-tax income margin over a 2019 baseline. The number of shares that will be issued with respect to the performance-vesting RSUs varies between 25% and 200% depending on the Company’s performance, and no shares will be issued if threshold performance is not achieved. Based on our expected attainment level as of December 31, 2023, the target number of RSUs is shown.</w:t>
      </w:r>
    </w:p>
    <w:p>
      <w:pPr>
        <w:spacing w:after="0" w:line="48" w:lineRule="exact"/>
        <w:rPr>
          <w:rFonts w:ascii="Arial" w:cs="Arial" w:eastAsia="Arial" w:hAnsi="Arial"/>
          <w:sz w:val="12"/>
          <w:szCs w:val="12"/>
          <w:color w:val="435363"/>
        </w:rPr>
      </w:pPr>
    </w:p>
    <w:p>
      <w:pPr>
        <w:ind w:left="640" w:right="240" w:hanging="416"/>
        <w:spacing w:after="0" w:line="274" w:lineRule="auto"/>
        <w:tabs>
          <w:tab w:leader="none" w:pos="640" w:val="left"/>
        </w:tabs>
        <w:numPr>
          <w:ilvl w:val="0"/>
          <w:numId w:val="55"/>
        </w:numPr>
        <w:rPr>
          <w:rFonts w:ascii="Arial" w:cs="Arial" w:eastAsia="Arial" w:hAnsi="Arial"/>
          <w:sz w:val="12"/>
          <w:szCs w:val="12"/>
          <w:color w:val="435363"/>
        </w:rPr>
      </w:pPr>
      <w:r>
        <w:rPr>
          <w:rFonts w:ascii="Arial" w:cs="Arial" w:eastAsia="Arial" w:hAnsi="Arial"/>
          <w:sz w:val="12"/>
          <w:szCs w:val="12"/>
          <w:color w:val="435363"/>
        </w:rPr>
        <w:t>Represents the time-vesting portion of the RSU awards granted on February 24, 2022, with 80% of the time-vesting shares vesting on February 24, 2023, the first anniversary of the grant date and 20% of the time-vesting shares vesting on February 24, 2024, the second anniversary of the grant date, subject to continued service.</w:t>
      </w:r>
    </w:p>
    <w:p>
      <w:pPr>
        <w:spacing w:after="0" w:line="29" w:lineRule="exact"/>
        <w:rPr>
          <w:rFonts w:ascii="Arial" w:cs="Arial" w:eastAsia="Arial" w:hAnsi="Arial"/>
          <w:sz w:val="12"/>
          <w:szCs w:val="12"/>
          <w:color w:val="435363"/>
        </w:rPr>
      </w:pPr>
    </w:p>
    <w:p>
      <w:pPr>
        <w:ind w:left="640" w:right="100" w:hanging="416"/>
        <w:spacing w:after="0" w:line="241" w:lineRule="auto"/>
        <w:tabs>
          <w:tab w:leader="none" w:pos="640" w:val="left"/>
        </w:tabs>
        <w:numPr>
          <w:ilvl w:val="0"/>
          <w:numId w:val="55"/>
        </w:numPr>
        <w:rPr>
          <w:rFonts w:ascii="Arial" w:cs="Arial" w:eastAsia="Arial" w:hAnsi="Arial"/>
          <w:sz w:val="12"/>
          <w:szCs w:val="12"/>
          <w:color w:val="435363"/>
        </w:rPr>
      </w:pPr>
      <w:r>
        <w:rPr>
          <w:rFonts w:ascii="Arial" w:cs="Arial" w:eastAsia="Arial" w:hAnsi="Arial"/>
          <w:sz w:val="12"/>
          <w:szCs w:val="12"/>
          <w:color w:val="435363"/>
        </w:rPr>
        <w:t>Represents the performance-vesting portion of the RSUs granted on February 24, 2022, that will vest, subject to continued service, on February 24, 2025, based on the Company’s achievement of (i) total debt reduction from year-end 2021 to year-end 2024 and (ii) pre-tax income margin improvement relative to the pre-tax income margin improvement for a pre-defined group of airlines based on 2024 pre-tax income margin over a 2019 baseline. The number of shares that will be issued with respect to the performance-vesting RSUs varies between 20% and 200% depending on the Company’s performance, and no shares will be issued if threshold performance is not achieved. Based on our expected attainment level as of December 31, 2023, 160% of the target number of RSUs is shown.</w:t>
      </w:r>
    </w:p>
    <w:p>
      <w:pPr>
        <w:spacing w:after="0" w:line="48" w:lineRule="exact"/>
        <w:rPr>
          <w:rFonts w:ascii="Arial" w:cs="Arial" w:eastAsia="Arial" w:hAnsi="Arial"/>
          <w:sz w:val="12"/>
          <w:szCs w:val="12"/>
          <w:color w:val="435363"/>
        </w:rPr>
      </w:pPr>
    </w:p>
    <w:p>
      <w:pPr>
        <w:ind w:left="640" w:right="100" w:hanging="416"/>
        <w:spacing w:after="0" w:line="274" w:lineRule="auto"/>
        <w:tabs>
          <w:tab w:leader="none" w:pos="640" w:val="left"/>
        </w:tabs>
        <w:numPr>
          <w:ilvl w:val="0"/>
          <w:numId w:val="55"/>
        </w:numPr>
        <w:rPr>
          <w:rFonts w:ascii="Arial" w:cs="Arial" w:eastAsia="Arial" w:hAnsi="Arial"/>
          <w:sz w:val="12"/>
          <w:szCs w:val="12"/>
          <w:color w:val="435363"/>
        </w:rPr>
      </w:pPr>
      <w:r>
        <w:rPr>
          <w:rFonts w:ascii="Arial" w:cs="Arial" w:eastAsia="Arial" w:hAnsi="Arial"/>
          <w:sz w:val="12"/>
          <w:szCs w:val="12"/>
          <w:color w:val="435363"/>
        </w:rPr>
        <w:t>Represents time-vesting RSU awards. 40% of the shares underlying grant vested on February 16, 2022, the first anniversary of the grant date, 40% of the shares underlying grant vested on February 16, 2023, the second anniversary of the grant date, and 20% of the shares underlying grant vested on the February 16, 2024, the third anniversary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97155</wp:posOffset>
            </wp:positionV>
            <wp:extent cx="5177155" cy="1682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58" w:lineRule="exact"/>
        <w:rPr>
          <w:sz w:val="20"/>
          <w:szCs w:val="20"/>
          <w:color w:val="auto"/>
        </w:rPr>
      </w:pPr>
    </w:p>
    <w:p>
      <w:pPr>
        <w:ind w:left="10840"/>
        <w:spacing w:after="0"/>
        <w:rPr>
          <w:sz w:val="20"/>
          <w:szCs w:val="20"/>
          <w:color w:val="auto"/>
        </w:rPr>
      </w:pPr>
      <w:r>
        <w:rPr>
          <w:rFonts w:ascii="Arial" w:cs="Arial" w:eastAsia="Arial" w:hAnsi="Arial"/>
          <w:sz w:val="16"/>
          <w:szCs w:val="16"/>
          <w:b w:val="1"/>
          <w:bCs w:val="1"/>
          <w:color w:val="435363"/>
        </w:rPr>
        <w:t>71</w:t>
      </w: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3" w:lineRule="exact"/>
        <w:rPr>
          <w:sz w:val="20"/>
          <w:szCs w:val="20"/>
          <w:color w:val="auto"/>
        </w:rPr>
      </w:pPr>
    </w:p>
    <w:p>
      <w:pPr>
        <w:ind w:left="640" w:hanging="416"/>
        <w:spacing w:after="0"/>
        <w:tabs>
          <w:tab w:leader="none" w:pos="640" w:val="left"/>
        </w:tabs>
        <w:numPr>
          <w:ilvl w:val="0"/>
          <w:numId w:val="56"/>
        </w:numPr>
        <w:rPr>
          <w:rFonts w:ascii="Arial" w:cs="Arial" w:eastAsia="Arial" w:hAnsi="Arial"/>
          <w:sz w:val="12"/>
          <w:szCs w:val="12"/>
          <w:color w:val="435363"/>
        </w:rPr>
      </w:pPr>
      <w:r>
        <w:rPr>
          <w:rFonts w:ascii="Arial" w:cs="Arial" w:eastAsia="Arial" w:hAnsi="Arial"/>
          <w:sz w:val="12"/>
          <w:szCs w:val="12"/>
          <w:color w:val="435363"/>
        </w:rPr>
        <w:t>Represents time-vesting RSU awards that vest over three years, with one-third of the shares vesting on each of the first, second and third anniversaries of the grant date.</w:t>
      </w:r>
    </w:p>
    <w:p>
      <w:pPr>
        <w:spacing w:after="0" w:line="74" w:lineRule="exact"/>
        <w:rPr>
          <w:sz w:val="20"/>
          <w:szCs w:val="20"/>
          <w:color w:val="auto"/>
        </w:rPr>
      </w:pPr>
    </w:p>
    <w:p>
      <w:pPr>
        <w:ind w:left="640" w:right="280" w:hanging="416"/>
        <w:spacing w:after="0" w:line="274" w:lineRule="auto"/>
        <w:tabs>
          <w:tab w:leader="none" w:pos="640" w:val="left"/>
        </w:tabs>
        <w:numPr>
          <w:ilvl w:val="0"/>
          <w:numId w:val="57"/>
        </w:numPr>
        <w:rPr>
          <w:rFonts w:ascii="Arial" w:cs="Arial" w:eastAsia="Arial" w:hAnsi="Arial"/>
          <w:sz w:val="12"/>
          <w:szCs w:val="12"/>
          <w:color w:val="435363"/>
        </w:rPr>
      </w:pPr>
      <w:r>
        <w:rPr>
          <w:rFonts w:ascii="Arial" w:cs="Arial" w:eastAsia="Arial" w:hAnsi="Arial"/>
          <w:sz w:val="12"/>
          <w:szCs w:val="12"/>
          <w:color w:val="435363"/>
        </w:rPr>
        <w:t>The market value of RSUs was calculated by multiplying $13.74, the closing price of a share of our Common Stock on December 29, 2023, by the number of unvested RSUs outstanding under the award.</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Options Exercised and Stock Vested</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The following table provides information regarding the vesting of RSUs held by the named executive officers during the year ended December 31, 2023.</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Our named executive officers did not hold any options or SARs during 2023.</w:t>
      </w:r>
    </w:p>
    <w:p>
      <w:pPr>
        <w:spacing w:after="0" w:line="228" w:lineRule="exact"/>
        <w:rPr>
          <w:sz w:val="20"/>
          <w:szCs w:val="20"/>
          <w:color w:val="auto"/>
        </w:rPr>
      </w:pPr>
    </w:p>
    <w:tbl>
      <w:tblPr>
        <w:tblLayout w:type="fixed"/>
        <w:tblInd w:w="240" w:type="dxa"/>
        <w:tblCellMar>
          <w:top w:w="0" w:type="dxa"/>
          <w:left w:w="0" w:type="dxa"/>
          <w:bottom w:w="0" w:type="dxa"/>
          <w:right w:w="0" w:type="dxa"/>
        </w:tblCellMar>
      </w:tblPr>
      <w:tr>
        <w:trPr>
          <w:trHeight w:val="168"/>
        </w:trPr>
        <w:tc>
          <w:tcPr>
            <w:tcW w:w="6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80" w:type="dxa"/>
            <w:vAlign w:val="bottom"/>
            <w:tcBorders>
              <w:bottom w:val="single" w:sz="8" w:color="BF0000"/>
            </w:tcBorders>
          </w:tcPr>
          <w:p>
            <w:pPr>
              <w:jc w:val="right"/>
              <w:spacing w:after="0"/>
              <w:rPr>
                <w:sz w:val="20"/>
                <w:szCs w:val="20"/>
                <w:color w:val="auto"/>
              </w:rPr>
            </w:pPr>
            <w:r>
              <w:rPr>
                <w:rFonts w:ascii="Arial" w:cs="Arial" w:eastAsia="Arial" w:hAnsi="Arial"/>
                <w:sz w:val="14"/>
                <w:szCs w:val="14"/>
                <w:b w:val="1"/>
                <w:bCs w:val="1"/>
                <w:color w:val="3575B3"/>
              </w:rPr>
              <w:t>Stock Awards</w:t>
            </w:r>
          </w:p>
        </w:tc>
        <w:tc>
          <w:tcPr>
            <w:tcW w:w="1040" w:type="dxa"/>
            <w:vAlign w:val="bottom"/>
            <w:tcBorders>
              <w:bottom w:val="single" w:sz="8" w:color="BF0000"/>
            </w:tcBorders>
          </w:tcPr>
          <w:p>
            <w:pPr>
              <w:spacing w:after="0"/>
              <w:rPr>
                <w:sz w:val="14"/>
                <w:szCs w:val="14"/>
                <w:color w:val="auto"/>
              </w:rPr>
            </w:pPr>
          </w:p>
        </w:tc>
        <w:tc>
          <w:tcPr>
            <w:tcW w:w="60" w:type="dxa"/>
            <w:vAlign w:val="bottom"/>
          </w:tcPr>
          <w:p>
            <w:pPr>
              <w:spacing w:after="0"/>
              <w:rPr>
                <w:sz w:val="14"/>
                <w:szCs w:val="14"/>
                <w:color w:val="auto"/>
              </w:rPr>
            </w:pPr>
          </w:p>
        </w:tc>
      </w:tr>
      <w:tr>
        <w:trPr>
          <w:trHeight w:val="143"/>
        </w:trPr>
        <w:tc>
          <w:tcPr>
            <w:tcW w:w="6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80" w:type="dxa"/>
            <w:vAlign w:val="bottom"/>
          </w:tcPr>
          <w:p>
            <w:pPr>
              <w:jc w:val="center"/>
              <w:ind w:right="629"/>
              <w:spacing w:after="0" w:line="143" w:lineRule="exact"/>
              <w:rPr>
                <w:sz w:val="20"/>
                <w:szCs w:val="20"/>
                <w:color w:val="auto"/>
              </w:rPr>
            </w:pPr>
            <w:r>
              <w:rPr>
                <w:rFonts w:ascii="Arial" w:cs="Arial" w:eastAsia="Arial" w:hAnsi="Arial"/>
                <w:sz w:val="14"/>
                <w:szCs w:val="14"/>
                <w:b w:val="1"/>
                <w:bCs w:val="1"/>
                <w:color w:val="3575B3"/>
              </w:rPr>
              <w:t>Number of Shares</w:t>
            </w: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3575B3"/>
                <w:w w:val="99"/>
              </w:rPr>
              <w:t>Value Realized</w:t>
            </w:r>
          </w:p>
        </w:tc>
        <w:tc>
          <w:tcPr>
            <w:tcW w:w="60" w:type="dxa"/>
            <w:vAlign w:val="bottom"/>
          </w:tcPr>
          <w:p>
            <w:pPr>
              <w:spacing w:after="0"/>
              <w:rPr>
                <w:sz w:val="12"/>
                <w:szCs w:val="12"/>
                <w:color w:val="auto"/>
              </w:rPr>
            </w:pPr>
          </w:p>
        </w:tc>
      </w:tr>
      <w:tr>
        <w:trPr>
          <w:trHeight w:val="155"/>
        </w:trPr>
        <w:tc>
          <w:tcPr>
            <w:tcW w:w="6940" w:type="dxa"/>
            <w:vAlign w:val="bottom"/>
          </w:tcPr>
          <w:p>
            <w:pPr>
              <w:spacing w:after="0"/>
              <w:rPr>
                <w:sz w:val="13"/>
                <w:szCs w:val="13"/>
                <w:color w:val="auto"/>
              </w:rPr>
            </w:pPr>
          </w:p>
        </w:tc>
        <w:tc>
          <w:tcPr>
            <w:tcW w:w="27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3575B3"/>
              </w:rPr>
              <w:t>Acquired on Vesting</w:t>
            </w:r>
          </w:p>
        </w:tc>
        <w:tc>
          <w:tcPr>
            <w:tcW w:w="1100" w:type="dxa"/>
            <w:vAlign w:val="bottom"/>
            <w:gridSpan w:val="2"/>
          </w:tcPr>
          <w:p>
            <w:pPr>
              <w:jc w:val="center"/>
              <w:ind w:right="20"/>
              <w:spacing w:after="0" w:line="155" w:lineRule="exact"/>
              <w:rPr>
                <w:sz w:val="20"/>
                <w:szCs w:val="20"/>
                <w:color w:val="auto"/>
              </w:rPr>
            </w:pPr>
            <w:r>
              <w:rPr>
                <w:rFonts w:ascii="Arial" w:cs="Arial" w:eastAsia="Arial" w:hAnsi="Arial"/>
                <w:sz w:val="14"/>
                <w:szCs w:val="14"/>
                <w:b w:val="1"/>
                <w:bCs w:val="1"/>
                <w:color w:val="3575B3"/>
              </w:rPr>
              <w:t>on Vesting</w:t>
            </w:r>
          </w:p>
        </w:tc>
      </w:tr>
      <w:tr>
        <w:trPr>
          <w:trHeight w:val="185"/>
        </w:trPr>
        <w:tc>
          <w:tcPr>
            <w:tcW w:w="6940" w:type="dxa"/>
            <w:vAlign w:val="bottom"/>
            <w:tcBorders>
              <w:bottom w:val="single" w:sz="8" w:color="BF0000"/>
            </w:tcBorders>
          </w:tcPr>
          <w:p>
            <w:pPr>
              <w:ind w:left="60"/>
              <w:spacing w:after="0"/>
              <w:rPr>
                <w:sz w:val="20"/>
                <w:szCs w:val="20"/>
                <w:color w:val="auto"/>
              </w:rPr>
            </w:pPr>
            <w:r>
              <w:rPr>
                <w:rFonts w:ascii="Arial" w:cs="Arial" w:eastAsia="Arial" w:hAnsi="Arial"/>
                <w:sz w:val="14"/>
                <w:szCs w:val="14"/>
                <w:b w:val="1"/>
                <w:bCs w:val="1"/>
                <w:color w:val="3575B3"/>
              </w:rPr>
              <w:t>Name</w:t>
            </w:r>
          </w:p>
        </w:tc>
        <w:tc>
          <w:tcPr>
            <w:tcW w:w="2760" w:type="dxa"/>
            <w:vAlign w:val="bottom"/>
            <w:tcBorders>
              <w:bottom w:val="single" w:sz="8" w:color="BF0000"/>
            </w:tcBorders>
            <w:gridSpan w:val="2"/>
          </w:tcPr>
          <w:p>
            <w:pPr>
              <w:jc w:val="center"/>
              <w:spacing w:after="0"/>
              <w:rPr>
                <w:sz w:val="20"/>
                <w:szCs w:val="20"/>
                <w:color w:val="auto"/>
              </w:rPr>
            </w:pPr>
            <w:r>
              <w:rPr>
                <w:rFonts w:ascii="Arial" w:cs="Arial" w:eastAsia="Arial" w:hAnsi="Arial"/>
                <w:sz w:val="14"/>
                <w:szCs w:val="14"/>
                <w:b w:val="1"/>
                <w:bCs w:val="1"/>
                <w:color w:val="3575B3"/>
              </w:rPr>
              <w:t>(#)</w:t>
            </w:r>
          </w:p>
        </w:tc>
        <w:tc>
          <w:tcPr>
            <w:tcW w:w="1100" w:type="dxa"/>
            <w:vAlign w:val="bottom"/>
            <w:tcBorders>
              <w:bottom w:val="single" w:sz="8" w:color="BF0000"/>
            </w:tcBorders>
            <w:gridSpan w:val="2"/>
          </w:tcPr>
          <w:p>
            <w:pPr>
              <w:jc w:val="center"/>
              <w:ind w:right="40"/>
              <w:spacing w:after="0" w:line="186" w:lineRule="exact"/>
              <w:rPr>
                <w:sz w:val="20"/>
                <w:szCs w:val="20"/>
                <w:color w:val="auto"/>
              </w:rPr>
            </w:pPr>
            <w:r>
              <w:rPr>
                <w:rFonts w:ascii="Arial" w:cs="Arial" w:eastAsia="Arial" w:hAnsi="Arial"/>
                <w:sz w:val="14"/>
                <w:szCs w:val="14"/>
                <w:b w:val="1"/>
                <w:bCs w:val="1"/>
                <w:color w:val="3575B3"/>
                <w:w w:val="87"/>
              </w:rPr>
              <w:t>($)</w:t>
            </w:r>
            <w:r>
              <w:rPr>
                <w:rFonts w:ascii="Arial" w:cs="Arial" w:eastAsia="Arial" w:hAnsi="Arial"/>
                <w:sz w:val="21"/>
                <w:szCs w:val="21"/>
                <w:b w:val="1"/>
                <w:bCs w:val="1"/>
                <w:color w:val="3575B3"/>
                <w:w w:val="87"/>
                <w:vertAlign w:val="superscript"/>
              </w:rPr>
              <w:t>(a)</w:t>
            </w:r>
          </w:p>
        </w:tc>
      </w:tr>
      <w:tr>
        <w:trPr>
          <w:trHeight w:val="237"/>
        </w:trPr>
        <w:tc>
          <w:tcPr>
            <w:tcW w:w="6940" w:type="dxa"/>
            <w:vAlign w:val="bottom"/>
          </w:tcPr>
          <w:p>
            <w:pPr>
              <w:ind w:left="60"/>
              <w:spacing w:after="0"/>
              <w:rPr>
                <w:sz w:val="20"/>
                <w:szCs w:val="20"/>
                <w:color w:val="auto"/>
              </w:rPr>
            </w:pPr>
            <w:r>
              <w:rPr>
                <w:rFonts w:ascii="Arial" w:cs="Arial" w:eastAsia="Arial" w:hAnsi="Arial"/>
                <w:sz w:val="16"/>
                <w:szCs w:val="16"/>
                <w:b w:val="1"/>
                <w:bCs w:val="1"/>
                <w:color w:val="435363"/>
              </w:rPr>
              <w:t>Robert Isom</w:t>
            </w:r>
          </w:p>
        </w:tc>
        <w:tc>
          <w:tcPr>
            <w:tcW w:w="2760" w:type="dxa"/>
            <w:vAlign w:val="bottom"/>
            <w:gridSpan w:val="2"/>
          </w:tcPr>
          <w:p>
            <w:pPr>
              <w:jc w:val="right"/>
              <w:ind w:right="629"/>
              <w:spacing w:after="0"/>
              <w:rPr>
                <w:sz w:val="20"/>
                <w:szCs w:val="20"/>
                <w:color w:val="auto"/>
              </w:rPr>
            </w:pPr>
            <w:r>
              <w:rPr>
                <w:rFonts w:ascii="Arial" w:cs="Arial" w:eastAsia="Arial" w:hAnsi="Arial"/>
                <w:sz w:val="16"/>
                <w:szCs w:val="16"/>
                <w:color w:val="435363"/>
              </w:rPr>
              <w:t>240,026</w:t>
            </w:r>
          </w:p>
        </w:tc>
        <w:tc>
          <w:tcPr>
            <w:tcW w:w="1040" w:type="dxa"/>
            <w:vAlign w:val="bottom"/>
          </w:tcPr>
          <w:p>
            <w:pPr>
              <w:jc w:val="right"/>
              <w:spacing w:after="0"/>
              <w:rPr>
                <w:sz w:val="20"/>
                <w:szCs w:val="20"/>
                <w:color w:val="auto"/>
              </w:rPr>
            </w:pPr>
            <w:r>
              <w:rPr>
                <w:rFonts w:ascii="Arial" w:cs="Arial" w:eastAsia="Arial" w:hAnsi="Arial"/>
                <w:sz w:val="16"/>
                <w:szCs w:val="16"/>
                <w:color w:val="435363"/>
              </w:rPr>
              <w:t>3,806,677</w:t>
            </w:r>
          </w:p>
        </w:tc>
        <w:tc>
          <w:tcPr>
            <w:tcW w:w="60" w:type="dxa"/>
            <w:vAlign w:val="bottom"/>
          </w:tcPr>
          <w:p>
            <w:pPr>
              <w:spacing w:after="0"/>
              <w:rPr>
                <w:sz w:val="20"/>
                <w:szCs w:val="20"/>
                <w:color w:val="auto"/>
              </w:rPr>
            </w:pPr>
          </w:p>
        </w:tc>
      </w:tr>
      <w:tr>
        <w:trPr>
          <w:trHeight w:val="35"/>
        </w:trPr>
        <w:tc>
          <w:tcPr>
            <w:tcW w:w="6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1"/>
        </w:trPr>
        <w:tc>
          <w:tcPr>
            <w:tcW w:w="694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Steve Johnson</w:t>
            </w:r>
          </w:p>
        </w:tc>
        <w:tc>
          <w:tcPr>
            <w:tcW w:w="2760" w:type="dxa"/>
            <w:vAlign w:val="bottom"/>
            <w:tcBorders>
              <w:bottom w:val="single" w:sz="8" w:color="EDEDED"/>
            </w:tcBorders>
            <w:gridSpan w:val="2"/>
            <w:shd w:val="clear" w:color="auto" w:fill="EDEDED"/>
          </w:tcPr>
          <w:p>
            <w:pPr>
              <w:jc w:val="right"/>
              <w:ind w:right="629"/>
              <w:spacing w:after="0"/>
              <w:rPr>
                <w:sz w:val="20"/>
                <w:szCs w:val="20"/>
                <w:color w:val="auto"/>
              </w:rPr>
            </w:pPr>
            <w:r>
              <w:rPr>
                <w:rFonts w:ascii="Arial" w:cs="Arial" w:eastAsia="Arial" w:hAnsi="Arial"/>
                <w:sz w:val="16"/>
                <w:szCs w:val="16"/>
                <w:color w:val="435363"/>
              </w:rPr>
              <w:t>158,818</w:t>
            </w:r>
          </w:p>
        </w:tc>
        <w:tc>
          <w:tcPr>
            <w:tcW w:w="10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2,520,656</w:t>
            </w:r>
          </w:p>
        </w:tc>
        <w:tc>
          <w:tcPr>
            <w:tcW w:w="60" w:type="dxa"/>
            <w:vAlign w:val="bottom"/>
            <w:tcBorders>
              <w:bottom w:val="single" w:sz="8" w:color="EDEDED"/>
            </w:tcBorders>
            <w:shd w:val="clear" w:color="auto" w:fill="EDEDED"/>
          </w:tcPr>
          <w:p>
            <w:pPr>
              <w:spacing w:after="0"/>
              <w:rPr>
                <w:sz w:val="23"/>
                <w:szCs w:val="23"/>
                <w:color w:val="auto"/>
              </w:rPr>
            </w:pPr>
          </w:p>
        </w:tc>
      </w:tr>
      <w:tr>
        <w:trPr>
          <w:trHeight w:val="257"/>
        </w:trPr>
        <w:tc>
          <w:tcPr>
            <w:tcW w:w="6940" w:type="dxa"/>
            <w:vAlign w:val="bottom"/>
          </w:tcPr>
          <w:p>
            <w:pPr>
              <w:ind w:left="60"/>
              <w:spacing w:after="0"/>
              <w:rPr>
                <w:sz w:val="20"/>
                <w:szCs w:val="20"/>
                <w:color w:val="auto"/>
              </w:rPr>
            </w:pPr>
            <w:r>
              <w:rPr>
                <w:rFonts w:ascii="Arial" w:cs="Arial" w:eastAsia="Arial" w:hAnsi="Arial"/>
                <w:sz w:val="16"/>
                <w:szCs w:val="16"/>
                <w:b w:val="1"/>
                <w:bCs w:val="1"/>
                <w:color w:val="435363"/>
              </w:rPr>
              <w:t>Priya Aiyar</w:t>
            </w:r>
          </w:p>
        </w:tc>
        <w:tc>
          <w:tcPr>
            <w:tcW w:w="2760" w:type="dxa"/>
            <w:vAlign w:val="bottom"/>
            <w:gridSpan w:val="2"/>
          </w:tcPr>
          <w:p>
            <w:pPr>
              <w:jc w:val="right"/>
              <w:ind w:right="629"/>
              <w:spacing w:after="0"/>
              <w:rPr>
                <w:sz w:val="20"/>
                <w:szCs w:val="20"/>
                <w:color w:val="auto"/>
              </w:rPr>
            </w:pPr>
            <w:r>
              <w:rPr>
                <w:rFonts w:ascii="Arial" w:cs="Arial" w:eastAsia="Arial" w:hAnsi="Arial"/>
                <w:sz w:val="16"/>
                <w:szCs w:val="16"/>
                <w:color w:val="435363"/>
              </w:rPr>
              <w:t>102,553</w:t>
            </w:r>
          </w:p>
        </w:tc>
        <w:tc>
          <w:tcPr>
            <w:tcW w:w="1040" w:type="dxa"/>
            <w:vAlign w:val="bottom"/>
          </w:tcPr>
          <w:p>
            <w:pPr>
              <w:jc w:val="right"/>
              <w:spacing w:after="0"/>
              <w:rPr>
                <w:sz w:val="20"/>
                <w:szCs w:val="20"/>
                <w:color w:val="auto"/>
              </w:rPr>
            </w:pPr>
            <w:r>
              <w:rPr>
                <w:rFonts w:ascii="Arial" w:cs="Arial" w:eastAsia="Arial" w:hAnsi="Arial"/>
                <w:sz w:val="16"/>
                <w:szCs w:val="16"/>
                <w:color w:val="435363"/>
              </w:rPr>
              <w:t>1,402,276</w:t>
            </w:r>
          </w:p>
        </w:tc>
        <w:tc>
          <w:tcPr>
            <w:tcW w:w="60" w:type="dxa"/>
            <w:vAlign w:val="bottom"/>
          </w:tcPr>
          <w:p>
            <w:pPr>
              <w:spacing w:after="0"/>
              <w:rPr>
                <w:sz w:val="22"/>
                <w:szCs w:val="22"/>
                <w:color w:val="auto"/>
              </w:rPr>
            </w:pPr>
          </w:p>
        </w:tc>
      </w:tr>
      <w:tr>
        <w:trPr>
          <w:trHeight w:val="35"/>
        </w:trPr>
        <w:tc>
          <w:tcPr>
            <w:tcW w:w="6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1"/>
        </w:trPr>
        <w:tc>
          <w:tcPr>
            <w:tcW w:w="694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Devon May</w:t>
            </w:r>
          </w:p>
        </w:tc>
        <w:tc>
          <w:tcPr>
            <w:tcW w:w="2760" w:type="dxa"/>
            <w:vAlign w:val="bottom"/>
            <w:tcBorders>
              <w:bottom w:val="single" w:sz="8" w:color="EDEDED"/>
            </w:tcBorders>
            <w:gridSpan w:val="2"/>
            <w:shd w:val="clear" w:color="auto" w:fill="EDEDED"/>
          </w:tcPr>
          <w:p>
            <w:pPr>
              <w:jc w:val="right"/>
              <w:ind w:right="629"/>
              <w:spacing w:after="0"/>
              <w:rPr>
                <w:sz w:val="20"/>
                <w:szCs w:val="20"/>
                <w:color w:val="auto"/>
              </w:rPr>
            </w:pPr>
            <w:r>
              <w:rPr>
                <w:rFonts w:ascii="Arial" w:cs="Arial" w:eastAsia="Arial" w:hAnsi="Arial"/>
                <w:sz w:val="16"/>
                <w:szCs w:val="16"/>
                <w:color w:val="435363"/>
              </w:rPr>
              <w:t>83,385</w:t>
            </w:r>
          </w:p>
        </w:tc>
        <w:tc>
          <w:tcPr>
            <w:tcW w:w="10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1,128,972</w:t>
            </w:r>
          </w:p>
        </w:tc>
        <w:tc>
          <w:tcPr>
            <w:tcW w:w="60" w:type="dxa"/>
            <w:vAlign w:val="bottom"/>
            <w:tcBorders>
              <w:bottom w:val="single" w:sz="8" w:color="EDEDED"/>
            </w:tcBorders>
            <w:shd w:val="clear" w:color="auto" w:fill="EDEDED"/>
          </w:tcPr>
          <w:p>
            <w:pPr>
              <w:spacing w:after="0"/>
              <w:rPr>
                <w:sz w:val="23"/>
                <w:szCs w:val="23"/>
                <w:color w:val="auto"/>
              </w:rPr>
            </w:pPr>
          </w:p>
        </w:tc>
      </w:tr>
      <w:tr>
        <w:trPr>
          <w:trHeight w:val="257"/>
        </w:trPr>
        <w:tc>
          <w:tcPr>
            <w:tcW w:w="6940" w:type="dxa"/>
            <w:vAlign w:val="bottom"/>
          </w:tcPr>
          <w:p>
            <w:pPr>
              <w:ind w:left="60"/>
              <w:spacing w:after="0"/>
              <w:rPr>
                <w:sz w:val="20"/>
                <w:szCs w:val="20"/>
                <w:color w:val="auto"/>
              </w:rPr>
            </w:pPr>
            <w:r>
              <w:rPr>
                <w:rFonts w:ascii="Arial" w:cs="Arial" w:eastAsia="Arial" w:hAnsi="Arial"/>
                <w:sz w:val="16"/>
                <w:szCs w:val="16"/>
                <w:b w:val="1"/>
                <w:bCs w:val="1"/>
                <w:color w:val="435363"/>
              </w:rPr>
              <w:t>Vasu Raja</w:t>
            </w:r>
          </w:p>
        </w:tc>
        <w:tc>
          <w:tcPr>
            <w:tcW w:w="2760" w:type="dxa"/>
            <w:vAlign w:val="bottom"/>
            <w:gridSpan w:val="2"/>
          </w:tcPr>
          <w:p>
            <w:pPr>
              <w:jc w:val="right"/>
              <w:ind w:right="629"/>
              <w:spacing w:after="0"/>
              <w:rPr>
                <w:sz w:val="20"/>
                <w:szCs w:val="20"/>
                <w:color w:val="auto"/>
              </w:rPr>
            </w:pPr>
            <w:r>
              <w:rPr>
                <w:rFonts w:ascii="Arial" w:cs="Arial" w:eastAsia="Arial" w:hAnsi="Arial"/>
                <w:sz w:val="16"/>
                <w:szCs w:val="16"/>
                <w:color w:val="435363"/>
              </w:rPr>
              <w:t>43,115</w:t>
            </w:r>
          </w:p>
        </w:tc>
        <w:tc>
          <w:tcPr>
            <w:tcW w:w="1040" w:type="dxa"/>
            <w:vAlign w:val="bottom"/>
          </w:tcPr>
          <w:p>
            <w:pPr>
              <w:jc w:val="right"/>
              <w:spacing w:after="0"/>
              <w:rPr>
                <w:sz w:val="20"/>
                <w:szCs w:val="20"/>
                <w:color w:val="auto"/>
              </w:rPr>
            </w:pPr>
            <w:r>
              <w:rPr>
                <w:rFonts w:ascii="Arial" w:cs="Arial" w:eastAsia="Arial" w:hAnsi="Arial"/>
                <w:sz w:val="16"/>
                <w:szCs w:val="16"/>
                <w:color w:val="435363"/>
              </w:rPr>
              <w:t>605,702</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22225</wp:posOffset>
            </wp:positionV>
            <wp:extent cx="685736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89" w:lineRule="exact"/>
        <w:rPr>
          <w:sz w:val="20"/>
          <w:szCs w:val="20"/>
          <w:color w:val="auto"/>
        </w:rPr>
      </w:pPr>
    </w:p>
    <w:p>
      <w:pPr>
        <w:ind w:left="640" w:hanging="416"/>
        <w:spacing w:after="0"/>
        <w:tabs>
          <w:tab w:leader="none" w:pos="640" w:val="left"/>
        </w:tabs>
        <w:numPr>
          <w:ilvl w:val="0"/>
          <w:numId w:val="58"/>
        </w:numPr>
        <w:rPr>
          <w:rFonts w:ascii="Arial" w:cs="Arial" w:eastAsia="Arial" w:hAnsi="Arial"/>
          <w:sz w:val="12"/>
          <w:szCs w:val="12"/>
          <w:color w:val="435363"/>
        </w:rPr>
      </w:pPr>
      <w:r>
        <w:rPr>
          <w:rFonts w:ascii="Arial" w:cs="Arial" w:eastAsia="Arial" w:hAnsi="Arial"/>
          <w:sz w:val="12"/>
          <w:szCs w:val="12"/>
          <w:color w:val="435363"/>
        </w:rPr>
        <w:t>Represents the closing market price of a share of our Common Stock on the date of vesting, multiplied by the number of shares that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217805</wp:posOffset>
            </wp:positionV>
            <wp:extent cx="5177155" cy="1682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8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72</w:t>
      </w:r>
    </w:p>
    <w:p>
      <w:pPr>
        <w:spacing w:after="0" w:line="3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Potential Payments Upon Termination or Change in Control</w:t>
      </w:r>
    </w:p>
    <w:p>
      <w:pPr>
        <w:spacing w:after="0" w:line="90" w:lineRule="exact"/>
        <w:rPr>
          <w:sz w:val="20"/>
          <w:szCs w:val="20"/>
          <w:color w:val="auto"/>
        </w:rPr>
      </w:pPr>
    </w:p>
    <w:p>
      <w:pPr>
        <w:ind w:left="220" w:right="60"/>
        <w:spacing w:after="0" w:line="258" w:lineRule="auto"/>
        <w:rPr>
          <w:sz w:val="20"/>
          <w:szCs w:val="20"/>
          <w:color w:val="auto"/>
        </w:rPr>
      </w:pPr>
      <w:r>
        <w:rPr>
          <w:rFonts w:ascii="Arial" w:cs="Arial" w:eastAsia="Arial" w:hAnsi="Arial"/>
          <w:sz w:val="16"/>
          <w:szCs w:val="16"/>
          <w:color w:val="435363"/>
        </w:rPr>
        <w:t>This section quantifies payments that would be made to our named executive officers upon a change in control or following certain qualifying terminations of employment. For a description of these benefits, please see “Compensation Discussion and Analysis – Severance Benefits and Post Termination Restrictive Covenants.”</w:t>
      </w:r>
    </w:p>
    <w:p>
      <w:pPr>
        <w:spacing w:after="0" w:line="95" w:lineRule="exact"/>
        <w:rPr>
          <w:sz w:val="20"/>
          <w:szCs w:val="20"/>
          <w:color w:val="auto"/>
        </w:rPr>
      </w:pPr>
    </w:p>
    <w:p>
      <w:pPr>
        <w:ind w:left="220" w:right="120"/>
        <w:spacing w:after="0" w:line="252" w:lineRule="auto"/>
        <w:rPr>
          <w:sz w:val="20"/>
          <w:szCs w:val="20"/>
          <w:color w:val="auto"/>
        </w:rPr>
      </w:pPr>
      <w:r>
        <w:rPr>
          <w:rFonts w:ascii="Arial" w:cs="Arial" w:eastAsia="Arial" w:hAnsi="Arial"/>
          <w:sz w:val="16"/>
          <w:szCs w:val="16"/>
          <w:color w:val="435363"/>
        </w:rPr>
        <w:t>The estimated amounts of the respective benefits for each of our named executive officers, assuming the triggering event occurred on December 31, 2023, are provided in the table below. The table below reflects the termination and/or change in control benefits payable to each named executive officer under agreements and plans in which he or she participates that were in effect as of the end of the fiscal year, and in the case of Mr. May, the severance agreement he entered into in February 2024.</w:t>
      </w: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185"/>
        </w:trPr>
        <w:tc>
          <w:tcPr>
            <w:tcW w:w="4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3575B3"/>
                <w:w w:val="97"/>
              </w:rPr>
              <w:t>Involuntary</w:t>
            </w: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5"/>
        </w:trPr>
        <w:tc>
          <w:tcPr>
            <w:tcW w:w="4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3575B3"/>
                <w:w w:val="98"/>
              </w:rPr>
              <w:t>Termination</w:t>
            </w: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5"/>
        </w:trPr>
        <w:tc>
          <w:tcPr>
            <w:tcW w:w="4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3575B3"/>
                <w:w w:val="99"/>
              </w:rPr>
              <w:t>with</w:t>
            </w: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3575B3"/>
                <w:w w:val="98"/>
              </w:rPr>
              <w:t>Any Other</w:t>
            </w:r>
          </w:p>
        </w:tc>
      </w:tr>
      <w:tr>
        <w:trPr>
          <w:trHeight w:val="185"/>
        </w:trPr>
        <w:tc>
          <w:tcPr>
            <w:tcW w:w="4420" w:type="dxa"/>
            <w:vAlign w:val="bottom"/>
          </w:tcPr>
          <w:p>
            <w:pPr>
              <w:spacing w:after="0"/>
              <w:rPr>
                <w:sz w:val="16"/>
                <w:szCs w:val="16"/>
                <w:color w:val="auto"/>
              </w:rPr>
            </w:pPr>
          </w:p>
        </w:tc>
        <w:tc>
          <w:tcPr>
            <w:tcW w:w="980" w:type="dxa"/>
            <w:vAlign w:val="bottom"/>
          </w:tcPr>
          <w:p>
            <w:pPr>
              <w:jc w:val="center"/>
              <w:ind w:left="1"/>
              <w:spacing w:after="0"/>
              <w:rPr>
                <w:sz w:val="20"/>
                <w:szCs w:val="20"/>
                <w:color w:val="auto"/>
              </w:rPr>
            </w:pPr>
            <w:r>
              <w:rPr>
                <w:rFonts w:ascii="Arial" w:cs="Arial" w:eastAsia="Arial" w:hAnsi="Arial"/>
                <w:sz w:val="16"/>
                <w:szCs w:val="16"/>
                <w:b w:val="1"/>
                <w:bCs w:val="1"/>
                <w:color w:val="3575B3"/>
              </w:rPr>
              <w:t>Change in</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3575B3"/>
                <w:w w:val="97"/>
              </w:rPr>
              <w:t>Involuntary</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3575B3"/>
                <w:w w:val="98"/>
              </w:rPr>
              <w:t>Change in</w:t>
            </w: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3575B3"/>
                <w:w w:val="99"/>
              </w:rPr>
              <w:t>Qualifying</w:t>
            </w:r>
          </w:p>
        </w:tc>
      </w:tr>
      <w:tr>
        <w:trPr>
          <w:trHeight w:val="185"/>
        </w:trPr>
        <w:tc>
          <w:tcPr>
            <w:tcW w:w="4420" w:type="dxa"/>
            <w:vAlign w:val="bottom"/>
          </w:tcPr>
          <w:p>
            <w:pPr>
              <w:ind w:left="60"/>
              <w:spacing w:after="0"/>
              <w:rPr>
                <w:sz w:val="20"/>
                <w:szCs w:val="20"/>
                <w:color w:val="auto"/>
              </w:rPr>
            </w:pPr>
            <w:r>
              <w:rPr>
                <w:rFonts w:ascii="Arial" w:cs="Arial" w:eastAsia="Arial" w:hAnsi="Arial"/>
                <w:sz w:val="16"/>
                <w:szCs w:val="16"/>
                <w:b w:val="1"/>
                <w:bCs w:val="1"/>
                <w:color w:val="3575B3"/>
              </w:rPr>
              <w:t>Executive Benefits and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3575B3"/>
                <w:w w:val="98"/>
              </w:rPr>
              <w:t>Control</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3575B3"/>
                <w:w w:val="96"/>
              </w:rPr>
              <w:t>Termination</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3575B3"/>
                <w:w w:val="98"/>
              </w:rPr>
              <w:t>Control</w:t>
            </w:r>
          </w:p>
        </w:tc>
        <w:tc>
          <w:tcPr>
            <w:tcW w:w="1060" w:type="dxa"/>
            <w:vAlign w:val="bottom"/>
          </w:tcPr>
          <w:p>
            <w:pPr>
              <w:jc w:val="right"/>
              <w:ind w:right="281"/>
              <w:spacing w:after="0"/>
              <w:rPr>
                <w:sz w:val="20"/>
                <w:szCs w:val="20"/>
                <w:color w:val="auto"/>
              </w:rPr>
            </w:pPr>
            <w:r>
              <w:rPr>
                <w:rFonts w:ascii="Arial" w:cs="Arial" w:eastAsia="Arial" w:hAnsi="Arial"/>
                <w:sz w:val="16"/>
                <w:szCs w:val="16"/>
                <w:b w:val="1"/>
                <w:bCs w:val="1"/>
                <w:color w:val="3575B3"/>
              </w:rPr>
              <w:t>Death</w:t>
            </w:r>
          </w:p>
        </w:tc>
        <w:tc>
          <w:tcPr>
            <w:tcW w:w="1000" w:type="dxa"/>
            <w:vAlign w:val="bottom"/>
          </w:tcPr>
          <w:p>
            <w:pPr>
              <w:jc w:val="right"/>
              <w:ind w:right="101"/>
              <w:spacing w:after="0"/>
              <w:rPr>
                <w:sz w:val="20"/>
                <w:szCs w:val="20"/>
                <w:color w:val="auto"/>
              </w:rPr>
            </w:pPr>
            <w:r>
              <w:rPr>
                <w:rFonts w:ascii="Arial" w:cs="Arial" w:eastAsia="Arial" w:hAnsi="Arial"/>
                <w:sz w:val="16"/>
                <w:szCs w:val="16"/>
                <w:b w:val="1"/>
                <w:bCs w:val="1"/>
                <w:color w:val="3575B3"/>
              </w:rPr>
              <w:t>Disability</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3575B3"/>
                <w:w w:val="98"/>
              </w:rPr>
              <w:t>Termination</w:t>
            </w:r>
          </w:p>
        </w:tc>
      </w:tr>
      <w:tr>
        <w:trPr>
          <w:trHeight w:val="239"/>
        </w:trPr>
        <w:tc>
          <w:tcPr>
            <w:tcW w:w="4420" w:type="dxa"/>
            <w:vAlign w:val="bottom"/>
            <w:tcBorders>
              <w:bottom w:val="single" w:sz="8" w:color="BF0000"/>
            </w:tcBorders>
          </w:tcPr>
          <w:p>
            <w:pPr>
              <w:ind w:left="60"/>
              <w:spacing w:after="0"/>
              <w:rPr>
                <w:sz w:val="20"/>
                <w:szCs w:val="20"/>
                <w:color w:val="auto"/>
              </w:rPr>
            </w:pPr>
            <w:r>
              <w:rPr>
                <w:rFonts w:ascii="Arial" w:cs="Arial" w:eastAsia="Arial" w:hAnsi="Arial"/>
                <w:sz w:val="16"/>
                <w:szCs w:val="16"/>
                <w:b w:val="1"/>
                <w:bCs w:val="1"/>
                <w:color w:val="3575B3"/>
              </w:rPr>
              <w:t>Payments Upon Termination</w:t>
            </w:r>
          </w:p>
        </w:tc>
        <w:tc>
          <w:tcPr>
            <w:tcW w:w="980" w:type="dxa"/>
            <w:vAlign w:val="bottom"/>
            <w:tcBorders>
              <w:bottom w:val="single" w:sz="8" w:color="BF0000"/>
            </w:tcBorders>
          </w:tcPr>
          <w:p>
            <w:pPr>
              <w:jc w:val="center"/>
              <w:ind w:left="1"/>
              <w:spacing w:after="0"/>
              <w:rPr>
                <w:sz w:val="20"/>
                <w:szCs w:val="20"/>
                <w:color w:val="auto"/>
              </w:rPr>
            </w:pPr>
            <w:r>
              <w:rPr>
                <w:rFonts w:ascii="Arial" w:cs="Arial" w:eastAsia="Arial" w:hAnsi="Arial"/>
                <w:sz w:val="16"/>
                <w:szCs w:val="16"/>
                <w:b w:val="1"/>
                <w:bCs w:val="1"/>
                <w:color w:val="3575B3"/>
                <w:w w:val="91"/>
              </w:rPr>
              <w:t>($)</w:t>
            </w:r>
          </w:p>
        </w:tc>
        <w:tc>
          <w:tcPr>
            <w:tcW w:w="1140" w:type="dxa"/>
            <w:vAlign w:val="bottom"/>
            <w:tcBorders>
              <w:bottom w:val="single" w:sz="8" w:color="BF0000"/>
            </w:tcBorders>
          </w:tcPr>
          <w:p>
            <w:pPr>
              <w:jc w:val="center"/>
              <w:spacing w:after="0"/>
              <w:rPr>
                <w:sz w:val="20"/>
                <w:szCs w:val="20"/>
                <w:color w:val="auto"/>
              </w:rPr>
            </w:pPr>
            <w:r>
              <w:rPr>
                <w:rFonts w:ascii="Arial" w:cs="Arial" w:eastAsia="Arial" w:hAnsi="Arial"/>
                <w:sz w:val="16"/>
                <w:szCs w:val="16"/>
                <w:b w:val="1"/>
                <w:bCs w:val="1"/>
                <w:color w:val="3575B3"/>
              </w:rPr>
              <w:t>($)</w:t>
            </w:r>
          </w:p>
        </w:tc>
        <w:tc>
          <w:tcPr>
            <w:tcW w:w="1120" w:type="dxa"/>
            <w:vAlign w:val="bottom"/>
            <w:tcBorders>
              <w:bottom w:val="single" w:sz="8" w:color="BF0000"/>
            </w:tcBorders>
          </w:tcPr>
          <w:p>
            <w:pPr>
              <w:jc w:val="center"/>
              <w:spacing w:after="0"/>
              <w:rPr>
                <w:sz w:val="20"/>
                <w:szCs w:val="20"/>
                <w:color w:val="auto"/>
              </w:rPr>
            </w:pPr>
            <w:r>
              <w:rPr>
                <w:rFonts w:ascii="Arial" w:cs="Arial" w:eastAsia="Arial" w:hAnsi="Arial"/>
                <w:sz w:val="16"/>
                <w:szCs w:val="16"/>
                <w:b w:val="1"/>
                <w:bCs w:val="1"/>
                <w:color w:val="3575B3"/>
              </w:rPr>
              <w:t>($)</w:t>
            </w:r>
          </w:p>
        </w:tc>
        <w:tc>
          <w:tcPr>
            <w:tcW w:w="1060" w:type="dxa"/>
            <w:vAlign w:val="bottom"/>
            <w:tcBorders>
              <w:bottom w:val="single" w:sz="8" w:color="BF0000"/>
            </w:tcBorders>
          </w:tcPr>
          <w:p>
            <w:pPr>
              <w:jc w:val="right"/>
              <w:ind w:right="401"/>
              <w:spacing w:after="0"/>
              <w:rPr>
                <w:sz w:val="20"/>
                <w:szCs w:val="20"/>
                <w:color w:val="auto"/>
              </w:rPr>
            </w:pPr>
            <w:r>
              <w:rPr>
                <w:rFonts w:ascii="Arial" w:cs="Arial" w:eastAsia="Arial" w:hAnsi="Arial"/>
                <w:sz w:val="16"/>
                <w:szCs w:val="16"/>
                <w:b w:val="1"/>
                <w:bCs w:val="1"/>
                <w:color w:val="3575B3"/>
              </w:rPr>
              <w:t>($)</w:t>
            </w:r>
          </w:p>
        </w:tc>
        <w:tc>
          <w:tcPr>
            <w:tcW w:w="1000" w:type="dxa"/>
            <w:vAlign w:val="bottom"/>
            <w:tcBorders>
              <w:bottom w:val="single" w:sz="8" w:color="BF0000"/>
            </w:tcBorders>
          </w:tcPr>
          <w:p>
            <w:pPr>
              <w:jc w:val="right"/>
              <w:ind w:right="361"/>
              <w:spacing w:after="0"/>
              <w:rPr>
                <w:sz w:val="20"/>
                <w:szCs w:val="20"/>
                <w:color w:val="auto"/>
              </w:rPr>
            </w:pPr>
            <w:r>
              <w:rPr>
                <w:rFonts w:ascii="Arial" w:cs="Arial" w:eastAsia="Arial" w:hAnsi="Arial"/>
                <w:sz w:val="16"/>
                <w:szCs w:val="16"/>
                <w:b w:val="1"/>
                <w:bCs w:val="1"/>
                <w:color w:val="3575B3"/>
              </w:rPr>
              <w:t>($)</w:t>
            </w:r>
          </w:p>
        </w:tc>
        <w:tc>
          <w:tcPr>
            <w:tcW w:w="1080" w:type="dxa"/>
            <w:vAlign w:val="bottom"/>
            <w:tcBorders>
              <w:bottom w:val="single" w:sz="8" w:color="BF0000"/>
            </w:tcBorders>
          </w:tcPr>
          <w:p>
            <w:pPr>
              <w:jc w:val="center"/>
              <w:spacing w:after="0" w:line="240" w:lineRule="exact"/>
              <w:rPr>
                <w:sz w:val="20"/>
                <w:szCs w:val="20"/>
                <w:color w:val="auto"/>
              </w:rPr>
            </w:pPr>
            <w:r>
              <w:rPr>
                <w:rFonts w:ascii="Arial" w:cs="Arial" w:eastAsia="Arial" w:hAnsi="Arial"/>
                <w:sz w:val="16"/>
                <w:szCs w:val="16"/>
                <w:b w:val="1"/>
                <w:bCs w:val="1"/>
                <w:color w:val="3575B3"/>
                <w:w w:val="91"/>
              </w:rPr>
              <w:t>($)</w:t>
            </w:r>
            <w:r>
              <w:rPr>
                <w:rFonts w:ascii="Arial" w:cs="Arial" w:eastAsia="Arial" w:hAnsi="Arial"/>
                <w:sz w:val="23"/>
                <w:szCs w:val="23"/>
                <w:b w:val="1"/>
                <w:bCs w:val="1"/>
                <w:color w:val="3575B3"/>
                <w:w w:val="91"/>
                <w:vertAlign w:val="superscript"/>
              </w:rPr>
              <w:t>(f)</w:t>
            </w:r>
          </w:p>
        </w:tc>
      </w:tr>
      <w:tr>
        <w:trPr>
          <w:trHeight w:val="178"/>
        </w:trPr>
        <w:tc>
          <w:tcPr>
            <w:tcW w:w="4420" w:type="dxa"/>
            <w:vAlign w:val="bottom"/>
          </w:tcPr>
          <w:p>
            <w:pPr>
              <w:ind w:left="60"/>
              <w:spacing w:after="0" w:line="178" w:lineRule="exact"/>
              <w:rPr>
                <w:sz w:val="20"/>
                <w:szCs w:val="20"/>
                <w:color w:val="auto"/>
              </w:rPr>
            </w:pPr>
            <w:r>
              <w:rPr>
                <w:rFonts w:ascii="Arial" w:cs="Arial" w:eastAsia="Arial" w:hAnsi="Arial"/>
                <w:sz w:val="16"/>
                <w:szCs w:val="16"/>
                <w:b w:val="1"/>
                <w:bCs w:val="1"/>
                <w:color w:val="435363"/>
              </w:rPr>
              <w:t>Robert Isom</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5"/>
        </w:trPr>
        <w:tc>
          <w:tcPr>
            <w:tcW w:w="4420" w:type="dxa"/>
            <w:vAlign w:val="bottom"/>
          </w:tcPr>
          <w:p>
            <w:pPr>
              <w:ind w:left="60"/>
              <w:spacing w:after="0" w:line="186" w:lineRule="exact"/>
              <w:rPr>
                <w:sz w:val="20"/>
                <w:szCs w:val="20"/>
                <w:color w:val="auto"/>
              </w:rPr>
            </w:pPr>
            <w:r>
              <w:rPr>
                <w:rFonts w:ascii="Arial" w:cs="Arial" w:eastAsia="Arial" w:hAnsi="Arial"/>
                <w:sz w:val="15"/>
                <w:szCs w:val="15"/>
                <w:color w:val="435363"/>
              </w:rPr>
              <w:t>Base Salary</w:t>
            </w:r>
            <w:r>
              <w:rPr>
                <w:rFonts w:ascii="Arial" w:cs="Arial" w:eastAsia="Arial" w:hAnsi="Arial"/>
                <w:sz w:val="21"/>
                <w:szCs w:val="21"/>
                <w:color w:val="435363"/>
                <w:vertAlign w:val="superscript"/>
              </w:rPr>
              <w:t>(a)</w:t>
            </w:r>
          </w:p>
        </w:tc>
        <w:tc>
          <w:tcPr>
            <w:tcW w:w="980" w:type="dxa"/>
            <w:vAlign w:val="bottom"/>
          </w:tcPr>
          <w:p>
            <w:pPr>
              <w:jc w:val="right"/>
              <w:spacing w:after="0"/>
              <w:rPr>
                <w:sz w:val="20"/>
                <w:szCs w:val="20"/>
                <w:color w:val="auto"/>
              </w:rPr>
            </w:pPr>
            <w:r>
              <w:rPr>
                <w:rFonts w:ascii="Arial" w:cs="Arial" w:eastAsia="Arial" w:hAnsi="Arial"/>
                <w:sz w:val="16"/>
                <w:szCs w:val="16"/>
                <w:color w:val="435363"/>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435363"/>
              </w:rPr>
              <w:t>2,600,000</w:t>
            </w:r>
          </w:p>
        </w:tc>
        <w:tc>
          <w:tcPr>
            <w:tcW w:w="1120" w:type="dxa"/>
            <w:vAlign w:val="bottom"/>
          </w:tcPr>
          <w:p>
            <w:pPr>
              <w:jc w:val="right"/>
              <w:ind w:right="41"/>
              <w:spacing w:after="0"/>
              <w:rPr>
                <w:sz w:val="20"/>
                <w:szCs w:val="20"/>
                <w:color w:val="auto"/>
              </w:rPr>
            </w:pPr>
            <w:r>
              <w:rPr>
                <w:rFonts w:ascii="Arial" w:cs="Arial" w:eastAsia="Arial" w:hAnsi="Arial"/>
                <w:sz w:val="16"/>
                <w:szCs w:val="16"/>
                <w:color w:val="435363"/>
              </w:rPr>
              <w:t>2,600,000</w:t>
            </w:r>
          </w:p>
        </w:tc>
        <w:tc>
          <w:tcPr>
            <w:tcW w:w="1060" w:type="dxa"/>
            <w:vAlign w:val="bottom"/>
          </w:tcPr>
          <w:p>
            <w:pPr>
              <w:jc w:val="right"/>
              <w:ind w:right="61"/>
              <w:spacing w:after="0"/>
              <w:rPr>
                <w:sz w:val="20"/>
                <w:szCs w:val="20"/>
                <w:color w:val="auto"/>
              </w:rPr>
            </w:pPr>
            <w:r>
              <w:rPr>
                <w:rFonts w:ascii="Arial" w:cs="Arial" w:eastAsia="Arial" w:hAnsi="Arial"/>
                <w:sz w:val="16"/>
                <w:szCs w:val="16"/>
                <w:color w:val="435363"/>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435363"/>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435363"/>
              </w:rPr>
              <w:t>-</w:t>
            </w:r>
          </w:p>
        </w:tc>
      </w:tr>
      <w:tr>
        <w:trPr>
          <w:trHeight w:val="185"/>
        </w:trPr>
        <w:tc>
          <w:tcPr>
            <w:tcW w:w="4420" w:type="dxa"/>
            <w:vAlign w:val="bottom"/>
          </w:tcPr>
          <w:p>
            <w:pPr>
              <w:ind w:left="60"/>
              <w:spacing w:after="0" w:line="186" w:lineRule="exact"/>
              <w:rPr>
                <w:sz w:val="20"/>
                <w:szCs w:val="20"/>
                <w:color w:val="auto"/>
              </w:rPr>
            </w:pPr>
            <w:r>
              <w:rPr>
                <w:rFonts w:ascii="Arial" w:cs="Arial" w:eastAsia="Arial" w:hAnsi="Arial"/>
                <w:sz w:val="15"/>
                <w:szCs w:val="15"/>
                <w:color w:val="435363"/>
              </w:rPr>
              <w:t>Annual Incentive Award</w:t>
            </w:r>
            <w:r>
              <w:rPr>
                <w:rFonts w:ascii="Arial" w:cs="Arial" w:eastAsia="Arial" w:hAnsi="Arial"/>
                <w:sz w:val="21"/>
                <w:szCs w:val="21"/>
                <w:color w:val="435363"/>
                <w:vertAlign w:val="superscript"/>
              </w:rPr>
              <w:t>(b)</w:t>
            </w:r>
          </w:p>
        </w:tc>
        <w:tc>
          <w:tcPr>
            <w:tcW w:w="980" w:type="dxa"/>
            <w:vAlign w:val="bottom"/>
          </w:tcPr>
          <w:p>
            <w:pPr>
              <w:jc w:val="right"/>
              <w:spacing w:after="0"/>
              <w:rPr>
                <w:sz w:val="20"/>
                <w:szCs w:val="20"/>
                <w:color w:val="auto"/>
              </w:rPr>
            </w:pPr>
            <w:r>
              <w:rPr>
                <w:rFonts w:ascii="Arial" w:cs="Arial" w:eastAsia="Arial" w:hAnsi="Arial"/>
                <w:sz w:val="16"/>
                <w:szCs w:val="16"/>
                <w:color w:val="435363"/>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435363"/>
              </w:rPr>
              <w:t>5,200,000</w:t>
            </w:r>
          </w:p>
        </w:tc>
        <w:tc>
          <w:tcPr>
            <w:tcW w:w="1120" w:type="dxa"/>
            <w:vAlign w:val="bottom"/>
          </w:tcPr>
          <w:p>
            <w:pPr>
              <w:jc w:val="right"/>
              <w:ind w:right="41"/>
              <w:spacing w:after="0"/>
              <w:rPr>
                <w:sz w:val="20"/>
                <w:szCs w:val="20"/>
                <w:color w:val="auto"/>
              </w:rPr>
            </w:pPr>
            <w:r>
              <w:rPr>
                <w:rFonts w:ascii="Arial" w:cs="Arial" w:eastAsia="Arial" w:hAnsi="Arial"/>
                <w:sz w:val="16"/>
                <w:szCs w:val="16"/>
                <w:color w:val="435363"/>
              </w:rPr>
              <w:t>5,200,000</w:t>
            </w:r>
          </w:p>
        </w:tc>
        <w:tc>
          <w:tcPr>
            <w:tcW w:w="1060" w:type="dxa"/>
            <w:vAlign w:val="bottom"/>
          </w:tcPr>
          <w:p>
            <w:pPr>
              <w:jc w:val="right"/>
              <w:ind w:right="61"/>
              <w:spacing w:after="0"/>
              <w:rPr>
                <w:sz w:val="20"/>
                <w:szCs w:val="20"/>
                <w:color w:val="auto"/>
              </w:rPr>
            </w:pPr>
            <w:r>
              <w:rPr>
                <w:rFonts w:ascii="Arial" w:cs="Arial" w:eastAsia="Arial" w:hAnsi="Arial"/>
                <w:sz w:val="16"/>
                <w:szCs w:val="16"/>
                <w:color w:val="435363"/>
              </w:rPr>
              <w:t>3,922,360</w:t>
            </w:r>
          </w:p>
        </w:tc>
        <w:tc>
          <w:tcPr>
            <w:tcW w:w="1000" w:type="dxa"/>
            <w:vAlign w:val="bottom"/>
          </w:tcPr>
          <w:p>
            <w:pPr>
              <w:jc w:val="right"/>
              <w:ind w:right="1"/>
              <w:spacing w:after="0"/>
              <w:rPr>
                <w:sz w:val="20"/>
                <w:szCs w:val="20"/>
                <w:color w:val="auto"/>
              </w:rPr>
            </w:pPr>
            <w:r>
              <w:rPr>
                <w:rFonts w:ascii="Arial" w:cs="Arial" w:eastAsia="Arial" w:hAnsi="Arial"/>
                <w:sz w:val="16"/>
                <w:szCs w:val="16"/>
                <w:color w:val="435363"/>
              </w:rPr>
              <w:t>3,922,360</w:t>
            </w:r>
          </w:p>
        </w:tc>
        <w:tc>
          <w:tcPr>
            <w:tcW w:w="1080" w:type="dxa"/>
            <w:vAlign w:val="bottom"/>
          </w:tcPr>
          <w:p>
            <w:pPr>
              <w:jc w:val="right"/>
              <w:ind w:right="1"/>
              <w:spacing w:after="0"/>
              <w:rPr>
                <w:sz w:val="20"/>
                <w:szCs w:val="20"/>
                <w:color w:val="auto"/>
              </w:rPr>
            </w:pPr>
            <w:r>
              <w:rPr>
                <w:rFonts w:ascii="Arial" w:cs="Arial" w:eastAsia="Arial" w:hAnsi="Arial"/>
                <w:sz w:val="16"/>
                <w:szCs w:val="16"/>
                <w:color w:val="435363"/>
              </w:rPr>
              <w:t>-</w:t>
            </w:r>
          </w:p>
        </w:tc>
      </w:tr>
      <w:tr>
        <w:trPr>
          <w:trHeight w:val="185"/>
        </w:trPr>
        <w:tc>
          <w:tcPr>
            <w:tcW w:w="4420" w:type="dxa"/>
            <w:vAlign w:val="bottom"/>
          </w:tcPr>
          <w:p>
            <w:pPr>
              <w:ind w:left="60"/>
              <w:spacing w:after="0" w:line="186" w:lineRule="exact"/>
              <w:rPr>
                <w:sz w:val="20"/>
                <w:szCs w:val="20"/>
                <w:color w:val="auto"/>
              </w:rPr>
            </w:pPr>
            <w:r>
              <w:rPr>
                <w:rFonts w:ascii="Arial" w:cs="Arial" w:eastAsia="Arial" w:hAnsi="Arial"/>
                <w:sz w:val="15"/>
                <w:szCs w:val="15"/>
                <w:color w:val="435363"/>
              </w:rPr>
              <w:t>COBRA</w:t>
            </w:r>
            <w:r>
              <w:rPr>
                <w:rFonts w:ascii="Arial" w:cs="Arial" w:eastAsia="Arial" w:hAnsi="Arial"/>
                <w:sz w:val="21"/>
                <w:szCs w:val="21"/>
                <w:color w:val="435363"/>
                <w:vertAlign w:val="superscript"/>
              </w:rPr>
              <w:t>(c)</w:t>
            </w:r>
          </w:p>
        </w:tc>
        <w:tc>
          <w:tcPr>
            <w:tcW w:w="980" w:type="dxa"/>
            <w:vAlign w:val="bottom"/>
          </w:tcPr>
          <w:p>
            <w:pPr>
              <w:jc w:val="right"/>
              <w:spacing w:after="0"/>
              <w:rPr>
                <w:sz w:val="20"/>
                <w:szCs w:val="20"/>
                <w:color w:val="auto"/>
              </w:rPr>
            </w:pPr>
            <w:r>
              <w:rPr>
                <w:rFonts w:ascii="Arial" w:cs="Arial" w:eastAsia="Arial" w:hAnsi="Arial"/>
                <w:sz w:val="16"/>
                <w:szCs w:val="16"/>
                <w:color w:val="435363"/>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435363"/>
              </w:rPr>
              <w:t>54,875</w:t>
            </w:r>
          </w:p>
        </w:tc>
        <w:tc>
          <w:tcPr>
            <w:tcW w:w="1120" w:type="dxa"/>
            <w:vAlign w:val="bottom"/>
          </w:tcPr>
          <w:p>
            <w:pPr>
              <w:jc w:val="right"/>
              <w:ind w:right="41"/>
              <w:spacing w:after="0"/>
              <w:rPr>
                <w:sz w:val="20"/>
                <w:szCs w:val="20"/>
                <w:color w:val="auto"/>
              </w:rPr>
            </w:pPr>
            <w:r>
              <w:rPr>
                <w:rFonts w:ascii="Arial" w:cs="Arial" w:eastAsia="Arial" w:hAnsi="Arial"/>
                <w:sz w:val="16"/>
                <w:szCs w:val="16"/>
                <w:color w:val="435363"/>
              </w:rPr>
              <w:t>54,875</w:t>
            </w:r>
          </w:p>
        </w:tc>
        <w:tc>
          <w:tcPr>
            <w:tcW w:w="1060" w:type="dxa"/>
            <w:vAlign w:val="bottom"/>
          </w:tcPr>
          <w:p>
            <w:pPr>
              <w:jc w:val="right"/>
              <w:ind w:right="61"/>
              <w:spacing w:after="0"/>
              <w:rPr>
                <w:sz w:val="20"/>
                <w:szCs w:val="20"/>
                <w:color w:val="auto"/>
              </w:rPr>
            </w:pPr>
            <w:r>
              <w:rPr>
                <w:rFonts w:ascii="Arial" w:cs="Arial" w:eastAsia="Arial" w:hAnsi="Arial"/>
                <w:sz w:val="16"/>
                <w:szCs w:val="16"/>
                <w:color w:val="435363"/>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435363"/>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435363"/>
              </w:rPr>
              <w:t>-</w:t>
            </w:r>
          </w:p>
        </w:tc>
      </w:tr>
      <w:tr>
        <w:trPr>
          <w:trHeight w:val="185"/>
        </w:trPr>
        <w:tc>
          <w:tcPr>
            <w:tcW w:w="4420" w:type="dxa"/>
            <w:vAlign w:val="bottom"/>
          </w:tcPr>
          <w:p>
            <w:pPr>
              <w:ind w:left="60"/>
              <w:spacing w:after="0" w:line="186" w:lineRule="exact"/>
              <w:rPr>
                <w:sz w:val="20"/>
                <w:szCs w:val="20"/>
                <w:color w:val="auto"/>
              </w:rPr>
            </w:pPr>
            <w:r>
              <w:rPr>
                <w:rFonts w:ascii="Arial" w:cs="Arial" w:eastAsia="Arial" w:hAnsi="Arial"/>
                <w:sz w:val="15"/>
                <w:szCs w:val="15"/>
                <w:color w:val="435363"/>
              </w:rPr>
              <w:t>Acceleration of Unvested RSUs</w:t>
            </w:r>
            <w:r>
              <w:rPr>
                <w:rFonts w:ascii="Arial" w:cs="Arial" w:eastAsia="Arial" w:hAnsi="Arial"/>
                <w:sz w:val="21"/>
                <w:szCs w:val="21"/>
                <w:color w:val="435363"/>
                <w:vertAlign w:val="superscript"/>
              </w:rPr>
              <w:t>(d)</w:t>
            </w:r>
          </w:p>
        </w:tc>
        <w:tc>
          <w:tcPr>
            <w:tcW w:w="980" w:type="dxa"/>
            <w:vAlign w:val="bottom"/>
          </w:tcPr>
          <w:p>
            <w:pPr>
              <w:jc w:val="right"/>
              <w:spacing w:after="0"/>
              <w:rPr>
                <w:sz w:val="20"/>
                <w:szCs w:val="20"/>
                <w:color w:val="auto"/>
              </w:rPr>
            </w:pPr>
            <w:r>
              <w:rPr>
                <w:rFonts w:ascii="Arial" w:cs="Arial" w:eastAsia="Arial" w:hAnsi="Arial"/>
                <w:sz w:val="16"/>
                <w:szCs w:val="16"/>
                <w:color w:val="435363"/>
              </w:rPr>
              <w:t>23,823,401</w:t>
            </w:r>
          </w:p>
        </w:tc>
        <w:tc>
          <w:tcPr>
            <w:tcW w:w="1140" w:type="dxa"/>
            <w:vAlign w:val="bottom"/>
          </w:tcPr>
          <w:p>
            <w:pPr>
              <w:jc w:val="right"/>
              <w:ind w:right="1"/>
              <w:spacing w:after="0"/>
              <w:rPr>
                <w:sz w:val="20"/>
                <w:szCs w:val="20"/>
                <w:color w:val="auto"/>
              </w:rPr>
            </w:pPr>
            <w:r>
              <w:rPr>
                <w:rFonts w:ascii="Arial" w:cs="Arial" w:eastAsia="Arial" w:hAnsi="Arial"/>
                <w:sz w:val="16"/>
                <w:szCs w:val="16"/>
                <w:color w:val="435363"/>
              </w:rPr>
              <w:t>15,389,935</w:t>
            </w:r>
          </w:p>
        </w:tc>
        <w:tc>
          <w:tcPr>
            <w:tcW w:w="1120" w:type="dxa"/>
            <w:vAlign w:val="bottom"/>
          </w:tcPr>
          <w:p>
            <w:pPr>
              <w:jc w:val="right"/>
              <w:ind w:right="41"/>
              <w:spacing w:after="0"/>
              <w:rPr>
                <w:sz w:val="20"/>
                <w:szCs w:val="20"/>
                <w:color w:val="auto"/>
              </w:rPr>
            </w:pPr>
            <w:r>
              <w:rPr>
                <w:rFonts w:ascii="Arial" w:cs="Arial" w:eastAsia="Arial" w:hAnsi="Arial"/>
                <w:sz w:val="16"/>
                <w:szCs w:val="16"/>
                <w:color w:val="435363"/>
              </w:rPr>
              <w:t>23,823,401</w:t>
            </w:r>
          </w:p>
        </w:tc>
        <w:tc>
          <w:tcPr>
            <w:tcW w:w="1060" w:type="dxa"/>
            <w:vAlign w:val="bottom"/>
          </w:tcPr>
          <w:p>
            <w:pPr>
              <w:jc w:val="right"/>
              <w:ind w:right="61"/>
              <w:spacing w:after="0"/>
              <w:rPr>
                <w:sz w:val="20"/>
                <w:szCs w:val="20"/>
                <w:color w:val="auto"/>
              </w:rPr>
            </w:pPr>
            <w:r>
              <w:rPr>
                <w:rFonts w:ascii="Arial" w:cs="Arial" w:eastAsia="Arial" w:hAnsi="Arial"/>
                <w:sz w:val="16"/>
                <w:szCs w:val="16"/>
                <w:color w:val="435363"/>
              </w:rPr>
              <w:t>23,823,401</w:t>
            </w:r>
          </w:p>
        </w:tc>
        <w:tc>
          <w:tcPr>
            <w:tcW w:w="1000" w:type="dxa"/>
            <w:vAlign w:val="bottom"/>
          </w:tcPr>
          <w:p>
            <w:pPr>
              <w:jc w:val="right"/>
              <w:ind w:right="1"/>
              <w:spacing w:after="0"/>
              <w:rPr>
                <w:sz w:val="20"/>
                <w:szCs w:val="20"/>
                <w:color w:val="auto"/>
              </w:rPr>
            </w:pPr>
            <w:r>
              <w:rPr>
                <w:rFonts w:ascii="Arial" w:cs="Arial" w:eastAsia="Arial" w:hAnsi="Arial"/>
                <w:sz w:val="16"/>
                <w:szCs w:val="16"/>
                <w:color w:val="435363"/>
              </w:rPr>
              <w:t>23,823,401</w:t>
            </w:r>
          </w:p>
        </w:tc>
        <w:tc>
          <w:tcPr>
            <w:tcW w:w="1080" w:type="dxa"/>
            <w:vAlign w:val="bottom"/>
          </w:tcPr>
          <w:p>
            <w:pPr>
              <w:jc w:val="right"/>
              <w:ind w:right="1"/>
              <w:spacing w:after="0"/>
              <w:rPr>
                <w:sz w:val="20"/>
                <w:szCs w:val="20"/>
                <w:color w:val="auto"/>
              </w:rPr>
            </w:pPr>
            <w:r>
              <w:rPr>
                <w:rFonts w:ascii="Arial" w:cs="Arial" w:eastAsia="Arial" w:hAnsi="Arial"/>
                <w:sz w:val="16"/>
                <w:szCs w:val="16"/>
                <w:color w:val="435363"/>
              </w:rPr>
              <w:t>9,041,151</w:t>
            </w:r>
          </w:p>
        </w:tc>
      </w:tr>
      <w:tr>
        <w:trPr>
          <w:trHeight w:val="226"/>
        </w:trPr>
        <w:tc>
          <w:tcPr>
            <w:tcW w:w="4420" w:type="dxa"/>
            <w:vAlign w:val="bottom"/>
            <w:tcBorders>
              <w:bottom w:val="single" w:sz="8" w:color="435363"/>
            </w:tcBorders>
          </w:tcPr>
          <w:p>
            <w:pPr>
              <w:ind w:left="60"/>
              <w:spacing w:after="0" w:line="225" w:lineRule="exact"/>
              <w:rPr>
                <w:sz w:val="20"/>
                <w:szCs w:val="20"/>
                <w:color w:val="auto"/>
              </w:rPr>
            </w:pPr>
            <w:r>
              <w:rPr>
                <w:rFonts w:ascii="Arial" w:cs="Arial" w:eastAsia="Arial" w:hAnsi="Arial"/>
                <w:sz w:val="16"/>
                <w:szCs w:val="16"/>
                <w:color w:val="435363"/>
              </w:rPr>
              <w:t>Flight Privileges</w:t>
            </w:r>
            <w:r>
              <w:rPr>
                <w:rFonts w:ascii="Arial" w:cs="Arial" w:eastAsia="Arial" w:hAnsi="Arial"/>
                <w:sz w:val="23"/>
                <w:szCs w:val="23"/>
                <w:color w:val="435363"/>
                <w:vertAlign w:val="superscript"/>
              </w:rPr>
              <w:t>(e)</w:t>
            </w:r>
          </w:p>
        </w:tc>
        <w:tc>
          <w:tcPr>
            <w:tcW w:w="980" w:type="dxa"/>
            <w:vAlign w:val="bottom"/>
            <w:tcBorders>
              <w:bottom w:val="single" w:sz="8" w:color="435363"/>
            </w:tcBorders>
          </w:tcPr>
          <w:p>
            <w:pPr>
              <w:jc w:val="right"/>
              <w:spacing w:after="0"/>
              <w:rPr>
                <w:sz w:val="20"/>
                <w:szCs w:val="20"/>
                <w:color w:val="auto"/>
              </w:rPr>
            </w:pPr>
            <w:r>
              <w:rPr>
                <w:rFonts w:ascii="Arial" w:cs="Arial" w:eastAsia="Arial" w:hAnsi="Arial"/>
                <w:sz w:val="16"/>
                <w:szCs w:val="16"/>
                <w:color w:val="435363"/>
              </w:rPr>
              <w:t>-</w:t>
            </w:r>
          </w:p>
        </w:tc>
        <w:tc>
          <w:tcPr>
            <w:tcW w:w="114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268,043</w:t>
            </w:r>
          </w:p>
        </w:tc>
        <w:tc>
          <w:tcPr>
            <w:tcW w:w="1120" w:type="dxa"/>
            <w:vAlign w:val="bottom"/>
            <w:tcBorders>
              <w:bottom w:val="single" w:sz="8" w:color="435363"/>
            </w:tcBorders>
          </w:tcPr>
          <w:p>
            <w:pPr>
              <w:jc w:val="right"/>
              <w:ind w:right="41"/>
              <w:spacing w:after="0"/>
              <w:rPr>
                <w:sz w:val="20"/>
                <w:szCs w:val="20"/>
                <w:color w:val="auto"/>
              </w:rPr>
            </w:pPr>
            <w:r>
              <w:rPr>
                <w:rFonts w:ascii="Arial" w:cs="Arial" w:eastAsia="Arial" w:hAnsi="Arial"/>
                <w:sz w:val="16"/>
                <w:szCs w:val="16"/>
                <w:color w:val="435363"/>
              </w:rPr>
              <w:t>268,043</w:t>
            </w:r>
          </w:p>
        </w:tc>
        <w:tc>
          <w:tcPr>
            <w:tcW w:w="1060" w:type="dxa"/>
            <w:vAlign w:val="bottom"/>
            <w:tcBorders>
              <w:bottom w:val="single" w:sz="8" w:color="435363"/>
            </w:tcBorders>
          </w:tcPr>
          <w:p>
            <w:pPr>
              <w:jc w:val="right"/>
              <w:ind w:right="61"/>
              <w:spacing w:after="0"/>
              <w:rPr>
                <w:sz w:val="20"/>
                <w:szCs w:val="20"/>
                <w:color w:val="auto"/>
              </w:rPr>
            </w:pPr>
            <w:r>
              <w:rPr>
                <w:rFonts w:ascii="Arial" w:cs="Arial" w:eastAsia="Arial" w:hAnsi="Arial"/>
                <w:sz w:val="16"/>
                <w:szCs w:val="16"/>
                <w:color w:val="435363"/>
              </w:rPr>
              <w:t>170,308</w:t>
            </w:r>
          </w:p>
        </w:tc>
        <w:tc>
          <w:tcPr>
            <w:tcW w:w="100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268,043</w:t>
            </w:r>
          </w:p>
        </w:tc>
        <w:tc>
          <w:tcPr>
            <w:tcW w:w="108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268,043</w:t>
            </w:r>
          </w:p>
        </w:tc>
      </w:tr>
      <w:tr>
        <w:trPr>
          <w:trHeight w:val="215"/>
        </w:trPr>
        <w:tc>
          <w:tcPr>
            <w:tcW w:w="4420" w:type="dxa"/>
            <w:vAlign w:val="bottom"/>
            <w:tcBorders>
              <w:bottom w:val="single" w:sz="8" w:color="435363"/>
            </w:tcBorders>
          </w:tcPr>
          <w:p>
            <w:pPr>
              <w:ind w:left="60"/>
              <w:spacing w:after="0"/>
              <w:rPr>
                <w:sz w:val="20"/>
                <w:szCs w:val="20"/>
                <w:color w:val="auto"/>
              </w:rPr>
            </w:pPr>
            <w:r>
              <w:rPr>
                <w:rFonts w:ascii="Arial" w:cs="Arial" w:eastAsia="Arial" w:hAnsi="Arial"/>
                <w:sz w:val="16"/>
                <w:szCs w:val="16"/>
                <w:b w:val="1"/>
                <w:bCs w:val="1"/>
                <w:color w:val="435363"/>
              </w:rPr>
              <w:t>Total</w:t>
            </w:r>
          </w:p>
        </w:tc>
        <w:tc>
          <w:tcPr>
            <w:tcW w:w="980" w:type="dxa"/>
            <w:vAlign w:val="bottom"/>
            <w:tcBorders>
              <w:bottom w:val="single" w:sz="8" w:color="435363"/>
            </w:tcBorders>
          </w:tcPr>
          <w:p>
            <w:pPr>
              <w:jc w:val="right"/>
              <w:spacing w:after="0"/>
              <w:rPr>
                <w:sz w:val="20"/>
                <w:szCs w:val="20"/>
                <w:color w:val="auto"/>
              </w:rPr>
            </w:pPr>
            <w:r>
              <w:rPr>
                <w:rFonts w:ascii="Arial" w:cs="Arial" w:eastAsia="Arial" w:hAnsi="Arial"/>
                <w:sz w:val="16"/>
                <w:szCs w:val="16"/>
                <w:color w:val="435363"/>
              </w:rPr>
              <w:t>23,823,401</w:t>
            </w:r>
          </w:p>
        </w:tc>
        <w:tc>
          <w:tcPr>
            <w:tcW w:w="114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23,512,853</w:t>
            </w:r>
          </w:p>
        </w:tc>
        <w:tc>
          <w:tcPr>
            <w:tcW w:w="1120" w:type="dxa"/>
            <w:vAlign w:val="bottom"/>
            <w:tcBorders>
              <w:bottom w:val="single" w:sz="8" w:color="435363"/>
            </w:tcBorders>
          </w:tcPr>
          <w:p>
            <w:pPr>
              <w:jc w:val="right"/>
              <w:ind w:right="41"/>
              <w:spacing w:after="0"/>
              <w:rPr>
                <w:sz w:val="20"/>
                <w:szCs w:val="20"/>
                <w:color w:val="auto"/>
              </w:rPr>
            </w:pPr>
            <w:r>
              <w:rPr>
                <w:rFonts w:ascii="Arial" w:cs="Arial" w:eastAsia="Arial" w:hAnsi="Arial"/>
                <w:sz w:val="16"/>
                <w:szCs w:val="16"/>
                <w:color w:val="435363"/>
              </w:rPr>
              <w:t>31,946,319</w:t>
            </w:r>
          </w:p>
        </w:tc>
        <w:tc>
          <w:tcPr>
            <w:tcW w:w="1060" w:type="dxa"/>
            <w:vAlign w:val="bottom"/>
            <w:tcBorders>
              <w:bottom w:val="single" w:sz="8" w:color="435363"/>
            </w:tcBorders>
          </w:tcPr>
          <w:p>
            <w:pPr>
              <w:jc w:val="right"/>
              <w:ind w:right="61"/>
              <w:spacing w:after="0"/>
              <w:rPr>
                <w:sz w:val="20"/>
                <w:szCs w:val="20"/>
                <w:color w:val="auto"/>
              </w:rPr>
            </w:pPr>
            <w:r>
              <w:rPr>
                <w:rFonts w:ascii="Arial" w:cs="Arial" w:eastAsia="Arial" w:hAnsi="Arial"/>
                <w:sz w:val="16"/>
                <w:szCs w:val="16"/>
                <w:color w:val="435363"/>
              </w:rPr>
              <w:t>27,916,069</w:t>
            </w:r>
          </w:p>
        </w:tc>
        <w:tc>
          <w:tcPr>
            <w:tcW w:w="100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28,013,804</w:t>
            </w:r>
          </w:p>
        </w:tc>
        <w:tc>
          <w:tcPr>
            <w:tcW w:w="108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9,309,194</w:t>
            </w:r>
          </w:p>
        </w:tc>
      </w:tr>
      <w:tr>
        <w:trPr>
          <w:trHeight w:val="181"/>
        </w:trPr>
        <w:tc>
          <w:tcPr>
            <w:tcW w:w="4420" w:type="dxa"/>
            <w:vAlign w:val="bottom"/>
            <w:shd w:val="clear" w:color="auto" w:fill="EDEDED"/>
          </w:tcPr>
          <w:p>
            <w:pPr>
              <w:ind w:left="60"/>
              <w:spacing w:after="0" w:line="181" w:lineRule="exact"/>
              <w:rPr>
                <w:sz w:val="20"/>
                <w:szCs w:val="20"/>
                <w:color w:val="auto"/>
              </w:rPr>
            </w:pPr>
            <w:r>
              <w:rPr>
                <w:rFonts w:ascii="Arial" w:cs="Arial" w:eastAsia="Arial" w:hAnsi="Arial"/>
                <w:sz w:val="16"/>
                <w:szCs w:val="16"/>
                <w:b w:val="1"/>
                <w:bCs w:val="1"/>
                <w:color w:val="435363"/>
              </w:rPr>
              <w:t>Steve Johnson</w:t>
            </w:r>
          </w:p>
        </w:tc>
        <w:tc>
          <w:tcPr>
            <w:tcW w:w="980" w:type="dxa"/>
            <w:vAlign w:val="bottom"/>
            <w:shd w:val="clear" w:color="auto" w:fill="EDEDED"/>
          </w:tcPr>
          <w:p>
            <w:pPr>
              <w:spacing w:after="0"/>
              <w:rPr>
                <w:sz w:val="15"/>
                <w:szCs w:val="15"/>
                <w:color w:val="auto"/>
              </w:rPr>
            </w:pPr>
          </w:p>
        </w:tc>
        <w:tc>
          <w:tcPr>
            <w:tcW w:w="1140" w:type="dxa"/>
            <w:vAlign w:val="bottom"/>
            <w:shd w:val="clear" w:color="auto" w:fill="EDEDED"/>
          </w:tcPr>
          <w:p>
            <w:pPr>
              <w:spacing w:after="0"/>
              <w:rPr>
                <w:sz w:val="15"/>
                <w:szCs w:val="15"/>
                <w:color w:val="auto"/>
              </w:rPr>
            </w:pPr>
          </w:p>
        </w:tc>
        <w:tc>
          <w:tcPr>
            <w:tcW w:w="1120" w:type="dxa"/>
            <w:vAlign w:val="bottom"/>
            <w:shd w:val="clear" w:color="auto" w:fill="EDEDED"/>
          </w:tcPr>
          <w:p>
            <w:pPr>
              <w:spacing w:after="0"/>
              <w:rPr>
                <w:sz w:val="15"/>
                <w:szCs w:val="15"/>
                <w:color w:val="auto"/>
              </w:rPr>
            </w:pPr>
          </w:p>
        </w:tc>
        <w:tc>
          <w:tcPr>
            <w:tcW w:w="1060" w:type="dxa"/>
            <w:vAlign w:val="bottom"/>
            <w:shd w:val="clear" w:color="auto" w:fill="EDEDED"/>
          </w:tcPr>
          <w:p>
            <w:pPr>
              <w:spacing w:after="0"/>
              <w:rPr>
                <w:sz w:val="15"/>
                <w:szCs w:val="15"/>
                <w:color w:val="auto"/>
              </w:rPr>
            </w:pPr>
          </w:p>
        </w:tc>
        <w:tc>
          <w:tcPr>
            <w:tcW w:w="1000" w:type="dxa"/>
            <w:vAlign w:val="bottom"/>
            <w:shd w:val="clear" w:color="auto" w:fill="EDEDED"/>
          </w:tcPr>
          <w:p>
            <w:pPr>
              <w:spacing w:after="0"/>
              <w:rPr>
                <w:sz w:val="15"/>
                <w:szCs w:val="15"/>
                <w:color w:val="auto"/>
              </w:rPr>
            </w:pPr>
          </w:p>
        </w:tc>
        <w:tc>
          <w:tcPr>
            <w:tcW w:w="1080" w:type="dxa"/>
            <w:vAlign w:val="bottom"/>
            <w:shd w:val="clear" w:color="auto" w:fill="EDEDED"/>
          </w:tcPr>
          <w:p>
            <w:pPr>
              <w:spacing w:after="0"/>
              <w:rPr>
                <w:sz w:val="15"/>
                <w:szCs w:val="15"/>
                <w:color w:val="auto"/>
              </w:rPr>
            </w:pPr>
          </w:p>
        </w:tc>
      </w:tr>
      <w:tr>
        <w:trPr>
          <w:trHeight w:val="185"/>
        </w:trPr>
        <w:tc>
          <w:tcPr>
            <w:tcW w:w="4420" w:type="dxa"/>
            <w:vAlign w:val="bottom"/>
            <w:shd w:val="clear" w:color="auto" w:fill="EDEDED"/>
          </w:tcPr>
          <w:p>
            <w:pPr>
              <w:ind w:left="60"/>
              <w:spacing w:after="0" w:line="186" w:lineRule="exact"/>
              <w:rPr>
                <w:sz w:val="20"/>
                <w:szCs w:val="20"/>
                <w:color w:val="auto"/>
              </w:rPr>
            </w:pPr>
            <w:r>
              <w:rPr>
                <w:rFonts w:ascii="Arial" w:cs="Arial" w:eastAsia="Arial" w:hAnsi="Arial"/>
                <w:sz w:val="15"/>
                <w:szCs w:val="15"/>
                <w:color w:val="435363"/>
              </w:rPr>
              <w:t>Base Salary</w:t>
            </w:r>
            <w:r>
              <w:rPr>
                <w:rFonts w:ascii="Arial" w:cs="Arial" w:eastAsia="Arial" w:hAnsi="Arial"/>
                <w:sz w:val="21"/>
                <w:szCs w:val="21"/>
                <w:color w:val="435363"/>
                <w:vertAlign w:val="superscript"/>
              </w:rPr>
              <w:t>(a)</w:t>
            </w: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w:t>
            </w:r>
          </w:p>
        </w:tc>
        <w:tc>
          <w:tcPr>
            <w:tcW w:w="114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1,275,000</w:t>
            </w:r>
          </w:p>
        </w:tc>
        <w:tc>
          <w:tcPr>
            <w:tcW w:w="112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435363"/>
              </w:rPr>
              <w:t>1,275,000</w:t>
            </w:r>
          </w:p>
        </w:tc>
        <w:tc>
          <w:tcPr>
            <w:tcW w:w="1060" w:type="dxa"/>
            <w:vAlign w:val="bottom"/>
            <w:shd w:val="clear" w:color="auto" w:fill="EDEDED"/>
          </w:tcPr>
          <w:p>
            <w:pPr>
              <w:jc w:val="right"/>
              <w:ind w:right="61"/>
              <w:spacing w:after="0"/>
              <w:rPr>
                <w:sz w:val="20"/>
                <w:szCs w:val="20"/>
                <w:color w:val="auto"/>
              </w:rPr>
            </w:pPr>
            <w:r>
              <w:rPr>
                <w:rFonts w:ascii="Arial" w:cs="Arial" w:eastAsia="Arial" w:hAnsi="Arial"/>
                <w:sz w:val="16"/>
                <w:szCs w:val="16"/>
                <w:color w:val="435363"/>
              </w:rPr>
              <w:t>-</w:t>
            </w:r>
          </w:p>
        </w:tc>
        <w:tc>
          <w:tcPr>
            <w:tcW w:w="100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w:t>
            </w:r>
          </w:p>
        </w:tc>
        <w:tc>
          <w:tcPr>
            <w:tcW w:w="108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w:t>
            </w:r>
          </w:p>
        </w:tc>
      </w:tr>
      <w:tr>
        <w:trPr>
          <w:trHeight w:val="185"/>
        </w:trPr>
        <w:tc>
          <w:tcPr>
            <w:tcW w:w="4420" w:type="dxa"/>
            <w:vAlign w:val="bottom"/>
            <w:shd w:val="clear" w:color="auto" w:fill="EDEDED"/>
          </w:tcPr>
          <w:p>
            <w:pPr>
              <w:ind w:left="60"/>
              <w:spacing w:after="0" w:line="186" w:lineRule="exact"/>
              <w:rPr>
                <w:sz w:val="20"/>
                <w:szCs w:val="20"/>
                <w:color w:val="auto"/>
              </w:rPr>
            </w:pPr>
            <w:r>
              <w:rPr>
                <w:rFonts w:ascii="Arial" w:cs="Arial" w:eastAsia="Arial" w:hAnsi="Arial"/>
                <w:sz w:val="15"/>
                <w:szCs w:val="15"/>
                <w:color w:val="435363"/>
              </w:rPr>
              <w:t>Annual Incentive Award</w:t>
            </w:r>
            <w:r>
              <w:rPr>
                <w:rFonts w:ascii="Arial" w:cs="Arial" w:eastAsia="Arial" w:hAnsi="Arial"/>
                <w:sz w:val="21"/>
                <w:szCs w:val="21"/>
                <w:color w:val="435363"/>
                <w:vertAlign w:val="superscript"/>
              </w:rPr>
              <w:t>(b)</w:t>
            </w: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w:t>
            </w:r>
          </w:p>
        </w:tc>
        <w:tc>
          <w:tcPr>
            <w:tcW w:w="114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1,912,500</w:t>
            </w:r>
          </w:p>
        </w:tc>
        <w:tc>
          <w:tcPr>
            <w:tcW w:w="112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435363"/>
              </w:rPr>
              <w:t>1,912,500</w:t>
            </w:r>
          </w:p>
        </w:tc>
        <w:tc>
          <w:tcPr>
            <w:tcW w:w="1060" w:type="dxa"/>
            <w:vAlign w:val="bottom"/>
            <w:shd w:val="clear" w:color="auto" w:fill="EDEDED"/>
          </w:tcPr>
          <w:p>
            <w:pPr>
              <w:jc w:val="right"/>
              <w:ind w:right="61"/>
              <w:spacing w:after="0"/>
              <w:rPr>
                <w:sz w:val="20"/>
                <w:szCs w:val="20"/>
                <w:color w:val="auto"/>
              </w:rPr>
            </w:pPr>
            <w:r>
              <w:rPr>
                <w:rFonts w:ascii="Arial" w:cs="Arial" w:eastAsia="Arial" w:hAnsi="Arial"/>
                <w:sz w:val="16"/>
                <w:szCs w:val="16"/>
                <w:color w:val="435363"/>
              </w:rPr>
              <w:t>1,787,085</w:t>
            </w:r>
          </w:p>
        </w:tc>
        <w:tc>
          <w:tcPr>
            <w:tcW w:w="100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1,787,085</w:t>
            </w:r>
          </w:p>
        </w:tc>
        <w:tc>
          <w:tcPr>
            <w:tcW w:w="108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w:t>
            </w:r>
          </w:p>
        </w:tc>
      </w:tr>
      <w:tr>
        <w:trPr>
          <w:trHeight w:val="185"/>
        </w:trPr>
        <w:tc>
          <w:tcPr>
            <w:tcW w:w="4420" w:type="dxa"/>
            <w:vAlign w:val="bottom"/>
            <w:shd w:val="clear" w:color="auto" w:fill="EDEDED"/>
          </w:tcPr>
          <w:p>
            <w:pPr>
              <w:ind w:left="60"/>
              <w:spacing w:after="0" w:line="186" w:lineRule="exact"/>
              <w:rPr>
                <w:sz w:val="20"/>
                <w:szCs w:val="20"/>
                <w:color w:val="auto"/>
              </w:rPr>
            </w:pPr>
            <w:r>
              <w:rPr>
                <w:rFonts w:ascii="Arial" w:cs="Arial" w:eastAsia="Arial" w:hAnsi="Arial"/>
                <w:sz w:val="15"/>
                <w:szCs w:val="15"/>
                <w:color w:val="435363"/>
              </w:rPr>
              <w:t>COBRA</w:t>
            </w:r>
            <w:r>
              <w:rPr>
                <w:rFonts w:ascii="Arial" w:cs="Arial" w:eastAsia="Arial" w:hAnsi="Arial"/>
                <w:sz w:val="21"/>
                <w:szCs w:val="21"/>
                <w:color w:val="435363"/>
                <w:vertAlign w:val="superscript"/>
              </w:rPr>
              <w:t>(c)</w:t>
            </w: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w:t>
            </w:r>
          </w:p>
        </w:tc>
        <w:tc>
          <w:tcPr>
            <w:tcW w:w="114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40,854</w:t>
            </w:r>
          </w:p>
        </w:tc>
        <w:tc>
          <w:tcPr>
            <w:tcW w:w="112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435363"/>
              </w:rPr>
              <w:t>40,854</w:t>
            </w:r>
          </w:p>
        </w:tc>
        <w:tc>
          <w:tcPr>
            <w:tcW w:w="1060" w:type="dxa"/>
            <w:vAlign w:val="bottom"/>
            <w:shd w:val="clear" w:color="auto" w:fill="EDEDED"/>
          </w:tcPr>
          <w:p>
            <w:pPr>
              <w:jc w:val="right"/>
              <w:ind w:right="61"/>
              <w:spacing w:after="0"/>
              <w:rPr>
                <w:sz w:val="20"/>
                <w:szCs w:val="20"/>
                <w:color w:val="auto"/>
              </w:rPr>
            </w:pPr>
            <w:r>
              <w:rPr>
                <w:rFonts w:ascii="Arial" w:cs="Arial" w:eastAsia="Arial" w:hAnsi="Arial"/>
                <w:sz w:val="16"/>
                <w:szCs w:val="16"/>
                <w:color w:val="435363"/>
              </w:rPr>
              <w:t>-</w:t>
            </w:r>
          </w:p>
        </w:tc>
        <w:tc>
          <w:tcPr>
            <w:tcW w:w="100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w:t>
            </w:r>
          </w:p>
        </w:tc>
        <w:tc>
          <w:tcPr>
            <w:tcW w:w="108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w:t>
            </w:r>
          </w:p>
        </w:tc>
      </w:tr>
      <w:tr>
        <w:trPr>
          <w:trHeight w:val="185"/>
        </w:trPr>
        <w:tc>
          <w:tcPr>
            <w:tcW w:w="4420" w:type="dxa"/>
            <w:vAlign w:val="bottom"/>
            <w:shd w:val="clear" w:color="auto" w:fill="EDEDED"/>
          </w:tcPr>
          <w:p>
            <w:pPr>
              <w:ind w:left="60"/>
              <w:spacing w:after="0" w:line="186" w:lineRule="exact"/>
              <w:rPr>
                <w:sz w:val="20"/>
                <w:szCs w:val="20"/>
                <w:color w:val="auto"/>
              </w:rPr>
            </w:pPr>
            <w:r>
              <w:rPr>
                <w:rFonts w:ascii="Arial" w:cs="Arial" w:eastAsia="Arial" w:hAnsi="Arial"/>
                <w:sz w:val="15"/>
                <w:szCs w:val="15"/>
                <w:color w:val="435363"/>
              </w:rPr>
              <w:t>Acceleration of Unvested RSUs</w:t>
            </w:r>
            <w:r>
              <w:rPr>
                <w:rFonts w:ascii="Arial" w:cs="Arial" w:eastAsia="Arial" w:hAnsi="Arial"/>
                <w:sz w:val="21"/>
                <w:szCs w:val="21"/>
                <w:color w:val="435363"/>
                <w:vertAlign w:val="superscript"/>
              </w:rPr>
              <w:t>(d)</w:t>
            </w: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8,761,753</w:t>
            </w:r>
          </w:p>
        </w:tc>
        <w:tc>
          <w:tcPr>
            <w:tcW w:w="114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8,761,753</w:t>
            </w:r>
          </w:p>
        </w:tc>
        <w:tc>
          <w:tcPr>
            <w:tcW w:w="112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435363"/>
              </w:rPr>
              <w:t>8,761,753</w:t>
            </w:r>
          </w:p>
        </w:tc>
        <w:tc>
          <w:tcPr>
            <w:tcW w:w="1060" w:type="dxa"/>
            <w:vAlign w:val="bottom"/>
            <w:shd w:val="clear" w:color="auto" w:fill="EDEDED"/>
          </w:tcPr>
          <w:p>
            <w:pPr>
              <w:jc w:val="right"/>
              <w:ind w:right="61"/>
              <w:spacing w:after="0"/>
              <w:rPr>
                <w:sz w:val="20"/>
                <w:szCs w:val="20"/>
                <w:color w:val="auto"/>
              </w:rPr>
            </w:pPr>
            <w:r>
              <w:rPr>
                <w:rFonts w:ascii="Arial" w:cs="Arial" w:eastAsia="Arial" w:hAnsi="Arial"/>
                <w:sz w:val="16"/>
                <w:szCs w:val="16"/>
                <w:color w:val="435363"/>
              </w:rPr>
              <w:t>8,761,753</w:t>
            </w:r>
          </w:p>
        </w:tc>
        <w:tc>
          <w:tcPr>
            <w:tcW w:w="100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8,761,753</w:t>
            </w:r>
          </w:p>
        </w:tc>
        <w:tc>
          <w:tcPr>
            <w:tcW w:w="108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8,761,753</w:t>
            </w:r>
          </w:p>
        </w:tc>
      </w:tr>
      <w:tr>
        <w:trPr>
          <w:trHeight w:val="226"/>
        </w:trPr>
        <w:tc>
          <w:tcPr>
            <w:tcW w:w="4420" w:type="dxa"/>
            <w:vAlign w:val="bottom"/>
            <w:tcBorders>
              <w:bottom w:val="single" w:sz="8" w:color="435363"/>
            </w:tcBorders>
            <w:shd w:val="clear" w:color="auto" w:fill="EDEDED"/>
          </w:tcPr>
          <w:p>
            <w:pPr>
              <w:ind w:left="60"/>
              <w:spacing w:after="0" w:line="225" w:lineRule="exact"/>
              <w:rPr>
                <w:sz w:val="20"/>
                <w:szCs w:val="20"/>
                <w:color w:val="auto"/>
              </w:rPr>
            </w:pPr>
            <w:r>
              <w:rPr>
                <w:rFonts w:ascii="Arial" w:cs="Arial" w:eastAsia="Arial" w:hAnsi="Arial"/>
                <w:sz w:val="16"/>
                <w:szCs w:val="16"/>
                <w:color w:val="435363"/>
              </w:rPr>
              <w:t>Flight Privileges</w:t>
            </w:r>
            <w:r>
              <w:rPr>
                <w:rFonts w:ascii="Arial" w:cs="Arial" w:eastAsia="Arial" w:hAnsi="Arial"/>
                <w:sz w:val="23"/>
                <w:szCs w:val="23"/>
                <w:color w:val="435363"/>
                <w:vertAlign w:val="superscript"/>
              </w:rPr>
              <w:t>(e)</w:t>
            </w:r>
          </w:p>
        </w:tc>
        <w:tc>
          <w:tcPr>
            <w:tcW w:w="980" w:type="dxa"/>
            <w:vAlign w:val="bottom"/>
            <w:tcBorders>
              <w:bottom w:val="single" w:sz="8" w:color="435363"/>
            </w:tcBorders>
            <w:shd w:val="clear" w:color="auto" w:fill="EDEDED"/>
          </w:tcPr>
          <w:p>
            <w:pPr>
              <w:jc w:val="right"/>
              <w:spacing w:after="0"/>
              <w:rPr>
                <w:sz w:val="20"/>
                <w:szCs w:val="20"/>
                <w:color w:val="auto"/>
              </w:rPr>
            </w:pPr>
            <w:r>
              <w:rPr>
                <w:rFonts w:ascii="Arial" w:cs="Arial" w:eastAsia="Arial" w:hAnsi="Arial"/>
                <w:sz w:val="16"/>
                <w:szCs w:val="16"/>
                <w:color w:val="435363"/>
              </w:rPr>
              <w:t>-</w:t>
            </w:r>
          </w:p>
        </w:tc>
        <w:tc>
          <w:tcPr>
            <w:tcW w:w="1140" w:type="dxa"/>
            <w:vAlign w:val="bottom"/>
            <w:tcBorders>
              <w:bottom w:val="single" w:sz="8" w:color="435363"/>
            </w:tcBorders>
            <w:shd w:val="clear" w:color="auto" w:fill="EDEDED"/>
          </w:tcPr>
          <w:p>
            <w:pPr>
              <w:jc w:val="right"/>
              <w:ind w:right="1"/>
              <w:spacing w:after="0"/>
              <w:rPr>
                <w:sz w:val="20"/>
                <w:szCs w:val="20"/>
                <w:color w:val="auto"/>
              </w:rPr>
            </w:pPr>
            <w:r>
              <w:rPr>
                <w:rFonts w:ascii="Arial" w:cs="Arial" w:eastAsia="Arial" w:hAnsi="Arial"/>
                <w:sz w:val="16"/>
                <w:szCs w:val="16"/>
                <w:color w:val="435363"/>
              </w:rPr>
              <w:t>295,231</w:t>
            </w:r>
          </w:p>
        </w:tc>
        <w:tc>
          <w:tcPr>
            <w:tcW w:w="1120" w:type="dxa"/>
            <w:vAlign w:val="bottom"/>
            <w:tcBorders>
              <w:bottom w:val="single" w:sz="8" w:color="435363"/>
            </w:tcBorders>
            <w:shd w:val="clear" w:color="auto" w:fill="EDEDED"/>
          </w:tcPr>
          <w:p>
            <w:pPr>
              <w:jc w:val="right"/>
              <w:ind w:right="41"/>
              <w:spacing w:after="0"/>
              <w:rPr>
                <w:sz w:val="20"/>
                <w:szCs w:val="20"/>
                <w:color w:val="auto"/>
              </w:rPr>
            </w:pPr>
            <w:r>
              <w:rPr>
                <w:rFonts w:ascii="Arial" w:cs="Arial" w:eastAsia="Arial" w:hAnsi="Arial"/>
                <w:sz w:val="16"/>
                <w:szCs w:val="16"/>
                <w:color w:val="435363"/>
              </w:rPr>
              <w:t>295,231</w:t>
            </w:r>
          </w:p>
        </w:tc>
        <w:tc>
          <w:tcPr>
            <w:tcW w:w="1060" w:type="dxa"/>
            <w:vAlign w:val="bottom"/>
            <w:tcBorders>
              <w:bottom w:val="single" w:sz="8" w:color="435363"/>
            </w:tcBorders>
            <w:shd w:val="clear" w:color="auto" w:fill="EDEDED"/>
          </w:tcPr>
          <w:p>
            <w:pPr>
              <w:jc w:val="right"/>
              <w:ind w:right="61"/>
              <w:spacing w:after="0"/>
              <w:rPr>
                <w:sz w:val="20"/>
                <w:szCs w:val="20"/>
                <w:color w:val="auto"/>
              </w:rPr>
            </w:pPr>
            <w:r>
              <w:rPr>
                <w:rFonts w:ascii="Arial" w:cs="Arial" w:eastAsia="Arial" w:hAnsi="Arial"/>
                <w:sz w:val="16"/>
                <w:szCs w:val="16"/>
                <w:color w:val="435363"/>
              </w:rPr>
              <w:t>197,802</w:t>
            </w:r>
          </w:p>
        </w:tc>
        <w:tc>
          <w:tcPr>
            <w:tcW w:w="1000" w:type="dxa"/>
            <w:vAlign w:val="bottom"/>
            <w:tcBorders>
              <w:bottom w:val="single" w:sz="8" w:color="435363"/>
            </w:tcBorders>
            <w:shd w:val="clear" w:color="auto" w:fill="EDEDED"/>
          </w:tcPr>
          <w:p>
            <w:pPr>
              <w:jc w:val="right"/>
              <w:ind w:right="1"/>
              <w:spacing w:after="0"/>
              <w:rPr>
                <w:sz w:val="20"/>
                <w:szCs w:val="20"/>
                <w:color w:val="auto"/>
              </w:rPr>
            </w:pPr>
            <w:r>
              <w:rPr>
                <w:rFonts w:ascii="Arial" w:cs="Arial" w:eastAsia="Arial" w:hAnsi="Arial"/>
                <w:sz w:val="16"/>
                <w:szCs w:val="16"/>
                <w:color w:val="435363"/>
              </w:rPr>
              <w:t>295,231</w:t>
            </w:r>
          </w:p>
        </w:tc>
        <w:tc>
          <w:tcPr>
            <w:tcW w:w="1080" w:type="dxa"/>
            <w:vAlign w:val="bottom"/>
            <w:tcBorders>
              <w:bottom w:val="single" w:sz="8" w:color="435363"/>
            </w:tcBorders>
            <w:shd w:val="clear" w:color="auto" w:fill="EDEDED"/>
          </w:tcPr>
          <w:p>
            <w:pPr>
              <w:jc w:val="right"/>
              <w:ind w:right="1"/>
              <w:spacing w:after="0"/>
              <w:rPr>
                <w:sz w:val="20"/>
                <w:szCs w:val="20"/>
                <w:color w:val="auto"/>
              </w:rPr>
            </w:pPr>
            <w:r>
              <w:rPr>
                <w:rFonts w:ascii="Arial" w:cs="Arial" w:eastAsia="Arial" w:hAnsi="Arial"/>
                <w:sz w:val="16"/>
                <w:szCs w:val="16"/>
                <w:color w:val="435363"/>
              </w:rPr>
              <w:t>295,231</w:t>
            </w:r>
          </w:p>
        </w:tc>
      </w:tr>
      <w:tr>
        <w:trPr>
          <w:trHeight w:val="192"/>
        </w:trPr>
        <w:tc>
          <w:tcPr>
            <w:tcW w:w="4420" w:type="dxa"/>
            <w:vAlign w:val="bottom"/>
            <w:tcBorders>
              <w:bottom w:val="single" w:sz="8" w:color="435363"/>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Total</w:t>
            </w:r>
          </w:p>
        </w:tc>
        <w:tc>
          <w:tcPr>
            <w:tcW w:w="980" w:type="dxa"/>
            <w:vAlign w:val="bottom"/>
            <w:tcBorders>
              <w:bottom w:val="single" w:sz="8" w:color="435363"/>
            </w:tcBorders>
            <w:shd w:val="clear" w:color="auto" w:fill="EDEDED"/>
          </w:tcPr>
          <w:p>
            <w:pPr>
              <w:jc w:val="right"/>
              <w:spacing w:after="0"/>
              <w:rPr>
                <w:sz w:val="20"/>
                <w:szCs w:val="20"/>
                <w:color w:val="auto"/>
              </w:rPr>
            </w:pPr>
            <w:r>
              <w:rPr>
                <w:rFonts w:ascii="Arial" w:cs="Arial" w:eastAsia="Arial" w:hAnsi="Arial"/>
                <w:sz w:val="16"/>
                <w:szCs w:val="16"/>
                <w:color w:val="435363"/>
              </w:rPr>
              <w:t>8,761,753</w:t>
            </w:r>
          </w:p>
        </w:tc>
        <w:tc>
          <w:tcPr>
            <w:tcW w:w="1140" w:type="dxa"/>
            <w:vAlign w:val="bottom"/>
            <w:tcBorders>
              <w:bottom w:val="single" w:sz="8" w:color="435363"/>
            </w:tcBorders>
            <w:shd w:val="clear" w:color="auto" w:fill="EDEDED"/>
          </w:tcPr>
          <w:p>
            <w:pPr>
              <w:jc w:val="right"/>
              <w:ind w:right="1"/>
              <w:spacing w:after="0"/>
              <w:rPr>
                <w:sz w:val="20"/>
                <w:szCs w:val="20"/>
                <w:color w:val="auto"/>
              </w:rPr>
            </w:pPr>
            <w:r>
              <w:rPr>
                <w:rFonts w:ascii="Arial" w:cs="Arial" w:eastAsia="Arial" w:hAnsi="Arial"/>
                <w:sz w:val="16"/>
                <w:szCs w:val="16"/>
                <w:color w:val="435363"/>
              </w:rPr>
              <w:t>12,285,338</w:t>
            </w:r>
          </w:p>
        </w:tc>
        <w:tc>
          <w:tcPr>
            <w:tcW w:w="1120" w:type="dxa"/>
            <w:vAlign w:val="bottom"/>
            <w:tcBorders>
              <w:bottom w:val="single" w:sz="8" w:color="435363"/>
            </w:tcBorders>
            <w:shd w:val="clear" w:color="auto" w:fill="EDEDED"/>
          </w:tcPr>
          <w:p>
            <w:pPr>
              <w:jc w:val="right"/>
              <w:ind w:right="41"/>
              <w:spacing w:after="0"/>
              <w:rPr>
                <w:sz w:val="20"/>
                <w:szCs w:val="20"/>
                <w:color w:val="auto"/>
              </w:rPr>
            </w:pPr>
            <w:r>
              <w:rPr>
                <w:rFonts w:ascii="Arial" w:cs="Arial" w:eastAsia="Arial" w:hAnsi="Arial"/>
                <w:sz w:val="16"/>
                <w:szCs w:val="16"/>
                <w:color w:val="435363"/>
              </w:rPr>
              <w:t>12,285,338</w:t>
            </w:r>
          </w:p>
        </w:tc>
        <w:tc>
          <w:tcPr>
            <w:tcW w:w="1060" w:type="dxa"/>
            <w:vAlign w:val="bottom"/>
            <w:tcBorders>
              <w:bottom w:val="single" w:sz="8" w:color="435363"/>
            </w:tcBorders>
            <w:shd w:val="clear" w:color="auto" w:fill="EDEDED"/>
          </w:tcPr>
          <w:p>
            <w:pPr>
              <w:jc w:val="right"/>
              <w:ind w:right="61"/>
              <w:spacing w:after="0"/>
              <w:rPr>
                <w:sz w:val="20"/>
                <w:szCs w:val="20"/>
                <w:color w:val="auto"/>
              </w:rPr>
            </w:pPr>
            <w:r>
              <w:rPr>
                <w:rFonts w:ascii="Arial" w:cs="Arial" w:eastAsia="Arial" w:hAnsi="Arial"/>
                <w:sz w:val="16"/>
                <w:szCs w:val="16"/>
                <w:color w:val="435363"/>
              </w:rPr>
              <w:t>10,746,640</w:t>
            </w:r>
          </w:p>
        </w:tc>
        <w:tc>
          <w:tcPr>
            <w:tcW w:w="1000" w:type="dxa"/>
            <w:vAlign w:val="bottom"/>
            <w:tcBorders>
              <w:bottom w:val="single" w:sz="8" w:color="435363"/>
            </w:tcBorders>
            <w:shd w:val="clear" w:color="auto" w:fill="EDEDED"/>
          </w:tcPr>
          <w:p>
            <w:pPr>
              <w:jc w:val="right"/>
              <w:ind w:right="1"/>
              <w:spacing w:after="0"/>
              <w:rPr>
                <w:sz w:val="20"/>
                <w:szCs w:val="20"/>
                <w:color w:val="auto"/>
              </w:rPr>
            </w:pPr>
            <w:r>
              <w:rPr>
                <w:rFonts w:ascii="Arial" w:cs="Arial" w:eastAsia="Arial" w:hAnsi="Arial"/>
                <w:sz w:val="16"/>
                <w:szCs w:val="16"/>
                <w:color w:val="435363"/>
              </w:rPr>
              <w:t>10,844,069</w:t>
            </w:r>
          </w:p>
        </w:tc>
        <w:tc>
          <w:tcPr>
            <w:tcW w:w="1080" w:type="dxa"/>
            <w:vAlign w:val="bottom"/>
            <w:tcBorders>
              <w:bottom w:val="single" w:sz="8" w:color="435363"/>
            </w:tcBorders>
            <w:shd w:val="clear" w:color="auto" w:fill="EDEDED"/>
          </w:tcPr>
          <w:p>
            <w:pPr>
              <w:jc w:val="right"/>
              <w:ind w:right="1"/>
              <w:spacing w:after="0"/>
              <w:rPr>
                <w:sz w:val="20"/>
                <w:szCs w:val="20"/>
                <w:color w:val="auto"/>
              </w:rPr>
            </w:pPr>
            <w:r>
              <w:rPr>
                <w:rFonts w:ascii="Arial" w:cs="Arial" w:eastAsia="Arial" w:hAnsi="Arial"/>
                <w:sz w:val="16"/>
                <w:szCs w:val="16"/>
                <w:color w:val="435363"/>
              </w:rPr>
              <w:t>9,056,984</w:t>
            </w:r>
          </w:p>
        </w:tc>
      </w:tr>
      <w:tr>
        <w:trPr>
          <w:trHeight w:val="178"/>
        </w:trPr>
        <w:tc>
          <w:tcPr>
            <w:tcW w:w="4420" w:type="dxa"/>
            <w:vAlign w:val="bottom"/>
          </w:tcPr>
          <w:p>
            <w:pPr>
              <w:ind w:left="60"/>
              <w:spacing w:after="0" w:line="178" w:lineRule="exact"/>
              <w:rPr>
                <w:sz w:val="20"/>
                <w:szCs w:val="20"/>
                <w:color w:val="auto"/>
              </w:rPr>
            </w:pPr>
            <w:r>
              <w:rPr>
                <w:rFonts w:ascii="Arial" w:cs="Arial" w:eastAsia="Arial" w:hAnsi="Arial"/>
                <w:sz w:val="16"/>
                <w:szCs w:val="16"/>
                <w:b w:val="1"/>
                <w:bCs w:val="1"/>
                <w:color w:val="435363"/>
              </w:rPr>
              <w:t>Priya Aiyar</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5"/>
        </w:trPr>
        <w:tc>
          <w:tcPr>
            <w:tcW w:w="4420" w:type="dxa"/>
            <w:vAlign w:val="bottom"/>
          </w:tcPr>
          <w:p>
            <w:pPr>
              <w:ind w:left="60"/>
              <w:spacing w:after="0" w:line="186" w:lineRule="exact"/>
              <w:rPr>
                <w:sz w:val="20"/>
                <w:szCs w:val="20"/>
                <w:color w:val="auto"/>
              </w:rPr>
            </w:pPr>
            <w:r>
              <w:rPr>
                <w:rFonts w:ascii="Arial" w:cs="Arial" w:eastAsia="Arial" w:hAnsi="Arial"/>
                <w:sz w:val="15"/>
                <w:szCs w:val="15"/>
                <w:color w:val="435363"/>
              </w:rPr>
              <w:t>Base Salary</w:t>
            </w:r>
            <w:r>
              <w:rPr>
                <w:rFonts w:ascii="Arial" w:cs="Arial" w:eastAsia="Arial" w:hAnsi="Arial"/>
                <w:sz w:val="21"/>
                <w:szCs w:val="21"/>
                <w:color w:val="435363"/>
                <w:vertAlign w:val="superscript"/>
              </w:rPr>
              <w:t>(a)</w:t>
            </w:r>
          </w:p>
        </w:tc>
        <w:tc>
          <w:tcPr>
            <w:tcW w:w="980" w:type="dxa"/>
            <w:vAlign w:val="bottom"/>
          </w:tcPr>
          <w:p>
            <w:pPr>
              <w:jc w:val="right"/>
              <w:spacing w:after="0"/>
              <w:rPr>
                <w:sz w:val="20"/>
                <w:szCs w:val="20"/>
                <w:color w:val="auto"/>
              </w:rPr>
            </w:pPr>
            <w:r>
              <w:rPr>
                <w:rFonts w:ascii="Arial" w:cs="Arial" w:eastAsia="Arial" w:hAnsi="Arial"/>
                <w:sz w:val="16"/>
                <w:szCs w:val="16"/>
                <w:color w:val="435363"/>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435363"/>
              </w:rPr>
              <w:t>1,095,000</w:t>
            </w:r>
          </w:p>
        </w:tc>
        <w:tc>
          <w:tcPr>
            <w:tcW w:w="1120" w:type="dxa"/>
            <w:vAlign w:val="bottom"/>
          </w:tcPr>
          <w:p>
            <w:pPr>
              <w:jc w:val="right"/>
              <w:ind w:right="41"/>
              <w:spacing w:after="0"/>
              <w:rPr>
                <w:sz w:val="20"/>
                <w:szCs w:val="20"/>
                <w:color w:val="auto"/>
              </w:rPr>
            </w:pPr>
            <w:r>
              <w:rPr>
                <w:rFonts w:ascii="Arial" w:cs="Arial" w:eastAsia="Arial" w:hAnsi="Arial"/>
                <w:sz w:val="16"/>
                <w:szCs w:val="16"/>
                <w:color w:val="435363"/>
              </w:rPr>
              <w:t>1,095,000</w:t>
            </w:r>
          </w:p>
        </w:tc>
        <w:tc>
          <w:tcPr>
            <w:tcW w:w="1060" w:type="dxa"/>
            <w:vAlign w:val="bottom"/>
          </w:tcPr>
          <w:p>
            <w:pPr>
              <w:jc w:val="right"/>
              <w:ind w:right="61"/>
              <w:spacing w:after="0"/>
              <w:rPr>
                <w:sz w:val="20"/>
                <w:szCs w:val="20"/>
                <w:color w:val="auto"/>
              </w:rPr>
            </w:pPr>
            <w:r>
              <w:rPr>
                <w:rFonts w:ascii="Arial" w:cs="Arial" w:eastAsia="Arial" w:hAnsi="Arial"/>
                <w:sz w:val="16"/>
                <w:szCs w:val="16"/>
                <w:color w:val="435363"/>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435363"/>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435363"/>
              </w:rPr>
              <w:t>-</w:t>
            </w:r>
          </w:p>
        </w:tc>
      </w:tr>
      <w:tr>
        <w:trPr>
          <w:trHeight w:val="185"/>
        </w:trPr>
        <w:tc>
          <w:tcPr>
            <w:tcW w:w="4420" w:type="dxa"/>
            <w:vAlign w:val="bottom"/>
          </w:tcPr>
          <w:p>
            <w:pPr>
              <w:ind w:left="60"/>
              <w:spacing w:after="0" w:line="186" w:lineRule="exact"/>
              <w:rPr>
                <w:sz w:val="20"/>
                <w:szCs w:val="20"/>
                <w:color w:val="auto"/>
              </w:rPr>
            </w:pPr>
            <w:r>
              <w:rPr>
                <w:rFonts w:ascii="Arial" w:cs="Arial" w:eastAsia="Arial" w:hAnsi="Arial"/>
                <w:sz w:val="15"/>
                <w:szCs w:val="15"/>
                <w:color w:val="435363"/>
              </w:rPr>
              <w:t>Annual Incentive Award</w:t>
            </w:r>
            <w:r>
              <w:rPr>
                <w:rFonts w:ascii="Arial" w:cs="Arial" w:eastAsia="Arial" w:hAnsi="Arial"/>
                <w:sz w:val="21"/>
                <w:szCs w:val="21"/>
                <w:color w:val="435363"/>
                <w:vertAlign w:val="superscript"/>
              </w:rPr>
              <w:t>(b)</w:t>
            </w:r>
          </w:p>
        </w:tc>
        <w:tc>
          <w:tcPr>
            <w:tcW w:w="980" w:type="dxa"/>
            <w:vAlign w:val="bottom"/>
          </w:tcPr>
          <w:p>
            <w:pPr>
              <w:jc w:val="right"/>
              <w:spacing w:after="0"/>
              <w:rPr>
                <w:sz w:val="20"/>
                <w:szCs w:val="20"/>
                <w:color w:val="auto"/>
              </w:rPr>
            </w:pPr>
            <w:r>
              <w:rPr>
                <w:rFonts w:ascii="Arial" w:cs="Arial" w:eastAsia="Arial" w:hAnsi="Arial"/>
                <w:sz w:val="16"/>
                <w:szCs w:val="16"/>
                <w:color w:val="435363"/>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435363"/>
              </w:rPr>
              <w:t>1,368,750</w:t>
            </w:r>
          </w:p>
        </w:tc>
        <w:tc>
          <w:tcPr>
            <w:tcW w:w="1120" w:type="dxa"/>
            <w:vAlign w:val="bottom"/>
          </w:tcPr>
          <w:p>
            <w:pPr>
              <w:jc w:val="right"/>
              <w:ind w:right="41"/>
              <w:spacing w:after="0"/>
              <w:rPr>
                <w:sz w:val="20"/>
                <w:szCs w:val="20"/>
                <w:color w:val="auto"/>
              </w:rPr>
            </w:pPr>
            <w:r>
              <w:rPr>
                <w:rFonts w:ascii="Arial" w:cs="Arial" w:eastAsia="Arial" w:hAnsi="Arial"/>
                <w:sz w:val="16"/>
                <w:szCs w:val="16"/>
                <w:color w:val="435363"/>
              </w:rPr>
              <w:t>1,368,750</w:t>
            </w:r>
          </w:p>
        </w:tc>
        <w:tc>
          <w:tcPr>
            <w:tcW w:w="1060" w:type="dxa"/>
            <w:vAlign w:val="bottom"/>
          </w:tcPr>
          <w:p>
            <w:pPr>
              <w:jc w:val="right"/>
              <w:ind w:right="61"/>
              <w:spacing w:after="0"/>
              <w:rPr>
                <w:sz w:val="20"/>
                <w:szCs w:val="20"/>
                <w:color w:val="auto"/>
              </w:rPr>
            </w:pPr>
            <w:r>
              <w:rPr>
                <w:rFonts w:ascii="Arial" w:cs="Arial" w:eastAsia="Arial" w:hAnsi="Arial"/>
                <w:sz w:val="16"/>
                <w:szCs w:val="16"/>
                <w:color w:val="435363"/>
              </w:rPr>
              <w:t>1,376,634</w:t>
            </w:r>
          </w:p>
        </w:tc>
        <w:tc>
          <w:tcPr>
            <w:tcW w:w="1000" w:type="dxa"/>
            <w:vAlign w:val="bottom"/>
          </w:tcPr>
          <w:p>
            <w:pPr>
              <w:jc w:val="right"/>
              <w:ind w:right="1"/>
              <w:spacing w:after="0"/>
              <w:rPr>
                <w:sz w:val="20"/>
                <w:szCs w:val="20"/>
                <w:color w:val="auto"/>
              </w:rPr>
            </w:pPr>
            <w:r>
              <w:rPr>
                <w:rFonts w:ascii="Arial" w:cs="Arial" w:eastAsia="Arial" w:hAnsi="Arial"/>
                <w:sz w:val="16"/>
                <w:szCs w:val="16"/>
                <w:color w:val="435363"/>
              </w:rPr>
              <w:t>1,376,634</w:t>
            </w:r>
          </w:p>
        </w:tc>
        <w:tc>
          <w:tcPr>
            <w:tcW w:w="1080" w:type="dxa"/>
            <w:vAlign w:val="bottom"/>
          </w:tcPr>
          <w:p>
            <w:pPr>
              <w:jc w:val="right"/>
              <w:ind w:right="1"/>
              <w:spacing w:after="0"/>
              <w:rPr>
                <w:sz w:val="20"/>
                <w:szCs w:val="20"/>
                <w:color w:val="auto"/>
              </w:rPr>
            </w:pPr>
            <w:r>
              <w:rPr>
                <w:rFonts w:ascii="Arial" w:cs="Arial" w:eastAsia="Arial" w:hAnsi="Arial"/>
                <w:sz w:val="16"/>
                <w:szCs w:val="16"/>
                <w:color w:val="435363"/>
              </w:rPr>
              <w:t>-</w:t>
            </w:r>
          </w:p>
        </w:tc>
      </w:tr>
      <w:tr>
        <w:trPr>
          <w:trHeight w:val="185"/>
        </w:trPr>
        <w:tc>
          <w:tcPr>
            <w:tcW w:w="4420" w:type="dxa"/>
            <w:vAlign w:val="bottom"/>
          </w:tcPr>
          <w:p>
            <w:pPr>
              <w:ind w:left="60"/>
              <w:spacing w:after="0" w:line="186" w:lineRule="exact"/>
              <w:rPr>
                <w:sz w:val="20"/>
                <w:szCs w:val="20"/>
                <w:color w:val="auto"/>
              </w:rPr>
            </w:pPr>
            <w:r>
              <w:rPr>
                <w:rFonts w:ascii="Arial" w:cs="Arial" w:eastAsia="Arial" w:hAnsi="Arial"/>
                <w:sz w:val="15"/>
                <w:szCs w:val="15"/>
                <w:color w:val="435363"/>
              </w:rPr>
              <w:t>COBRA</w:t>
            </w:r>
            <w:r>
              <w:rPr>
                <w:rFonts w:ascii="Arial" w:cs="Arial" w:eastAsia="Arial" w:hAnsi="Arial"/>
                <w:sz w:val="21"/>
                <w:szCs w:val="21"/>
                <w:color w:val="435363"/>
                <w:vertAlign w:val="superscript"/>
              </w:rPr>
              <w:t>(c)</w:t>
            </w:r>
          </w:p>
        </w:tc>
        <w:tc>
          <w:tcPr>
            <w:tcW w:w="980" w:type="dxa"/>
            <w:vAlign w:val="bottom"/>
          </w:tcPr>
          <w:p>
            <w:pPr>
              <w:jc w:val="right"/>
              <w:spacing w:after="0"/>
              <w:rPr>
                <w:sz w:val="20"/>
                <w:szCs w:val="20"/>
                <w:color w:val="auto"/>
              </w:rPr>
            </w:pPr>
            <w:r>
              <w:rPr>
                <w:rFonts w:ascii="Arial" w:cs="Arial" w:eastAsia="Arial" w:hAnsi="Arial"/>
                <w:sz w:val="16"/>
                <w:szCs w:val="16"/>
                <w:color w:val="435363"/>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435363"/>
              </w:rPr>
              <w:t>13,105</w:t>
            </w:r>
          </w:p>
        </w:tc>
        <w:tc>
          <w:tcPr>
            <w:tcW w:w="1120" w:type="dxa"/>
            <w:vAlign w:val="bottom"/>
          </w:tcPr>
          <w:p>
            <w:pPr>
              <w:jc w:val="right"/>
              <w:ind w:right="41"/>
              <w:spacing w:after="0"/>
              <w:rPr>
                <w:sz w:val="20"/>
                <w:szCs w:val="20"/>
                <w:color w:val="auto"/>
              </w:rPr>
            </w:pPr>
            <w:r>
              <w:rPr>
                <w:rFonts w:ascii="Arial" w:cs="Arial" w:eastAsia="Arial" w:hAnsi="Arial"/>
                <w:sz w:val="16"/>
                <w:szCs w:val="16"/>
                <w:color w:val="435363"/>
              </w:rPr>
              <w:t>13,105</w:t>
            </w:r>
          </w:p>
        </w:tc>
        <w:tc>
          <w:tcPr>
            <w:tcW w:w="1060" w:type="dxa"/>
            <w:vAlign w:val="bottom"/>
          </w:tcPr>
          <w:p>
            <w:pPr>
              <w:jc w:val="right"/>
              <w:ind w:right="61"/>
              <w:spacing w:after="0"/>
              <w:rPr>
                <w:sz w:val="20"/>
                <w:szCs w:val="20"/>
                <w:color w:val="auto"/>
              </w:rPr>
            </w:pPr>
            <w:r>
              <w:rPr>
                <w:rFonts w:ascii="Arial" w:cs="Arial" w:eastAsia="Arial" w:hAnsi="Arial"/>
                <w:sz w:val="16"/>
                <w:szCs w:val="16"/>
                <w:color w:val="435363"/>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435363"/>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435363"/>
              </w:rPr>
              <w:t>-</w:t>
            </w:r>
          </w:p>
        </w:tc>
      </w:tr>
      <w:tr>
        <w:trPr>
          <w:trHeight w:val="185"/>
        </w:trPr>
        <w:tc>
          <w:tcPr>
            <w:tcW w:w="4420" w:type="dxa"/>
            <w:vAlign w:val="bottom"/>
          </w:tcPr>
          <w:p>
            <w:pPr>
              <w:ind w:left="60"/>
              <w:spacing w:after="0" w:line="186" w:lineRule="exact"/>
              <w:rPr>
                <w:sz w:val="20"/>
                <w:szCs w:val="20"/>
                <w:color w:val="auto"/>
              </w:rPr>
            </w:pPr>
            <w:r>
              <w:rPr>
                <w:rFonts w:ascii="Arial" w:cs="Arial" w:eastAsia="Arial" w:hAnsi="Arial"/>
                <w:sz w:val="15"/>
                <w:szCs w:val="15"/>
                <w:color w:val="435363"/>
              </w:rPr>
              <w:t>Acceleration of Unvested RSUs</w:t>
            </w:r>
            <w:r>
              <w:rPr>
                <w:rFonts w:ascii="Arial" w:cs="Arial" w:eastAsia="Arial" w:hAnsi="Arial"/>
                <w:sz w:val="21"/>
                <w:szCs w:val="21"/>
                <w:color w:val="435363"/>
                <w:vertAlign w:val="superscript"/>
              </w:rPr>
              <w:t>(d)</w:t>
            </w:r>
          </w:p>
        </w:tc>
        <w:tc>
          <w:tcPr>
            <w:tcW w:w="980" w:type="dxa"/>
            <w:vAlign w:val="bottom"/>
          </w:tcPr>
          <w:p>
            <w:pPr>
              <w:jc w:val="right"/>
              <w:spacing w:after="0"/>
              <w:rPr>
                <w:sz w:val="20"/>
                <w:szCs w:val="20"/>
                <w:color w:val="auto"/>
              </w:rPr>
            </w:pPr>
            <w:r>
              <w:rPr>
                <w:rFonts w:ascii="Arial" w:cs="Arial" w:eastAsia="Arial" w:hAnsi="Arial"/>
                <w:sz w:val="16"/>
                <w:szCs w:val="16"/>
                <w:color w:val="435363"/>
              </w:rPr>
              <w:t>4,366,228</w:t>
            </w:r>
          </w:p>
        </w:tc>
        <w:tc>
          <w:tcPr>
            <w:tcW w:w="1140" w:type="dxa"/>
            <w:vAlign w:val="bottom"/>
          </w:tcPr>
          <w:p>
            <w:pPr>
              <w:jc w:val="right"/>
              <w:ind w:right="1"/>
              <w:spacing w:after="0"/>
              <w:rPr>
                <w:sz w:val="20"/>
                <w:szCs w:val="20"/>
                <w:color w:val="auto"/>
              </w:rPr>
            </w:pPr>
            <w:r>
              <w:rPr>
                <w:rFonts w:ascii="Arial" w:cs="Arial" w:eastAsia="Arial" w:hAnsi="Arial"/>
                <w:sz w:val="16"/>
                <w:szCs w:val="16"/>
                <w:color w:val="435363"/>
              </w:rPr>
              <w:t>2,313,445</w:t>
            </w:r>
          </w:p>
        </w:tc>
        <w:tc>
          <w:tcPr>
            <w:tcW w:w="1120" w:type="dxa"/>
            <w:vAlign w:val="bottom"/>
          </w:tcPr>
          <w:p>
            <w:pPr>
              <w:jc w:val="right"/>
              <w:ind w:right="41"/>
              <w:spacing w:after="0"/>
              <w:rPr>
                <w:sz w:val="20"/>
                <w:szCs w:val="20"/>
                <w:color w:val="auto"/>
              </w:rPr>
            </w:pPr>
            <w:r>
              <w:rPr>
                <w:rFonts w:ascii="Arial" w:cs="Arial" w:eastAsia="Arial" w:hAnsi="Arial"/>
                <w:sz w:val="16"/>
                <w:szCs w:val="16"/>
                <w:color w:val="435363"/>
              </w:rPr>
              <w:t>4,366,228</w:t>
            </w:r>
          </w:p>
        </w:tc>
        <w:tc>
          <w:tcPr>
            <w:tcW w:w="1060" w:type="dxa"/>
            <w:vAlign w:val="bottom"/>
          </w:tcPr>
          <w:p>
            <w:pPr>
              <w:jc w:val="right"/>
              <w:ind w:right="61"/>
              <w:spacing w:after="0"/>
              <w:rPr>
                <w:sz w:val="20"/>
                <w:szCs w:val="20"/>
                <w:color w:val="auto"/>
              </w:rPr>
            </w:pPr>
            <w:r>
              <w:rPr>
                <w:rFonts w:ascii="Arial" w:cs="Arial" w:eastAsia="Arial" w:hAnsi="Arial"/>
                <w:sz w:val="16"/>
                <w:szCs w:val="16"/>
                <w:color w:val="435363"/>
              </w:rPr>
              <w:t>4,366,228</w:t>
            </w:r>
          </w:p>
        </w:tc>
        <w:tc>
          <w:tcPr>
            <w:tcW w:w="1000" w:type="dxa"/>
            <w:vAlign w:val="bottom"/>
          </w:tcPr>
          <w:p>
            <w:pPr>
              <w:jc w:val="right"/>
              <w:ind w:right="1"/>
              <w:spacing w:after="0"/>
              <w:rPr>
                <w:sz w:val="20"/>
                <w:szCs w:val="20"/>
                <w:color w:val="auto"/>
              </w:rPr>
            </w:pPr>
            <w:r>
              <w:rPr>
                <w:rFonts w:ascii="Arial" w:cs="Arial" w:eastAsia="Arial" w:hAnsi="Arial"/>
                <w:sz w:val="16"/>
                <w:szCs w:val="16"/>
                <w:color w:val="435363"/>
              </w:rPr>
              <w:t>4,366,228</w:t>
            </w:r>
          </w:p>
        </w:tc>
        <w:tc>
          <w:tcPr>
            <w:tcW w:w="1080" w:type="dxa"/>
            <w:vAlign w:val="bottom"/>
          </w:tcPr>
          <w:p>
            <w:pPr>
              <w:jc w:val="right"/>
              <w:ind w:right="1"/>
              <w:spacing w:after="0"/>
              <w:rPr>
                <w:sz w:val="20"/>
                <w:szCs w:val="20"/>
                <w:color w:val="auto"/>
              </w:rPr>
            </w:pPr>
            <w:r>
              <w:rPr>
                <w:rFonts w:ascii="Arial" w:cs="Arial" w:eastAsia="Arial" w:hAnsi="Arial"/>
                <w:sz w:val="16"/>
                <w:szCs w:val="16"/>
                <w:color w:val="435363"/>
              </w:rPr>
              <w:t>-</w:t>
            </w:r>
          </w:p>
        </w:tc>
      </w:tr>
      <w:tr>
        <w:trPr>
          <w:trHeight w:val="226"/>
        </w:trPr>
        <w:tc>
          <w:tcPr>
            <w:tcW w:w="4420" w:type="dxa"/>
            <w:vAlign w:val="bottom"/>
            <w:tcBorders>
              <w:bottom w:val="single" w:sz="8" w:color="435363"/>
            </w:tcBorders>
          </w:tcPr>
          <w:p>
            <w:pPr>
              <w:ind w:left="60"/>
              <w:spacing w:after="0" w:line="225" w:lineRule="exact"/>
              <w:rPr>
                <w:sz w:val="20"/>
                <w:szCs w:val="20"/>
                <w:color w:val="auto"/>
              </w:rPr>
            </w:pPr>
            <w:r>
              <w:rPr>
                <w:rFonts w:ascii="Arial" w:cs="Arial" w:eastAsia="Arial" w:hAnsi="Arial"/>
                <w:sz w:val="16"/>
                <w:szCs w:val="16"/>
                <w:color w:val="435363"/>
              </w:rPr>
              <w:t>Flight Privileges</w:t>
            </w:r>
            <w:r>
              <w:rPr>
                <w:rFonts w:ascii="Arial" w:cs="Arial" w:eastAsia="Arial" w:hAnsi="Arial"/>
                <w:sz w:val="23"/>
                <w:szCs w:val="23"/>
                <w:color w:val="435363"/>
                <w:vertAlign w:val="superscript"/>
              </w:rPr>
              <w:t>(e)</w:t>
            </w:r>
          </w:p>
        </w:tc>
        <w:tc>
          <w:tcPr>
            <w:tcW w:w="980" w:type="dxa"/>
            <w:vAlign w:val="bottom"/>
            <w:tcBorders>
              <w:bottom w:val="single" w:sz="8" w:color="435363"/>
            </w:tcBorders>
          </w:tcPr>
          <w:p>
            <w:pPr>
              <w:jc w:val="right"/>
              <w:spacing w:after="0"/>
              <w:rPr>
                <w:sz w:val="20"/>
                <w:szCs w:val="20"/>
                <w:color w:val="auto"/>
              </w:rPr>
            </w:pPr>
            <w:r>
              <w:rPr>
                <w:rFonts w:ascii="Arial" w:cs="Arial" w:eastAsia="Arial" w:hAnsi="Arial"/>
                <w:sz w:val="16"/>
                <w:szCs w:val="16"/>
                <w:color w:val="435363"/>
              </w:rPr>
              <w:t>-</w:t>
            </w:r>
          </w:p>
        </w:tc>
        <w:tc>
          <w:tcPr>
            <w:tcW w:w="114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18,775</w:t>
            </w:r>
          </w:p>
        </w:tc>
        <w:tc>
          <w:tcPr>
            <w:tcW w:w="1120" w:type="dxa"/>
            <w:vAlign w:val="bottom"/>
            <w:tcBorders>
              <w:bottom w:val="single" w:sz="8" w:color="435363"/>
            </w:tcBorders>
          </w:tcPr>
          <w:p>
            <w:pPr>
              <w:jc w:val="right"/>
              <w:ind w:right="41"/>
              <w:spacing w:after="0"/>
              <w:rPr>
                <w:sz w:val="20"/>
                <w:szCs w:val="20"/>
                <w:color w:val="auto"/>
              </w:rPr>
            </w:pPr>
            <w:r>
              <w:rPr>
                <w:rFonts w:ascii="Arial" w:cs="Arial" w:eastAsia="Arial" w:hAnsi="Arial"/>
                <w:sz w:val="16"/>
                <w:szCs w:val="16"/>
                <w:color w:val="435363"/>
              </w:rPr>
              <w:t>18,775</w:t>
            </w:r>
          </w:p>
        </w:tc>
        <w:tc>
          <w:tcPr>
            <w:tcW w:w="1060" w:type="dxa"/>
            <w:vAlign w:val="bottom"/>
            <w:tcBorders>
              <w:bottom w:val="single" w:sz="8" w:color="435363"/>
            </w:tcBorders>
          </w:tcPr>
          <w:p>
            <w:pPr>
              <w:jc w:val="right"/>
              <w:ind w:right="61"/>
              <w:spacing w:after="0"/>
              <w:rPr>
                <w:sz w:val="20"/>
                <w:szCs w:val="20"/>
                <w:color w:val="auto"/>
              </w:rPr>
            </w:pPr>
            <w:r>
              <w:rPr>
                <w:rFonts w:ascii="Arial" w:cs="Arial" w:eastAsia="Arial" w:hAnsi="Arial"/>
                <w:sz w:val="16"/>
                <w:szCs w:val="16"/>
                <w:color w:val="435363"/>
              </w:rPr>
              <w:t>-</w:t>
            </w:r>
          </w:p>
        </w:tc>
        <w:tc>
          <w:tcPr>
            <w:tcW w:w="100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w:t>
            </w:r>
          </w:p>
        </w:tc>
        <w:tc>
          <w:tcPr>
            <w:tcW w:w="108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w:t>
            </w:r>
          </w:p>
        </w:tc>
      </w:tr>
      <w:tr>
        <w:trPr>
          <w:trHeight w:val="215"/>
        </w:trPr>
        <w:tc>
          <w:tcPr>
            <w:tcW w:w="4420" w:type="dxa"/>
            <w:vAlign w:val="bottom"/>
            <w:tcBorders>
              <w:bottom w:val="single" w:sz="8" w:color="435363"/>
            </w:tcBorders>
          </w:tcPr>
          <w:p>
            <w:pPr>
              <w:ind w:left="60"/>
              <w:spacing w:after="0"/>
              <w:rPr>
                <w:sz w:val="20"/>
                <w:szCs w:val="20"/>
                <w:color w:val="auto"/>
              </w:rPr>
            </w:pPr>
            <w:r>
              <w:rPr>
                <w:rFonts w:ascii="Arial" w:cs="Arial" w:eastAsia="Arial" w:hAnsi="Arial"/>
                <w:sz w:val="16"/>
                <w:szCs w:val="16"/>
                <w:b w:val="1"/>
                <w:bCs w:val="1"/>
                <w:color w:val="435363"/>
              </w:rPr>
              <w:t>Total</w:t>
            </w:r>
          </w:p>
        </w:tc>
        <w:tc>
          <w:tcPr>
            <w:tcW w:w="980" w:type="dxa"/>
            <w:vAlign w:val="bottom"/>
            <w:tcBorders>
              <w:bottom w:val="single" w:sz="8" w:color="435363"/>
            </w:tcBorders>
          </w:tcPr>
          <w:p>
            <w:pPr>
              <w:jc w:val="right"/>
              <w:spacing w:after="0"/>
              <w:rPr>
                <w:sz w:val="20"/>
                <w:szCs w:val="20"/>
                <w:color w:val="auto"/>
              </w:rPr>
            </w:pPr>
            <w:r>
              <w:rPr>
                <w:rFonts w:ascii="Arial" w:cs="Arial" w:eastAsia="Arial" w:hAnsi="Arial"/>
                <w:sz w:val="16"/>
                <w:szCs w:val="16"/>
                <w:color w:val="435363"/>
              </w:rPr>
              <w:t>4,366,228</w:t>
            </w:r>
          </w:p>
        </w:tc>
        <w:tc>
          <w:tcPr>
            <w:tcW w:w="114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4,809,075</w:t>
            </w:r>
          </w:p>
        </w:tc>
        <w:tc>
          <w:tcPr>
            <w:tcW w:w="1120" w:type="dxa"/>
            <w:vAlign w:val="bottom"/>
            <w:tcBorders>
              <w:bottom w:val="single" w:sz="8" w:color="435363"/>
            </w:tcBorders>
          </w:tcPr>
          <w:p>
            <w:pPr>
              <w:jc w:val="right"/>
              <w:ind w:right="41"/>
              <w:spacing w:after="0"/>
              <w:rPr>
                <w:sz w:val="20"/>
                <w:szCs w:val="20"/>
                <w:color w:val="auto"/>
              </w:rPr>
            </w:pPr>
            <w:r>
              <w:rPr>
                <w:rFonts w:ascii="Arial" w:cs="Arial" w:eastAsia="Arial" w:hAnsi="Arial"/>
                <w:sz w:val="16"/>
                <w:szCs w:val="16"/>
                <w:color w:val="435363"/>
              </w:rPr>
              <w:t>6,861,858</w:t>
            </w:r>
          </w:p>
        </w:tc>
        <w:tc>
          <w:tcPr>
            <w:tcW w:w="1060" w:type="dxa"/>
            <w:vAlign w:val="bottom"/>
            <w:tcBorders>
              <w:bottom w:val="single" w:sz="8" w:color="435363"/>
            </w:tcBorders>
          </w:tcPr>
          <w:p>
            <w:pPr>
              <w:jc w:val="right"/>
              <w:ind w:right="61"/>
              <w:spacing w:after="0"/>
              <w:rPr>
                <w:sz w:val="20"/>
                <w:szCs w:val="20"/>
                <w:color w:val="auto"/>
              </w:rPr>
            </w:pPr>
            <w:r>
              <w:rPr>
                <w:rFonts w:ascii="Arial" w:cs="Arial" w:eastAsia="Arial" w:hAnsi="Arial"/>
                <w:sz w:val="16"/>
                <w:szCs w:val="16"/>
                <w:color w:val="435363"/>
              </w:rPr>
              <w:t>5,742,862</w:t>
            </w:r>
          </w:p>
        </w:tc>
        <w:tc>
          <w:tcPr>
            <w:tcW w:w="100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5,742,862</w:t>
            </w:r>
          </w:p>
        </w:tc>
        <w:tc>
          <w:tcPr>
            <w:tcW w:w="108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w:t>
            </w:r>
          </w:p>
        </w:tc>
      </w:tr>
      <w:tr>
        <w:trPr>
          <w:trHeight w:val="181"/>
        </w:trPr>
        <w:tc>
          <w:tcPr>
            <w:tcW w:w="4420" w:type="dxa"/>
            <w:vAlign w:val="bottom"/>
            <w:shd w:val="clear" w:color="auto" w:fill="EDEDED"/>
          </w:tcPr>
          <w:p>
            <w:pPr>
              <w:ind w:left="60"/>
              <w:spacing w:after="0" w:line="181" w:lineRule="exact"/>
              <w:rPr>
                <w:sz w:val="20"/>
                <w:szCs w:val="20"/>
                <w:color w:val="auto"/>
              </w:rPr>
            </w:pPr>
            <w:r>
              <w:rPr>
                <w:rFonts w:ascii="Arial" w:cs="Arial" w:eastAsia="Arial" w:hAnsi="Arial"/>
                <w:sz w:val="16"/>
                <w:szCs w:val="16"/>
                <w:b w:val="1"/>
                <w:bCs w:val="1"/>
                <w:color w:val="435363"/>
              </w:rPr>
              <w:t>Devon May</w:t>
            </w:r>
          </w:p>
        </w:tc>
        <w:tc>
          <w:tcPr>
            <w:tcW w:w="980" w:type="dxa"/>
            <w:vAlign w:val="bottom"/>
            <w:shd w:val="clear" w:color="auto" w:fill="EDEDED"/>
          </w:tcPr>
          <w:p>
            <w:pPr>
              <w:spacing w:after="0"/>
              <w:rPr>
                <w:sz w:val="15"/>
                <w:szCs w:val="15"/>
                <w:color w:val="auto"/>
              </w:rPr>
            </w:pPr>
          </w:p>
        </w:tc>
        <w:tc>
          <w:tcPr>
            <w:tcW w:w="1140" w:type="dxa"/>
            <w:vAlign w:val="bottom"/>
            <w:shd w:val="clear" w:color="auto" w:fill="EDEDED"/>
          </w:tcPr>
          <w:p>
            <w:pPr>
              <w:spacing w:after="0"/>
              <w:rPr>
                <w:sz w:val="15"/>
                <w:szCs w:val="15"/>
                <w:color w:val="auto"/>
              </w:rPr>
            </w:pPr>
          </w:p>
        </w:tc>
        <w:tc>
          <w:tcPr>
            <w:tcW w:w="1120" w:type="dxa"/>
            <w:vAlign w:val="bottom"/>
            <w:shd w:val="clear" w:color="auto" w:fill="EDEDED"/>
          </w:tcPr>
          <w:p>
            <w:pPr>
              <w:spacing w:after="0"/>
              <w:rPr>
                <w:sz w:val="15"/>
                <w:szCs w:val="15"/>
                <w:color w:val="auto"/>
              </w:rPr>
            </w:pPr>
          </w:p>
        </w:tc>
        <w:tc>
          <w:tcPr>
            <w:tcW w:w="1060" w:type="dxa"/>
            <w:vAlign w:val="bottom"/>
            <w:shd w:val="clear" w:color="auto" w:fill="EDEDED"/>
          </w:tcPr>
          <w:p>
            <w:pPr>
              <w:spacing w:after="0"/>
              <w:rPr>
                <w:sz w:val="15"/>
                <w:szCs w:val="15"/>
                <w:color w:val="auto"/>
              </w:rPr>
            </w:pPr>
          </w:p>
        </w:tc>
        <w:tc>
          <w:tcPr>
            <w:tcW w:w="1000" w:type="dxa"/>
            <w:vAlign w:val="bottom"/>
            <w:shd w:val="clear" w:color="auto" w:fill="EDEDED"/>
          </w:tcPr>
          <w:p>
            <w:pPr>
              <w:spacing w:after="0"/>
              <w:rPr>
                <w:sz w:val="15"/>
                <w:szCs w:val="15"/>
                <w:color w:val="auto"/>
              </w:rPr>
            </w:pPr>
          </w:p>
        </w:tc>
        <w:tc>
          <w:tcPr>
            <w:tcW w:w="1080" w:type="dxa"/>
            <w:vAlign w:val="bottom"/>
            <w:shd w:val="clear" w:color="auto" w:fill="EDEDED"/>
          </w:tcPr>
          <w:p>
            <w:pPr>
              <w:spacing w:after="0"/>
              <w:rPr>
                <w:sz w:val="15"/>
                <w:szCs w:val="15"/>
                <w:color w:val="auto"/>
              </w:rPr>
            </w:pPr>
          </w:p>
        </w:tc>
      </w:tr>
      <w:tr>
        <w:trPr>
          <w:trHeight w:val="185"/>
        </w:trPr>
        <w:tc>
          <w:tcPr>
            <w:tcW w:w="4420" w:type="dxa"/>
            <w:vAlign w:val="bottom"/>
            <w:shd w:val="clear" w:color="auto" w:fill="EDEDED"/>
          </w:tcPr>
          <w:p>
            <w:pPr>
              <w:ind w:left="60"/>
              <w:spacing w:after="0" w:line="186" w:lineRule="exact"/>
              <w:rPr>
                <w:sz w:val="20"/>
                <w:szCs w:val="20"/>
                <w:color w:val="auto"/>
              </w:rPr>
            </w:pPr>
            <w:r>
              <w:rPr>
                <w:rFonts w:ascii="Arial" w:cs="Arial" w:eastAsia="Arial" w:hAnsi="Arial"/>
                <w:sz w:val="15"/>
                <w:szCs w:val="15"/>
                <w:color w:val="435363"/>
              </w:rPr>
              <w:t>Base Salary</w:t>
            </w:r>
            <w:r>
              <w:rPr>
                <w:rFonts w:ascii="Arial" w:cs="Arial" w:eastAsia="Arial" w:hAnsi="Arial"/>
                <w:sz w:val="21"/>
                <w:szCs w:val="21"/>
                <w:color w:val="435363"/>
                <w:vertAlign w:val="superscript"/>
              </w:rPr>
              <w:t>(a)</w:t>
            </w: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w:t>
            </w:r>
          </w:p>
        </w:tc>
        <w:tc>
          <w:tcPr>
            <w:tcW w:w="114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1,162,500</w:t>
            </w:r>
          </w:p>
        </w:tc>
        <w:tc>
          <w:tcPr>
            <w:tcW w:w="112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435363"/>
              </w:rPr>
              <w:t>1,162,500</w:t>
            </w:r>
          </w:p>
        </w:tc>
        <w:tc>
          <w:tcPr>
            <w:tcW w:w="1060" w:type="dxa"/>
            <w:vAlign w:val="bottom"/>
            <w:shd w:val="clear" w:color="auto" w:fill="EDEDED"/>
          </w:tcPr>
          <w:p>
            <w:pPr>
              <w:jc w:val="right"/>
              <w:ind w:right="61"/>
              <w:spacing w:after="0"/>
              <w:rPr>
                <w:sz w:val="20"/>
                <w:szCs w:val="20"/>
                <w:color w:val="auto"/>
              </w:rPr>
            </w:pPr>
            <w:r>
              <w:rPr>
                <w:rFonts w:ascii="Arial" w:cs="Arial" w:eastAsia="Arial" w:hAnsi="Arial"/>
                <w:sz w:val="16"/>
                <w:szCs w:val="16"/>
                <w:color w:val="435363"/>
              </w:rPr>
              <w:t>-</w:t>
            </w:r>
          </w:p>
        </w:tc>
        <w:tc>
          <w:tcPr>
            <w:tcW w:w="100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w:t>
            </w:r>
          </w:p>
        </w:tc>
        <w:tc>
          <w:tcPr>
            <w:tcW w:w="108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w:t>
            </w:r>
          </w:p>
        </w:tc>
      </w:tr>
      <w:tr>
        <w:trPr>
          <w:trHeight w:val="185"/>
        </w:trPr>
        <w:tc>
          <w:tcPr>
            <w:tcW w:w="4420" w:type="dxa"/>
            <w:vAlign w:val="bottom"/>
            <w:shd w:val="clear" w:color="auto" w:fill="EDEDED"/>
          </w:tcPr>
          <w:p>
            <w:pPr>
              <w:ind w:left="60"/>
              <w:spacing w:after="0" w:line="186" w:lineRule="exact"/>
              <w:rPr>
                <w:sz w:val="20"/>
                <w:szCs w:val="20"/>
                <w:color w:val="auto"/>
              </w:rPr>
            </w:pPr>
            <w:r>
              <w:rPr>
                <w:rFonts w:ascii="Arial" w:cs="Arial" w:eastAsia="Arial" w:hAnsi="Arial"/>
                <w:sz w:val="15"/>
                <w:szCs w:val="15"/>
                <w:color w:val="435363"/>
              </w:rPr>
              <w:t>Annual Incentive Award</w:t>
            </w:r>
            <w:r>
              <w:rPr>
                <w:rFonts w:ascii="Arial" w:cs="Arial" w:eastAsia="Arial" w:hAnsi="Arial"/>
                <w:sz w:val="21"/>
                <w:szCs w:val="21"/>
                <w:color w:val="435363"/>
                <w:vertAlign w:val="superscript"/>
              </w:rPr>
              <w:t>(b)</w:t>
            </w: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w:t>
            </w:r>
          </w:p>
        </w:tc>
        <w:tc>
          <w:tcPr>
            <w:tcW w:w="114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1,453,125</w:t>
            </w:r>
          </w:p>
        </w:tc>
        <w:tc>
          <w:tcPr>
            <w:tcW w:w="112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435363"/>
              </w:rPr>
              <w:t>1,453,125</w:t>
            </w:r>
          </w:p>
        </w:tc>
        <w:tc>
          <w:tcPr>
            <w:tcW w:w="1060" w:type="dxa"/>
            <w:vAlign w:val="bottom"/>
            <w:shd w:val="clear" w:color="auto" w:fill="EDEDED"/>
          </w:tcPr>
          <w:p>
            <w:pPr>
              <w:jc w:val="right"/>
              <w:ind w:right="61"/>
              <w:spacing w:after="0"/>
              <w:rPr>
                <w:sz w:val="20"/>
                <w:szCs w:val="20"/>
                <w:color w:val="auto"/>
              </w:rPr>
            </w:pPr>
            <w:r>
              <w:rPr>
                <w:rFonts w:ascii="Arial" w:cs="Arial" w:eastAsia="Arial" w:hAnsi="Arial"/>
                <w:sz w:val="16"/>
                <w:szCs w:val="16"/>
                <w:color w:val="435363"/>
              </w:rPr>
              <w:t>1,461,495</w:t>
            </w:r>
          </w:p>
        </w:tc>
        <w:tc>
          <w:tcPr>
            <w:tcW w:w="100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1,461,495</w:t>
            </w:r>
          </w:p>
        </w:tc>
        <w:tc>
          <w:tcPr>
            <w:tcW w:w="108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w:t>
            </w:r>
          </w:p>
        </w:tc>
      </w:tr>
      <w:tr>
        <w:trPr>
          <w:trHeight w:val="185"/>
        </w:trPr>
        <w:tc>
          <w:tcPr>
            <w:tcW w:w="4420" w:type="dxa"/>
            <w:vAlign w:val="bottom"/>
            <w:shd w:val="clear" w:color="auto" w:fill="EDEDED"/>
          </w:tcPr>
          <w:p>
            <w:pPr>
              <w:ind w:left="60"/>
              <w:spacing w:after="0" w:line="186" w:lineRule="exact"/>
              <w:rPr>
                <w:sz w:val="20"/>
                <w:szCs w:val="20"/>
                <w:color w:val="auto"/>
              </w:rPr>
            </w:pPr>
            <w:r>
              <w:rPr>
                <w:rFonts w:ascii="Arial" w:cs="Arial" w:eastAsia="Arial" w:hAnsi="Arial"/>
                <w:sz w:val="15"/>
                <w:szCs w:val="15"/>
                <w:color w:val="435363"/>
              </w:rPr>
              <w:t>COBRA</w:t>
            </w:r>
            <w:r>
              <w:rPr>
                <w:rFonts w:ascii="Arial" w:cs="Arial" w:eastAsia="Arial" w:hAnsi="Arial"/>
                <w:sz w:val="21"/>
                <w:szCs w:val="21"/>
                <w:color w:val="435363"/>
                <w:vertAlign w:val="superscript"/>
              </w:rPr>
              <w:t>(c)</w:t>
            </w: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w:t>
            </w:r>
          </w:p>
        </w:tc>
        <w:tc>
          <w:tcPr>
            <w:tcW w:w="114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45,964</w:t>
            </w:r>
          </w:p>
        </w:tc>
        <w:tc>
          <w:tcPr>
            <w:tcW w:w="112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435363"/>
              </w:rPr>
              <w:t>45,964</w:t>
            </w:r>
          </w:p>
        </w:tc>
        <w:tc>
          <w:tcPr>
            <w:tcW w:w="1060" w:type="dxa"/>
            <w:vAlign w:val="bottom"/>
            <w:shd w:val="clear" w:color="auto" w:fill="EDEDED"/>
          </w:tcPr>
          <w:p>
            <w:pPr>
              <w:jc w:val="right"/>
              <w:ind w:right="61"/>
              <w:spacing w:after="0"/>
              <w:rPr>
                <w:sz w:val="20"/>
                <w:szCs w:val="20"/>
                <w:color w:val="auto"/>
              </w:rPr>
            </w:pPr>
            <w:r>
              <w:rPr>
                <w:rFonts w:ascii="Arial" w:cs="Arial" w:eastAsia="Arial" w:hAnsi="Arial"/>
                <w:sz w:val="16"/>
                <w:szCs w:val="16"/>
                <w:color w:val="435363"/>
              </w:rPr>
              <w:t>-</w:t>
            </w:r>
          </w:p>
        </w:tc>
        <w:tc>
          <w:tcPr>
            <w:tcW w:w="100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w:t>
            </w:r>
          </w:p>
        </w:tc>
        <w:tc>
          <w:tcPr>
            <w:tcW w:w="108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w:t>
            </w:r>
          </w:p>
        </w:tc>
      </w:tr>
      <w:tr>
        <w:trPr>
          <w:trHeight w:val="185"/>
        </w:trPr>
        <w:tc>
          <w:tcPr>
            <w:tcW w:w="4420" w:type="dxa"/>
            <w:vAlign w:val="bottom"/>
            <w:shd w:val="clear" w:color="auto" w:fill="EDEDED"/>
          </w:tcPr>
          <w:p>
            <w:pPr>
              <w:ind w:left="60"/>
              <w:spacing w:after="0" w:line="186" w:lineRule="exact"/>
              <w:rPr>
                <w:sz w:val="20"/>
                <w:szCs w:val="20"/>
                <w:color w:val="auto"/>
              </w:rPr>
            </w:pPr>
            <w:r>
              <w:rPr>
                <w:rFonts w:ascii="Arial" w:cs="Arial" w:eastAsia="Arial" w:hAnsi="Arial"/>
                <w:sz w:val="15"/>
                <w:szCs w:val="15"/>
                <w:color w:val="435363"/>
              </w:rPr>
              <w:t>Acceleration of Unvested RSUs</w:t>
            </w:r>
            <w:r>
              <w:rPr>
                <w:rFonts w:ascii="Arial" w:cs="Arial" w:eastAsia="Arial" w:hAnsi="Arial"/>
                <w:sz w:val="21"/>
                <w:szCs w:val="21"/>
                <w:color w:val="435363"/>
                <w:vertAlign w:val="superscript"/>
              </w:rPr>
              <w:t>(d)</w:t>
            </w:r>
          </w:p>
        </w:tc>
        <w:tc>
          <w:tcPr>
            <w:tcW w:w="98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3,449,730</w:t>
            </w:r>
          </w:p>
        </w:tc>
        <w:tc>
          <w:tcPr>
            <w:tcW w:w="114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1,869,135</w:t>
            </w:r>
          </w:p>
        </w:tc>
        <w:tc>
          <w:tcPr>
            <w:tcW w:w="112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435363"/>
              </w:rPr>
              <w:t>3,449,730</w:t>
            </w:r>
          </w:p>
        </w:tc>
        <w:tc>
          <w:tcPr>
            <w:tcW w:w="1060" w:type="dxa"/>
            <w:vAlign w:val="bottom"/>
            <w:shd w:val="clear" w:color="auto" w:fill="EDEDED"/>
          </w:tcPr>
          <w:p>
            <w:pPr>
              <w:jc w:val="right"/>
              <w:ind w:right="61"/>
              <w:spacing w:after="0"/>
              <w:rPr>
                <w:sz w:val="20"/>
                <w:szCs w:val="20"/>
                <w:color w:val="auto"/>
              </w:rPr>
            </w:pPr>
            <w:r>
              <w:rPr>
                <w:rFonts w:ascii="Arial" w:cs="Arial" w:eastAsia="Arial" w:hAnsi="Arial"/>
                <w:sz w:val="16"/>
                <w:szCs w:val="16"/>
                <w:color w:val="435363"/>
              </w:rPr>
              <w:t>3,449,730</w:t>
            </w:r>
          </w:p>
        </w:tc>
        <w:tc>
          <w:tcPr>
            <w:tcW w:w="100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3,449,730</w:t>
            </w:r>
          </w:p>
        </w:tc>
        <w:tc>
          <w:tcPr>
            <w:tcW w:w="108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w:t>
            </w:r>
          </w:p>
        </w:tc>
      </w:tr>
      <w:tr>
        <w:trPr>
          <w:trHeight w:val="226"/>
        </w:trPr>
        <w:tc>
          <w:tcPr>
            <w:tcW w:w="4420" w:type="dxa"/>
            <w:vAlign w:val="bottom"/>
            <w:tcBorders>
              <w:bottom w:val="single" w:sz="8" w:color="435363"/>
            </w:tcBorders>
            <w:shd w:val="clear" w:color="auto" w:fill="EDEDED"/>
          </w:tcPr>
          <w:p>
            <w:pPr>
              <w:ind w:left="60"/>
              <w:spacing w:after="0" w:line="225" w:lineRule="exact"/>
              <w:rPr>
                <w:sz w:val="20"/>
                <w:szCs w:val="20"/>
                <w:color w:val="auto"/>
              </w:rPr>
            </w:pPr>
            <w:r>
              <w:rPr>
                <w:rFonts w:ascii="Arial" w:cs="Arial" w:eastAsia="Arial" w:hAnsi="Arial"/>
                <w:sz w:val="16"/>
                <w:szCs w:val="16"/>
                <w:color w:val="435363"/>
              </w:rPr>
              <w:t>Flight Privileges</w:t>
            </w:r>
            <w:r>
              <w:rPr>
                <w:rFonts w:ascii="Arial" w:cs="Arial" w:eastAsia="Arial" w:hAnsi="Arial"/>
                <w:sz w:val="23"/>
                <w:szCs w:val="23"/>
                <w:color w:val="435363"/>
                <w:vertAlign w:val="superscript"/>
              </w:rPr>
              <w:t>(e)</w:t>
            </w:r>
          </w:p>
        </w:tc>
        <w:tc>
          <w:tcPr>
            <w:tcW w:w="980" w:type="dxa"/>
            <w:vAlign w:val="bottom"/>
            <w:tcBorders>
              <w:bottom w:val="single" w:sz="8" w:color="435363"/>
            </w:tcBorders>
            <w:shd w:val="clear" w:color="auto" w:fill="EDEDED"/>
          </w:tcPr>
          <w:p>
            <w:pPr>
              <w:jc w:val="right"/>
              <w:spacing w:after="0"/>
              <w:rPr>
                <w:sz w:val="20"/>
                <w:szCs w:val="20"/>
                <w:color w:val="auto"/>
              </w:rPr>
            </w:pPr>
            <w:r>
              <w:rPr>
                <w:rFonts w:ascii="Arial" w:cs="Arial" w:eastAsia="Arial" w:hAnsi="Arial"/>
                <w:sz w:val="16"/>
                <w:szCs w:val="16"/>
                <w:color w:val="435363"/>
              </w:rPr>
              <w:t>-</w:t>
            </w:r>
          </w:p>
        </w:tc>
        <w:tc>
          <w:tcPr>
            <w:tcW w:w="1140" w:type="dxa"/>
            <w:vAlign w:val="bottom"/>
            <w:tcBorders>
              <w:bottom w:val="single" w:sz="8" w:color="435363"/>
            </w:tcBorders>
            <w:shd w:val="clear" w:color="auto" w:fill="EDEDED"/>
          </w:tcPr>
          <w:p>
            <w:pPr>
              <w:jc w:val="right"/>
              <w:ind w:right="1"/>
              <w:spacing w:after="0"/>
              <w:rPr>
                <w:sz w:val="20"/>
                <w:szCs w:val="20"/>
                <w:color w:val="auto"/>
              </w:rPr>
            </w:pPr>
            <w:r>
              <w:rPr>
                <w:rFonts w:ascii="Arial" w:cs="Arial" w:eastAsia="Arial" w:hAnsi="Arial"/>
                <w:sz w:val="16"/>
                <w:szCs w:val="16"/>
                <w:color w:val="435363"/>
              </w:rPr>
              <w:t>317,273</w:t>
            </w:r>
          </w:p>
        </w:tc>
        <w:tc>
          <w:tcPr>
            <w:tcW w:w="1120" w:type="dxa"/>
            <w:vAlign w:val="bottom"/>
            <w:tcBorders>
              <w:bottom w:val="single" w:sz="8" w:color="435363"/>
            </w:tcBorders>
            <w:shd w:val="clear" w:color="auto" w:fill="EDEDED"/>
          </w:tcPr>
          <w:p>
            <w:pPr>
              <w:jc w:val="right"/>
              <w:ind w:right="41"/>
              <w:spacing w:after="0"/>
              <w:rPr>
                <w:sz w:val="20"/>
                <w:szCs w:val="20"/>
                <w:color w:val="auto"/>
              </w:rPr>
            </w:pPr>
            <w:r>
              <w:rPr>
                <w:rFonts w:ascii="Arial" w:cs="Arial" w:eastAsia="Arial" w:hAnsi="Arial"/>
                <w:sz w:val="16"/>
                <w:szCs w:val="16"/>
                <w:color w:val="435363"/>
              </w:rPr>
              <w:t>317,273</w:t>
            </w:r>
          </w:p>
        </w:tc>
        <w:tc>
          <w:tcPr>
            <w:tcW w:w="1060" w:type="dxa"/>
            <w:vAlign w:val="bottom"/>
            <w:tcBorders>
              <w:bottom w:val="single" w:sz="8" w:color="435363"/>
            </w:tcBorders>
            <w:shd w:val="clear" w:color="auto" w:fill="EDEDED"/>
          </w:tcPr>
          <w:p>
            <w:pPr>
              <w:jc w:val="right"/>
              <w:ind w:right="61"/>
              <w:spacing w:after="0"/>
              <w:rPr>
                <w:sz w:val="20"/>
                <w:szCs w:val="20"/>
                <w:color w:val="auto"/>
              </w:rPr>
            </w:pPr>
            <w:r>
              <w:rPr>
                <w:rFonts w:ascii="Arial" w:cs="Arial" w:eastAsia="Arial" w:hAnsi="Arial"/>
                <w:sz w:val="16"/>
                <w:szCs w:val="16"/>
                <w:color w:val="435363"/>
              </w:rPr>
              <w:t>227,649</w:t>
            </w:r>
          </w:p>
        </w:tc>
        <w:tc>
          <w:tcPr>
            <w:tcW w:w="1000" w:type="dxa"/>
            <w:vAlign w:val="bottom"/>
            <w:tcBorders>
              <w:bottom w:val="single" w:sz="8" w:color="435363"/>
            </w:tcBorders>
            <w:shd w:val="clear" w:color="auto" w:fill="EDEDED"/>
          </w:tcPr>
          <w:p>
            <w:pPr>
              <w:jc w:val="right"/>
              <w:ind w:right="1"/>
              <w:spacing w:after="0"/>
              <w:rPr>
                <w:sz w:val="20"/>
                <w:szCs w:val="20"/>
                <w:color w:val="auto"/>
              </w:rPr>
            </w:pPr>
            <w:r>
              <w:rPr>
                <w:rFonts w:ascii="Arial" w:cs="Arial" w:eastAsia="Arial" w:hAnsi="Arial"/>
                <w:sz w:val="16"/>
                <w:szCs w:val="16"/>
                <w:color w:val="435363"/>
              </w:rPr>
              <w:t>317,273</w:t>
            </w:r>
          </w:p>
        </w:tc>
        <w:tc>
          <w:tcPr>
            <w:tcW w:w="1080" w:type="dxa"/>
            <w:vAlign w:val="bottom"/>
            <w:tcBorders>
              <w:bottom w:val="single" w:sz="8" w:color="435363"/>
            </w:tcBorders>
            <w:shd w:val="clear" w:color="auto" w:fill="EDEDED"/>
          </w:tcPr>
          <w:p>
            <w:pPr>
              <w:jc w:val="right"/>
              <w:ind w:right="1"/>
              <w:spacing w:after="0"/>
              <w:rPr>
                <w:sz w:val="20"/>
                <w:szCs w:val="20"/>
                <w:color w:val="auto"/>
              </w:rPr>
            </w:pPr>
            <w:r>
              <w:rPr>
                <w:rFonts w:ascii="Arial" w:cs="Arial" w:eastAsia="Arial" w:hAnsi="Arial"/>
                <w:sz w:val="16"/>
                <w:szCs w:val="16"/>
                <w:color w:val="435363"/>
              </w:rPr>
              <w:t>317,273</w:t>
            </w:r>
          </w:p>
        </w:tc>
      </w:tr>
      <w:tr>
        <w:trPr>
          <w:trHeight w:val="192"/>
        </w:trPr>
        <w:tc>
          <w:tcPr>
            <w:tcW w:w="4420" w:type="dxa"/>
            <w:vAlign w:val="bottom"/>
            <w:tcBorders>
              <w:bottom w:val="single" w:sz="8" w:color="435363"/>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Total</w:t>
            </w:r>
          </w:p>
        </w:tc>
        <w:tc>
          <w:tcPr>
            <w:tcW w:w="980" w:type="dxa"/>
            <w:vAlign w:val="bottom"/>
            <w:tcBorders>
              <w:bottom w:val="single" w:sz="8" w:color="435363"/>
            </w:tcBorders>
            <w:shd w:val="clear" w:color="auto" w:fill="EDEDED"/>
          </w:tcPr>
          <w:p>
            <w:pPr>
              <w:jc w:val="right"/>
              <w:spacing w:after="0"/>
              <w:rPr>
                <w:sz w:val="20"/>
                <w:szCs w:val="20"/>
                <w:color w:val="auto"/>
              </w:rPr>
            </w:pPr>
            <w:r>
              <w:rPr>
                <w:rFonts w:ascii="Arial" w:cs="Arial" w:eastAsia="Arial" w:hAnsi="Arial"/>
                <w:sz w:val="16"/>
                <w:szCs w:val="16"/>
                <w:color w:val="435363"/>
              </w:rPr>
              <w:t>3,449,730</w:t>
            </w:r>
          </w:p>
        </w:tc>
        <w:tc>
          <w:tcPr>
            <w:tcW w:w="1140" w:type="dxa"/>
            <w:vAlign w:val="bottom"/>
            <w:tcBorders>
              <w:bottom w:val="single" w:sz="8" w:color="435363"/>
            </w:tcBorders>
            <w:shd w:val="clear" w:color="auto" w:fill="EDEDED"/>
          </w:tcPr>
          <w:p>
            <w:pPr>
              <w:jc w:val="right"/>
              <w:ind w:right="1"/>
              <w:spacing w:after="0"/>
              <w:rPr>
                <w:sz w:val="20"/>
                <w:szCs w:val="20"/>
                <w:color w:val="auto"/>
              </w:rPr>
            </w:pPr>
            <w:r>
              <w:rPr>
                <w:rFonts w:ascii="Arial" w:cs="Arial" w:eastAsia="Arial" w:hAnsi="Arial"/>
                <w:sz w:val="16"/>
                <w:szCs w:val="16"/>
                <w:color w:val="435363"/>
              </w:rPr>
              <w:t>4,847,997</w:t>
            </w:r>
          </w:p>
        </w:tc>
        <w:tc>
          <w:tcPr>
            <w:tcW w:w="1120" w:type="dxa"/>
            <w:vAlign w:val="bottom"/>
            <w:tcBorders>
              <w:bottom w:val="single" w:sz="8" w:color="435363"/>
            </w:tcBorders>
            <w:shd w:val="clear" w:color="auto" w:fill="EDEDED"/>
          </w:tcPr>
          <w:p>
            <w:pPr>
              <w:jc w:val="right"/>
              <w:ind w:right="41"/>
              <w:spacing w:after="0"/>
              <w:rPr>
                <w:sz w:val="20"/>
                <w:szCs w:val="20"/>
                <w:color w:val="auto"/>
              </w:rPr>
            </w:pPr>
            <w:r>
              <w:rPr>
                <w:rFonts w:ascii="Arial" w:cs="Arial" w:eastAsia="Arial" w:hAnsi="Arial"/>
                <w:sz w:val="16"/>
                <w:szCs w:val="16"/>
                <w:color w:val="435363"/>
              </w:rPr>
              <w:t>6,428,592</w:t>
            </w:r>
          </w:p>
        </w:tc>
        <w:tc>
          <w:tcPr>
            <w:tcW w:w="1060" w:type="dxa"/>
            <w:vAlign w:val="bottom"/>
            <w:tcBorders>
              <w:bottom w:val="single" w:sz="8" w:color="435363"/>
            </w:tcBorders>
            <w:shd w:val="clear" w:color="auto" w:fill="EDEDED"/>
          </w:tcPr>
          <w:p>
            <w:pPr>
              <w:jc w:val="right"/>
              <w:ind w:right="61"/>
              <w:spacing w:after="0"/>
              <w:rPr>
                <w:sz w:val="20"/>
                <w:szCs w:val="20"/>
                <w:color w:val="auto"/>
              </w:rPr>
            </w:pPr>
            <w:r>
              <w:rPr>
                <w:rFonts w:ascii="Arial" w:cs="Arial" w:eastAsia="Arial" w:hAnsi="Arial"/>
                <w:sz w:val="16"/>
                <w:szCs w:val="16"/>
                <w:color w:val="435363"/>
              </w:rPr>
              <w:t>5,138,874</w:t>
            </w:r>
          </w:p>
        </w:tc>
        <w:tc>
          <w:tcPr>
            <w:tcW w:w="1000" w:type="dxa"/>
            <w:vAlign w:val="bottom"/>
            <w:tcBorders>
              <w:bottom w:val="single" w:sz="8" w:color="435363"/>
            </w:tcBorders>
            <w:shd w:val="clear" w:color="auto" w:fill="EDEDED"/>
          </w:tcPr>
          <w:p>
            <w:pPr>
              <w:jc w:val="right"/>
              <w:ind w:right="1"/>
              <w:spacing w:after="0"/>
              <w:rPr>
                <w:sz w:val="20"/>
                <w:szCs w:val="20"/>
                <w:color w:val="auto"/>
              </w:rPr>
            </w:pPr>
            <w:r>
              <w:rPr>
                <w:rFonts w:ascii="Arial" w:cs="Arial" w:eastAsia="Arial" w:hAnsi="Arial"/>
                <w:sz w:val="16"/>
                <w:szCs w:val="16"/>
                <w:color w:val="435363"/>
              </w:rPr>
              <w:t>5,228,498</w:t>
            </w:r>
          </w:p>
        </w:tc>
        <w:tc>
          <w:tcPr>
            <w:tcW w:w="1080" w:type="dxa"/>
            <w:vAlign w:val="bottom"/>
            <w:tcBorders>
              <w:bottom w:val="single" w:sz="8" w:color="435363"/>
            </w:tcBorders>
            <w:shd w:val="clear" w:color="auto" w:fill="EDEDED"/>
          </w:tcPr>
          <w:p>
            <w:pPr>
              <w:jc w:val="right"/>
              <w:ind w:right="1"/>
              <w:spacing w:after="0"/>
              <w:rPr>
                <w:sz w:val="20"/>
                <w:szCs w:val="20"/>
                <w:color w:val="auto"/>
              </w:rPr>
            </w:pPr>
            <w:r>
              <w:rPr>
                <w:rFonts w:ascii="Arial" w:cs="Arial" w:eastAsia="Arial" w:hAnsi="Arial"/>
                <w:sz w:val="16"/>
                <w:szCs w:val="16"/>
                <w:color w:val="435363"/>
              </w:rPr>
              <w:t>317,273</w:t>
            </w:r>
          </w:p>
        </w:tc>
      </w:tr>
      <w:tr>
        <w:trPr>
          <w:trHeight w:val="178"/>
        </w:trPr>
        <w:tc>
          <w:tcPr>
            <w:tcW w:w="4420" w:type="dxa"/>
            <w:vAlign w:val="bottom"/>
          </w:tcPr>
          <w:p>
            <w:pPr>
              <w:ind w:left="60"/>
              <w:spacing w:after="0" w:line="178" w:lineRule="exact"/>
              <w:rPr>
                <w:sz w:val="20"/>
                <w:szCs w:val="20"/>
                <w:color w:val="auto"/>
              </w:rPr>
            </w:pPr>
            <w:r>
              <w:rPr>
                <w:rFonts w:ascii="Arial" w:cs="Arial" w:eastAsia="Arial" w:hAnsi="Arial"/>
                <w:sz w:val="16"/>
                <w:szCs w:val="16"/>
                <w:b w:val="1"/>
                <w:bCs w:val="1"/>
                <w:color w:val="435363"/>
              </w:rPr>
              <w:t>Vasu Raja</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5"/>
        </w:trPr>
        <w:tc>
          <w:tcPr>
            <w:tcW w:w="4420" w:type="dxa"/>
            <w:vAlign w:val="bottom"/>
          </w:tcPr>
          <w:p>
            <w:pPr>
              <w:ind w:left="60"/>
              <w:spacing w:after="0"/>
              <w:rPr>
                <w:sz w:val="20"/>
                <w:szCs w:val="20"/>
                <w:color w:val="auto"/>
              </w:rPr>
            </w:pPr>
            <w:r>
              <w:rPr>
                <w:rFonts w:ascii="Arial" w:cs="Arial" w:eastAsia="Arial" w:hAnsi="Arial"/>
                <w:sz w:val="16"/>
                <w:szCs w:val="16"/>
                <w:color w:val="435363"/>
              </w:rPr>
              <w:t>Base Salary</w:t>
            </w:r>
          </w:p>
        </w:tc>
        <w:tc>
          <w:tcPr>
            <w:tcW w:w="980" w:type="dxa"/>
            <w:vAlign w:val="bottom"/>
          </w:tcPr>
          <w:p>
            <w:pPr>
              <w:jc w:val="right"/>
              <w:spacing w:after="0"/>
              <w:rPr>
                <w:sz w:val="20"/>
                <w:szCs w:val="20"/>
                <w:color w:val="auto"/>
              </w:rPr>
            </w:pPr>
            <w:r>
              <w:rPr>
                <w:rFonts w:ascii="Arial" w:cs="Arial" w:eastAsia="Arial" w:hAnsi="Arial"/>
                <w:sz w:val="16"/>
                <w:szCs w:val="16"/>
                <w:color w:val="435363"/>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435363"/>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435363"/>
              </w:rPr>
              <w:t>-</w:t>
            </w:r>
          </w:p>
        </w:tc>
        <w:tc>
          <w:tcPr>
            <w:tcW w:w="1060" w:type="dxa"/>
            <w:vAlign w:val="bottom"/>
          </w:tcPr>
          <w:p>
            <w:pPr>
              <w:jc w:val="right"/>
              <w:ind w:right="61"/>
              <w:spacing w:after="0"/>
              <w:rPr>
                <w:sz w:val="20"/>
                <w:szCs w:val="20"/>
                <w:color w:val="auto"/>
              </w:rPr>
            </w:pPr>
            <w:r>
              <w:rPr>
                <w:rFonts w:ascii="Arial" w:cs="Arial" w:eastAsia="Arial" w:hAnsi="Arial"/>
                <w:sz w:val="16"/>
                <w:szCs w:val="16"/>
                <w:color w:val="435363"/>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435363"/>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435363"/>
              </w:rPr>
              <w:t>-</w:t>
            </w:r>
          </w:p>
        </w:tc>
      </w:tr>
      <w:tr>
        <w:trPr>
          <w:trHeight w:val="185"/>
        </w:trPr>
        <w:tc>
          <w:tcPr>
            <w:tcW w:w="4420" w:type="dxa"/>
            <w:vAlign w:val="bottom"/>
          </w:tcPr>
          <w:p>
            <w:pPr>
              <w:ind w:left="60"/>
              <w:spacing w:after="0" w:line="186" w:lineRule="exact"/>
              <w:rPr>
                <w:sz w:val="20"/>
                <w:szCs w:val="20"/>
                <w:color w:val="auto"/>
              </w:rPr>
            </w:pPr>
            <w:r>
              <w:rPr>
                <w:rFonts w:ascii="Arial" w:cs="Arial" w:eastAsia="Arial" w:hAnsi="Arial"/>
                <w:sz w:val="15"/>
                <w:szCs w:val="15"/>
                <w:color w:val="435363"/>
              </w:rPr>
              <w:t>Annual Incentive Award</w:t>
            </w:r>
            <w:r>
              <w:rPr>
                <w:rFonts w:ascii="Arial" w:cs="Arial" w:eastAsia="Arial" w:hAnsi="Arial"/>
                <w:sz w:val="21"/>
                <w:szCs w:val="21"/>
                <w:color w:val="435363"/>
                <w:vertAlign w:val="superscript"/>
              </w:rPr>
              <w:t>(b)</w:t>
            </w:r>
          </w:p>
        </w:tc>
        <w:tc>
          <w:tcPr>
            <w:tcW w:w="980" w:type="dxa"/>
            <w:vAlign w:val="bottom"/>
          </w:tcPr>
          <w:p>
            <w:pPr>
              <w:jc w:val="right"/>
              <w:spacing w:after="0"/>
              <w:rPr>
                <w:sz w:val="20"/>
                <w:szCs w:val="20"/>
                <w:color w:val="auto"/>
              </w:rPr>
            </w:pPr>
            <w:r>
              <w:rPr>
                <w:rFonts w:ascii="Arial" w:cs="Arial" w:eastAsia="Arial" w:hAnsi="Arial"/>
                <w:sz w:val="16"/>
                <w:szCs w:val="16"/>
                <w:color w:val="435363"/>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435363"/>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435363"/>
              </w:rPr>
              <w:t>-</w:t>
            </w:r>
          </w:p>
        </w:tc>
        <w:tc>
          <w:tcPr>
            <w:tcW w:w="1060" w:type="dxa"/>
            <w:vAlign w:val="bottom"/>
          </w:tcPr>
          <w:p>
            <w:pPr>
              <w:jc w:val="right"/>
              <w:ind w:right="61"/>
              <w:spacing w:after="0"/>
              <w:rPr>
                <w:sz w:val="20"/>
                <w:szCs w:val="20"/>
                <w:color w:val="auto"/>
              </w:rPr>
            </w:pPr>
            <w:r>
              <w:rPr>
                <w:rFonts w:ascii="Arial" w:cs="Arial" w:eastAsia="Arial" w:hAnsi="Arial"/>
                <w:sz w:val="16"/>
                <w:szCs w:val="16"/>
                <w:color w:val="435363"/>
              </w:rPr>
              <w:t>1,461,495</w:t>
            </w:r>
          </w:p>
        </w:tc>
        <w:tc>
          <w:tcPr>
            <w:tcW w:w="1000" w:type="dxa"/>
            <w:vAlign w:val="bottom"/>
          </w:tcPr>
          <w:p>
            <w:pPr>
              <w:jc w:val="right"/>
              <w:ind w:right="1"/>
              <w:spacing w:after="0"/>
              <w:rPr>
                <w:sz w:val="20"/>
                <w:szCs w:val="20"/>
                <w:color w:val="auto"/>
              </w:rPr>
            </w:pPr>
            <w:r>
              <w:rPr>
                <w:rFonts w:ascii="Arial" w:cs="Arial" w:eastAsia="Arial" w:hAnsi="Arial"/>
                <w:sz w:val="16"/>
                <w:szCs w:val="16"/>
                <w:color w:val="435363"/>
              </w:rPr>
              <w:t>1,461,495</w:t>
            </w:r>
          </w:p>
        </w:tc>
        <w:tc>
          <w:tcPr>
            <w:tcW w:w="1080" w:type="dxa"/>
            <w:vAlign w:val="bottom"/>
          </w:tcPr>
          <w:p>
            <w:pPr>
              <w:jc w:val="right"/>
              <w:ind w:right="1"/>
              <w:spacing w:after="0"/>
              <w:rPr>
                <w:sz w:val="20"/>
                <w:szCs w:val="20"/>
                <w:color w:val="auto"/>
              </w:rPr>
            </w:pPr>
            <w:r>
              <w:rPr>
                <w:rFonts w:ascii="Arial" w:cs="Arial" w:eastAsia="Arial" w:hAnsi="Arial"/>
                <w:sz w:val="16"/>
                <w:szCs w:val="16"/>
                <w:color w:val="435363"/>
              </w:rPr>
              <w:t>-</w:t>
            </w:r>
          </w:p>
        </w:tc>
      </w:tr>
      <w:tr>
        <w:trPr>
          <w:trHeight w:val="185"/>
        </w:trPr>
        <w:tc>
          <w:tcPr>
            <w:tcW w:w="4420" w:type="dxa"/>
            <w:vAlign w:val="bottom"/>
          </w:tcPr>
          <w:p>
            <w:pPr>
              <w:ind w:left="60"/>
              <w:spacing w:after="0"/>
              <w:rPr>
                <w:sz w:val="20"/>
                <w:szCs w:val="20"/>
                <w:color w:val="auto"/>
              </w:rPr>
            </w:pPr>
            <w:r>
              <w:rPr>
                <w:rFonts w:ascii="Arial" w:cs="Arial" w:eastAsia="Arial" w:hAnsi="Arial"/>
                <w:sz w:val="16"/>
                <w:szCs w:val="16"/>
                <w:color w:val="435363"/>
              </w:rPr>
              <w:t>COBRA</w:t>
            </w:r>
          </w:p>
        </w:tc>
        <w:tc>
          <w:tcPr>
            <w:tcW w:w="980" w:type="dxa"/>
            <w:vAlign w:val="bottom"/>
          </w:tcPr>
          <w:p>
            <w:pPr>
              <w:jc w:val="right"/>
              <w:spacing w:after="0"/>
              <w:rPr>
                <w:sz w:val="20"/>
                <w:szCs w:val="20"/>
                <w:color w:val="auto"/>
              </w:rPr>
            </w:pPr>
            <w:r>
              <w:rPr>
                <w:rFonts w:ascii="Arial" w:cs="Arial" w:eastAsia="Arial" w:hAnsi="Arial"/>
                <w:sz w:val="16"/>
                <w:szCs w:val="16"/>
                <w:color w:val="435363"/>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435363"/>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435363"/>
              </w:rPr>
              <w:t>-</w:t>
            </w:r>
          </w:p>
        </w:tc>
        <w:tc>
          <w:tcPr>
            <w:tcW w:w="1060" w:type="dxa"/>
            <w:vAlign w:val="bottom"/>
          </w:tcPr>
          <w:p>
            <w:pPr>
              <w:jc w:val="right"/>
              <w:ind w:right="61"/>
              <w:spacing w:after="0"/>
              <w:rPr>
                <w:sz w:val="20"/>
                <w:szCs w:val="20"/>
                <w:color w:val="auto"/>
              </w:rPr>
            </w:pPr>
            <w:r>
              <w:rPr>
                <w:rFonts w:ascii="Arial" w:cs="Arial" w:eastAsia="Arial" w:hAnsi="Arial"/>
                <w:sz w:val="16"/>
                <w:szCs w:val="16"/>
                <w:color w:val="435363"/>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435363"/>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435363"/>
              </w:rPr>
              <w:t>-</w:t>
            </w:r>
          </w:p>
        </w:tc>
      </w:tr>
      <w:tr>
        <w:trPr>
          <w:trHeight w:val="185"/>
        </w:trPr>
        <w:tc>
          <w:tcPr>
            <w:tcW w:w="4420" w:type="dxa"/>
            <w:vAlign w:val="bottom"/>
          </w:tcPr>
          <w:p>
            <w:pPr>
              <w:ind w:left="60"/>
              <w:spacing w:after="0" w:line="186" w:lineRule="exact"/>
              <w:rPr>
                <w:sz w:val="20"/>
                <w:szCs w:val="20"/>
                <w:color w:val="auto"/>
              </w:rPr>
            </w:pPr>
            <w:r>
              <w:rPr>
                <w:rFonts w:ascii="Arial" w:cs="Arial" w:eastAsia="Arial" w:hAnsi="Arial"/>
                <w:sz w:val="15"/>
                <w:szCs w:val="15"/>
                <w:color w:val="435363"/>
              </w:rPr>
              <w:t>Acceleration of Unvested RSUs</w:t>
            </w:r>
            <w:r>
              <w:rPr>
                <w:rFonts w:ascii="Arial" w:cs="Arial" w:eastAsia="Arial" w:hAnsi="Arial"/>
                <w:sz w:val="21"/>
                <w:szCs w:val="21"/>
                <w:color w:val="435363"/>
                <w:vertAlign w:val="superscript"/>
              </w:rPr>
              <w:t>(d)</w:t>
            </w:r>
          </w:p>
        </w:tc>
        <w:tc>
          <w:tcPr>
            <w:tcW w:w="980" w:type="dxa"/>
            <w:vAlign w:val="bottom"/>
          </w:tcPr>
          <w:p>
            <w:pPr>
              <w:jc w:val="right"/>
              <w:spacing w:after="0"/>
              <w:rPr>
                <w:sz w:val="20"/>
                <w:szCs w:val="20"/>
                <w:color w:val="auto"/>
              </w:rPr>
            </w:pPr>
            <w:r>
              <w:rPr>
                <w:rFonts w:ascii="Arial" w:cs="Arial" w:eastAsia="Arial" w:hAnsi="Arial"/>
                <w:sz w:val="16"/>
                <w:szCs w:val="16"/>
                <w:color w:val="435363"/>
              </w:rPr>
              <w:t>4,213,194</w:t>
            </w:r>
          </w:p>
        </w:tc>
        <w:tc>
          <w:tcPr>
            <w:tcW w:w="1140" w:type="dxa"/>
            <w:vAlign w:val="bottom"/>
          </w:tcPr>
          <w:p>
            <w:pPr>
              <w:jc w:val="right"/>
              <w:ind w:right="1"/>
              <w:spacing w:after="0"/>
              <w:rPr>
                <w:sz w:val="20"/>
                <w:szCs w:val="20"/>
                <w:color w:val="auto"/>
              </w:rPr>
            </w:pPr>
            <w:r>
              <w:rPr>
                <w:rFonts w:ascii="Arial" w:cs="Arial" w:eastAsia="Arial" w:hAnsi="Arial"/>
                <w:sz w:val="16"/>
                <w:szCs w:val="16"/>
                <w:color w:val="435363"/>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435363"/>
              </w:rPr>
              <w:t>4,213,194</w:t>
            </w:r>
          </w:p>
        </w:tc>
        <w:tc>
          <w:tcPr>
            <w:tcW w:w="1060" w:type="dxa"/>
            <w:vAlign w:val="bottom"/>
          </w:tcPr>
          <w:p>
            <w:pPr>
              <w:jc w:val="right"/>
              <w:ind w:right="61"/>
              <w:spacing w:after="0"/>
              <w:rPr>
                <w:sz w:val="20"/>
                <w:szCs w:val="20"/>
                <w:color w:val="auto"/>
              </w:rPr>
            </w:pPr>
            <w:r>
              <w:rPr>
                <w:rFonts w:ascii="Arial" w:cs="Arial" w:eastAsia="Arial" w:hAnsi="Arial"/>
                <w:sz w:val="16"/>
                <w:szCs w:val="16"/>
                <w:color w:val="435363"/>
              </w:rPr>
              <w:t>4,213,194</w:t>
            </w:r>
          </w:p>
        </w:tc>
        <w:tc>
          <w:tcPr>
            <w:tcW w:w="1000" w:type="dxa"/>
            <w:vAlign w:val="bottom"/>
          </w:tcPr>
          <w:p>
            <w:pPr>
              <w:jc w:val="right"/>
              <w:ind w:right="1"/>
              <w:spacing w:after="0"/>
              <w:rPr>
                <w:sz w:val="20"/>
                <w:szCs w:val="20"/>
                <w:color w:val="auto"/>
              </w:rPr>
            </w:pPr>
            <w:r>
              <w:rPr>
                <w:rFonts w:ascii="Arial" w:cs="Arial" w:eastAsia="Arial" w:hAnsi="Arial"/>
                <w:sz w:val="16"/>
                <w:szCs w:val="16"/>
                <w:color w:val="435363"/>
              </w:rPr>
              <w:t>4,213,194</w:t>
            </w:r>
          </w:p>
        </w:tc>
        <w:tc>
          <w:tcPr>
            <w:tcW w:w="1080" w:type="dxa"/>
            <w:vAlign w:val="bottom"/>
          </w:tcPr>
          <w:p>
            <w:pPr>
              <w:jc w:val="right"/>
              <w:ind w:right="1"/>
              <w:spacing w:after="0"/>
              <w:rPr>
                <w:sz w:val="20"/>
                <w:szCs w:val="20"/>
                <w:color w:val="auto"/>
              </w:rPr>
            </w:pPr>
            <w:r>
              <w:rPr>
                <w:rFonts w:ascii="Arial" w:cs="Arial" w:eastAsia="Arial" w:hAnsi="Arial"/>
                <w:sz w:val="16"/>
                <w:szCs w:val="16"/>
                <w:color w:val="435363"/>
              </w:rPr>
              <w:t>-</w:t>
            </w:r>
          </w:p>
        </w:tc>
      </w:tr>
      <w:tr>
        <w:trPr>
          <w:trHeight w:val="226"/>
        </w:trPr>
        <w:tc>
          <w:tcPr>
            <w:tcW w:w="4420" w:type="dxa"/>
            <w:vAlign w:val="bottom"/>
            <w:tcBorders>
              <w:bottom w:val="single" w:sz="8" w:color="435363"/>
            </w:tcBorders>
          </w:tcPr>
          <w:p>
            <w:pPr>
              <w:ind w:left="60"/>
              <w:spacing w:after="0" w:line="225" w:lineRule="exact"/>
              <w:rPr>
                <w:sz w:val="20"/>
                <w:szCs w:val="20"/>
                <w:color w:val="auto"/>
              </w:rPr>
            </w:pPr>
            <w:r>
              <w:rPr>
                <w:rFonts w:ascii="Arial" w:cs="Arial" w:eastAsia="Arial" w:hAnsi="Arial"/>
                <w:sz w:val="16"/>
                <w:szCs w:val="16"/>
                <w:color w:val="435363"/>
              </w:rPr>
              <w:t>Flight Privileges</w:t>
            </w:r>
            <w:r>
              <w:rPr>
                <w:rFonts w:ascii="Arial" w:cs="Arial" w:eastAsia="Arial" w:hAnsi="Arial"/>
                <w:sz w:val="23"/>
                <w:szCs w:val="23"/>
                <w:color w:val="435363"/>
                <w:vertAlign w:val="superscript"/>
              </w:rPr>
              <w:t>(e)</w:t>
            </w:r>
          </w:p>
        </w:tc>
        <w:tc>
          <w:tcPr>
            <w:tcW w:w="980" w:type="dxa"/>
            <w:vAlign w:val="bottom"/>
            <w:tcBorders>
              <w:bottom w:val="single" w:sz="8" w:color="435363"/>
            </w:tcBorders>
          </w:tcPr>
          <w:p>
            <w:pPr>
              <w:jc w:val="right"/>
              <w:spacing w:after="0"/>
              <w:rPr>
                <w:sz w:val="20"/>
                <w:szCs w:val="20"/>
                <w:color w:val="auto"/>
              </w:rPr>
            </w:pPr>
            <w:r>
              <w:rPr>
                <w:rFonts w:ascii="Arial" w:cs="Arial" w:eastAsia="Arial" w:hAnsi="Arial"/>
                <w:sz w:val="16"/>
                <w:szCs w:val="16"/>
                <w:color w:val="435363"/>
              </w:rPr>
              <w:t>-</w:t>
            </w:r>
          </w:p>
        </w:tc>
        <w:tc>
          <w:tcPr>
            <w:tcW w:w="114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w:t>
            </w:r>
          </w:p>
        </w:tc>
        <w:tc>
          <w:tcPr>
            <w:tcW w:w="1120" w:type="dxa"/>
            <w:vAlign w:val="bottom"/>
            <w:tcBorders>
              <w:bottom w:val="single" w:sz="8" w:color="435363"/>
            </w:tcBorders>
          </w:tcPr>
          <w:p>
            <w:pPr>
              <w:jc w:val="right"/>
              <w:ind w:right="41"/>
              <w:spacing w:after="0"/>
              <w:rPr>
                <w:sz w:val="20"/>
                <w:szCs w:val="20"/>
                <w:color w:val="auto"/>
              </w:rPr>
            </w:pPr>
            <w:r>
              <w:rPr>
                <w:rFonts w:ascii="Arial" w:cs="Arial" w:eastAsia="Arial" w:hAnsi="Arial"/>
                <w:sz w:val="16"/>
                <w:szCs w:val="16"/>
                <w:color w:val="435363"/>
              </w:rPr>
              <w:t>-</w:t>
            </w:r>
          </w:p>
        </w:tc>
        <w:tc>
          <w:tcPr>
            <w:tcW w:w="1060" w:type="dxa"/>
            <w:vAlign w:val="bottom"/>
            <w:tcBorders>
              <w:bottom w:val="single" w:sz="8" w:color="435363"/>
            </w:tcBorders>
          </w:tcPr>
          <w:p>
            <w:pPr>
              <w:jc w:val="right"/>
              <w:ind w:right="61"/>
              <w:spacing w:after="0"/>
              <w:rPr>
                <w:sz w:val="20"/>
                <w:szCs w:val="20"/>
                <w:color w:val="auto"/>
              </w:rPr>
            </w:pPr>
            <w:r>
              <w:rPr>
                <w:rFonts w:ascii="Arial" w:cs="Arial" w:eastAsia="Arial" w:hAnsi="Arial"/>
                <w:sz w:val="16"/>
                <w:szCs w:val="16"/>
                <w:color w:val="435363"/>
              </w:rPr>
              <w:t>-</w:t>
            </w:r>
          </w:p>
        </w:tc>
        <w:tc>
          <w:tcPr>
            <w:tcW w:w="100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w:t>
            </w:r>
          </w:p>
        </w:tc>
        <w:tc>
          <w:tcPr>
            <w:tcW w:w="108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w:t>
            </w:r>
          </w:p>
        </w:tc>
      </w:tr>
      <w:tr>
        <w:trPr>
          <w:trHeight w:val="215"/>
        </w:trPr>
        <w:tc>
          <w:tcPr>
            <w:tcW w:w="4420" w:type="dxa"/>
            <w:vAlign w:val="bottom"/>
            <w:tcBorders>
              <w:bottom w:val="single" w:sz="8" w:color="435363"/>
            </w:tcBorders>
          </w:tcPr>
          <w:p>
            <w:pPr>
              <w:ind w:left="60"/>
              <w:spacing w:after="0"/>
              <w:rPr>
                <w:sz w:val="20"/>
                <w:szCs w:val="20"/>
                <w:color w:val="auto"/>
              </w:rPr>
            </w:pPr>
            <w:r>
              <w:rPr>
                <w:rFonts w:ascii="Arial" w:cs="Arial" w:eastAsia="Arial" w:hAnsi="Arial"/>
                <w:sz w:val="16"/>
                <w:szCs w:val="16"/>
                <w:b w:val="1"/>
                <w:bCs w:val="1"/>
                <w:color w:val="435363"/>
              </w:rPr>
              <w:t>Total</w:t>
            </w:r>
          </w:p>
        </w:tc>
        <w:tc>
          <w:tcPr>
            <w:tcW w:w="980" w:type="dxa"/>
            <w:vAlign w:val="bottom"/>
            <w:tcBorders>
              <w:bottom w:val="single" w:sz="8" w:color="435363"/>
            </w:tcBorders>
          </w:tcPr>
          <w:p>
            <w:pPr>
              <w:jc w:val="right"/>
              <w:spacing w:after="0"/>
              <w:rPr>
                <w:sz w:val="20"/>
                <w:szCs w:val="20"/>
                <w:color w:val="auto"/>
              </w:rPr>
            </w:pPr>
            <w:r>
              <w:rPr>
                <w:rFonts w:ascii="Arial" w:cs="Arial" w:eastAsia="Arial" w:hAnsi="Arial"/>
                <w:sz w:val="16"/>
                <w:szCs w:val="16"/>
                <w:color w:val="435363"/>
              </w:rPr>
              <w:t>4,213,194</w:t>
            </w:r>
          </w:p>
        </w:tc>
        <w:tc>
          <w:tcPr>
            <w:tcW w:w="114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w:t>
            </w:r>
          </w:p>
        </w:tc>
        <w:tc>
          <w:tcPr>
            <w:tcW w:w="1120" w:type="dxa"/>
            <w:vAlign w:val="bottom"/>
            <w:tcBorders>
              <w:bottom w:val="single" w:sz="8" w:color="435363"/>
            </w:tcBorders>
          </w:tcPr>
          <w:p>
            <w:pPr>
              <w:jc w:val="right"/>
              <w:ind w:right="41"/>
              <w:spacing w:after="0"/>
              <w:rPr>
                <w:sz w:val="20"/>
                <w:szCs w:val="20"/>
                <w:color w:val="auto"/>
              </w:rPr>
            </w:pPr>
            <w:r>
              <w:rPr>
                <w:rFonts w:ascii="Arial" w:cs="Arial" w:eastAsia="Arial" w:hAnsi="Arial"/>
                <w:sz w:val="16"/>
                <w:szCs w:val="16"/>
                <w:color w:val="435363"/>
              </w:rPr>
              <w:t>4,213,194</w:t>
            </w:r>
          </w:p>
        </w:tc>
        <w:tc>
          <w:tcPr>
            <w:tcW w:w="1060" w:type="dxa"/>
            <w:vAlign w:val="bottom"/>
            <w:tcBorders>
              <w:bottom w:val="single" w:sz="8" w:color="435363"/>
            </w:tcBorders>
          </w:tcPr>
          <w:p>
            <w:pPr>
              <w:jc w:val="right"/>
              <w:ind w:right="61"/>
              <w:spacing w:after="0"/>
              <w:rPr>
                <w:sz w:val="20"/>
                <w:szCs w:val="20"/>
                <w:color w:val="auto"/>
              </w:rPr>
            </w:pPr>
            <w:r>
              <w:rPr>
                <w:rFonts w:ascii="Arial" w:cs="Arial" w:eastAsia="Arial" w:hAnsi="Arial"/>
                <w:sz w:val="16"/>
                <w:szCs w:val="16"/>
                <w:color w:val="435363"/>
              </w:rPr>
              <w:t>5,674,689</w:t>
            </w:r>
          </w:p>
        </w:tc>
        <w:tc>
          <w:tcPr>
            <w:tcW w:w="100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5,674,689</w:t>
            </w:r>
          </w:p>
        </w:tc>
        <w:tc>
          <w:tcPr>
            <w:tcW w:w="1080" w:type="dxa"/>
            <w:vAlign w:val="bottom"/>
            <w:tcBorders>
              <w:bottom w:val="single" w:sz="8" w:color="435363"/>
            </w:tcBorders>
          </w:tcPr>
          <w:p>
            <w:pPr>
              <w:jc w:val="right"/>
              <w:ind w:right="1"/>
              <w:spacing w:after="0"/>
              <w:rPr>
                <w:sz w:val="20"/>
                <w:szCs w:val="20"/>
                <w:color w:val="auto"/>
              </w:rPr>
            </w:pPr>
            <w:r>
              <w:rPr>
                <w:rFonts w:ascii="Arial" w:cs="Arial" w:eastAsia="Arial" w:hAnsi="Arial"/>
                <w:sz w:val="16"/>
                <w:szCs w:val="16"/>
                <w:color w:val="435363"/>
              </w:rPr>
              <w:t>-</w:t>
            </w:r>
          </w:p>
        </w:tc>
      </w:tr>
    </w:tbl>
    <w:p>
      <w:pPr>
        <w:spacing w:after="0" w:line="62" w:lineRule="exact"/>
        <w:rPr>
          <w:sz w:val="20"/>
          <w:szCs w:val="20"/>
          <w:color w:val="auto"/>
        </w:rPr>
      </w:pPr>
    </w:p>
    <w:p>
      <w:pPr>
        <w:ind w:left="640" w:hanging="416"/>
        <w:spacing w:after="0"/>
        <w:tabs>
          <w:tab w:leader="none" w:pos="640" w:val="left"/>
        </w:tabs>
        <w:numPr>
          <w:ilvl w:val="0"/>
          <w:numId w:val="59"/>
        </w:numPr>
        <w:rPr>
          <w:rFonts w:ascii="Arial" w:cs="Arial" w:eastAsia="Arial" w:hAnsi="Arial"/>
          <w:sz w:val="12"/>
          <w:szCs w:val="12"/>
          <w:color w:val="435363"/>
        </w:rPr>
      </w:pPr>
      <w:r>
        <w:rPr>
          <w:rFonts w:ascii="Arial" w:cs="Arial" w:eastAsia="Arial" w:hAnsi="Arial"/>
          <w:sz w:val="12"/>
          <w:szCs w:val="12"/>
          <w:color w:val="435363"/>
        </w:rPr>
        <w:t>On an involuntary termination, represents 24 months of base salary for Mr. Isom and 18 months of the executive’s base salary for Ms. Aiyar and Messrs. Johnson and May.</w:t>
      </w:r>
    </w:p>
    <w:p>
      <w:pPr>
        <w:spacing w:after="0" w:line="163" w:lineRule="exact"/>
        <w:rPr>
          <w:rFonts w:ascii="Arial" w:cs="Arial" w:eastAsia="Arial" w:hAnsi="Arial"/>
          <w:sz w:val="12"/>
          <w:szCs w:val="12"/>
          <w:color w:val="435363"/>
        </w:rPr>
      </w:pPr>
    </w:p>
    <w:p>
      <w:pPr>
        <w:ind w:left="2240"/>
        <w:spacing w:after="0"/>
        <w:rPr>
          <w:rFonts w:ascii="Arial" w:cs="Arial" w:eastAsia="Arial" w:hAnsi="Arial"/>
          <w:sz w:val="12"/>
          <w:szCs w:val="12"/>
          <w:color w:val="435363"/>
        </w:rPr>
      </w:pPr>
      <w:r>
        <w:rPr>
          <w:rFonts w:ascii="Arial" w:cs="Arial" w:eastAsia="Arial" w:hAnsi="Arial"/>
          <w:sz w:val="1"/>
          <w:szCs w:val="1"/>
          <w:color w:val="435363"/>
        </w:rPr>
        <w:drawing>
          <wp:inline distT="0" distB="0" distL="0" distR="0">
            <wp:extent cx="5177155" cy="168275"/>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77155" cy="168275"/>
                    </a:xfrm>
                    <a:prstGeom prst="rect">
                      <a:avLst/>
                    </a:prstGeom>
                    <a:noFill/>
                    <a:ln>
                      <a:noFill/>
                    </a:ln>
                  </pic:spPr>
                </pic:pic>
              </a:graphicData>
            </a:graphic>
          </wp:inline>
        </w:drawing>
      </w:r>
      <w:r>
        <w:rPr>
          <w:rFonts w:ascii="Arial" w:cs="Arial" w:eastAsia="Arial" w:hAnsi="Arial"/>
          <w:sz w:val="16"/>
          <w:szCs w:val="16"/>
          <w:b w:val="1"/>
          <w:bCs w:val="1"/>
          <w:color w:val="435363"/>
        </w:rPr>
        <w:t xml:space="preserve">     73</w:t>
      </w:r>
    </w:p>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3" w:lineRule="exact"/>
        <w:rPr>
          <w:sz w:val="20"/>
          <w:szCs w:val="20"/>
          <w:color w:val="auto"/>
        </w:rPr>
      </w:pPr>
    </w:p>
    <w:p>
      <w:pPr>
        <w:ind w:left="640" w:right="20" w:hanging="416"/>
        <w:spacing w:after="0" w:line="256" w:lineRule="auto"/>
        <w:tabs>
          <w:tab w:leader="none" w:pos="640" w:val="left"/>
        </w:tabs>
        <w:numPr>
          <w:ilvl w:val="0"/>
          <w:numId w:val="60"/>
        </w:numPr>
        <w:rPr>
          <w:rFonts w:ascii="Arial" w:cs="Arial" w:eastAsia="Arial" w:hAnsi="Arial"/>
          <w:sz w:val="12"/>
          <w:szCs w:val="12"/>
          <w:color w:val="435363"/>
        </w:rPr>
      </w:pPr>
      <w:r>
        <w:rPr>
          <w:rFonts w:ascii="Arial" w:cs="Arial" w:eastAsia="Arial" w:hAnsi="Arial"/>
          <w:sz w:val="12"/>
          <w:szCs w:val="12"/>
          <w:color w:val="435363"/>
        </w:rPr>
        <w:t>On an involuntary termination, represents two times Mr. Isom’s annual target cash incentive and 1.5 times the executive’s annual target cash incentive for Ms. Aiyar and Messrs. Johnson and May. On death or disability, amount represents the amount of the annual incentive award earned by each named executive officer under the 2023 STIP which was attained at 150.86% of target.</w:t>
      </w:r>
    </w:p>
    <w:p>
      <w:pPr>
        <w:spacing w:after="0" w:line="182" w:lineRule="exact"/>
        <w:rPr>
          <w:rFonts w:ascii="Arial" w:cs="Arial" w:eastAsia="Arial" w:hAnsi="Arial"/>
          <w:sz w:val="12"/>
          <w:szCs w:val="12"/>
          <w:color w:val="435363"/>
        </w:rPr>
      </w:pPr>
    </w:p>
    <w:p>
      <w:pPr>
        <w:ind w:left="640" w:right="20" w:hanging="416"/>
        <w:spacing w:after="0" w:line="274" w:lineRule="auto"/>
        <w:tabs>
          <w:tab w:leader="none" w:pos="640" w:val="left"/>
        </w:tabs>
        <w:numPr>
          <w:ilvl w:val="0"/>
          <w:numId w:val="60"/>
        </w:numPr>
        <w:rPr>
          <w:rFonts w:ascii="Arial" w:cs="Arial" w:eastAsia="Arial" w:hAnsi="Arial"/>
          <w:sz w:val="12"/>
          <w:szCs w:val="12"/>
          <w:color w:val="435363"/>
        </w:rPr>
      </w:pPr>
      <w:r>
        <w:rPr>
          <w:rFonts w:ascii="Arial" w:cs="Arial" w:eastAsia="Arial" w:hAnsi="Arial"/>
          <w:sz w:val="12"/>
          <w:szCs w:val="12"/>
          <w:color w:val="435363"/>
        </w:rPr>
        <w:t>On an involuntary termination, in the case of Mr. Isom, represents a payment equal to 24 months’ COBRA premiums, and for Ms. Aiyar and Messrs. Johnson and May, a payment equal to 18 months’ COBRA premiums.</w:t>
      </w:r>
    </w:p>
    <w:p>
      <w:pPr>
        <w:spacing w:after="0" w:line="29" w:lineRule="exact"/>
        <w:rPr>
          <w:rFonts w:ascii="Arial" w:cs="Arial" w:eastAsia="Arial" w:hAnsi="Arial"/>
          <w:sz w:val="12"/>
          <w:szCs w:val="12"/>
          <w:color w:val="435363"/>
        </w:rPr>
      </w:pPr>
    </w:p>
    <w:p>
      <w:pPr>
        <w:ind w:left="640" w:right="20" w:hanging="416"/>
        <w:spacing w:after="0" w:line="245" w:lineRule="auto"/>
        <w:tabs>
          <w:tab w:leader="none" w:pos="640" w:val="left"/>
        </w:tabs>
        <w:numPr>
          <w:ilvl w:val="0"/>
          <w:numId w:val="60"/>
        </w:numPr>
        <w:rPr>
          <w:rFonts w:ascii="Arial" w:cs="Arial" w:eastAsia="Arial" w:hAnsi="Arial"/>
          <w:sz w:val="12"/>
          <w:szCs w:val="12"/>
          <w:color w:val="435363"/>
        </w:rPr>
      </w:pPr>
      <w:r>
        <w:rPr>
          <w:rFonts w:ascii="Arial" w:cs="Arial" w:eastAsia="Arial" w:hAnsi="Arial"/>
          <w:sz w:val="12"/>
          <w:szCs w:val="12"/>
          <w:color w:val="435363"/>
        </w:rPr>
        <w:t>Aggregate value of unvested RSUs is calculated at a price of $13.74, the closing price of a share of our Common Stock on December 29, 2023, multiplied by the number of unvested RSUs outstanding under each award. The performance-vesting portion of the named executive officer’s 2022 RSU awards are valued based on our expected attainment level as of December 31, 2023 of 160% of target and the performance-vesting portion of the named executive officer’s 2023 RSU award are based on our expected attainment level as of December 31, 2023 of target. For a description of these vesting acceleration benefits, please see “Compensation Discussion and Analysis – Severance Benefits and Post Termination Restrictive Covenants.”</w:t>
      </w:r>
    </w:p>
    <w:p>
      <w:pPr>
        <w:spacing w:after="0" w:line="45" w:lineRule="exact"/>
        <w:rPr>
          <w:rFonts w:ascii="Arial" w:cs="Arial" w:eastAsia="Arial" w:hAnsi="Arial"/>
          <w:sz w:val="12"/>
          <w:szCs w:val="12"/>
          <w:color w:val="435363"/>
        </w:rPr>
      </w:pPr>
    </w:p>
    <w:p>
      <w:pPr>
        <w:ind w:left="640" w:right="160" w:hanging="416"/>
        <w:spacing w:after="0"/>
        <w:tabs>
          <w:tab w:leader="none" w:pos="640" w:val="left"/>
        </w:tabs>
        <w:numPr>
          <w:ilvl w:val="0"/>
          <w:numId w:val="60"/>
        </w:numPr>
        <w:rPr>
          <w:rFonts w:ascii="Arial" w:cs="Arial" w:eastAsia="Arial" w:hAnsi="Arial"/>
          <w:sz w:val="12"/>
          <w:szCs w:val="12"/>
          <w:color w:val="435363"/>
        </w:rPr>
      </w:pPr>
      <w:r>
        <w:rPr>
          <w:rFonts w:ascii="Arial" w:cs="Arial" w:eastAsia="Arial" w:hAnsi="Arial"/>
          <w:sz w:val="12"/>
          <w:szCs w:val="12"/>
          <w:color w:val="435363"/>
        </w:rPr>
        <w:t>Each of Messrs. Isom, Johnson and May are vested into positive space flight lifetime travel benefits and are entitled to continued receipt of these benefits upon their termination of employment, other than coverage of income tax liability. Mr. Raja is eligible for lifetime space available travel benefits, which does not result in any incremental cost to the Company. The calculation of the positive space lifetime travel benefits is based on the terms of the non-revenue travel policy for executive officers currently in effect. Under her severance agreement with the Company, in the case of an Involuntary Termination, Ms. Aiyar is entitled to travel privileges pursuant to the terms of the Company’s travel policy for officers during the 18-month period following the termination date. Reflects the present value of future travel calculated using a discount rate of 5.3% and Pri-2012 Employee Table, with white collar adjustments, increased by 3.0% at all ages, and then projected generationally from 2012 with Scale MP-2021, and assumes the annual level of usage is the same as the executive’s actual usage for 2023 (excluding travel between Phoenix and Dallas/Fort Worth and between Orange County and Dallas/Fort Worth for Mr. Johnson) with a valuation based on imputed income and a 1% annual increase in the cost of travel.</w:t>
      </w:r>
    </w:p>
    <w:p>
      <w:pPr>
        <w:spacing w:after="0" w:line="172" w:lineRule="exact"/>
        <w:rPr>
          <w:rFonts w:ascii="Arial" w:cs="Arial" w:eastAsia="Arial" w:hAnsi="Arial"/>
          <w:sz w:val="12"/>
          <w:szCs w:val="12"/>
          <w:color w:val="435363"/>
        </w:rPr>
      </w:pPr>
    </w:p>
    <w:p>
      <w:pPr>
        <w:ind w:left="640" w:hanging="416"/>
        <w:spacing w:after="0"/>
        <w:tabs>
          <w:tab w:leader="none" w:pos="640" w:val="left"/>
        </w:tabs>
        <w:numPr>
          <w:ilvl w:val="0"/>
          <w:numId w:val="60"/>
        </w:numPr>
        <w:rPr>
          <w:rFonts w:ascii="Arial" w:cs="Arial" w:eastAsia="Arial" w:hAnsi="Arial"/>
          <w:sz w:val="12"/>
          <w:szCs w:val="12"/>
          <w:color w:val="435363"/>
        </w:rPr>
      </w:pPr>
      <w:r>
        <w:rPr>
          <w:rFonts w:ascii="Arial" w:cs="Arial" w:eastAsia="Arial" w:hAnsi="Arial"/>
          <w:sz w:val="12"/>
          <w:szCs w:val="12"/>
          <w:color w:val="435363"/>
        </w:rPr>
        <w:t>Represents for Messrs. Isom and Johnson, the vesting of certain RSUs on any termination without “cause,” including retirement.</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CEO Pay Ratio</w:t>
      </w:r>
    </w:p>
    <w:p>
      <w:pPr>
        <w:spacing w:after="0" w:line="90" w:lineRule="exact"/>
        <w:rPr>
          <w:sz w:val="20"/>
          <w:szCs w:val="20"/>
          <w:color w:val="auto"/>
        </w:rPr>
      </w:pPr>
    </w:p>
    <w:p>
      <w:pPr>
        <w:jc w:val="both"/>
        <w:ind w:left="220" w:right="40"/>
        <w:spacing w:after="0" w:line="258" w:lineRule="auto"/>
        <w:rPr>
          <w:sz w:val="20"/>
          <w:szCs w:val="20"/>
          <w:color w:val="auto"/>
        </w:rPr>
      </w:pPr>
      <w:r>
        <w:rPr>
          <w:rFonts w:ascii="Arial" w:cs="Arial" w:eastAsia="Arial" w:hAnsi="Arial"/>
          <w:sz w:val="16"/>
          <w:szCs w:val="16"/>
          <w:color w:val="435363"/>
        </w:rPr>
        <w:t>As required by Section 953(b) of the Dodd-Frank Wall Street Reform and Consumer Protection Act, and Item 402(u) of Regulation S-K, we are providing information about the relationship of the annual total compensation of our employees and the annual total compensation of Mr. Isom, who served as CEO as of December 31, 2023.</w:t>
      </w:r>
    </w:p>
    <w:p>
      <w:pPr>
        <w:spacing w:after="0" w:line="68" w:lineRule="exact"/>
        <w:rPr>
          <w:sz w:val="20"/>
          <w:szCs w:val="20"/>
          <w:color w:val="auto"/>
        </w:rPr>
      </w:pPr>
    </w:p>
    <w:p>
      <w:pPr>
        <w:ind w:left="220"/>
        <w:spacing w:after="0" w:line="245" w:lineRule="auto"/>
        <w:rPr>
          <w:sz w:val="20"/>
          <w:szCs w:val="20"/>
          <w:color w:val="auto"/>
        </w:rPr>
      </w:pPr>
      <w:r>
        <w:rPr>
          <w:rFonts w:ascii="Arial" w:cs="Arial" w:eastAsia="Arial" w:hAnsi="Arial"/>
          <w:sz w:val="16"/>
          <w:szCs w:val="16"/>
          <w:color w:val="435363"/>
        </w:rPr>
        <w:t>We offer competitive compensation to our team members. As one of the world’s largest airlines, some of our unique characteristics may make comparisons to the pay ratios at other airlines or companies difficult. We employ over 130,000 team members; our route network is vast and unique; and we insource more of our flying and services than our U.S. peers. For example, American operates three wholly-owned regional airlines, and approximately 22% of our total workforce is employed by those airlines. Additionally, our pay ratio includes approximately 16% part-time and temporary team members. In 2023, mainline and regional salaries, wages and benefits were our largest expense and represented approximately 34% of our total operating expenses. Approximately 87% of our employees as of December 31, 2023 were represented by various labor unions responsible for negotiating the collective bargaining agreements covering their compensation and job duties, among other things. The Company’s employment footprint is quite diverse—with some positions requiring initial education and licensing requirements as well as ongoing certification work. Compensation for positions with more rigorous requirements for continued employment and that draw from smaller applicant pools generally utilize higher pay bands than those positions with fewer educational and training requirements and larger applicant pools.</w:t>
      </w:r>
    </w:p>
    <w:p>
      <w:pPr>
        <w:spacing w:after="0" w:line="81" w:lineRule="exact"/>
        <w:rPr>
          <w:sz w:val="20"/>
          <w:szCs w:val="20"/>
          <w:color w:val="auto"/>
        </w:rPr>
      </w:pPr>
    </w:p>
    <w:p>
      <w:pPr>
        <w:ind w:left="220" w:right="120"/>
        <w:spacing w:after="0" w:line="252" w:lineRule="auto"/>
        <w:rPr>
          <w:sz w:val="20"/>
          <w:szCs w:val="20"/>
          <w:color w:val="auto"/>
        </w:rPr>
      </w:pPr>
      <w:r>
        <w:rPr>
          <w:rFonts w:ascii="Arial" w:cs="Arial" w:eastAsia="Arial" w:hAnsi="Arial"/>
          <w:sz w:val="16"/>
          <w:szCs w:val="16"/>
          <w:color w:val="435363"/>
        </w:rPr>
        <w:t>For 2023, the median annual total compensation of all team members across American (other than our CEO) was $67,788, while the annual total compensation of our CEO was $31,438,162, as outlined in the “Summary Compensation Table” above. Based on this information, the ratio of the annual total compensation of our CEO to the median annual total compensation of all employees was estimated to be 464 to 1, calculated in accordance with SEC rules. This pay ratio is a reasonable estimate calculated in a manner consistent with Item 402(u) of Regulation S-K.</w:t>
      </w:r>
    </w:p>
    <w:p>
      <w:pPr>
        <w:spacing w:after="0" w:line="74" w:lineRule="exact"/>
        <w:rPr>
          <w:sz w:val="20"/>
          <w:szCs w:val="20"/>
          <w:color w:val="auto"/>
        </w:rPr>
      </w:pPr>
    </w:p>
    <w:p>
      <w:pPr>
        <w:ind w:left="220" w:right="340"/>
        <w:spacing w:after="0" w:line="275" w:lineRule="auto"/>
        <w:rPr>
          <w:sz w:val="20"/>
          <w:szCs w:val="20"/>
          <w:color w:val="auto"/>
        </w:rPr>
      </w:pPr>
      <w:r>
        <w:rPr>
          <w:rFonts w:ascii="Arial" w:cs="Arial" w:eastAsia="Arial" w:hAnsi="Arial"/>
          <w:sz w:val="15"/>
          <w:szCs w:val="15"/>
          <w:color w:val="435363"/>
        </w:rPr>
        <w:t>In addition to the required pay ratio calculation above, we have calculated an alternative pay ratio using an adjusted amount of total compensation for Mr. Isom that removes the non-recurring elements of his compensation as set forth under “Compensation Discussion and Analysis— Non-Recurring Compensation Elements Reported in 2023”. When calculated in this manner, Mr. Isom’s adjusted total compensation for 2023 is $16,582,362 and the ratio of the annual total compensation of Mr. Isom to the median annual total compensation of all employees was estimated to be 245 to 1.</w:t>
      </w:r>
    </w:p>
    <w:p>
      <w:pPr>
        <w:spacing w:after="0" w:line="56" w:lineRule="exact"/>
        <w:rPr>
          <w:sz w:val="20"/>
          <w:szCs w:val="20"/>
          <w:color w:val="auto"/>
        </w:rPr>
      </w:pPr>
    </w:p>
    <w:p>
      <w:pPr>
        <w:ind w:left="220" w:right="340"/>
        <w:spacing w:after="0" w:line="275" w:lineRule="auto"/>
        <w:rPr>
          <w:sz w:val="20"/>
          <w:szCs w:val="20"/>
          <w:color w:val="auto"/>
        </w:rPr>
      </w:pPr>
      <w:r>
        <w:rPr>
          <w:rFonts w:ascii="Arial" w:cs="Arial" w:eastAsia="Arial" w:hAnsi="Arial"/>
          <w:sz w:val="16"/>
          <w:szCs w:val="16"/>
          <w:color w:val="435363"/>
        </w:rPr>
        <w:t>This alternative pay ratio is not a substitute for the pay ratio calculated in accordance with the SEC disclosure rules, but we believe it is helpful in fully evaluating the ratio of Mr. Isom’s annual total compensation to the median of the annual total compensation of all American Airlines employees.</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Determining the Median Employee</w:t>
      </w:r>
    </w:p>
    <w:p>
      <w:pPr>
        <w:spacing w:after="0" w:line="81" w:lineRule="exact"/>
        <w:rPr>
          <w:sz w:val="20"/>
          <w:szCs w:val="20"/>
          <w:color w:val="auto"/>
        </w:rPr>
      </w:pPr>
    </w:p>
    <w:p>
      <w:pPr>
        <w:ind w:left="220" w:right="120"/>
        <w:spacing w:after="0" w:line="275" w:lineRule="auto"/>
        <w:rPr>
          <w:sz w:val="20"/>
          <w:szCs w:val="20"/>
          <w:color w:val="auto"/>
        </w:rPr>
      </w:pPr>
      <w:r>
        <w:rPr>
          <w:rFonts w:ascii="Arial" w:cs="Arial" w:eastAsia="Arial" w:hAnsi="Arial"/>
          <w:sz w:val="16"/>
          <w:szCs w:val="16"/>
          <w:color w:val="435363"/>
        </w:rPr>
        <w:t>The Company chose December 31, 2023 as the date for establishing the employee population used in identifying the median employee and 2023 as the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186690</wp:posOffset>
            </wp:positionV>
            <wp:extent cx="5177155" cy="1682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3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74</w:t>
      </w:r>
    </w:p>
    <w:p>
      <w:pPr>
        <w:spacing w:after="0" w:line="3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right="160"/>
        <w:spacing w:after="0" w:line="262" w:lineRule="auto"/>
        <w:rPr>
          <w:sz w:val="20"/>
          <w:szCs w:val="20"/>
          <w:color w:val="auto"/>
        </w:rPr>
      </w:pPr>
      <w:r>
        <w:rPr>
          <w:rFonts w:ascii="Arial" w:cs="Arial" w:eastAsia="Arial" w:hAnsi="Arial"/>
          <w:sz w:val="15"/>
          <w:szCs w:val="15"/>
          <w:color w:val="435363"/>
        </w:rPr>
        <w:t>We captured all full-time, part-time and temporary employees located in the U.S. as of December 31, 2023 with nonzero W-2 earnings, including team members employed at our three wholly owned subsidiaries, consisting of 139,532 individuals. As permitted by SEC rules, under the 5% “de minimis” exemption, we excluded 6,487 non-U.S. employees. The jurisdictions in which we excluded employees and their employee populations were as follows: Antigua and Barbuda (26); Argentina (475); Aruba (38); Australia (7); Bahamas (148); Barbados (65); Belize (26); Bermuda (19); Brazil (509); Canada (478); Cayman Islands (1); Chile (201); China (29); Colombia (84); Costa Rica (74); Dominican Republic (443); Ecuador (11); El Salvador (35); France</w:t>
      </w:r>
    </w:p>
    <w:p>
      <w:pPr>
        <w:spacing w:after="0" w:line="1" w:lineRule="exact"/>
        <w:rPr>
          <w:sz w:val="20"/>
          <w:szCs w:val="20"/>
          <w:color w:val="auto"/>
        </w:rPr>
      </w:pPr>
    </w:p>
    <w:p>
      <w:pPr>
        <w:ind w:left="220" w:right="300"/>
        <w:spacing w:after="0" w:line="245" w:lineRule="auto"/>
        <w:rPr>
          <w:sz w:val="20"/>
          <w:szCs w:val="20"/>
          <w:color w:val="auto"/>
        </w:rPr>
      </w:pPr>
      <w:r>
        <w:rPr>
          <w:rFonts w:ascii="Arial" w:cs="Arial" w:eastAsia="Arial" w:hAnsi="Arial"/>
          <w:sz w:val="16"/>
          <w:szCs w:val="16"/>
          <w:color w:val="435363"/>
        </w:rPr>
        <w:t>(155); Germany (91); Greece (2); Grenada (30); Guatemala (46); Haiti (26); Honduras (46); Hong Kong (4); India (8); Ireland (61); Israel (6); Italy (24); Jamaica (95); Japan (57); Korea, Republic of (6); Mexico (1,160); Netherlands (12); Netherlands Antilles (4); Nicaragua (23); Peru (467); Portugal (7); Saint Kitts and Nevis (35); Sint Maarten (2); Spain (131); Switzerland (6); Trinidad and Tobago (445); Turks and Caicos Islands (1); United Kingdom (862); and Uruguay (6).</w:t>
      </w:r>
    </w:p>
    <w:p>
      <w:pPr>
        <w:spacing w:after="0" w:line="80" w:lineRule="exact"/>
        <w:rPr>
          <w:sz w:val="20"/>
          <w:szCs w:val="20"/>
          <w:color w:val="auto"/>
        </w:rPr>
      </w:pPr>
    </w:p>
    <w:p>
      <w:pPr>
        <w:ind w:left="220" w:right="20"/>
        <w:spacing w:after="0" w:line="250" w:lineRule="auto"/>
        <w:rPr>
          <w:sz w:val="20"/>
          <w:szCs w:val="20"/>
          <w:color w:val="auto"/>
        </w:rPr>
      </w:pPr>
      <w:r>
        <w:rPr>
          <w:rFonts w:ascii="Arial" w:cs="Arial" w:eastAsia="Arial" w:hAnsi="Arial"/>
          <w:sz w:val="16"/>
          <w:szCs w:val="16"/>
          <w:color w:val="435363"/>
        </w:rPr>
        <w:t>We identified the median team member using earnings as set forth in Box 5 of W-2 for 2023. We annualized earnings for permanent employees who worked less than the entire year. We selected the employee with earnings closest to the median after excluding seven employees closer to the median as they were either affiliated with a regional airline or had a pension, both of which we determined were not representative of the broader population. The annual total compensation of the median employee and the annual total compensation of the CEO were calculated in accordance with the requirements of Item 402(c)(2)(x) of Regulation S-K.</w:t>
      </w:r>
    </w:p>
    <w:p>
      <w:pPr>
        <w:spacing w:after="0" w:line="11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Pay Ratio Comparisons</w:t>
      </w:r>
    </w:p>
    <w:p>
      <w:pPr>
        <w:spacing w:after="0" w:line="67" w:lineRule="exact"/>
        <w:rPr>
          <w:sz w:val="20"/>
          <w:szCs w:val="20"/>
          <w:color w:val="auto"/>
        </w:rPr>
      </w:pPr>
    </w:p>
    <w:p>
      <w:pPr>
        <w:ind w:left="220" w:right="260"/>
        <w:spacing w:after="0" w:line="250" w:lineRule="auto"/>
        <w:rPr>
          <w:sz w:val="20"/>
          <w:szCs w:val="20"/>
          <w:color w:val="auto"/>
        </w:rPr>
      </w:pPr>
      <w:r>
        <w:rPr>
          <w:rFonts w:ascii="Arial" w:cs="Arial" w:eastAsia="Arial" w:hAnsi="Arial"/>
          <w:sz w:val="16"/>
          <w:szCs w:val="16"/>
          <w:color w:val="435363"/>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106680</wp:posOffset>
            </wp:positionV>
            <wp:extent cx="5177155" cy="1682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75</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Pay Versus Performance</w:t>
      </w:r>
    </w:p>
    <w:p>
      <w:pPr>
        <w:spacing w:after="0" w:line="90" w:lineRule="exact"/>
        <w:rPr>
          <w:sz w:val="20"/>
          <w:szCs w:val="20"/>
          <w:color w:val="auto"/>
        </w:rPr>
      </w:pPr>
    </w:p>
    <w:p>
      <w:pPr>
        <w:ind w:left="220" w:right="180"/>
        <w:spacing w:after="0" w:line="252" w:lineRule="auto"/>
        <w:rPr>
          <w:sz w:val="20"/>
          <w:szCs w:val="20"/>
          <w:color w:val="auto"/>
        </w:rPr>
      </w:pPr>
      <w:r>
        <w:rPr>
          <w:rFonts w:ascii="Arial" w:cs="Arial" w:eastAsia="Arial" w:hAnsi="Arial"/>
          <w:sz w:val="16"/>
          <w:szCs w:val="16"/>
          <w:color w:val="435363"/>
        </w:rPr>
        <w:t>In accordance with SEC rules, the table below sets forth additional information concerning the compensation of each individual who served as our Chief Executive Officer (“CEO”) and our other (“non-CEO”) named executive officers (“NEOs”) for each of the fiscal years ended December 31, 2023, 2022, 2021 and 2020, and our financial and total stockholder return (“TSR”) performance for each such fiscal year. Mr. Isom served as our CEO during 2023 and a part of 2022 and Mr. Parker served as our CEO during a part of 2022 and all of 2021 and 2020.</w:t>
      </w:r>
    </w:p>
    <w:p>
      <w:pPr>
        <w:spacing w:after="0" w:line="74" w:lineRule="exact"/>
        <w:rPr>
          <w:sz w:val="20"/>
          <w:szCs w:val="20"/>
          <w:color w:val="auto"/>
        </w:rPr>
      </w:pPr>
    </w:p>
    <w:p>
      <w:pPr>
        <w:ind w:left="220" w:right="360"/>
        <w:spacing w:after="0" w:line="252" w:lineRule="auto"/>
        <w:rPr>
          <w:sz w:val="20"/>
          <w:szCs w:val="20"/>
          <w:color w:val="auto"/>
        </w:rPr>
      </w:pPr>
      <w:r>
        <w:rPr>
          <w:rFonts w:ascii="Arial" w:cs="Arial" w:eastAsia="Arial" w:hAnsi="Arial"/>
          <w:sz w:val="16"/>
          <w:szCs w:val="16"/>
          <w:color w:val="435363"/>
        </w:rPr>
        <w:t>The COVID-19 pandemic was the most challenging time in our industry’s history. It resulted in drastic disruptions in global demand for air travel and a severe decline in our business. Despite these challenges, we remained consistent in our approach and philosophy that our executive compensation programs provide both fair pay and pay-for-performance and align with the interests of stockholders. In 2023, we produced exceptionally strong performance, including:</w:t>
      </w:r>
    </w:p>
    <w:p>
      <w:pPr>
        <w:spacing w:after="0" w:line="88" w:lineRule="exact"/>
        <w:rPr>
          <w:sz w:val="20"/>
          <w:szCs w:val="20"/>
          <w:color w:val="auto"/>
        </w:rPr>
      </w:pPr>
    </w:p>
    <w:p>
      <w:pPr>
        <w:ind w:left="760" w:hanging="324"/>
        <w:spacing w:after="0"/>
        <w:tabs>
          <w:tab w:leader="none" w:pos="760" w:val="left"/>
        </w:tabs>
        <w:numPr>
          <w:ilvl w:val="1"/>
          <w:numId w:val="61"/>
        </w:numPr>
        <w:rPr>
          <w:rFonts w:ascii="Arial" w:cs="Arial" w:eastAsia="Arial" w:hAnsi="Arial"/>
          <w:sz w:val="16"/>
          <w:szCs w:val="16"/>
          <w:color w:val="3575B3"/>
        </w:rPr>
      </w:pPr>
      <w:r>
        <w:rPr>
          <w:rFonts w:ascii="Arial" w:cs="Arial" w:eastAsia="Arial" w:hAnsi="Arial"/>
          <w:sz w:val="16"/>
          <w:szCs w:val="16"/>
          <w:color w:val="435363"/>
        </w:rPr>
        <w:t>Achieved record 2023 revenue of approximately $53 billion, an increase of more than $22 billion compared to 2021</w:t>
      </w:r>
    </w:p>
    <w:p>
      <w:pPr>
        <w:spacing w:after="0" w:line="80" w:lineRule="exact"/>
        <w:rPr>
          <w:rFonts w:ascii="Arial" w:cs="Arial" w:eastAsia="Arial" w:hAnsi="Arial"/>
          <w:sz w:val="16"/>
          <w:szCs w:val="16"/>
          <w:color w:val="3575B3"/>
        </w:rPr>
      </w:pPr>
    </w:p>
    <w:p>
      <w:pPr>
        <w:ind w:left="760" w:right="520" w:hanging="324"/>
        <w:spacing w:after="0" w:line="275" w:lineRule="auto"/>
        <w:tabs>
          <w:tab w:leader="none" w:pos="760" w:val="left"/>
        </w:tabs>
        <w:numPr>
          <w:ilvl w:val="1"/>
          <w:numId w:val="61"/>
        </w:numPr>
        <w:rPr>
          <w:rFonts w:ascii="Arial" w:cs="Arial" w:eastAsia="Arial" w:hAnsi="Arial"/>
          <w:sz w:val="16"/>
          <w:szCs w:val="16"/>
          <w:color w:val="3575B3"/>
        </w:rPr>
      </w:pPr>
      <w:r>
        <w:rPr>
          <w:rFonts w:ascii="Arial" w:cs="Arial" w:eastAsia="Arial" w:hAnsi="Arial"/>
          <w:sz w:val="16"/>
          <w:szCs w:val="16"/>
          <w:color w:val="435363"/>
        </w:rPr>
        <w:t>Reversed our GAAP pre-tax loss in 2021 of over $2.5 billion and produced GAAP pre-tax income of $186 million in 2022 and GAAP pre-tax income of more than $1.1 billion in 2023</w:t>
      </w:r>
    </w:p>
    <w:p>
      <w:pPr>
        <w:spacing w:after="0" w:line="28" w:lineRule="exact"/>
        <w:rPr>
          <w:rFonts w:ascii="Arial" w:cs="Arial" w:eastAsia="Arial" w:hAnsi="Arial"/>
          <w:sz w:val="16"/>
          <w:szCs w:val="16"/>
          <w:color w:val="3575B3"/>
        </w:rPr>
      </w:pPr>
    </w:p>
    <w:p>
      <w:pPr>
        <w:ind w:left="760" w:right="200" w:hanging="324"/>
        <w:spacing w:after="0" w:line="235" w:lineRule="auto"/>
        <w:tabs>
          <w:tab w:leader="none" w:pos="760" w:val="left"/>
        </w:tabs>
        <w:numPr>
          <w:ilvl w:val="1"/>
          <w:numId w:val="61"/>
        </w:numPr>
        <w:rPr>
          <w:rFonts w:ascii="Arial" w:cs="Arial" w:eastAsia="Arial" w:hAnsi="Arial"/>
          <w:sz w:val="16"/>
          <w:szCs w:val="16"/>
          <w:color w:val="3575B3"/>
        </w:rPr>
      </w:pPr>
      <w:r>
        <w:rPr>
          <w:rFonts w:ascii="Arial" w:cs="Arial" w:eastAsia="Arial" w:hAnsi="Arial"/>
          <w:sz w:val="16"/>
          <w:szCs w:val="16"/>
          <w:color w:val="435363"/>
        </w:rPr>
        <w:t>Excluding pre-tax net special items,</w:t>
      </w:r>
      <w:r>
        <w:rPr>
          <w:rFonts w:ascii="Arial" w:cs="Arial" w:eastAsia="Arial" w:hAnsi="Arial"/>
          <w:sz w:val="19"/>
          <w:szCs w:val="19"/>
          <w:color w:val="435363"/>
          <w:vertAlign w:val="superscript"/>
        </w:rPr>
        <w:t>(1)</w:t>
      </w:r>
      <w:r>
        <w:rPr>
          <w:rFonts w:ascii="Arial" w:cs="Arial" w:eastAsia="Arial" w:hAnsi="Arial"/>
          <w:sz w:val="16"/>
          <w:szCs w:val="16"/>
          <w:color w:val="435363"/>
        </w:rPr>
        <w:t xml:space="preserve"> reversed our pre-tax loss in 2021 of nearly $7 billion and produced pre-tax income of $458 million in 2022, and nearly $2.5 billion in 2023</w:t>
      </w:r>
    </w:p>
    <w:p>
      <w:pPr>
        <w:spacing w:after="0" w:line="202" w:lineRule="exact"/>
        <w:rPr>
          <w:rFonts w:ascii="Arial" w:cs="Arial" w:eastAsia="Arial" w:hAnsi="Arial"/>
          <w:sz w:val="16"/>
          <w:szCs w:val="16"/>
          <w:color w:val="3575B3"/>
        </w:rPr>
      </w:pPr>
    </w:p>
    <w:p>
      <w:pPr>
        <w:ind w:left="640" w:hanging="416"/>
        <w:spacing w:after="0"/>
        <w:tabs>
          <w:tab w:leader="none" w:pos="640" w:val="left"/>
        </w:tabs>
        <w:numPr>
          <w:ilvl w:val="0"/>
          <w:numId w:val="61"/>
        </w:numPr>
        <w:rPr>
          <w:rFonts w:ascii="Arial" w:cs="Arial" w:eastAsia="Arial" w:hAnsi="Arial"/>
          <w:sz w:val="15"/>
          <w:szCs w:val="15"/>
          <w:color w:val="435363"/>
          <w:vertAlign w:val="superscript"/>
        </w:rPr>
      </w:pPr>
      <w:r>
        <w:rPr>
          <w:rFonts w:ascii="Arial" w:cs="Arial" w:eastAsia="Arial" w:hAnsi="Arial"/>
          <w:sz w:val="12"/>
          <w:szCs w:val="12"/>
          <w:color w:val="435363"/>
        </w:rPr>
        <w:t>See Appendix B for details on the components of pre-tax net special items and for a reconciliation of pre-tax income (loss) excluding net special items, a non-GAAP measure.</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Pay Versus Performance Table</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40" w:type="dxa"/>
            <w:vAlign w:val="bottom"/>
            <w:gridSpan w:val="2"/>
          </w:tcPr>
          <w:p>
            <w:pPr>
              <w:jc w:val="right"/>
              <w:ind w:right="370"/>
              <w:spacing w:after="0"/>
              <w:rPr>
                <w:sz w:val="20"/>
                <w:szCs w:val="20"/>
                <w:color w:val="auto"/>
              </w:rPr>
            </w:pPr>
            <w:r>
              <w:rPr>
                <w:rFonts w:ascii="Arial" w:cs="Arial" w:eastAsia="Arial" w:hAnsi="Arial"/>
                <w:sz w:val="12"/>
                <w:szCs w:val="12"/>
                <w:b w:val="1"/>
                <w:bCs w:val="1"/>
                <w:color w:val="3575B3"/>
              </w:rPr>
              <w:t>Value of Initial Fixed $100</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Arial" w:cs="Arial" w:eastAsia="Arial" w:hAnsi="Arial"/>
                <w:sz w:val="12"/>
                <w:szCs w:val="12"/>
                <w:b w:val="1"/>
                <w:bCs w:val="1"/>
                <w:color w:val="3575B3"/>
              </w:rPr>
              <w:t>Average</w:t>
            </w:r>
          </w:p>
        </w:tc>
        <w:tc>
          <w:tcPr>
            <w:tcW w:w="1000" w:type="dxa"/>
            <w:vAlign w:val="bottom"/>
          </w:tcPr>
          <w:p>
            <w:pPr>
              <w:spacing w:after="0"/>
              <w:rPr>
                <w:sz w:val="13"/>
                <w:szCs w:val="13"/>
                <w:color w:val="auto"/>
              </w:rPr>
            </w:pPr>
          </w:p>
        </w:tc>
        <w:tc>
          <w:tcPr>
            <w:tcW w:w="2440" w:type="dxa"/>
            <w:vAlign w:val="bottom"/>
            <w:tcBorders>
              <w:bottom w:val="single" w:sz="8" w:color="BF0000"/>
            </w:tcBorders>
            <w:gridSpan w:val="2"/>
          </w:tcPr>
          <w:p>
            <w:pPr>
              <w:jc w:val="right"/>
              <w:ind w:right="470"/>
              <w:spacing w:after="0"/>
              <w:rPr>
                <w:sz w:val="20"/>
                <w:szCs w:val="20"/>
                <w:color w:val="auto"/>
              </w:rPr>
            </w:pPr>
            <w:r>
              <w:rPr>
                <w:rFonts w:ascii="Arial" w:cs="Arial" w:eastAsia="Arial" w:hAnsi="Arial"/>
                <w:sz w:val="12"/>
                <w:szCs w:val="12"/>
                <w:b w:val="1"/>
                <w:bCs w:val="1"/>
                <w:color w:val="3575B3"/>
              </w:rPr>
              <w:t>Investment Based on:</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Arial" w:cs="Arial" w:eastAsia="Arial" w:hAnsi="Arial"/>
                <w:sz w:val="12"/>
                <w:szCs w:val="12"/>
                <w:b w:val="1"/>
                <w:bCs w:val="1"/>
                <w:color w:val="3575B3"/>
              </w:rPr>
              <w:t>Summary</w:t>
            </w:r>
          </w:p>
        </w:tc>
        <w:tc>
          <w:tcPr>
            <w:tcW w:w="940" w:type="dxa"/>
            <w:vAlign w:val="bottom"/>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b w:val="1"/>
                <w:bCs w:val="1"/>
                <w:color w:val="3575B3"/>
              </w:rPr>
              <w:t>Summary</w:t>
            </w:r>
          </w:p>
        </w:tc>
        <w:tc>
          <w:tcPr>
            <w:tcW w:w="108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0" w:type="dxa"/>
            <w:vAlign w:val="bottom"/>
            <w:vMerge w:val="restart"/>
          </w:tcPr>
          <w:p>
            <w:pPr>
              <w:jc w:val="center"/>
              <w:spacing w:after="0"/>
              <w:rPr>
                <w:sz w:val="20"/>
                <w:szCs w:val="20"/>
                <w:color w:val="auto"/>
              </w:rPr>
            </w:pPr>
            <w:r>
              <w:rPr>
                <w:rFonts w:ascii="Arial" w:cs="Arial" w:eastAsia="Arial" w:hAnsi="Arial"/>
                <w:sz w:val="12"/>
                <w:szCs w:val="12"/>
                <w:b w:val="1"/>
                <w:bCs w:val="1"/>
                <w:color w:val="3575B3"/>
              </w:rPr>
              <w:t>Peer Group</w:t>
            </w:r>
          </w:p>
        </w:tc>
        <w:tc>
          <w:tcPr>
            <w:tcW w:w="760" w:type="dxa"/>
            <w:vAlign w:val="bottom"/>
            <w:vMerge w:val="restart"/>
          </w:tcPr>
          <w:p>
            <w:pPr>
              <w:jc w:val="center"/>
              <w:spacing w:after="0"/>
              <w:rPr>
                <w:sz w:val="20"/>
                <w:szCs w:val="20"/>
                <w:color w:val="auto"/>
              </w:rPr>
            </w:pPr>
            <w:r>
              <w:rPr>
                <w:rFonts w:ascii="Arial" w:cs="Arial" w:eastAsia="Arial" w:hAnsi="Arial"/>
                <w:sz w:val="12"/>
                <w:szCs w:val="12"/>
                <w:b w:val="1"/>
                <w:bCs w:val="1"/>
                <w:color w:val="3575B3"/>
              </w:rPr>
              <w:t>Net</w:t>
            </w: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340" w:type="dxa"/>
            <w:vAlign w:val="bottom"/>
          </w:tcPr>
          <w:p>
            <w:pPr>
              <w:jc w:val="center"/>
              <w:spacing w:after="0" w:line="124" w:lineRule="exact"/>
              <w:rPr>
                <w:sz w:val="20"/>
                <w:szCs w:val="20"/>
                <w:color w:val="auto"/>
              </w:rPr>
            </w:pPr>
            <w:r>
              <w:rPr>
                <w:rFonts w:ascii="Arial" w:cs="Arial" w:eastAsia="Arial" w:hAnsi="Arial"/>
                <w:sz w:val="12"/>
                <w:szCs w:val="12"/>
                <w:b w:val="1"/>
                <w:bCs w:val="1"/>
                <w:color w:val="3575B3"/>
              </w:rPr>
              <w:t>Summary</w:t>
            </w:r>
          </w:p>
        </w:tc>
        <w:tc>
          <w:tcPr>
            <w:tcW w:w="1000" w:type="dxa"/>
            <w:vAlign w:val="bottom"/>
            <w:vMerge w:val="restart"/>
          </w:tcPr>
          <w:p>
            <w:pPr>
              <w:jc w:val="center"/>
              <w:ind w:left="109"/>
              <w:spacing w:after="0"/>
              <w:rPr>
                <w:sz w:val="20"/>
                <w:szCs w:val="20"/>
                <w:color w:val="auto"/>
              </w:rPr>
            </w:pPr>
            <w:r>
              <w:rPr>
                <w:rFonts w:ascii="Arial" w:cs="Arial" w:eastAsia="Arial" w:hAnsi="Arial"/>
                <w:sz w:val="12"/>
                <w:szCs w:val="12"/>
                <w:b w:val="1"/>
                <w:bCs w:val="1"/>
                <w:color w:val="3575B3"/>
              </w:rPr>
              <w:t>Average</w:t>
            </w:r>
          </w:p>
        </w:tc>
        <w:tc>
          <w:tcPr>
            <w:tcW w:w="1240" w:type="dxa"/>
            <w:vAlign w:val="bottom"/>
            <w:vMerge w:val="restart"/>
          </w:tcPr>
          <w:p>
            <w:pPr>
              <w:jc w:val="center"/>
              <w:spacing w:after="0"/>
              <w:rPr>
                <w:sz w:val="20"/>
                <w:szCs w:val="20"/>
                <w:color w:val="auto"/>
              </w:rPr>
            </w:pPr>
            <w:r>
              <w:rPr>
                <w:rFonts w:ascii="Arial" w:cs="Arial" w:eastAsia="Arial" w:hAnsi="Arial"/>
                <w:sz w:val="12"/>
                <w:szCs w:val="12"/>
                <w:b w:val="1"/>
                <w:bCs w:val="1"/>
                <w:color w:val="3575B3"/>
              </w:rPr>
              <w:t>AAG Total</w:t>
            </w:r>
          </w:p>
        </w:tc>
        <w:tc>
          <w:tcPr>
            <w:tcW w:w="12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3575B3"/>
              </w:rPr>
              <w:t>Adjusted</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rPr>
              <w:t>Compensation</w:t>
            </w:r>
          </w:p>
        </w:tc>
        <w:tc>
          <w:tcPr>
            <w:tcW w:w="940" w:type="dxa"/>
            <w:vAlign w:val="bottom"/>
            <w:vMerge w:val="restart"/>
          </w:tcPr>
          <w:p>
            <w:pPr>
              <w:jc w:val="center"/>
              <w:ind w:right="8"/>
              <w:spacing w:after="0"/>
              <w:rPr>
                <w:sz w:val="20"/>
                <w:szCs w:val="20"/>
                <w:color w:val="auto"/>
              </w:rPr>
            </w:pPr>
            <w:r>
              <w:rPr>
                <w:rFonts w:ascii="Arial" w:cs="Arial" w:eastAsia="Arial" w:hAnsi="Arial"/>
                <w:sz w:val="12"/>
                <w:szCs w:val="12"/>
                <w:b w:val="1"/>
                <w:bCs w:val="1"/>
                <w:color w:val="3575B3"/>
              </w:rPr>
              <w:t>CAP:</w:t>
            </w:r>
          </w:p>
        </w:tc>
        <w:tc>
          <w:tcPr>
            <w:tcW w:w="1020" w:type="dxa"/>
            <w:vAlign w:val="bottom"/>
          </w:tcPr>
          <w:p>
            <w:pPr>
              <w:jc w:val="center"/>
              <w:ind w:right="10"/>
              <w:spacing w:after="0" w:line="133" w:lineRule="exact"/>
              <w:rPr>
                <w:sz w:val="20"/>
                <w:szCs w:val="20"/>
                <w:color w:val="auto"/>
              </w:rPr>
            </w:pPr>
            <w:r>
              <w:rPr>
                <w:rFonts w:ascii="Arial" w:cs="Arial" w:eastAsia="Arial" w:hAnsi="Arial"/>
                <w:sz w:val="12"/>
                <w:szCs w:val="12"/>
                <w:b w:val="1"/>
                <w:bCs w:val="1"/>
                <w:color w:val="3575B3"/>
              </w:rPr>
              <w:t>Compensation</w:t>
            </w:r>
          </w:p>
        </w:tc>
        <w:tc>
          <w:tcPr>
            <w:tcW w:w="1080" w:type="dxa"/>
            <w:vAlign w:val="bottom"/>
            <w:vMerge w:val="restart"/>
          </w:tcPr>
          <w:p>
            <w:pPr>
              <w:jc w:val="center"/>
              <w:ind w:right="188"/>
              <w:spacing w:after="0"/>
              <w:rPr>
                <w:sz w:val="20"/>
                <w:szCs w:val="20"/>
                <w:color w:val="auto"/>
              </w:rPr>
            </w:pPr>
            <w:r>
              <w:rPr>
                <w:rFonts w:ascii="Arial" w:cs="Arial" w:eastAsia="Arial" w:hAnsi="Arial"/>
                <w:sz w:val="12"/>
                <w:szCs w:val="12"/>
                <w:b w:val="1"/>
                <w:bCs w:val="1"/>
                <w:color w:val="3575B3"/>
              </w:rPr>
              <w:t>CAP:</w:t>
            </w:r>
          </w:p>
        </w:tc>
        <w:tc>
          <w:tcPr>
            <w:tcW w:w="134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rPr>
              <w:t>Compensation</w:t>
            </w:r>
          </w:p>
        </w:tc>
        <w:tc>
          <w:tcPr>
            <w:tcW w:w="100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w w:val="97"/>
              </w:rPr>
              <w:t>Total</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w w:val="99"/>
              </w:rPr>
              <w:t>Income</w:t>
            </w: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rPr>
              <w:t>Table Total:</w:t>
            </w:r>
          </w:p>
        </w:tc>
        <w:tc>
          <w:tcPr>
            <w:tcW w:w="940" w:type="dxa"/>
            <w:vAlign w:val="bottom"/>
            <w:vMerge w:val="continue"/>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rPr>
              <w:t>Table Total:</w:t>
            </w:r>
          </w:p>
        </w:tc>
        <w:tc>
          <w:tcPr>
            <w:tcW w:w="1080" w:type="dxa"/>
            <w:vAlign w:val="bottom"/>
            <w:vMerge w:val="continue"/>
          </w:tcPr>
          <w:p>
            <w:pPr>
              <w:spacing w:after="0"/>
              <w:rPr>
                <w:sz w:val="11"/>
                <w:szCs w:val="11"/>
                <w:color w:val="auto"/>
              </w:rPr>
            </w:pPr>
          </w:p>
        </w:tc>
        <w:tc>
          <w:tcPr>
            <w:tcW w:w="134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rPr>
              <w:t>Table Total for</w:t>
            </w:r>
          </w:p>
        </w:tc>
        <w:tc>
          <w:tcPr>
            <w:tcW w:w="1000" w:type="dxa"/>
            <w:vAlign w:val="bottom"/>
          </w:tcPr>
          <w:p>
            <w:pPr>
              <w:jc w:val="center"/>
              <w:ind w:left="109"/>
              <w:spacing w:after="0" w:line="133" w:lineRule="exact"/>
              <w:rPr>
                <w:sz w:val="20"/>
                <w:szCs w:val="20"/>
                <w:color w:val="auto"/>
              </w:rPr>
            </w:pPr>
            <w:r>
              <w:rPr>
                <w:rFonts w:ascii="Arial" w:cs="Arial" w:eastAsia="Arial" w:hAnsi="Arial"/>
                <w:sz w:val="12"/>
                <w:szCs w:val="12"/>
                <w:b w:val="1"/>
                <w:bCs w:val="1"/>
                <w:color w:val="3575B3"/>
              </w:rPr>
              <w:t>CAP:</w:t>
            </w:r>
          </w:p>
        </w:tc>
        <w:tc>
          <w:tcPr>
            <w:tcW w:w="124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rPr>
              <w:t>Stockholder</w:t>
            </w:r>
          </w:p>
        </w:tc>
        <w:tc>
          <w:tcPr>
            <w:tcW w:w="120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rPr>
              <w:t>Stockholder</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rPr>
              <w:t>(Loss)</w:t>
            </w:r>
          </w:p>
        </w:tc>
        <w:tc>
          <w:tcPr>
            <w:tcW w:w="68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w w:val="99"/>
              </w:rPr>
              <w:t>Pre-Tax</w:t>
            </w:r>
          </w:p>
        </w:tc>
        <w:tc>
          <w:tcPr>
            <w:tcW w:w="0" w:type="dxa"/>
            <w:vAlign w:val="bottom"/>
          </w:tcPr>
          <w:p>
            <w:pPr>
              <w:spacing w:after="0"/>
              <w:rPr>
                <w:sz w:val="1"/>
                <w:szCs w:val="1"/>
                <w:color w:val="auto"/>
              </w:rPr>
            </w:pPr>
          </w:p>
        </w:tc>
      </w:tr>
      <w:tr>
        <w:trPr>
          <w:trHeight w:val="132"/>
        </w:trPr>
        <w:tc>
          <w:tcPr>
            <w:tcW w:w="500" w:type="dxa"/>
            <w:vAlign w:val="bottom"/>
            <w:gridSpan w:val="2"/>
            <w:vMerge w:val="restart"/>
          </w:tcPr>
          <w:p>
            <w:pPr>
              <w:jc w:val="right"/>
              <w:ind w:right="161"/>
              <w:spacing w:after="0"/>
              <w:rPr>
                <w:sz w:val="20"/>
                <w:szCs w:val="20"/>
                <w:color w:val="auto"/>
              </w:rPr>
            </w:pPr>
            <w:r>
              <w:rPr>
                <w:rFonts w:ascii="Arial" w:cs="Arial" w:eastAsia="Arial" w:hAnsi="Arial"/>
                <w:sz w:val="12"/>
                <w:szCs w:val="12"/>
                <w:b w:val="1"/>
                <w:bCs w:val="1"/>
                <w:color w:val="3575B3"/>
                <w:w w:val="92"/>
              </w:rPr>
              <w:t>Year</w:t>
            </w:r>
          </w:p>
        </w:tc>
        <w:tc>
          <w:tcPr>
            <w:tcW w:w="106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rPr>
              <w:t>Mr. Isom</w:t>
            </w:r>
          </w:p>
        </w:tc>
        <w:tc>
          <w:tcPr>
            <w:tcW w:w="940" w:type="dxa"/>
            <w:vAlign w:val="bottom"/>
          </w:tcPr>
          <w:p>
            <w:pPr>
              <w:jc w:val="center"/>
              <w:ind w:right="8"/>
              <w:spacing w:after="0" w:line="133" w:lineRule="exact"/>
              <w:rPr>
                <w:sz w:val="20"/>
                <w:szCs w:val="20"/>
                <w:color w:val="auto"/>
              </w:rPr>
            </w:pPr>
            <w:r>
              <w:rPr>
                <w:rFonts w:ascii="Arial" w:cs="Arial" w:eastAsia="Arial" w:hAnsi="Arial"/>
                <w:sz w:val="12"/>
                <w:szCs w:val="12"/>
                <w:b w:val="1"/>
                <w:bCs w:val="1"/>
                <w:color w:val="3575B3"/>
              </w:rPr>
              <w:t>Mr. Isom</w:t>
            </w: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rPr>
              <w:t>Mr. Parker</w:t>
            </w:r>
          </w:p>
        </w:tc>
        <w:tc>
          <w:tcPr>
            <w:tcW w:w="1080" w:type="dxa"/>
            <w:vAlign w:val="bottom"/>
          </w:tcPr>
          <w:p>
            <w:pPr>
              <w:jc w:val="center"/>
              <w:ind w:right="168"/>
              <w:spacing w:after="0" w:line="133" w:lineRule="exact"/>
              <w:rPr>
                <w:sz w:val="20"/>
                <w:szCs w:val="20"/>
                <w:color w:val="auto"/>
              </w:rPr>
            </w:pPr>
            <w:r>
              <w:rPr>
                <w:rFonts w:ascii="Arial" w:cs="Arial" w:eastAsia="Arial" w:hAnsi="Arial"/>
                <w:sz w:val="12"/>
                <w:szCs w:val="12"/>
                <w:b w:val="1"/>
                <w:bCs w:val="1"/>
                <w:color w:val="3575B3"/>
              </w:rPr>
              <w:t>Mr. Parker</w:t>
            </w:r>
          </w:p>
        </w:tc>
        <w:tc>
          <w:tcPr>
            <w:tcW w:w="134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rPr>
              <w:t>Non-CEO</w:t>
            </w:r>
          </w:p>
        </w:tc>
        <w:tc>
          <w:tcPr>
            <w:tcW w:w="1000" w:type="dxa"/>
            <w:vAlign w:val="bottom"/>
          </w:tcPr>
          <w:p>
            <w:pPr>
              <w:jc w:val="center"/>
              <w:ind w:left="109"/>
              <w:spacing w:after="0" w:line="133" w:lineRule="exact"/>
              <w:rPr>
                <w:sz w:val="20"/>
                <w:szCs w:val="20"/>
                <w:color w:val="auto"/>
              </w:rPr>
            </w:pPr>
            <w:r>
              <w:rPr>
                <w:rFonts w:ascii="Arial" w:cs="Arial" w:eastAsia="Arial" w:hAnsi="Arial"/>
                <w:sz w:val="12"/>
                <w:szCs w:val="12"/>
                <w:b w:val="1"/>
                <w:bCs w:val="1"/>
                <w:color w:val="3575B3"/>
              </w:rPr>
              <w:t>Non-CEO</w:t>
            </w:r>
          </w:p>
        </w:tc>
        <w:tc>
          <w:tcPr>
            <w:tcW w:w="124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rPr>
              <w:t>Return</w:t>
            </w:r>
          </w:p>
        </w:tc>
        <w:tc>
          <w:tcPr>
            <w:tcW w:w="120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rPr>
              <w:t>Return</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rPr>
              <w:t>($) (in</w:t>
            </w:r>
          </w:p>
        </w:tc>
        <w:tc>
          <w:tcPr>
            <w:tcW w:w="680" w:type="dxa"/>
            <w:vAlign w:val="bottom"/>
          </w:tcPr>
          <w:p>
            <w:pPr>
              <w:jc w:val="center"/>
              <w:spacing w:after="0" w:line="133" w:lineRule="exact"/>
              <w:rPr>
                <w:sz w:val="20"/>
                <w:szCs w:val="20"/>
                <w:color w:val="auto"/>
              </w:rPr>
            </w:pPr>
            <w:r>
              <w:rPr>
                <w:rFonts w:ascii="Arial" w:cs="Arial" w:eastAsia="Arial" w:hAnsi="Arial"/>
                <w:sz w:val="12"/>
                <w:szCs w:val="12"/>
                <w:b w:val="1"/>
                <w:bCs w:val="1"/>
                <w:color w:val="3575B3"/>
              </w:rPr>
              <w:t>Margin</w:t>
            </w:r>
          </w:p>
        </w:tc>
        <w:tc>
          <w:tcPr>
            <w:tcW w:w="0" w:type="dxa"/>
            <w:vAlign w:val="bottom"/>
          </w:tcPr>
          <w:p>
            <w:pPr>
              <w:spacing w:after="0"/>
              <w:rPr>
                <w:sz w:val="1"/>
                <w:szCs w:val="1"/>
                <w:color w:val="auto"/>
              </w:rPr>
            </w:pPr>
          </w:p>
        </w:tc>
      </w:tr>
      <w:tr>
        <w:trPr>
          <w:trHeight w:val="159"/>
        </w:trPr>
        <w:tc>
          <w:tcPr>
            <w:tcW w:w="500" w:type="dxa"/>
            <w:vAlign w:val="bottom"/>
            <w:gridSpan w:val="2"/>
            <w:vMerge w:val="continue"/>
          </w:tcPr>
          <w:p>
            <w:pPr>
              <w:spacing w:after="0"/>
              <w:rPr>
                <w:sz w:val="13"/>
                <w:szCs w:val="13"/>
                <w:color w:val="auto"/>
              </w:rPr>
            </w:pPr>
          </w:p>
        </w:tc>
        <w:tc>
          <w:tcPr>
            <w:tcW w:w="1060" w:type="dxa"/>
            <w:vAlign w:val="bottom"/>
          </w:tcPr>
          <w:p>
            <w:pPr>
              <w:jc w:val="center"/>
              <w:spacing w:after="0" w:line="159" w:lineRule="exact"/>
              <w:rPr>
                <w:sz w:val="20"/>
                <w:szCs w:val="20"/>
                <w:color w:val="auto"/>
              </w:rPr>
            </w:pPr>
            <w:r>
              <w:rPr>
                <w:rFonts w:ascii="Arial" w:cs="Arial" w:eastAsia="Arial" w:hAnsi="Arial"/>
                <w:sz w:val="12"/>
                <w:szCs w:val="12"/>
                <w:b w:val="1"/>
                <w:bCs w:val="1"/>
                <w:color w:val="3575B3"/>
                <w:w w:val="89"/>
              </w:rPr>
              <w:t>($)</w:t>
            </w:r>
            <w:r>
              <w:rPr>
                <w:rFonts w:ascii="Arial" w:cs="Arial" w:eastAsia="Arial" w:hAnsi="Arial"/>
                <w:sz w:val="15"/>
                <w:szCs w:val="15"/>
                <w:b w:val="1"/>
                <w:bCs w:val="1"/>
                <w:color w:val="3575B3"/>
                <w:w w:val="89"/>
                <w:vertAlign w:val="superscript"/>
              </w:rPr>
              <w:t>(1)</w:t>
            </w:r>
          </w:p>
        </w:tc>
        <w:tc>
          <w:tcPr>
            <w:tcW w:w="940" w:type="dxa"/>
            <w:vAlign w:val="bottom"/>
          </w:tcPr>
          <w:p>
            <w:pPr>
              <w:jc w:val="center"/>
              <w:spacing w:after="0" w:line="159" w:lineRule="exact"/>
              <w:rPr>
                <w:sz w:val="20"/>
                <w:szCs w:val="20"/>
                <w:color w:val="auto"/>
              </w:rPr>
            </w:pPr>
            <w:r>
              <w:rPr>
                <w:rFonts w:ascii="Arial" w:cs="Arial" w:eastAsia="Arial" w:hAnsi="Arial"/>
                <w:sz w:val="12"/>
                <w:szCs w:val="12"/>
                <w:b w:val="1"/>
                <w:bCs w:val="1"/>
                <w:color w:val="3575B3"/>
                <w:w w:val="89"/>
              </w:rPr>
              <w:t>($)</w:t>
            </w:r>
            <w:r>
              <w:rPr>
                <w:rFonts w:ascii="Arial" w:cs="Arial" w:eastAsia="Arial" w:hAnsi="Arial"/>
                <w:sz w:val="15"/>
                <w:szCs w:val="15"/>
                <w:b w:val="1"/>
                <w:bCs w:val="1"/>
                <w:color w:val="3575B3"/>
                <w:w w:val="89"/>
                <w:vertAlign w:val="superscript"/>
              </w:rPr>
              <w:t>(2)</w:t>
            </w:r>
          </w:p>
        </w:tc>
        <w:tc>
          <w:tcPr>
            <w:tcW w:w="1020" w:type="dxa"/>
            <w:vAlign w:val="bottom"/>
          </w:tcPr>
          <w:p>
            <w:pPr>
              <w:jc w:val="center"/>
              <w:spacing w:after="0" w:line="159" w:lineRule="exact"/>
              <w:rPr>
                <w:sz w:val="20"/>
                <w:szCs w:val="20"/>
                <w:color w:val="auto"/>
              </w:rPr>
            </w:pPr>
            <w:r>
              <w:rPr>
                <w:rFonts w:ascii="Arial" w:cs="Arial" w:eastAsia="Arial" w:hAnsi="Arial"/>
                <w:sz w:val="12"/>
                <w:szCs w:val="12"/>
                <w:b w:val="1"/>
                <w:bCs w:val="1"/>
                <w:color w:val="3575B3"/>
                <w:w w:val="89"/>
              </w:rPr>
              <w:t>($)</w:t>
            </w:r>
            <w:r>
              <w:rPr>
                <w:rFonts w:ascii="Arial" w:cs="Arial" w:eastAsia="Arial" w:hAnsi="Arial"/>
                <w:sz w:val="15"/>
                <w:szCs w:val="15"/>
                <w:b w:val="1"/>
                <w:bCs w:val="1"/>
                <w:color w:val="3575B3"/>
                <w:w w:val="89"/>
                <w:vertAlign w:val="superscript"/>
              </w:rPr>
              <w:t>(1)</w:t>
            </w:r>
          </w:p>
        </w:tc>
        <w:tc>
          <w:tcPr>
            <w:tcW w:w="1080" w:type="dxa"/>
            <w:vAlign w:val="bottom"/>
          </w:tcPr>
          <w:p>
            <w:pPr>
              <w:jc w:val="center"/>
              <w:ind w:right="168"/>
              <w:spacing w:after="0" w:line="159" w:lineRule="exact"/>
              <w:rPr>
                <w:sz w:val="20"/>
                <w:szCs w:val="20"/>
                <w:color w:val="auto"/>
              </w:rPr>
            </w:pPr>
            <w:r>
              <w:rPr>
                <w:rFonts w:ascii="Arial" w:cs="Arial" w:eastAsia="Arial" w:hAnsi="Arial"/>
                <w:sz w:val="12"/>
                <w:szCs w:val="12"/>
                <w:b w:val="1"/>
                <w:bCs w:val="1"/>
                <w:color w:val="3575B3"/>
                <w:w w:val="89"/>
              </w:rPr>
              <w:t>($)</w:t>
            </w:r>
            <w:r>
              <w:rPr>
                <w:rFonts w:ascii="Arial" w:cs="Arial" w:eastAsia="Arial" w:hAnsi="Arial"/>
                <w:sz w:val="15"/>
                <w:szCs w:val="15"/>
                <w:b w:val="1"/>
                <w:bCs w:val="1"/>
                <w:color w:val="3575B3"/>
                <w:w w:val="89"/>
                <w:vertAlign w:val="superscript"/>
              </w:rPr>
              <w:t>(2)</w:t>
            </w:r>
          </w:p>
        </w:tc>
        <w:tc>
          <w:tcPr>
            <w:tcW w:w="1340" w:type="dxa"/>
            <w:vAlign w:val="bottom"/>
          </w:tcPr>
          <w:p>
            <w:pPr>
              <w:jc w:val="center"/>
              <w:spacing w:after="0" w:line="159" w:lineRule="exact"/>
              <w:rPr>
                <w:sz w:val="20"/>
                <w:szCs w:val="20"/>
                <w:color w:val="auto"/>
              </w:rPr>
            </w:pPr>
            <w:r>
              <w:rPr>
                <w:rFonts w:ascii="Arial" w:cs="Arial" w:eastAsia="Arial" w:hAnsi="Arial"/>
                <w:sz w:val="12"/>
                <w:szCs w:val="12"/>
                <w:b w:val="1"/>
                <w:bCs w:val="1"/>
                <w:color w:val="3575B3"/>
                <w:w w:val="98"/>
              </w:rPr>
              <w:t>NEOs ($)</w:t>
            </w:r>
            <w:r>
              <w:rPr>
                <w:rFonts w:ascii="Arial" w:cs="Arial" w:eastAsia="Arial" w:hAnsi="Arial"/>
                <w:sz w:val="15"/>
                <w:szCs w:val="15"/>
                <w:b w:val="1"/>
                <w:bCs w:val="1"/>
                <w:color w:val="3575B3"/>
                <w:w w:val="98"/>
                <w:vertAlign w:val="superscript"/>
              </w:rPr>
              <w:t>(1)</w:t>
            </w:r>
          </w:p>
        </w:tc>
        <w:tc>
          <w:tcPr>
            <w:tcW w:w="1000" w:type="dxa"/>
            <w:vAlign w:val="bottom"/>
          </w:tcPr>
          <w:p>
            <w:pPr>
              <w:jc w:val="center"/>
              <w:ind w:left="109"/>
              <w:spacing w:after="0" w:line="159" w:lineRule="exact"/>
              <w:rPr>
                <w:sz w:val="20"/>
                <w:szCs w:val="20"/>
                <w:color w:val="auto"/>
              </w:rPr>
            </w:pPr>
            <w:r>
              <w:rPr>
                <w:rFonts w:ascii="Arial" w:cs="Arial" w:eastAsia="Arial" w:hAnsi="Arial"/>
                <w:sz w:val="12"/>
                <w:szCs w:val="12"/>
                <w:b w:val="1"/>
                <w:bCs w:val="1"/>
                <w:color w:val="3575B3"/>
                <w:w w:val="98"/>
              </w:rPr>
              <w:t>NEOs ($)</w:t>
            </w:r>
            <w:r>
              <w:rPr>
                <w:rFonts w:ascii="Arial" w:cs="Arial" w:eastAsia="Arial" w:hAnsi="Arial"/>
                <w:sz w:val="15"/>
                <w:szCs w:val="15"/>
                <w:b w:val="1"/>
                <w:bCs w:val="1"/>
                <w:color w:val="3575B3"/>
                <w:w w:val="98"/>
                <w:vertAlign w:val="superscript"/>
              </w:rPr>
              <w:t>(2)</w:t>
            </w:r>
          </w:p>
        </w:tc>
        <w:tc>
          <w:tcPr>
            <w:tcW w:w="1240" w:type="dxa"/>
            <w:vAlign w:val="bottom"/>
          </w:tcPr>
          <w:p>
            <w:pPr>
              <w:jc w:val="center"/>
              <w:spacing w:after="0" w:line="159" w:lineRule="exact"/>
              <w:rPr>
                <w:sz w:val="20"/>
                <w:szCs w:val="20"/>
                <w:color w:val="auto"/>
              </w:rPr>
            </w:pPr>
            <w:r>
              <w:rPr>
                <w:rFonts w:ascii="Arial" w:cs="Arial" w:eastAsia="Arial" w:hAnsi="Arial"/>
                <w:sz w:val="12"/>
                <w:szCs w:val="12"/>
                <w:b w:val="1"/>
                <w:bCs w:val="1"/>
                <w:color w:val="3575B3"/>
                <w:w w:val="89"/>
              </w:rPr>
              <w:t>($)</w:t>
            </w:r>
            <w:r>
              <w:rPr>
                <w:rFonts w:ascii="Arial" w:cs="Arial" w:eastAsia="Arial" w:hAnsi="Arial"/>
                <w:sz w:val="15"/>
                <w:szCs w:val="15"/>
                <w:b w:val="1"/>
                <w:bCs w:val="1"/>
                <w:color w:val="3575B3"/>
                <w:w w:val="89"/>
                <w:vertAlign w:val="superscript"/>
              </w:rPr>
              <w:t>(3)</w:t>
            </w:r>
          </w:p>
        </w:tc>
        <w:tc>
          <w:tcPr>
            <w:tcW w:w="1200" w:type="dxa"/>
            <w:vAlign w:val="bottom"/>
          </w:tcPr>
          <w:p>
            <w:pPr>
              <w:jc w:val="center"/>
              <w:spacing w:after="0" w:line="159" w:lineRule="exact"/>
              <w:rPr>
                <w:sz w:val="20"/>
                <w:szCs w:val="20"/>
                <w:color w:val="auto"/>
              </w:rPr>
            </w:pPr>
            <w:r>
              <w:rPr>
                <w:rFonts w:ascii="Arial" w:cs="Arial" w:eastAsia="Arial" w:hAnsi="Arial"/>
                <w:sz w:val="12"/>
                <w:szCs w:val="12"/>
                <w:b w:val="1"/>
                <w:bCs w:val="1"/>
                <w:color w:val="3575B3"/>
                <w:w w:val="89"/>
              </w:rPr>
              <w:t>($)</w:t>
            </w:r>
            <w:r>
              <w:rPr>
                <w:rFonts w:ascii="Arial" w:cs="Arial" w:eastAsia="Arial" w:hAnsi="Arial"/>
                <w:sz w:val="15"/>
                <w:szCs w:val="15"/>
                <w:b w:val="1"/>
                <w:bCs w:val="1"/>
                <w:color w:val="3575B3"/>
                <w:w w:val="89"/>
                <w:vertAlign w:val="superscript"/>
              </w:rPr>
              <w:t>(3)</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3575B3"/>
              </w:rPr>
              <w:t>millions)</w:t>
            </w:r>
          </w:p>
        </w:tc>
        <w:tc>
          <w:tcPr>
            <w:tcW w:w="680" w:type="dxa"/>
            <w:vAlign w:val="bottom"/>
          </w:tcPr>
          <w:p>
            <w:pPr>
              <w:jc w:val="center"/>
              <w:spacing w:after="0" w:line="159" w:lineRule="exact"/>
              <w:rPr>
                <w:sz w:val="20"/>
                <w:szCs w:val="20"/>
                <w:color w:val="auto"/>
              </w:rPr>
            </w:pPr>
            <w:r>
              <w:rPr>
                <w:rFonts w:ascii="Arial" w:cs="Arial" w:eastAsia="Arial" w:hAnsi="Arial"/>
                <w:sz w:val="18"/>
                <w:szCs w:val="18"/>
                <w:b w:val="1"/>
                <w:bCs w:val="1"/>
                <w:color w:val="3575B3"/>
                <w:vertAlign w:val="subscript"/>
              </w:rPr>
              <w:t>%</w:t>
            </w:r>
            <w:r>
              <w:rPr>
                <w:rFonts w:ascii="Arial" w:cs="Arial" w:eastAsia="Arial" w:hAnsi="Arial"/>
                <w:sz w:val="7"/>
                <w:szCs w:val="7"/>
                <w:b w:val="1"/>
                <w:bCs w:val="1"/>
                <w:color w:val="3575B3"/>
              </w:rPr>
              <w:t>(4)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80" w:type="dxa"/>
            <w:vAlign w:val="bottom"/>
            <w:tcBorders>
              <w:top w:val="single" w:sz="8" w:color="BF0000"/>
            </w:tcBorders>
          </w:tcPr>
          <w:p>
            <w:pPr>
              <w:jc w:val="right"/>
              <w:ind w:right="1"/>
              <w:spacing w:after="0" w:line="178" w:lineRule="exact"/>
              <w:rPr>
                <w:sz w:val="20"/>
                <w:szCs w:val="20"/>
                <w:color w:val="auto"/>
              </w:rPr>
            </w:pPr>
            <w:r>
              <w:rPr>
                <w:rFonts w:ascii="Arial" w:cs="Arial" w:eastAsia="Arial" w:hAnsi="Arial"/>
                <w:sz w:val="16"/>
                <w:szCs w:val="16"/>
                <w:color w:val="435363"/>
              </w:rPr>
              <w:t>2023</w:t>
            </w:r>
          </w:p>
        </w:tc>
        <w:tc>
          <w:tcPr>
            <w:tcW w:w="1060" w:type="dxa"/>
            <w:vAlign w:val="bottom"/>
            <w:tcBorders>
              <w:top w:val="single" w:sz="8" w:color="BF0000"/>
            </w:tcBorders>
          </w:tcPr>
          <w:p>
            <w:pPr>
              <w:jc w:val="right"/>
              <w:ind w:right="10"/>
              <w:spacing w:after="0" w:line="178" w:lineRule="exact"/>
              <w:rPr>
                <w:sz w:val="20"/>
                <w:szCs w:val="20"/>
                <w:color w:val="auto"/>
              </w:rPr>
            </w:pPr>
            <w:r>
              <w:rPr>
                <w:rFonts w:ascii="Arial" w:cs="Arial" w:eastAsia="Arial" w:hAnsi="Arial"/>
                <w:sz w:val="16"/>
                <w:szCs w:val="16"/>
                <w:color w:val="435363"/>
              </w:rPr>
              <w:t>31,438,162</w:t>
            </w:r>
          </w:p>
        </w:tc>
        <w:tc>
          <w:tcPr>
            <w:tcW w:w="940" w:type="dxa"/>
            <w:vAlign w:val="bottom"/>
            <w:tcBorders>
              <w:top w:val="single" w:sz="8" w:color="BF0000"/>
            </w:tcBorders>
          </w:tcPr>
          <w:p>
            <w:pPr>
              <w:jc w:val="right"/>
              <w:spacing w:after="0" w:line="178" w:lineRule="exact"/>
              <w:rPr>
                <w:sz w:val="20"/>
                <w:szCs w:val="20"/>
                <w:color w:val="auto"/>
              </w:rPr>
            </w:pPr>
            <w:r>
              <w:rPr>
                <w:rFonts w:ascii="Arial" w:cs="Arial" w:eastAsia="Arial" w:hAnsi="Arial"/>
                <w:sz w:val="16"/>
                <w:szCs w:val="16"/>
                <w:color w:val="435363"/>
              </w:rPr>
              <w:t>33,817,502</w:t>
            </w:r>
          </w:p>
        </w:tc>
        <w:tc>
          <w:tcPr>
            <w:tcW w:w="1020" w:type="dxa"/>
            <w:vAlign w:val="bottom"/>
            <w:tcBorders>
              <w:top w:val="single" w:sz="8" w:color="BF0000"/>
            </w:tcBorders>
          </w:tcPr>
          <w:p>
            <w:pPr>
              <w:jc w:val="right"/>
              <w:ind w:right="10"/>
              <w:spacing w:after="0" w:line="178" w:lineRule="exact"/>
              <w:rPr>
                <w:sz w:val="20"/>
                <w:szCs w:val="20"/>
                <w:color w:val="auto"/>
              </w:rPr>
            </w:pPr>
            <w:r>
              <w:rPr>
                <w:rFonts w:ascii="Arial" w:cs="Arial" w:eastAsia="Arial" w:hAnsi="Arial"/>
                <w:sz w:val="16"/>
                <w:szCs w:val="16"/>
                <w:color w:val="435363"/>
              </w:rPr>
              <w:t>-</w:t>
            </w:r>
          </w:p>
        </w:tc>
        <w:tc>
          <w:tcPr>
            <w:tcW w:w="1080" w:type="dxa"/>
            <w:vAlign w:val="bottom"/>
            <w:tcBorders>
              <w:top w:val="single" w:sz="8" w:color="BF0000"/>
            </w:tcBorders>
          </w:tcPr>
          <w:p>
            <w:pPr>
              <w:jc w:val="right"/>
              <w:ind w:right="208"/>
              <w:spacing w:after="0" w:line="178" w:lineRule="exact"/>
              <w:rPr>
                <w:sz w:val="20"/>
                <w:szCs w:val="20"/>
                <w:color w:val="auto"/>
              </w:rPr>
            </w:pPr>
            <w:r>
              <w:rPr>
                <w:rFonts w:ascii="Arial" w:cs="Arial" w:eastAsia="Arial" w:hAnsi="Arial"/>
                <w:sz w:val="16"/>
                <w:szCs w:val="16"/>
                <w:color w:val="435363"/>
              </w:rPr>
              <w:t>-</w:t>
            </w:r>
          </w:p>
        </w:tc>
        <w:tc>
          <w:tcPr>
            <w:tcW w:w="1340" w:type="dxa"/>
            <w:vAlign w:val="bottom"/>
            <w:tcBorders>
              <w:top w:val="single" w:sz="8" w:color="BF0000"/>
            </w:tcBorders>
          </w:tcPr>
          <w:p>
            <w:pPr>
              <w:jc w:val="right"/>
              <w:ind w:right="251"/>
              <w:spacing w:after="0" w:line="178" w:lineRule="exact"/>
              <w:rPr>
                <w:sz w:val="20"/>
                <w:szCs w:val="20"/>
                <w:color w:val="auto"/>
              </w:rPr>
            </w:pPr>
            <w:r>
              <w:rPr>
                <w:rFonts w:ascii="Arial" w:cs="Arial" w:eastAsia="Arial" w:hAnsi="Arial"/>
                <w:sz w:val="16"/>
                <w:szCs w:val="16"/>
                <w:color w:val="435363"/>
              </w:rPr>
              <w:t>9,530,121</w:t>
            </w:r>
          </w:p>
        </w:tc>
        <w:tc>
          <w:tcPr>
            <w:tcW w:w="1000" w:type="dxa"/>
            <w:vAlign w:val="bottom"/>
            <w:tcBorders>
              <w:top w:val="single" w:sz="8" w:color="BF0000"/>
            </w:tcBorders>
          </w:tcPr>
          <w:p>
            <w:pPr>
              <w:jc w:val="right"/>
              <w:spacing w:after="0" w:line="178" w:lineRule="exact"/>
              <w:rPr>
                <w:sz w:val="20"/>
                <w:szCs w:val="20"/>
                <w:color w:val="auto"/>
              </w:rPr>
            </w:pPr>
            <w:r>
              <w:rPr>
                <w:rFonts w:ascii="Arial" w:cs="Arial" w:eastAsia="Arial" w:hAnsi="Arial"/>
                <w:sz w:val="16"/>
                <w:szCs w:val="16"/>
                <w:color w:val="435363"/>
              </w:rPr>
              <w:t>9,827,888</w:t>
            </w:r>
          </w:p>
        </w:tc>
        <w:tc>
          <w:tcPr>
            <w:tcW w:w="1240" w:type="dxa"/>
            <w:vAlign w:val="bottom"/>
            <w:tcBorders>
              <w:top w:val="single" w:sz="8" w:color="BF0000"/>
            </w:tcBorders>
          </w:tcPr>
          <w:p>
            <w:pPr>
              <w:jc w:val="right"/>
              <w:ind w:right="291"/>
              <w:spacing w:after="0" w:line="178" w:lineRule="exact"/>
              <w:rPr>
                <w:sz w:val="20"/>
                <w:szCs w:val="20"/>
                <w:color w:val="auto"/>
              </w:rPr>
            </w:pPr>
            <w:r>
              <w:rPr>
                <w:rFonts w:ascii="Arial" w:cs="Arial" w:eastAsia="Arial" w:hAnsi="Arial"/>
                <w:sz w:val="16"/>
                <w:szCs w:val="16"/>
                <w:color w:val="435363"/>
              </w:rPr>
              <w:t>48.08</w:t>
            </w:r>
          </w:p>
        </w:tc>
        <w:tc>
          <w:tcPr>
            <w:tcW w:w="1200" w:type="dxa"/>
            <w:vAlign w:val="bottom"/>
            <w:tcBorders>
              <w:top w:val="single" w:sz="8" w:color="BF0000"/>
            </w:tcBorders>
          </w:tcPr>
          <w:p>
            <w:pPr>
              <w:jc w:val="right"/>
              <w:ind w:right="270"/>
              <w:spacing w:after="0" w:line="178" w:lineRule="exact"/>
              <w:rPr>
                <w:sz w:val="20"/>
                <w:szCs w:val="20"/>
                <w:color w:val="auto"/>
              </w:rPr>
            </w:pPr>
            <w:r>
              <w:rPr>
                <w:rFonts w:ascii="Arial" w:cs="Arial" w:eastAsia="Arial" w:hAnsi="Arial"/>
                <w:sz w:val="16"/>
                <w:szCs w:val="16"/>
                <w:color w:val="435363"/>
              </w:rPr>
              <w:t>61.60</w:t>
            </w:r>
          </w:p>
        </w:tc>
        <w:tc>
          <w:tcPr>
            <w:tcW w:w="760" w:type="dxa"/>
            <w:vAlign w:val="bottom"/>
            <w:tcBorders>
              <w:top w:val="single" w:sz="8" w:color="BF0000"/>
            </w:tcBorders>
          </w:tcPr>
          <w:p>
            <w:pPr>
              <w:jc w:val="right"/>
              <w:ind w:right="70"/>
              <w:spacing w:after="0" w:line="178" w:lineRule="exact"/>
              <w:rPr>
                <w:sz w:val="20"/>
                <w:szCs w:val="20"/>
                <w:color w:val="auto"/>
              </w:rPr>
            </w:pPr>
            <w:r>
              <w:rPr>
                <w:rFonts w:ascii="Arial" w:cs="Arial" w:eastAsia="Arial" w:hAnsi="Arial"/>
                <w:sz w:val="16"/>
                <w:szCs w:val="16"/>
                <w:color w:val="435363"/>
              </w:rPr>
              <w:t>822</w:t>
            </w:r>
          </w:p>
        </w:tc>
        <w:tc>
          <w:tcPr>
            <w:tcW w:w="680" w:type="dxa"/>
            <w:vAlign w:val="bottom"/>
            <w:tcBorders>
              <w:top w:val="single" w:sz="8" w:color="BF0000"/>
            </w:tcBorders>
          </w:tcPr>
          <w:p>
            <w:pPr>
              <w:jc w:val="right"/>
              <w:ind w:right="13"/>
              <w:spacing w:after="0" w:line="178" w:lineRule="exact"/>
              <w:rPr>
                <w:sz w:val="20"/>
                <w:szCs w:val="20"/>
                <w:color w:val="auto"/>
              </w:rPr>
            </w:pPr>
            <w:r>
              <w:rPr>
                <w:rFonts w:ascii="Arial" w:cs="Arial" w:eastAsia="Arial" w:hAnsi="Arial"/>
                <w:sz w:val="16"/>
                <w:szCs w:val="16"/>
                <w:color w:val="435363"/>
              </w:rPr>
              <w:t>4.7%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 w:type="dxa"/>
            <w:vAlign w:val="bottom"/>
            <w:shd w:val="clear" w:color="auto" w:fill="EDEDED"/>
          </w:tcPr>
          <w:p>
            <w:pPr>
              <w:jc w:val="right"/>
              <w:ind w:right="1"/>
              <w:spacing w:after="0"/>
              <w:rPr>
                <w:sz w:val="20"/>
                <w:szCs w:val="20"/>
                <w:color w:val="auto"/>
              </w:rPr>
            </w:pPr>
            <w:r>
              <w:rPr>
                <w:rFonts w:ascii="Arial" w:cs="Arial" w:eastAsia="Arial" w:hAnsi="Arial"/>
                <w:sz w:val="16"/>
                <w:szCs w:val="16"/>
                <w:color w:val="435363"/>
              </w:rPr>
              <w:t>2022</w:t>
            </w:r>
          </w:p>
        </w:tc>
        <w:tc>
          <w:tcPr>
            <w:tcW w:w="1060" w:type="dxa"/>
            <w:vAlign w:val="bottom"/>
            <w:shd w:val="clear" w:color="auto" w:fill="EDEDED"/>
          </w:tcPr>
          <w:p>
            <w:pPr>
              <w:jc w:val="right"/>
              <w:ind w:right="10"/>
              <w:spacing w:after="0"/>
              <w:rPr>
                <w:sz w:val="20"/>
                <w:szCs w:val="20"/>
                <w:color w:val="auto"/>
              </w:rPr>
            </w:pPr>
            <w:r>
              <w:rPr>
                <w:rFonts w:ascii="Arial" w:cs="Arial" w:eastAsia="Arial" w:hAnsi="Arial"/>
                <w:sz w:val="16"/>
                <w:szCs w:val="16"/>
                <w:color w:val="435363"/>
              </w:rPr>
              <w:t>4,886,649</w:t>
            </w:r>
          </w:p>
        </w:tc>
        <w:tc>
          <w:tcPr>
            <w:tcW w:w="94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3,507,095</w:t>
            </w:r>
          </w:p>
        </w:tc>
        <w:tc>
          <w:tcPr>
            <w:tcW w:w="1020" w:type="dxa"/>
            <w:vAlign w:val="bottom"/>
            <w:shd w:val="clear" w:color="auto" w:fill="EDEDED"/>
          </w:tcPr>
          <w:p>
            <w:pPr>
              <w:jc w:val="right"/>
              <w:ind w:right="10"/>
              <w:spacing w:after="0"/>
              <w:rPr>
                <w:sz w:val="20"/>
                <w:szCs w:val="20"/>
                <w:color w:val="auto"/>
              </w:rPr>
            </w:pPr>
            <w:r>
              <w:rPr>
                <w:rFonts w:ascii="Arial" w:cs="Arial" w:eastAsia="Arial" w:hAnsi="Arial"/>
                <w:sz w:val="16"/>
                <w:szCs w:val="16"/>
                <w:color w:val="435363"/>
              </w:rPr>
              <w:t>6,537,694</w:t>
            </w:r>
          </w:p>
        </w:tc>
        <w:tc>
          <w:tcPr>
            <w:tcW w:w="1080" w:type="dxa"/>
            <w:vAlign w:val="bottom"/>
            <w:shd w:val="clear" w:color="auto" w:fill="EDEDED"/>
          </w:tcPr>
          <w:p>
            <w:pPr>
              <w:jc w:val="right"/>
              <w:ind w:right="208"/>
              <w:spacing w:after="0"/>
              <w:rPr>
                <w:sz w:val="20"/>
                <w:szCs w:val="20"/>
                <w:color w:val="auto"/>
              </w:rPr>
            </w:pPr>
            <w:r>
              <w:rPr>
                <w:rFonts w:ascii="Arial" w:cs="Arial" w:eastAsia="Arial" w:hAnsi="Arial"/>
                <w:sz w:val="16"/>
                <w:szCs w:val="16"/>
                <w:color w:val="435363"/>
              </w:rPr>
              <w:t>3,881,181</w:t>
            </w:r>
          </w:p>
        </w:tc>
        <w:tc>
          <w:tcPr>
            <w:tcW w:w="1340" w:type="dxa"/>
            <w:vAlign w:val="bottom"/>
            <w:shd w:val="clear" w:color="auto" w:fill="EDEDED"/>
          </w:tcPr>
          <w:p>
            <w:pPr>
              <w:jc w:val="right"/>
              <w:ind w:right="251"/>
              <w:spacing w:after="0"/>
              <w:rPr>
                <w:sz w:val="20"/>
                <w:szCs w:val="20"/>
                <w:color w:val="auto"/>
              </w:rPr>
            </w:pPr>
            <w:r>
              <w:rPr>
                <w:rFonts w:ascii="Arial" w:cs="Arial" w:eastAsia="Arial" w:hAnsi="Arial"/>
                <w:sz w:val="16"/>
                <w:szCs w:val="16"/>
                <w:color w:val="435363"/>
              </w:rPr>
              <w:t>3,400,714</w:t>
            </w:r>
          </w:p>
        </w:tc>
        <w:tc>
          <w:tcPr>
            <w:tcW w:w="100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2,422,634</w:t>
            </w:r>
          </w:p>
        </w:tc>
        <w:tc>
          <w:tcPr>
            <w:tcW w:w="1240" w:type="dxa"/>
            <w:vAlign w:val="bottom"/>
            <w:shd w:val="clear" w:color="auto" w:fill="EDEDED"/>
          </w:tcPr>
          <w:p>
            <w:pPr>
              <w:jc w:val="right"/>
              <w:ind w:right="291"/>
              <w:spacing w:after="0"/>
              <w:rPr>
                <w:sz w:val="20"/>
                <w:szCs w:val="20"/>
                <w:color w:val="auto"/>
              </w:rPr>
            </w:pPr>
            <w:r>
              <w:rPr>
                <w:rFonts w:ascii="Arial" w:cs="Arial" w:eastAsia="Arial" w:hAnsi="Arial"/>
                <w:sz w:val="16"/>
                <w:szCs w:val="16"/>
                <w:color w:val="435363"/>
              </w:rPr>
              <w:t>44.52</w:t>
            </w:r>
          </w:p>
        </w:tc>
        <w:tc>
          <w:tcPr>
            <w:tcW w:w="1200" w:type="dxa"/>
            <w:vAlign w:val="bottom"/>
            <w:shd w:val="clear" w:color="auto" w:fill="EDEDED"/>
          </w:tcPr>
          <w:p>
            <w:pPr>
              <w:jc w:val="right"/>
              <w:ind w:right="270"/>
              <w:spacing w:after="0"/>
              <w:rPr>
                <w:sz w:val="20"/>
                <w:szCs w:val="20"/>
                <w:color w:val="auto"/>
              </w:rPr>
            </w:pPr>
            <w:r>
              <w:rPr>
                <w:rFonts w:ascii="Arial" w:cs="Arial" w:eastAsia="Arial" w:hAnsi="Arial"/>
                <w:sz w:val="16"/>
                <w:szCs w:val="16"/>
                <w:color w:val="435363"/>
              </w:rPr>
              <w:t>48.04</w:t>
            </w:r>
          </w:p>
        </w:tc>
        <w:tc>
          <w:tcPr>
            <w:tcW w:w="760" w:type="dxa"/>
            <w:vAlign w:val="bottom"/>
            <w:shd w:val="clear" w:color="auto" w:fill="EDEDED"/>
          </w:tcPr>
          <w:p>
            <w:pPr>
              <w:jc w:val="right"/>
              <w:ind w:right="70"/>
              <w:spacing w:after="0"/>
              <w:rPr>
                <w:sz w:val="20"/>
                <w:szCs w:val="20"/>
                <w:color w:val="auto"/>
              </w:rPr>
            </w:pPr>
            <w:r>
              <w:rPr>
                <w:rFonts w:ascii="Arial" w:cs="Arial" w:eastAsia="Arial" w:hAnsi="Arial"/>
                <w:sz w:val="16"/>
                <w:szCs w:val="16"/>
                <w:color w:val="435363"/>
              </w:rPr>
              <w:t>127</w:t>
            </w:r>
          </w:p>
        </w:tc>
        <w:tc>
          <w:tcPr>
            <w:tcW w:w="680" w:type="dxa"/>
            <w:vAlign w:val="bottom"/>
            <w:shd w:val="clear" w:color="auto" w:fill="EDEDED"/>
          </w:tcPr>
          <w:p>
            <w:pPr>
              <w:jc w:val="right"/>
              <w:ind w:right="13"/>
              <w:spacing w:after="0"/>
              <w:rPr>
                <w:sz w:val="20"/>
                <w:szCs w:val="20"/>
                <w:color w:val="auto"/>
              </w:rPr>
            </w:pPr>
            <w:r>
              <w:rPr>
                <w:rFonts w:ascii="Arial" w:cs="Arial" w:eastAsia="Arial" w:hAnsi="Arial"/>
                <w:sz w:val="16"/>
                <w:szCs w:val="16"/>
                <w:color w:val="435363"/>
              </w:rPr>
              <w:t>0.9%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435363"/>
              </w:rPr>
              <w:t>2021</w:t>
            </w:r>
          </w:p>
        </w:tc>
        <w:tc>
          <w:tcPr>
            <w:tcW w:w="1060" w:type="dxa"/>
            <w:vAlign w:val="bottom"/>
          </w:tcPr>
          <w:p>
            <w:pPr>
              <w:jc w:val="right"/>
              <w:ind w:right="10"/>
              <w:spacing w:after="0"/>
              <w:rPr>
                <w:sz w:val="20"/>
                <w:szCs w:val="20"/>
                <w:color w:val="auto"/>
              </w:rPr>
            </w:pPr>
            <w:r>
              <w:rPr>
                <w:rFonts w:ascii="Arial" w:cs="Arial" w:eastAsia="Arial" w:hAnsi="Arial"/>
                <w:sz w:val="16"/>
                <w:szCs w:val="16"/>
                <w:color w:val="435363"/>
              </w:rPr>
              <w:t>-</w:t>
            </w:r>
          </w:p>
        </w:tc>
        <w:tc>
          <w:tcPr>
            <w:tcW w:w="940" w:type="dxa"/>
            <w:vAlign w:val="bottom"/>
          </w:tcPr>
          <w:p>
            <w:pPr>
              <w:jc w:val="right"/>
              <w:spacing w:after="0"/>
              <w:rPr>
                <w:sz w:val="20"/>
                <w:szCs w:val="20"/>
                <w:color w:val="auto"/>
              </w:rPr>
            </w:pPr>
            <w:r>
              <w:rPr>
                <w:rFonts w:ascii="Arial" w:cs="Arial" w:eastAsia="Arial" w:hAnsi="Arial"/>
                <w:sz w:val="16"/>
                <w:szCs w:val="16"/>
                <w:color w:val="435363"/>
              </w:rPr>
              <w:t>-</w:t>
            </w:r>
          </w:p>
        </w:tc>
        <w:tc>
          <w:tcPr>
            <w:tcW w:w="1020" w:type="dxa"/>
            <w:vAlign w:val="bottom"/>
          </w:tcPr>
          <w:p>
            <w:pPr>
              <w:jc w:val="right"/>
              <w:ind w:right="10"/>
              <w:spacing w:after="0"/>
              <w:rPr>
                <w:sz w:val="20"/>
                <w:szCs w:val="20"/>
                <w:color w:val="auto"/>
              </w:rPr>
            </w:pPr>
            <w:r>
              <w:rPr>
                <w:rFonts w:ascii="Arial" w:cs="Arial" w:eastAsia="Arial" w:hAnsi="Arial"/>
                <w:sz w:val="16"/>
                <w:szCs w:val="16"/>
                <w:color w:val="435363"/>
              </w:rPr>
              <w:t>7,238,011</w:t>
            </w:r>
          </w:p>
        </w:tc>
        <w:tc>
          <w:tcPr>
            <w:tcW w:w="1080" w:type="dxa"/>
            <w:vAlign w:val="bottom"/>
          </w:tcPr>
          <w:p>
            <w:pPr>
              <w:jc w:val="right"/>
              <w:ind w:right="208"/>
              <w:spacing w:after="0"/>
              <w:rPr>
                <w:sz w:val="20"/>
                <w:szCs w:val="20"/>
                <w:color w:val="auto"/>
              </w:rPr>
            </w:pPr>
            <w:r>
              <w:rPr>
                <w:rFonts w:ascii="Arial" w:cs="Arial" w:eastAsia="Arial" w:hAnsi="Arial"/>
                <w:sz w:val="16"/>
                <w:szCs w:val="16"/>
                <w:color w:val="435363"/>
              </w:rPr>
              <w:t>8,128,613</w:t>
            </w:r>
          </w:p>
        </w:tc>
        <w:tc>
          <w:tcPr>
            <w:tcW w:w="1340" w:type="dxa"/>
            <w:vAlign w:val="bottom"/>
          </w:tcPr>
          <w:p>
            <w:pPr>
              <w:jc w:val="right"/>
              <w:ind w:right="251"/>
              <w:spacing w:after="0"/>
              <w:rPr>
                <w:sz w:val="20"/>
                <w:szCs w:val="20"/>
                <w:color w:val="auto"/>
              </w:rPr>
            </w:pPr>
            <w:r>
              <w:rPr>
                <w:rFonts w:ascii="Arial" w:cs="Arial" w:eastAsia="Arial" w:hAnsi="Arial"/>
                <w:sz w:val="16"/>
                <w:szCs w:val="16"/>
                <w:color w:val="435363"/>
              </w:rPr>
              <w:t>3,892,813</w:t>
            </w:r>
          </w:p>
        </w:tc>
        <w:tc>
          <w:tcPr>
            <w:tcW w:w="1000" w:type="dxa"/>
            <w:vAlign w:val="bottom"/>
          </w:tcPr>
          <w:p>
            <w:pPr>
              <w:jc w:val="right"/>
              <w:spacing w:after="0"/>
              <w:rPr>
                <w:sz w:val="20"/>
                <w:szCs w:val="20"/>
                <w:color w:val="auto"/>
              </w:rPr>
            </w:pPr>
            <w:r>
              <w:rPr>
                <w:rFonts w:ascii="Arial" w:cs="Arial" w:eastAsia="Arial" w:hAnsi="Arial"/>
                <w:sz w:val="16"/>
                <w:szCs w:val="16"/>
                <w:color w:val="435363"/>
              </w:rPr>
              <w:t>4,197,060</w:t>
            </w:r>
          </w:p>
        </w:tc>
        <w:tc>
          <w:tcPr>
            <w:tcW w:w="1240" w:type="dxa"/>
            <w:vAlign w:val="bottom"/>
          </w:tcPr>
          <w:p>
            <w:pPr>
              <w:jc w:val="right"/>
              <w:ind w:right="291"/>
              <w:spacing w:after="0"/>
              <w:rPr>
                <w:sz w:val="20"/>
                <w:szCs w:val="20"/>
                <w:color w:val="auto"/>
              </w:rPr>
            </w:pPr>
            <w:r>
              <w:rPr>
                <w:rFonts w:ascii="Arial" w:cs="Arial" w:eastAsia="Arial" w:hAnsi="Arial"/>
                <w:sz w:val="16"/>
                <w:szCs w:val="16"/>
                <w:color w:val="435363"/>
              </w:rPr>
              <w:t>62.85</w:t>
            </w:r>
          </w:p>
        </w:tc>
        <w:tc>
          <w:tcPr>
            <w:tcW w:w="1200" w:type="dxa"/>
            <w:vAlign w:val="bottom"/>
          </w:tcPr>
          <w:p>
            <w:pPr>
              <w:jc w:val="right"/>
              <w:ind w:right="270"/>
              <w:spacing w:after="0"/>
              <w:rPr>
                <w:sz w:val="20"/>
                <w:szCs w:val="20"/>
                <w:color w:val="auto"/>
              </w:rPr>
            </w:pPr>
            <w:r>
              <w:rPr>
                <w:rFonts w:ascii="Arial" w:cs="Arial" w:eastAsia="Arial" w:hAnsi="Arial"/>
                <w:sz w:val="16"/>
                <w:szCs w:val="16"/>
                <w:color w:val="435363"/>
              </w:rPr>
              <w:t>74.23</w:t>
            </w:r>
          </w:p>
        </w:tc>
        <w:tc>
          <w:tcPr>
            <w:tcW w:w="760" w:type="dxa"/>
            <w:vAlign w:val="bottom"/>
          </w:tcPr>
          <w:p>
            <w:pPr>
              <w:jc w:val="right"/>
              <w:ind w:right="10"/>
              <w:spacing w:after="0"/>
              <w:rPr>
                <w:sz w:val="20"/>
                <w:szCs w:val="20"/>
                <w:color w:val="auto"/>
              </w:rPr>
            </w:pPr>
            <w:r>
              <w:rPr>
                <w:rFonts w:ascii="Arial" w:cs="Arial" w:eastAsia="Arial" w:hAnsi="Arial"/>
                <w:sz w:val="16"/>
                <w:szCs w:val="16"/>
                <w:color w:val="435363"/>
              </w:rPr>
              <w:t>(1,993)</w:t>
            </w:r>
          </w:p>
        </w:tc>
        <w:tc>
          <w:tcPr>
            <w:tcW w:w="680" w:type="dxa"/>
            <w:vAlign w:val="bottom"/>
          </w:tcPr>
          <w:p>
            <w:pPr>
              <w:jc w:val="right"/>
              <w:spacing w:after="0"/>
              <w:rPr>
                <w:sz w:val="20"/>
                <w:szCs w:val="20"/>
                <w:color w:val="auto"/>
              </w:rPr>
            </w:pPr>
            <w:r>
              <w:rPr>
                <w:rFonts w:ascii="Arial" w:cs="Arial" w:eastAsia="Arial" w:hAnsi="Arial"/>
                <w:sz w:val="16"/>
                <w:szCs w:val="16"/>
                <w:color w:val="435363"/>
              </w:rPr>
              <w:t>(23.2%)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 w:type="dxa"/>
            <w:vAlign w:val="bottom"/>
            <w:tcBorders>
              <w:bottom w:val="single" w:sz="8" w:color="435363"/>
            </w:tcBorders>
            <w:shd w:val="clear" w:color="auto" w:fill="EDEDED"/>
          </w:tcPr>
          <w:p>
            <w:pPr>
              <w:jc w:val="right"/>
              <w:ind w:right="1"/>
              <w:spacing w:after="0"/>
              <w:rPr>
                <w:sz w:val="20"/>
                <w:szCs w:val="20"/>
                <w:color w:val="auto"/>
              </w:rPr>
            </w:pPr>
            <w:r>
              <w:rPr>
                <w:rFonts w:ascii="Arial" w:cs="Arial" w:eastAsia="Arial" w:hAnsi="Arial"/>
                <w:sz w:val="16"/>
                <w:szCs w:val="16"/>
                <w:color w:val="435363"/>
              </w:rPr>
              <w:t>2020</w:t>
            </w:r>
          </w:p>
        </w:tc>
        <w:tc>
          <w:tcPr>
            <w:tcW w:w="1060" w:type="dxa"/>
            <w:vAlign w:val="bottom"/>
            <w:tcBorders>
              <w:bottom w:val="single" w:sz="8" w:color="435363"/>
            </w:tcBorders>
            <w:shd w:val="clear" w:color="auto" w:fill="EDEDED"/>
          </w:tcPr>
          <w:p>
            <w:pPr>
              <w:jc w:val="right"/>
              <w:ind w:right="10"/>
              <w:spacing w:after="0"/>
              <w:rPr>
                <w:sz w:val="20"/>
                <w:szCs w:val="20"/>
                <w:color w:val="auto"/>
              </w:rPr>
            </w:pPr>
            <w:r>
              <w:rPr>
                <w:rFonts w:ascii="Arial" w:cs="Arial" w:eastAsia="Arial" w:hAnsi="Arial"/>
                <w:sz w:val="16"/>
                <w:szCs w:val="16"/>
                <w:color w:val="435363"/>
              </w:rPr>
              <w:t>-</w:t>
            </w:r>
          </w:p>
        </w:tc>
        <w:tc>
          <w:tcPr>
            <w:tcW w:w="940" w:type="dxa"/>
            <w:vAlign w:val="bottom"/>
            <w:tcBorders>
              <w:bottom w:val="single" w:sz="8" w:color="435363"/>
            </w:tcBorders>
            <w:shd w:val="clear" w:color="auto" w:fill="EDEDED"/>
          </w:tcPr>
          <w:p>
            <w:pPr>
              <w:jc w:val="right"/>
              <w:spacing w:after="0"/>
              <w:rPr>
                <w:sz w:val="20"/>
                <w:szCs w:val="20"/>
                <w:color w:val="auto"/>
              </w:rPr>
            </w:pPr>
            <w:r>
              <w:rPr>
                <w:rFonts w:ascii="Arial" w:cs="Arial" w:eastAsia="Arial" w:hAnsi="Arial"/>
                <w:sz w:val="16"/>
                <w:szCs w:val="16"/>
                <w:color w:val="435363"/>
              </w:rPr>
              <w:t>-</w:t>
            </w:r>
          </w:p>
        </w:tc>
        <w:tc>
          <w:tcPr>
            <w:tcW w:w="1020" w:type="dxa"/>
            <w:vAlign w:val="bottom"/>
            <w:tcBorders>
              <w:bottom w:val="single" w:sz="8" w:color="435363"/>
            </w:tcBorders>
            <w:shd w:val="clear" w:color="auto" w:fill="EDEDED"/>
          </w:tcPr>
          <w:p>
            <w:pPr>
              <w:jc w:val="right"/>
              <w:ind w:right="10"/>
              <w:spacing w:after="0"/>
              <w:rPr>
                <w:sz w:val="20"/>
                <w:szCs w:val="20"/>
                <w:color w:val="auto"/>
              </w:rPr>
            </w:pPr>
            <w:r>
              <w:rPr>
                <w:rFonts w:ascii="Arial" w:cs="Arial" w:eastAsia="Arial" w:hAnsi="Arial"/>
                <w:sz w:val="16"/>
                <w:szCs w:val="16"/>
                <w:color w:val="435363"/>
              </w:rPr>
              <w:t>10,663,866</w:t>
            </w:r>
          </w:p>
        </w:tc>
        <w:tc>
          <w:tcPr>
            <w:tcW w:w="1080" w:type="dxa"/>
            <w:vAlign w:val="bottom"/>
            <w:tcBorders>
              <w:bottom w:val="single" w:sz="8" w:color="435363"/>
            </w:tcBorders>
            <w:shd w:val="clear" w:color="auto" w:fill="EDEDED"/>
          </w:tcPr>
          <w:p>
            <w:pPr>
              <w:jc w:val="right"/>
              <w:ind w:right="148"/>
              <w:spacing w:after="0"/>
              <w:rPr>
                <w:sz w:val="20"/>
                <w:szCs w:val="20"/>
                <w:color w:val="auto"/>
              </w:rPr>
            </w:pPr>
            <w:r>
              <w:rPr>
                <w:rFonts w:ascii="Arial" w:cs="Arial" w:eastAsia="Arial" w:hAnsi="Arial"/>
                <w:sz w:val="16"/>
                <w:szCs w:val="16"/>
                <w:color w:val="435363"/>
              </w:rPr>
              <w:t>(614,164)</w:t>
            </w:r>
          </w:p>
        </w:tc>
        <w:tc>
          <w:tcPr>
            <w:tcW w:w="1340" w:type="dxa"/>
            <w:vAlign w:val="bottom"/>
            <w:tcBorders>
              <w:bottom w:val="single" w:sz="8" w:color="435363"/>
            </w:tcBorders>
            <w:shd w:val="clear" w:color="auto" w:fill="EDEDED"/>
          </w:tcPr>
          <w:p>
            <w:pPr>
              <w:jc w:val="right"/>
              <w:ind w:right="251"/>
              <w:spacing w:after="0"/>
              <w:rPr>
                <w:sz w:val="20"/>
                <w:szCs w:val="20"/>
                <w:color w:val="auto"/>
              </w:rPr>
            </w:pPr>
            <w:r>
              <w:rPr>
                <w:rFonts w:ascii="Arial" w:cs="Arial" w:eastAsia="Arial" w:hAnsi="Arial"/>
                <w:sz w:val="16"/>
                <w:szCs w:val="16"/>
                <w:color w:val="435363"/>
              </w:rPr>
              <w:t>4,245,970</w:t>
            </w:r>
          </w:p>
        </w:tc>
        <w:tc>
          <w:tcPr>
            <w:tcW w:w="1000" w:type="dxa"/>
            <w:vAlign w:val="bottom"/>
            <w:tcBorders>
              <w:bottom w:val="single" w:sz="8" w:color="435363"/>
            </w:tcBorders>
            <w:shd w:val="clear" w:color="auto" w:fill="EDEDED"/>
          </w:tcPr>
          <w:p>
            <w:pPr>
              <w:jc w:val="right"/>
              <w:spacing w:after="0"/>
              <w:rPr>
                <w:sz w:val="20"/>
                <w:szCs w:val="20"/>
                <w:color w:val="auto"/>
              </w:rPr>
            </w:pPr>
            <w:r>
              <w:rPr>
                <w:rFonts w:ascii="Arial" w:cs="Arial" w:eastAsia="Arial" w:hAnsi="Arial"/>
                <w:sz w:val="16"/>
                <w:szCs w:val="16"/>
                <w:color w:val="435363"/>
              </w:rPr>
              <w:t>736,998</w:t>
            </w:r>
          </w:p>
        </w:tc>
        <w:tc>
          <w:tcPr>
            <w:tcW w:w="1240" w:type="dxa"/>
            <w:vAlign w:val="bottom"/>
            <w:tcBorders>
              <w:bottom w:val="single" w:sz="8" w:color="435363"/>
            </w:tcBorders>
            <w:shd w:val="clear" w:color="auto" w:fill="EDEDED"/>
          </w:tcPr>
          <w:p>
            <w:pPr>
              <w:jc w:val="right"/>
              <w:ind w:right="291"/>
              <w:spacing w:after="0"/>
              <w:rPr>
                <w:sz w:val="20"/>
                <w:szCs w:val="20"/>
                <w:color w:val="auto"/>
              </w:rPr>
            </w:pPr>
            <w:r>
              <w:rPr>
                <w:rFonts w:ascii="Arial" w:cs="Arial" w:eastAsia="Arial" w:hAnsi="Arial"/>
                <w:sz w:val="16"/>
                <w:szCs w:val="16"/>
                <w:color w:val="435363"/>
              </w:rPr>
              <w:t>55.19</w:t>
            </w:r>
          </w:p>
        </w:tc>
        <w:tc>
          <w:tcPr>
            <w:tcW w:w="1200" w:type="dxa"/>
            <w:vAlign w:val="bottom"/>
            <w:tcBorders>
              <w:bottom w:val="single" w:sz="8" w:color="435363"/>
            </w:tcBorders>
            <w:shd w:val="clear" w:color="auto" w:fill="EDEDED"/>
          </w:tcPr>
          <w:p>
            <w:pPr>
              <w:jc w:val="right"/>
              <w:ind w:right="270"/>
              <w:spacing w:after="0"/>
              <w:rPr>
                <w:sz w:val="20"/>
                <w:szCs w:val="20"/>
                <w:color w:val="auto"/>
              </w:rPr>
            </w:pPr>
            <w:r>
              <w:rPr>
                <w:rFonts w:ascii="Arial" w:cs="Arial" w:eastAsia="Arial" w:hAnsi="Arial"/>
                <w:sz w:val="16"/>
                <w:szCs w:val="16"/>
                <w:color w:val="435363"/>
              </w:rPr>
              <w:t>75.55</w:t>
            </w:r>
          </w:p>
        </w:tc>
        <w:tc>
          <w:tcPr>
            <w:tcW w:w="760" w:type="dxa"/>
            <w:vAlign w:val="bottom"/>
            <w:tcBorders>
              <w:bottom w:val="single" w:sz="8" w:color="435363"/>
            </w:tcBorders>
            <w:shd w:val="clear" w:color="auto" w:fill="EDEDED"/>
          </w:tcPr>
          <w:p>
            <w:pPr>
              <w:jc w:val="right"/>
              <w:ind w:right="10"/>
              <w:spacing w:after="0"/>
              <w:rPr>
                <w:sz w:val="20"/>
                <w:szCs w:val="20"/>
                <w:color w:val="auto"/>
              </w:rPr>
            </w:pPr>
            <w:r>
              <w:rPr>
                <w:rFonts w:ascii="Arial" w:cs="Arial" w:eastAsia="Arial" w:hAnsi="Arial"/>
                <w:sz w:val="16"/>
                <w:szCs w:val="16"/>
                <w:color w:val="435363"/>
              </w:rPr>
              <w:t>(8,885)</w:t>
            </w:r>
          </w:p>
        </w:tc>
        <w:tc>
          <w:tcPr>
            <w:tcW w:w="680" w:type="dxa"/>
            <w:vAlign w:val="bottom"/>
            <w:tcBorders>
              <w:bottom w:val="single" w:sz="8" w:color="435363"/>
            </w:tcBorders>
            <w:shd w:val="clear" w:color="auto" w:fill="EDEDED"/>
          </w:tcPr>
          <w:p>
            <w:pPr>
              <w:jc w:val="right"/>
              <w:spacing w:after="0"/>
              <w:rPr>
                <w:sz w:val="20"/>
                <w:szCs w:val="20"/>
                <w:color w:val="auto"/>
              </w:rPr>
            </w:pPr>
            <w:r>
              <w:rPr>
                <w:rFonts w:ascii="Arial" w:cs="Arial" w:eastAsia="Arial" w:hAnsi="Arial"/>
                <w:sz w:val="16"/>
                <w:szCs w:val="16"/>
                <w:color w:val="435363"/>
              </w:rPr>
              <w:t>(70.7%)</w:t>
            </w: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640" w:right="20" w:hanging="416"/>
        <w:spacing w:after="0" w:line="252" w:lineRule="auto"/>
        <w:tabs>
          <w:tab w:leader="none" w:pos="640" w:val="left"/>
        </w:tabs>
        <w:numPr>
          <w:ilvl w:val="0"/>
          <w:numId w:val="62"/>
        </w:numPr>
        <w:rPr>
          <w:rFonts w:ascii="Arial" w:cs="Arial" w:eastAsia="Arial" w:hAnsi="Arial"/>
          <w:sz w:val="12"/>
          <w:szCs w:val="12"/>
          <w:color w:val="435363"/>
        </w:rPr>
      </w:pPr>
      <w:r>
        <w:rPr>
          <w:rFonts w:ascii="Arial" w:cs="Arial" w:eastAsia="Arial" w:hAnsi="Arial"/>
          <w:sz w:val="12"/>
          <w:szCs w:val="12"/>
          <w:color w:val="435363"/>
        </w:rPr>
        <w:t>Amounts reported in these columns represent the total compensation as reported in the Summary Compensation Table for Messrs. Isom and Parker for each year where they served as CEO and the average of the total compensation as reported in the Summary Compensation Table for our remaining NEOs for the relevant fiscal year, which captures the individuals indicated in the table below for each fiscal year:</w:t>
      </w:r>
    </w:p>
    <w:p>
      <w:pPr>
        <w:spacing w:after="0" w:line="209" w:lineRule="exact"/>
        <w:rPr>
          <w:sz w:val="20"/>
          <w:szCs w:val="20"/>
          <w:color w:val="auto"/>
        </w:rPr>
      </w:pPr>
    </w:p>
    <w:tbl>
      <w:tblPr>
        <w:tblLayout w:type="fixed"/>
        <w:tblInd w:w="660" w:type="dxa"/>
        <w:tblCellMar>
          <w:top w:w="0" w:type="dxa"/>
          <w:left w:w="0" w:type="dxa"/>
          <w:bottom w:w="0" w:type="dxa"/>
          <w:right w:w="0" w:type="dxa"/>
        </w:tblCellMar>
      </w:tblPr>
      <w:tr>
        <w:trPr>
          <w:trHeight w:val="168"/>
        </w:trPr>
        <w:tc>
          <w:tcPr>
            <w:tcW w:w="780" w:type="dxa"/>
            <w:vAlign w:val="bottom"/>
            <w:tcBorders>
              <w:bottom w:val="single" w:sz="8" w:color="BF0000"/>
            </w:tcBorders>
            <w:gridSpan w:val="2"/>
          </w:tcPr>
          <w:p>
            <w:pPr>
              <w:spacing w:after="0"/>
              <w:rPr>
                <w:sz w:val="20"/>
                <w:szCs w:val="20"/>
                <w:color w:val="auto"/>
              </w:rPr>
            </w:pPr>
            <w:r>
              <w:rPr>
                <w:rFonts w:ascii="Arial" w:cs="Arial" w:eastAsia="Arial" w:hAnsi="Arial"/>
                <w:sz w:val="14"/>
                <w:szCs w:val="14"/>
                <w:b w:val="1"/>
                <w:bCs w:val="1"/>
                <w:color w:val="3575B3"/>
              </w:rPr>
              <w:t>  Year</w:t>
            </w:r>
          </w:p>
        </w:tc>
        <w:tc>
          <w:tcPr>
            <w:tcW w:w="2920" w:type="dxa"/>
            <w:vAlign w:val="bottom"/>
            <w:tcBorders>
              <w:bottom w:val="single" w:sz="8" w:color="BF0000"/>
            </w:tcBorders>
          </w:tcPr>
          <w:p>
            <w:pPr>
              <w:ind w:left="420"/>
              <w:spacing w:after="0"/>
              <w:rPr>
                <w:sz w:val="20"/>
                <w:szCs w:val="20"/>
                <w:color w:val="auto"/>
              </w:rPr>
            </w:pPr>
            <w:r>
              <w:rPr>
                <w:rFonts w:ascii="Arial" w:cs="Arial" w:eastAsia="Arial" w:hAnsi="Arial"/>
                <w:sz w:val="14"/>
                <w:szCs w:val="14"/>
                <w:b w:val="1"/>
                <w:bCs w:val="1"/>
                <w:color w:val="3575B3"/>
              </w:rPr>
              <w:t>CEO</w:t>
            </w:r>
          </w:p>
        </w:tc>
        <w:tc>
          <w:tcPr>
            <w:tcW w:w="6240" w:type="dxa"/>
            <w:vAlign w:val="bottom"/>
            <w:tcBorders>
              <w:bottom w:val="single" w:sz="8" w:color="BF0000"/>
            </w:tcBorders>
          </w:tcPr>
          <w:p>
            <w:pPr>
              <w:ind w:left="380"/>
              <w:spacing w:after="0"/>
              <w:rPr>
                <w:sz w:val="20"/>
                <w:szCs w:val="20"/>
                <w:color w:val="auto"/>
              </w:rPr>
            </w:pPr>
            <w:r>
              <w:rPr>
                <w:rFonts w:ascii="Arial" w:cs="Arial" w:eastAsia="Arial" w:hAnsi="Arial"/>
                <w:sz w:val="14"/>
                <w:szCs w:val="14"/>
                <w:b w:val="1"/>
                <w:bCs w:val="1"/>
                <w:color w:val="3575B3"/>
              </w:rPr>
              <w:t>Non-CEO NEOs</w:t>
            </w:r>
          </w:p>
        </w:tc>
        <w:tc>
          <w:tcPr>
            <w:tcW w:w="0" w:type="dxa"/>
            <w:vAlign w:val="bottom"/>
          </w:tcPr>
          <w:p>
            <w:pPr>
              <w:spacing w:after="0"/>
              <w:rPr>
                <w:sz w:val="1"/>
                <w:szCs w:val="1"/>
                <w:color w:val="auto"/>
              </w:rPr>
            </w:pPr>
          </w:p>
        </w:tc>
      </w:tr>
      <w:tr>
        <w:trPr>
          <w:trHeight w:val="203"/>
        </w:trPr>
        <w:tc>
          <w:tcPr>
            <w:tcW w:w="780" w:type="dxa"/>
            <w:vAlign w:val="bottom"/>
            <w:gridSpan w:val="2"/>
          </w:tcPr>
          <w:p>
            <w:pPr>
              <w:spacing w:after="0"/>
              <w:rPr>
                <w:sz w:val="20"/>
                <w:szCs w:val="20"/>
                <w:color w:val="auto"/>
              </w:rPr>
            </w:pPr>
            <w:r>
              <w:rPr>
                <w:rFonts w:ascii="Arial" w:cs="Arial" w:eastAsia="Arial" w:hAnsi="Arial"/>
                <w:sz w:val="16"/>
                <w:szCs w:val="16"/>
                <w:color w:val="435363"/>
              </w:rPr>
              <w:t>2023</w:t>
            </w:r>
          </w:p>
        </w:tc>
        <w:tc>
          <w:tcPr>
            <w:tcW w:w="2920" w:type="dxa"/>
            <w:vAlign w:val="bottom"/>
          </w:tcPr>
          <w:p>
            <w:pPr>
              <w:ind w:left="420"/>
              <w:spacing w:after="0"/>
              <w:rPr>
                <w:sz w:val="20"/>
                <w:szCs w:val="20"/>
                <w:color w:val="auto"/>
              </w:rPr>
            </w:pPr>
            <w:r>
              <w:rPr>
                <w:rFonts w:ascii="Arial" w:cs="Arial" w:eastAsia="Arial" w:hAnsi="Arial"/>
                <w:sz w:val="16"/>
                <w:szCs w:val="16"/>
                <w:color w:val="435363"/>
              </w:rPr>
              <w:t>Robert Isom</w:t>
            </w:r>
          </w:p>
        </w:tc>
        <w:tc>
          <w:tcPr>
            <w:tcW w:w="6240" w:type="dxa"/>
            <w:vAlign w:val="bottom"/>
          </w:tcPr>
          <w:p>
            <w:pPr>
              <w:ind w:left="380"/>
              <w:spacing w:after="0"/>
              <w:rPr>
                <w:sz w:val="20"/>
                <w:szCs w:val="20"/>
                <w:color w:val="auto"/>
              </w:rPr>
            </w:pPr>
            <w:r>
              <w:rPr>
                <w:rFonts w:ascii="Arial" w:cs="Arial" w:eastAsia="Arial" w:hAnsi="Arial"/>
                <w:sz w:val="16"/>
                <w:szCs w:val="16"/>
                <w:color w:val="435363"/>
              </w:rPr>
              <w:t>Steve Johnson, Priya Aiyar, Devon May and Vasu Raja</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760" w:type="dxa"/>
            <w:vAlign w:val="bottom"/>
            <w:tcBorders>
              <w:bottom w:val="single" w:sz="8" w:color="EDEDED"/>
            </w:tcBorders>
            <w:shd w:val="clear" w:color="auto" w:fill="EDEDED"/>
          </w:tcPr>
          <w:p>
            <w:pPr>
              <w:spacing w:after="0"/>
              <w:rPr>
                <w:sz w:val="20"/>
                <w:szCs w:val="20"/>
                <w:color w:val="auto"/>
              </w:rPr>
            </w:pPr>
            <w:r>
              <w:rPr>
                <w:rFonts w:ascii="Arial" w:cs="Arial" w:eastAsia="Arial" w:hAnsi="Arial"/>
                <w:sz w:val="16"/>
                <w:szCs w:val="16"/>
                <w:color w:val="435363"/>
              </w:rPr>
              <w:t>2022</w:t>
            </w:r>
          </w:p>
        </w:tc>
        <w:tc>
          <w:tcPr>
            <w:tcW w:w="2920" w:type="dxa"/>
            <w:vAlign w:val="bottom"/>
            <w:tcBorders>
              <w:bottom w:val="single" w:sz="8" w:color="EDEDED"/>
            </w:tcBorders>
            <w:shd w:val="clear" w:color="auto" w:fill="EDEDED"/>
          </w:tcPr>
          <w:p>
            <w:pPr>
              <w:ind w:left="420"/>
              <w:spacing w:after="0"/>
              <w:rPr>
                <w:sz w:val="20"/>
                <w:szCs w:val="20"/>
                <w:color w:val="auto"/>
              </w:rPr>
            </w:pPr>
            <w:r>
              <w:rPr>
                <w:rFonts w:ascii="Arial" w:cs="Arial" w:eastAsia="Arial" w:hAnsi="Arial"/>
                <w:sz w:val="16"/>
                <w:szCs w:val="16"/>
                <w:color w:val="435363"/>
              </w:rPr>
              <w:t>Robert Isom and Doug Parker</w:t>
            </w:r>
          </w:p>
        </w:tc>
        <w:tc>
          <w:tcPr>
            <w:tcW w:w="6240" w:type="dxa"/>
            <w:vAlign w:val="bottom"/>
            <w:tcBorders>
              <w:bottom w:val="single" w:sz="8" w:color="EDEDED"/>
            </w:tcBorders>
            <w:shd w:val="clear" w:color="auto" w:fill="EDEDED"/>
          </w:tcPr>
          <w:p>
            <w:pPr>
              <w:ind w:left="380"/>
              <w:spacing w:after="0"/>
              <w:rPr>
                <w:sz w:val="20"/>
                <w:szCs w:val="20"/>
                <w:color w:val="auto"/>
              </w:rPr>
            </w:pPr>
            <w:r>
              <w:rPr>
                <w:rFonts w:ascii="Arial" w:cs="Arial" w:eastAsia="Arial" w:hAnsi="Arial"/>
                <w:sz w:val="16"/>
                <w:szCs w:val="16"/>
                <w:color w:val="435363"/>
              </w:rPr>
              <w:t>Derek Kerr, Steve Johnson, Maya Leibman and David Seymour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6"/>
                <w:szCs w:val="16"/>
                <w:color w:val="435363"/>
              </w:rPr>
              <w:t>2021</w:t>
            </w:r>
          </w:p>
        </w:tc>
        <w:tc>
          <w:tcPr>
            <w:tcW w:w="2920" w:type="dxa"/>
            <w:vAlign w:val="bottom"/>
          </w:tcPr>
          <w:p>
            <w:pPr>
              <w:ind w:left="420"/>
              <w:spacing w:after="0"/>
              <w:rPr>
                <w:sz w:val="20"/>
                <w:szCs w:val="20"/>
                <w:color w:val="auto"/>
              </w:rPr>
            </w:pPr>
            <w:r>
              <w:rPr>
                <w:rFonts w:ascii="Arial" w:cs="Arial" w:eastAsia="Arial" w:hAnsi="Arial"/>
                <w:sz w:val="16"/>
                <w:szCs w:val="16"/>
                <w:color w:val="435363"/>
              </w:rPr>
              <w:t>Doug Parker</w:t>
            </w:r>
          </w:p>
        </w:tc>
        <w:tc>
          <w:tcPr>
            <w:tcW w:w="6240" w:type="dxa"/>
            <w:vAlign w:val="bottom"/>
          </w:tcPr>
          <w:p>
            <w:pPr>
              <w:ind w:left="380"/>
              <w:spacing w:after="0"/>
              <w:rPr>
                <w:sz w:val="20"/>
                <w:szCs w:val="20"/>
                <w:color w:val="auto"/>
              </w:rPr>
            </w:pPr>
            <w:r>
              <w:rPr>
                <w:rFonts w:ascii="Arial" w:cs="Arial" w:eastAsia="Arial" w:hAnsi="Arial"/>
                <w:sz w:val="16"/>
                <w:szCs w:val="16"/>
                <w:color w:val="435363"/>
              </w:rPr>
              <w:t>Robert Isom, Derek Kerr, Steve Johnson and Maya Leibman</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7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0" w:type="dxa"/>
            <w:vAlign w:val="bottom"/>
            <w:shd w:val="clear" w:color="auto" w:fill="EDEDED"/>
          </w:tcPr>
          <w:p>
            <w:pPr>
              <w:spacing w:after="0"/>
              <w:rPr>
                <w:sz w:val="20"/>
                <w:szCs w:val="20"/>
                <w:color w:val="auto"/>
              </w:rPr>
            </w:pPr>
            <w:r>
              <w:rPr>
                <w:rFonts w:ascii="Arial" w:cs="Arial" w:eastAsia="Arial" w:hAnsi="Arial"/>
                <w:sz w:val="16"/>
                <w:szCs w:val="16"/>
                <w:color w:val="435363"/>
              </w:rPr>
              <w:t>2020</w:t>
            </w:r>
          </w:p>
        </w:tc>
        <w:tc>
          <w:tcPr>
            <w:tcW w:w="2920" w:type="dxa"/>
            <w:vAlign w:val="bottom"/>
            <w:shd w:val="clear" w:color="auto" w:fill="EDEDED"/>
          </w:tcPr>
          <w:p>
            <w:pPr>
              <w:ind w:left="420"/>
              <w:spacing w:after="0"/>
              <w:rPr>
                <w:sz w:val="20"/>
                <w:szCs w:val="20"/>
                <w:color w:val="auto"/>
              </w:rPr>
            </w:pPr>
            <w:r>
              <w:rPr>
                <w:rFonts w:ascii="Arial" w:cs="Arial" w:eastAsia="Arial" w:hAnsi="Arial"/>
                <w:sz w:val="16"/>
                <w:szCs w:val="16"/>
                <w:color w:val="435363"/>
              </w:rPr>
              <w:t>Doug Parker</w:t>
            </w:r>
          </w:p>
        </w:tc>
        <w:tc>
          <w:tcPr>
            <w:tcW w:w="6240" w:type="dxa"/>
            <w:vAlign w:val="bottom"/>
            <w:shd w:val="clear" w:color="auto" w:fill="EDEDED"/>
          </w:tcPr>
          <w:p>
            <w:pPr>
              <w:ind w:left="380"/>
              <w:spacing w:after="0"/>
              <w:rPr>
                <w:sz w:val="20"/>
                <w:szCs w:val="20"/>
                <w:color w:val="auto"/>
              </w:rPr>
            </w:pPr>
            <w:r>
              <w:rPr>
                <w:rFonts w:ascii="Arial" w:cs="Arial" w:eastAsia="Arial" w:hAnsi="Arial"/>
                <w:sz w:val="16"/>
                <w:szCs w:val="16"/>
                <w:color w:val="435363"/>
              </w:rPr>
              <w:t>Robert Isom, Derek Kerr, Steve Johnson and Maya Leibman</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shd w:val="clear" w:color="auto" w:fill="EDEDED"/>
          </w:tcPr>
          <w:p>
            <w:pPr>
              <w:spacing w:after="0"/>
              <w:rPr>
                <w:sz w:val="3"/>
                <w:szCs w:val="3"/>
                <w:color w:val="auto"/>
              </w:rPr>
            </w:pPr>
          </w:p>
        </w:tc>
        <w:tc>
          <w:tcPr>
            <w:tcW w:w="2920" w:type="dxa"/>
            <w:vAlign w:val="bottom"/>
            <w:shd w:val="clear" w:color="auto" w:fill="EDEDED"/>
          </w:tcPr>
          <w:p>
            <w:pPr>
              <w:spacing w:after="0"/>
              <w:rPr>
                <w:sz w:val="3"/>
                <w:szCs w:val="3"/>
                <w:color w:val="auto"/>
              </w:rPr>
            </w:pPr>
          </w:p>
        </w:tc>
        <w:tc>
          <w:tcPr>
            <w:tcW w:w="6240" w:type="dxa"/>
            <w:vAlign w:val="bottom"/>
            <w:shd w:val="clear" w:color="auto" w:fill="EDEDED"/>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640" w:hanging="416"/>
        <w:spacing w:after="0"/>
        <w:tabs>
          <w:tab w:leader="none" w:pos="640" w:val="left"/>
        </w:tabs>
        <w:numPr>
          <w:ilvl w:val="0"/>
          <w:numId w:val="63"/>
        </w:numPr>
        <w:rPr>
          <w:rFonts w:ascii="Arial" w:cs="Arial" w:eastAsia="Arial" w:hAnsi="Arial"/>
          <w:sz w:val="12"/>
          <w:szCs w:val="12"/>
          <w:color w:val="435363"/>
        </w:rPr>
      </w:pPr>
      <w:r>
        <w:rPr>
          <w:rFonts w:ascii="Arial" w:cs="Arial" w:eastAsia="Arial" w:hAnsi="Arial"/>
          <w:sz w:val="12"/>
          <w:szCs w:val="12"/>
          <w:color w:val="435363"/>
        </w:rPr>
        <w:t>Compensation Actually Paid (“CAP”) to Mr. Isom and the remaining NEOs for 2023 reflects the following adjustments from total compensation reported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217805</wp:posOffset>
            </wp:positionV>
            <wp:extent cx="5177155" cy="1682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8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76</w:t>
      </w:r>
    </w:p>
    <w:p>
      <w:pPr>
        <w:spacing w:after="0" w:line="3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194"/>
        </w:trPr>
        <w:tc>
          <w:tcPr>
            <w:tcW w:w="7800" w:type="dxa"/>
            <w:vAlign w:val="bottom"/>
          </w:tcPr>
          <w:p>
            <w:pPr>
              <w:spacing w:after="0"/>
              <w:rPr>
                <w:sz w:val="16"/>
                <w:szCs w:val="16"/>
                <w:color w:val="auto"/>
              </w:rPr>
            </w:pPr>
          </w:p>
        </w:tc>
        <w:tc>
          <w:tcPr>
            <w:tcW w:w="1240" w:type="dxa"/>
            <w:vAlign w:val="bottom"/>
            <w:tcBorders>
              <w:bottom w:val="single" w:sz="8" w:color="BF0000"/>
            </w:tcBorders>
          </w:tcPr>
          <w:p>
            <w:pPr>
              <w:jc w:val="right"/>
              <w:spacing w:after="0"/>
              <w:rPr>
                <w:sz w:val="20"/>
                <w:szCs w:val="20"/>
                <w:color w:val="auto"/>
              </w:rPr>
            </w:pPr>
            <w:r>
              <w:rPr>
                <w:rFonts w:ascii="Arial" w:cs="Arial" w:eastAsia="Arial" w:hAnsi="Arial"/>
                <w:sz w:val="14"/>
                <w:szCs w:val="14"/>
                <w:b w:val="1"/>
                <w:bCs w:val="1"/>
                <w:color w:val="3575B3"/>
              </w:rPr>
              <w:t>2023</w:t>
            </w:r>
          </w:p>
        </w:tc>
        <w:tc>
          <w:tcPr>
            <w:tcW w:w="900" w:type="dxa"/>
            <w:vAlign w:val="bottom"/>
            <w:tcBorders>
              <w:bottom w:val="single" w:sz="8" w:color="BF0000"/>
            </w:tcBorders>
          </w:tcPr>
          <w:p>
            <w:pPr>
              <w:spacing w:after="0"/>
              <w:rPr>
                <w:sz w:val="16"/>
                <w:szCs w:val="16"/>
                <w:color w:val="auto"/>
              </w:rPr>
            </w:pPr>
          </w:p>
        </w:tc>
      </w:tr>
      <w:tr>
        <w:trPr>
          <w:trHeight w:val="165"/>
        </w:trPr>
        <w:tc>
          <w:tcPr>
            <w:tcW w:w="7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jc w:val="center"/>
              <w:ind w:right="81"/>
              <w:spacing w:after="0" w:line="165" w:lineRule="exact"/>
              <w:rPr>
                <w:sz w:val="20"/>
                <w:szCs w:val="20"/>
                <w:color w:val="auto"/>
              </w:rPr>
            </w:pPr>
            <w:r>
              <w:rPr>
                <w:rFonts w:ascii="Arial" w:cs="Arial" w:eastAsia="Arial" w:hAnsi="Arial"/>
                <w:sz w:val="16"/>
                <w:szCs w:val="16"/>
                <w:b w:val="1"/>
                <w:bCs w:val="1"/>
                <w:color w:val="3575B3"/>
                <w:w w:val="98"/>
              </w:rPr>
              <w:t>Average</w:t>
            </w:r>
          </w:p>
        </w:tc>
      </w:tr>
      <w:tr>
        <w:trPr>
          <w:trHeight w:val="185"/>
        </w:trPr>
        <w:tc>
          <w:tcPr>
            <w:tcW w:w="78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jc w:val="center"/>
              <w:ind w:right="81"/>
              <w:spacing w:after="0"/>
              <w:rPr>
                <w:sz w:val="20"/>
                <w:szCs w:val="20"/>
                <w:color w:val="auto"/>
              </w:rPr>
            </w:pPr>
            <w:r>
              <w:rPr>
                <w:rFonts w:ascii="Arial" w:cs="Arial" w:eastAsia="Arial" w:hAnsi="Arial"/>
                <w:sz w:val="16"/>
                <w:szCs w:val="16"/>
                <w:b w:val="1"/>
                <w:bCs w:val="1"/>
                <w:color w:val="3575B3"/>
                <w:w w:val="98"/>
              </w:rPr>
              <w:t>Non-CEO</w:t>
            </w:r>
          </w:p>
        </w:tc>
      </w:tr>
      <w:tr>
        <w:trPr>
          <w:trHeight w:val="213"/>
        </w:trPr>
        <w:tc>
          <w:tcPr>
            <w:tcW w:w="7800" w:type="dxa"/>
            <w:vAlign w:val="bottom"/>
            <w:tcBorders>
              <w:bottom w:val="single" w:sz="8" w:color="BF0000"/>
            </w:tcBorders>
          </w:tcPr>
          <w:p>
            <w:pPr>
              <w:spacing w:after="0"/>
              <w:rPr>
                <w:sz w:val="20"/>
                <w:szCs w:val="20"/>
                <w:color w:val="auto"/>
              </w:rPr>
            </w:pPr>
            <w:r>
              <w:rPr>
                <w:rFonts w:ascii="Arial" w:cs="Arial" w:eastAsia="Arial" w:hAnsi="Arial"/>
                <w:sz w:val="16"/>
                <w:szCs w:val="16"/>
                <w:b w:val="1"/>
                <w:bCs w:val="1"/>
                <w:color w:val="3575B3"/>
              </w:rPr>
              <w:t>  Adjustments</w:t>
            </w:r>
          </w:p>
        </w:tc>
        <w:tc>
          <w:tcPr>
            <w:tcW w:w="1240" w:type="dxa"/>
            <w:vAlign w:val="bottom"/>
            <w:tcBorders>
              <w:bottom w:val="single" w:sz="8" w:color="BF0000"/>
            </w:tcBorders>
          </w:tcPr>
          <w:p>
            <w:pPr>
              <w:jc w:val="right"/>
              <w:ind w:right="182"/>
              <w:spacing w:after="0"/>
              <w:rPr>
                <w:sz w:val="20"/>
                <w:szCs w:val="20"/>
                <w:color w:val="auto"/>
              </w:rPr>
            </w:pPr>
            <w:r>
              <w:rPr>
                <w:rFonts w:ascii="Arial" w:cs="Arial" w:eastAsia="Arial" w:hAnsi="Arial"/>
                <w:sz w:val="16"/>
                <w:szCs w:val="16"/>
                <w:b w:val="1"/>
                <w:bCs w:val="1"/>
                <w:color w:val="3575B3"/>
              </w:rPr>
              <w:t>Mr. Isom ($)</w:t>
            </w:r>
          </w:p>
        </w:tc>
        <w:tc>
          <w:tcPr>
            <w:tcW w:w="900" w:type="dxa"/>
            <w:vAlign w:val="bottom"/>
            <w:tcBorders>
              <w:bottom w:val="single" w:sz="8" w:color="BF0000"/>
            </w:tcBorders>
          </w:tcPr>
          <w:p>
            <w:pPr>
              <w:jc w:val="center"/>
              <w:ind w:right="81"/>
              <w:spacing w:after="0"/>
              <w:rPr>
                <w:sz w:val="20"/>
                <w:szCs w:val="20"/>
                <w:color w:val="auto"/>
              </w:rPr>
            </w:pPr>
            <w:r>
              <w:rPr>
                <w:rFonts w:ascii="Arial" w:cs="Arial" w:eastAsia="Arial" w:hAnsi="Arial"/>
                <w:sz w:val="16"/>
                <w:szCs w:val="16"/>
                <w:b w:val="1"/>
                <w:bCs w:val="1"/>
                <w:color w:val="3575B3"/>
                <w:w w:val="97"/>
              </w:rPr>
              <w:t>NEOs ($)</w:t>
            </w:r>
          </w:p>
        </w:tc>
      </w:tr>
      <w:tr>
        <w:trPr>
          <w:trHeight w:val="164"/>
        </w:trPr>
        <w:tc>
          <w:tcPr>
            <w:tcW w:w="7800" w:type="dxa"/>
            <w:vAlign w:val="bottom"/>
          </w:tcPr>
          <w:p>
            <w:pPr>
              <w:ind w:left="80"/>
              <w:spacing w:after="0" w:line="165" w:lineRule="exact"/>
              <w:rPr>
                <w:sz w:val="20"/>
                <w:szCs w:val="20"/>
                <w:color w:val="auto"/>
              </w:rPr>
            </w:pPr>
            <w:r>
              <w:rPr>
                <w:rFonts w:ascii="Arial" w:cs="Arial" w:eastAsia="Arial" w:hAnsi="Arial"/>
                <w:sz w:val="16"/>
                <w:szCs w:val="16"/>
                <w:color w:val="435363"/>
                <w:w w:val="98"/>
              </w:rPr>
              <w:t>Deduction for amounts reported under the “Stock Awards” column of Summary Compensation Table for Fiscal</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9"/>
        </w:trPr>
        <w:tc>
          <w:tcPr>
            <w:tcW w:w="7800" w:type="dxa"/>
            <w:vAlign w:val="bottom"/>
          </w:tcPr>
          <w:p>
            <w:pPr>
              <w:ind w:left="80"/>
              <w:spacing w:after="0"/>
              <w:rPr>
                <w:sz w:val="20"/>
                <w:szCs w:val="20"/>
                <w:color w:val="auto"/>
              </w:rPr>
            </w:pPr>
            <w:r>
              <w:rPr>
                <w:rFonts w:ascii="Arial" w:cs="Arial" w:eastAsia="Arial" w:hAnsi="Arial"/>
                <w:sz w:val="16"/>
                <w:szCs w:val="16"/>
                <w:color w:val="435363"/>
              </w:rPr>
              <w:t>Year 2023 (“FY23”)</w:t>
            </w:r>
          </w:p>
        </w:tc>
        <w:tc>
          <w:tcPr>
            <w:tcW w:w="1240" w:type="dxa"/>
            <w:vAlign w:val="bottom"/>
          </w:tcPr>
          <w:p>
            <w:pPr>
              <w:jc w:val="right"/>
              <w:ind w:right="102"/>
              <w:spacing w:after="0"/>
              <w:rPr>
                <w:sz w:val="20"/>
                <w:szCs w:val="20"/>
                <w:color w:val="auto"/>
              </w:rPr>
            </w:pPr>
            <w:r>
              <w:rPr>
                <w:rFonts w:ascii="Arial" w:cs="Arial" w:eastAsia="Arial" w:hAnsi="Arial"/>
                <w:sz w:val="16"/>
                <w:szCs w:val="16"/>
                <w:color w:val="435363"/>
              </w:rPr>
              <w:t>(19,500,000)</w:t>
            </w:r>
          </w:p>
        </w:tc>
        <w:tc>
          <w:tcPr>
            <w:tcW w:w="900" w:type="dxa"/>
            <w:vAlign w:val="bottom"/>
          </w:tcPr>
          <w:p>
            <w:pPr>
              <w:jc w:val="right"/>
              <w:spacing w:after="0"/>
              <w:rPr>
                <w:sz w:val="20"/>
                <w:szCs w:val="20"/>
                <w:color w:val="auto"/>
              </w:rPr>
            </w:pPr>
            <w:r>
              <w:rPr>
                <w:rFonts w:ascii="Arial" w:cs="Arial" w:eastAsia="Arial" w:hAnsi="Arial"/>
                <w:sz w:val="16"/>
                <w:szCs w:val="16"/>
                <w:color w:val="435363"/>
              </w:rPr>
              <w:t>(3,895,000)</w:t>
            </w:r>
          </w:p>
        </w:tc>
      </w:tr>
      <w:tr>
        <w:trPr>
          <w:trHeight w:val="185"/>
        </w:trPr>
        <w:tc>
          <w:tcPr>
            <w:tcW w:w="7800" w:type="dxa"/>
            <w:vAlign w:val="bottom"/>
            <w:shd w:val="clear" w:color="auto" w:fill="EDEDED"/>
          </w:tcPr>
          <w:p>
            <w:pPr>
              <w:ind w:left="80"/>
              <w:spacing w:after="0"/>
              <w:rPr>
                <w:sz w:val="20"/>
                <w:szCs w:val="20"/>
                <w:color w:val="auto"/>
              </w:rPr>
            </w:pPr>
            <w:r>
              <w:rPr>
                <w:rFonts w:ascii="Arial" w:cs="Arial" w:eastAsia="Arial" w:hAnsi="Arial"/>
                <w:sz w:val="16"/>
                <w:szCs w:val="16"/>
                <w:color w:val="435363"/>
              </w:rPr>
              <w:t>Year-end Fair Value of Equity Awards Granted in FY23</w:t>
            </w:r>
          </w:p>
        </w:tc>
        <w:tc>
          <w:tcPr>
            <w:tcW w:w="1240" w:type="dxa"/>
            <w:vAlign w:val="bottom"/>
            <w:shd w:val="clear" w:color="auto" w:fill="EDEDED"/>
          </w:tcPr>
          <w:p>
            <w:pPr>
              <w:jc w:val="right"/>
              <w:ind w:right="162"/>
              <w:spacing w:after="0"/>
              <w:rPr>
                <w:sz w:val="20"/>
                <w:szCs w:val="20"/>
                <w:color w:val="auto"/>
              </w:rPr>
            </w:pPr>
            <w:r>
              <w:rPr>
                <w:rFonts w:ascii="Arial" w:cs="Arial" w:eastAsia="Arial" w:hAnsi="Arial"/>
                <w:sz w:val="16"/>
                <w:szCs w:val="16"/>
                <w:color w:val="435363"/>
              </w:rPr>
              <w:t>20,515,276</w:t>
            </w:r>
          </w:p>
        </w:tc>
        <w:tc>
          <w:tcPr>
            <w:tcW w:w="90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435363"/>
              </w:rPr>
              <w:t>3,842,580</w:t>
            </w:r>
          </w:p>
        </w:tc>
      </w:tr>
      <w:tr>
        <w:trPr>
          <w:trHeight w:val="185"/>
        </w:trPr>
        <w:tc>
          <w:tcPr>
            <w:tcW w:w="7800" w:type="dxa"/>
            <w:vAlign w:val="bottom"/>
          </w:tcPr>
          <w:p>
            <w:pPr>
              <w:ind w:left="80"/>
              <w:spacing w:after="0"/>
              <w:rPr>
                <w:sz w:val="20"/>
                <w:szCs w:val="20"/>
                <w:color w:val="auto"/>
              </w:rPr>
            </w:pPr>
            <w:r>
              <w:rPr>
                <w:rFonts w:ascii="Arial" w:cs="Arial" w:eastAsia="Arial" w:hAnsi="Arial"/>
                <w:sz w:val="16"/>
                <w:szCs w:val="16"/>
                <w:color w:val="435363"/>
              </w:rPr>
              <w:t>Year over Year Change in Fair Value of Outstanding and Unvested Equity Awards Granted in Prior Years</w:t>
            </w:r>
          </w:p>
        </w:tc>
        <w:tc>
          <w:tcPr>
            <w:tcW w:w="1240" w:type="dxa"/>
            <w:vAlign w:val="bottom"/>
          </w:tcPr>
          <w:p>
            <w:pPr>
              <w:jc w:val="right"/>
              <w:ind w:right="162"/>
              <w:spacing w:after="0"/>
              <w:rPr>
                <w:sz w:val="20"/>
                <w:szCs w:val="20"/>
                <w:color w:val="auto"/>
              </w:rPr>
            </w:pPr>
            <w:r>
              <w:rPr>
                <w:rFonts w:ascii="Arial" w:cs="Arial" w:eastAsia="Arial" w:hAnsi="Arial"/>
                <w:sz w:val="16"/>
                <w:szCs w:val="16"/>
                <w:color w:val="435363"/>
              </w:rPr>
              <w:t>610,517</w:t>
            </w:r>
          </w:p>
        </w:tc>
        <w:tc>
          <w:tcPr>
            <w:tcW w:w="900" w:type="dxa"/>
            <w:vAlign w:val="bottom"/>
          </w:tcPr>
          <w:p>
            <w:pPr>
              <w:jc w:val="right"/>
              <w:ind w:right="41"/>
              <w:spacing w:after="0"/>
              <w:rPr>
                <w:sz w:val="20"/>
                <w:szCs w:val="20"/>
                <w:color w:val="auto"/>
              </w:rPr>
            </w:pPr>
            <w:r>
              <w:rPr>
                <w:rFonts w:ascii="Arial" w:cs="Arial" w:eastAsia="Arial" w:hAnsi="Arial"/>
                <w:sz w:val="16"/>
                <w:szCs w:val="16"/>
                <w:color w:val="435363"/>
              </w:rPr>
              <w:t>167,907</w:t>
            </w:r>
          </w:p>
        </w:tc>
      </w:tr>
      <w:tr>
        <w:trPr>
          <w:trHeight w:val="171"/>
        </w:trPr>
        <w:tc>
          <w:tcPr>
            <w:tcW w:w="7800" w:type="dxa"/>
            <w:vAlign w:val="bottom"/>
            <w:shd w:val="clear" w:color="auto" w:fill="EDEDED"/>
          </w:tcPr>
          <w:p>
            <w:pPr>
              <w:ind w:left="80"/>
              <w:spacing w:after="0" w:line="171" w:lineRule="exact"/>
              <w:rPr>
                <w:sz w:val="20"/>
                <w:szCs w:val="20"/>
                <w:color w:val="auto"/>
              </w:rPr>
            </w:pPr>
            <w:r>
              <w:rPr>
                <w:rFonts w:ascii="Arial" w:cs="Arial" w:eastAsia="Arial" w:hAnsi="Arial"/>
                <w:sz w:val="16"/>
                <w:szCs w:val="16"/>
                <w:color w:val="435363"/>
                <w:w w:val="99"/>
              </w:rPr>
              <w:t>Change in Fair Value of Equity Awards Granted in Prior Years that Vested in the FY23 based on change from</w:t>
            </w:r>
          </w:p>
        </w:tc>
        <w:tc>
          <w:tcPr>
            <w:tcW w:w="1240" w:type="dxa"/>
            <w:vAlign w:val="bottom"/>
            <w:shd w:val="clear" w:color="auto" w:fill="EDEDED"/>
          </w:tcPr>
          <w:p>
            <w:pPr>
              <w:spacing w:after="0"/>
              <w:rPr>
                <w:sz w:val="14"/>
                <w:szCs w:val="14"/>
                <w:color w:val="auto"/>
              </w:rPr>
            </w:pPr>
          </w:p>
        </w:tc>
        <w:tc>
          <w:tcPr>
            <w:tcW w:w="900" w:type="dxa"/>
            <w:vAlign w:val="bottom"/>
            <w:shd w:val="clear" w:color="auto" w:fill="EDEDED"/>
          </w:tcPr>
          <w:p>
            <w:pPr>
              <w:spacing w:after="0"/>
              <w:rPr>
                <w:sz w:val="14"/>
                <w:szCs w:val="14"/>
                <w:color w:val="auto"/>
              </w:rPr>
            </w:pPr>
          </w:p>
        </w:tc>
      </w:tr>
      <w:tr>
        <w:trPr>
          <w:trHeight w:val="199"/>
        </w:trPr>
        <w:tc>
          <w:tcPr>
            <w:tcW w:w="7800" w:type="dxa"/>
            <w:vAlign w:val="bottom"/>
            <w:shd w:val="clear" w:color="auto" w:fill="EDEDED"/>
          </w:tcPr>
          <w:p>
            <w:pPr>
              <w:ind w:left="80"/>
              <w:spacing w:after="0"/>
              <w:rPr>
                <w:sz w:val="20"/>
                <w:szCs w:val="20"/>
                <w:color w:val="auto"/>
              </w:rPr>
            </w:pPr>
            <w:r>
              <w:rPr>
                <w:rFonts w:ascii="Arial" w:cs="Arial" w:eastAsia="Arial" w:hAnsi="Arial"/>
                <w:sz w:val="16"/>
                <w:szCs w:val="16"/>
                <w:color w:val="435363"/>
              </w:rPr>
              <w:t>Prior Year-end to Vesting Date</w:t>
            </w:r>
          </w:p>
        </w:tc>
        <w:tc>
          <w:tcPr>
            <w:tcW w:w="1240" w:type="dxa"/>
            <w:vAlign w:val="bottom"/>
            <w:shd w:val="clear" w:color="auto" w:fill="EDEDED"/>
          </w:tcPr>
          <w:p>
            <w:pPr>
              <w:jc w:val="right"/>
              <w:ind w:right="162"/>
              <w:spacing w:after="0"/>
              <w:rPr>
                <w:sz w:val="20"/>
                <w:szCs w:val="20"/>
                <w:color w:val="auto"/>
              </w:rPr>
            </w:pPr>
            <w:r>
              <w:rPr>
                <w:rFonts w:ascii="Arial" w:cs="Arial" w:eastAsia="Arial" w:hAnsi="Arial"/>
                <w:sz w:val="16"/>
                <w:szCs w:val="16"/>
                <w:color w:val="435363"/>
              </w:rPr>
              <w:t>753,546</w:t>
            </w:r>
          </w:p>
        </w:tc>
        <w:tc>
          <w:tcPr>
            <w:tcW w:w="90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435363"/>
              </w:rPr>
              <w:t>182,279</w:t>
            </w:r>
          </w:p>
        </w:tc>
      </w:tr>
      <w:tr>
        <w:trPr>
          <w:trHeight w:val="185"/>
        </w:trPr>
        <w:tc>
          <w:tcPr>
            <w:tcW w:w="7800" w:type="dxa"/>
            <w:vAlign w:val="bottom"/>
            <w:tcBorders>
              <w:bottom w:val="single" w:sz="8" w:color="435363"/>
            </w:tcBorders>
          </w:tcPr>
          <w:p>
            <w:pPr>
              <w:ind w:left="80"/>
              <w:spacing w:after="0"/>
              <w:rPr>
                <w:sz w:val="20"/>
                <w:szCs w:val="20"/>
                <w:color w:val="auto"/>
              </w:rPr>
            </w:pPr>
            <w:r>
              <w:rPr>
                <w:rFonts w:ascii="Arial" w:cs="Arial" w:eastAsia="Arial" w:hAnsi="Arial"/>
                <w:sz w:val="16"/>
                <w:szCs w:val="16"/>
                <w:color w:val="435363"/>
              </w:rPr>
              <w:t>Total Adjustments</w:t>
            </w:r>
          </w:p>
        </w:tc>
        <w:tc>
          <w:tcPr>
            <w:tcW w:w="1240" w:type="dxa"/>
            <w:vAlign w:val="bottom"/>
            <w:tcBorders>
              <w:bottom w:val="single" w:sz="8" w:color="435363"/>
            </w:tcBorders>
          </w:tcPr>
          <w:p>
            <w:pPr>
              <w:jc w:val="right"/>
              <w:ind w:right="162"/>
              <w:spacing w:after="0"/>
              <w:rPr>
                <w:sz w:val="20"/>
                <w:szCs w:val="20"/>
                <w:color w:val="auto"/>
              </w:rPr>
            </w:pPr>
            <w:r>
              <w:rPr>
                <w:rFonts w:ascii="Arial" w:cs="Arial" w:eastAsia="Arial" w:hAnsi="Arial"/>
                <w:sz w:val="16"/>
                <w:szCs w:val="16"/>
                <w:color w:val="435363"/>
              </w:rPr>
              <w:t>2,379,339</w:t>
            </w:r>
          </w:p>
        </w:tc>
        <w:tc>
          <w:tcPr>
            <w:tcW w:w="900" w:type="dxa"/>
            <w:vAlign w:val="bottom"/>
            <w:tcBorders>
              <w:bottom w:val="single" w:sz="8" w:color="435363"/>
            </w:tcBorders>
          </w:tcPr>
          <w:p>
            <w:pPr>
              <w:jc w:val="right"/>
              <w:ind w:right="41"/>
              <w:spacing w:after="0"/>
              <w:rPr>
                <w:sz w:val="20"/>
                <w:szCs w:val="20"/>
                <w:color w:val="auto"/>
              </w:rPr>
            </w:pPr>
            <w:r>
              <w:rPr>
                <w:rFonts w:ascii="Arial" w:cs="Arial" w:eastAsia="Arial" w:hAnsi="Arial"/>
                <w:sz w:val="16"/>
                <w:szCs w:val="16"/>
                <w:color w:val="435363"/>
              </w:rPr>
              <w:t>297,766</w:t>
            </w:r>
          </w:p>
        </w:tc>
      </w:tr>
    </w:tbl>
    <w:p>
      <w:pPr>
        <w:spacing w:after="0" w:line="62" w:lineRule="exact"/>
        <w:rPr>
          <w:sz w:val="20"/>
          <w:szCs w:val="20"/>
          <w:color w:val="auto"/>
        </w:rPr>
      </w:pPr>
    </w:p>
    <w:p>
      <w:pPr>
        <w:ind w:left="640" w:right="140" w:hanging="416"/>
        <w:spacing w:after="0" w:line="245" w:lineRule="auto"/>
        <w:tabs>
          <w:tab w:leader="none" w:pos="640" w:val="left"/>
        </w:tabs>
        <w:numPr>
          <w:ilvl w:val="0"/>
          <w:numId w:val="64"/>
        </w:numPr>
        <w:rPr>
          <w:rFonts w:ascii="Arial" w:cs="Arial" w:eastAsia="Arial" w:hAnsi="Arial"/>
          <w:sz w:val="12"/>
          <w:szCs w:val="12"/>
          <w:color w:val="435363"/>
        </w:rPr>
      </w:pPr>
      <w:r>
        <w:rPr>
          <w:rFonts w:ascii="Arial" w:cs="Arial" w:eastAsia="Arial" w:hAnsi="Arial"/>
          <w:sz w:val="12"/>
          <w:szCs w:val="12"/>
          <w:color w:val="435363"/>
        </w:rPr>
        <w:t>Fair value or change in fair value, as applicable, of equity awards in the Compensation Actually Paid columns was determined by reference to (1) for time-based RSU awards, the closing price of a share of our Common Stock on the applicable year-end date(s) or, in the case of vesting dates, the closing price of a share of our Common Stock on the applicable vesting dates, and (2) for performance-based RSU awards, the same valuation methodology as time-based RSU awards except year-end values are multiplied by a factor reflecting achievement of the probable outcome of the applicable performance conditions as of the measurement date (which as of December 31, 2023 was 160% for the 2022 grants and 100% for the 2023 grants).</w:t>
      </w:r>
    </w:p>
    <w:p>
      <w:pPr>
        <w:spacing w:after="0" w:line="45" w:lineRule="exact"/>
        <w:rPr>
          <w:sz w:val="20"/>
          <w:szCs w:val="20"/>
          <w:color w:val="auto"/>
        </w:rPr>
      </w:pPr>
    </w:p>
    <w:p>
      <w:pPr>
        <w:ind w:left="640" w:right="480" w:hanging="416"/>
        <w:spacing w:after="0" w:line="274" w:lineRule="auto"/>
        <w:tabs>
          <w:tab w:leader="none" w:pos="640" w:val="left"/>
        </w:tabs>
        <w:numPr>
          <w:ilvl w:val="0"/>
          <w:numId w:val="65"/>
        </w:numPr>
        <w:rPr>
          <w:rFonts w:ascii="Arial" w:cs="Arial" w:eastAsia="Arial" w:hAnsi="Arial"/>
          <w:sz w:val="12"/>
          <w:szCs w:val="12"/>
          <w:color w:val="435363"/>
        </w:rPr>
      </w:pPr>
      <w:r>
        <w:rPr>
          <w:rFonts w:ascii="Arial" w:cs="Arial" w:eastAsia="Arial" w:hAnsi="Arial"/>
          <w:sz w:val="12"/>
          <w:szCs w:val="12"/>
          <w:color w:val="435363"/>
        </w:rPr>
        <w:t>Pursuant to the SEC rules, TSR reflects an initial investment of $100 on December 31, 2019, and that all dividends, if any, were reinvested. The Peer Group Total Stockholder Return represents the cumulative TSR of the ARCA Airline Index (the “Peer Group TSR”).</w:t>
      </w:r>
    </w:p>
    <w:p>
      <w:pPr>
        <w:spacing w:after="0" w:line="29" w:lineRule="exact"/>
        <w:rPr>
          <w:rFonts w:ascii="Arial" w:cs="Arial" w:eastAsia="Arial" w:hAnsi="Arial"/>
          <w:sz w:val="12"/>
          <w:szCs w:val="12"/>
          <w:color w:val="435363"/>
        </w:rPr>
      </w:pPr>
    </w:p>
    <w:p>
      <w:pPr>
        <w:ind w:left="640" w:hanging="416"/>
        <w:spacing w:after="0"/>
        <w:tabs>
          <w:tab w:leader="none" w:pos="640" w:val="left"/>
        </w:tabs>
        <w:numPr>
          <w:ilvl w:val="0"/>
          <w:numId w:val="65"/>
        </w:numPr>
        <w:rPr>
          <w:rFonts w:ascii="Arial" w:cs="Arial" w:eastAsia="Arial" w:hAnsi="Arial"/>
          <w:sz w:val="12"/>
          <w:szCs w:val="12"/>
          <w:color w:val="435363"/>
        </w:rPr>
      </w:pPr>
      <w:r>
        <w:rPr>
          <w:rFonts w:ascii="Arial" w:cs="Arial" w:eastAsia="Arial" w:hAnsi="Arial"/>
          <w:sz w:val="12"/>
          <w:szCs w:val="12"/>
          <w:color w:val="435363"/>
        </w:rPr>
        <w:t>Adjusted pre-tax margin is a non-GAAP measure and excludes net special items. See Appendix B for a reconciliation of pre-tax margin excluding net special items, a non-GAAP measure.</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Relationship Between Financial Performance Measures</w:t>
      </w:r>
    </w:p>
    <w:p>
      <w:pPr>
        <w:spacing w:after="0" w:line="107" w:lineRule="exact"/>
        <w:rPr>
          <w:sz w:val="20"/>
          <w:szCs w:val="20"/>
          <w:color w:val="auto"/>
        </w:rPr>
      </w:pPr>
    </w:p>
    <w:p>
      <w:pPr>
        <w:ind w:left="220" w:right="120"/>
        <w:spacing w:after="0" w:line="258" w:lineRule="auto"/>
        <w:rPr>
          <w:sz w:val="20"/>
          <w:szCs w:val="20"/>
          <w:color w:val="auto"/>
        </w:rPr>
      </w:pPr>
      <w:r>
        <w:rPr>
          <w:rFonts w:ascii="Arial" w:cs="Arial" w:eastAsia="Arial" w:hAnsi="Arial"/>
          <w:sz w:val="16"/>
          <w:szCs w:val="16"/>
          <w:color w:val="435363"/>
        </w:rPr>
        <w:t>The graphs below compare the compensation actually paid to our CEOs and the average of the compensation actually paid to our non-CEO named executive officers, with (i) our cumulative TSR, (ii) our Peer Group TSR, (iii) our net income (loss), and (iv) our adjusted pre-tax margin, in each case, for the fiscal years ended December 31, 2023, 2022, 2021 and 2020.</w:t>
      </w:r>
    </w:p>
    <w:p>
      <w:pPr>
        <w:spacing w:after="0" w:line="68" w:lineRule="exact"/>
        <w:rPr>
          <w:sz w:val="20"/>
          <w:szCs w:val="20"/>
          <w:color w:val="auto"/>
        </w:rPr>
      </w:pPr>
    </w:p>
    <w:p>
      <w:pPr>
        <w:ind w:left="220"/>
        <w:spacing w:after="0" w:line="245" w:lineRule="auto"/>
        <w:rPr>
          <w:sz w:val="20"/>
          <w:szCs w:val="20"/>
          <w:color w:val="auto"/>
        </w:rPr>
      </w:pPr>
      <w:r>
        <w:rPr>
          <w:rFonts w:ascii="Arial" w:cs="Arial" w:eastAsia="Arial" w:hAnsi="Arial"/>
          <w:sz w:val="16"/>
          <w:szCs w:val="16"/>
          <w:color w:val="435363"/>
        </w:rPr>
        <w:t>Given the emphasis in our executive compensation programs on long-term incentives tied to our stock price, the compensation actually paid to our named executive officers is generally strongly aligned with our stock price performance. For 2020, given the more significant decrease in our stock price, reflecting the severe decline in our business as a result of the COVID-19 pandemic, compensation actually paid is significantly lower than the reported Summary Compensation Table total compensation values, and the 2020 compensation actually paid to Mr. Parker was negative. With the improvement in our stock price in 2021, as we emerged from the pandemic, compensation actually paid also improved but then substantially decreased in 2022 in alignment with the decrease in our stock price. As discussed in the “Compensation Discussion and Analysis—Non-Recurring Compensation Elements Reported in 2023,” the compensation actually paid for 2023 is significantly higher than prior years because it includes for Ms. Aiyar and Messrs. Isom, Johnson and Raja one-time and promotion awards and for Ms. Aiyar and Messrs. May and Raja, non-recurring payments in April 2023 for services performed in prior years. Furthermore, for each named executive officer, the STIP payouts for both the 2022 and 2023 programs are reflected as compensation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110490</wp:posOffset>
            </wp:positionV>
            <wp:extent cx="5177155" cy="1682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77</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spacing w:after="0" w:line="268" w:lineRule="auto"/>
        <w:rPr>
          <w:sz w:val="20"/>
          <w:szCs w:val="20"/>
          <w:color w:val="auto"/>
        </w:rPr>
      </w:pPr>
      <w:r>
        <w:rPr>
          <w:rFonts w:ascii="Arial" w:cs="Arial" w:eastAsia="Arial" w:hAnsi="Arial"/>
          <w:sz w:val="15"/>
          <w:szCs w:val="15"/>
          <w:color w:val="435363"/>
        </w:rPr>
        <w:t>Outside of our stock price performance, we believe that adjusted pre-tax margin is the most important financial metric that ties our executives’ compensation to our performance. We have been able to significantly improve our adjusted pre-tax margin from 2020 through 2023. These financial outcomes, however, do not align as closely with our outcomes on compensation actually paid. Similarly, the improvement in our net income from 2020 through 2023 does not directly align with our outcomes on compensation actually paid. Compensation actually paid is less sensitive to these financial outcomes as a result of the emphasis in our executive compensation programs on long-term incentives and its stronger correlation to our stock price, which we expect will continue to have a much larger impact than these financial outcomes on compensation actually paid,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132080</wp:posOffset>
            </wp:positionV>
            <wp:extent cx="5437505" cy="48069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437505" cy="4806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78</w:t>
      </w:r>
    </w:p>
    <w:p>
      <w:pPr>
        <w:spacing w:after="0" w:line="33" w:lineRule="exact"/>
        <w:rPr>
          <w:sz w:val="20"/>
          <w:szCs w:val="20"/>
          <w:color w:val="auto"/>
        </w:rPr>
      </w:pPr>
    </w:p>
    <w:p>
      <w:pPr>
        <w:ind w:left="4920"/>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0720"/>
          </w:cols>
          <w:pgMar w:left="320" w:top="477" w:right="8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1180465</wp:posOffset>
            </wp:positionH>
            <wp:positionV relativeFrom="paragraph">
              <wp:posOffset>292735</wp:posOffset>
            </wp:positionV>
            <wp:extent cx="4790440" cy="20085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790440" cy="2008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Pay Versus Performance Tabular List</w:t>
      </w:r>
    </w:p>
    <w:p>
      <w:pPr>
        <w:spacing w:after="0" w:line="67" w:lineRule="exact"/>
        <w:rPr>
          <w:sz w:val="20"/>
          <w:szCs w:val="20"/>
          <w:color w:val="auto"/>
        </w:rPr>
      </w:pPr>
    </w:p>
    <w:p>
      <w:pPr>
        <w:ind w:left="220" w:right="140"/>
        <w:spacing w:after="0" w:line="275" w:lineRule="auto"/>
        <w:rPr>
          <w:sz w:val="20"/>
          <w:szCs w:val="20"/>
          <w:color w:val="auto"/>
        </w:rPr>
      </w:pPr>
      <w:r>
        <w:rPr>
          <w:rFonts w:ascii="Arial" w:cs="Arial" w:eastAsia="Arial" w:hAnsi="Arial"/>
          <w:sz w:val="16"/>
          <w:szCs w:val="16"/>
          <w:color w:val="435363"/>
        </w:rPr>
        <w:t>We believe the following performance measures represent the most important financial performance measures used by us to link compensation actually paid to our named executive officers for 2023:</w:t>
      </w:r>
    </w:p>
    <w:p>
      <w:pPr>
        <w:spacing w:after="0" w:line="28" w:lineRule="exact"/>
        <w:rPr>
          <w:sz w:val="20"/>
          <w:szCs w:val="20"/>
          <w:color w:val="auto"/>
        </w:rPr>
      </w:pPr>
    </w:p>
    <w:p>
      <w:pPr>
        <w:ind w:left="760" w:hanging="324"/>
        <w:spacing w:after="0"/>
        <w:tabs>
          <w:tab w:leader="none" w:pos="760" w:val="left"/>
        </w:tabs>
        <w:numPr>
          <w:ilvl w:val="0"/>
          <w:numId w:val="66"/>
        </w:numPr>
        <w:rPr>
          <w:rFonts w:ascii="Arial" w:cs="Arial" w:eastAsia="Arial" w:hAnsi="Arial"/>
          <w:sz w:val="16"/>
          <w:szCs w:val="16"/>
          <w:color w:val="3575B3"/>
        </w:rPr>
      </w:pPr>
      <w:r>
        <w:rPr>
          <w:rFonts w:ascii="Arial" w:cs="Arial" w:eastAsia="Arial" w:hAnsi="Arial"/>
          <w:sz w:val="16"/>
          <w:szCs w:val="16"/>
          <w:color w:val="435363"/>
        </w:rPr>
        <w:t>Stock price/total stockholder return;</w:t>
      </w:r>
    </w:p>
    <w:p>
      <w:pPr>
        <w:spacing w:after="0" w:line="80" w:lineRule="exact"/>
        <w:rPr>
          <w:rFonts w:ascii="Arial" w:cs="Arial" w:eastAsia="Arial" w:hAnsi="Arial"/>
          <w:sz w:val="16"/>
          <w:szCs w:val="16"/>
          <w:color w:val="3575B3"/>
        </w:rPr>
      </w:pPr>
    </w:p>
    <w:p>
      <w:pPr>
        <w:ind w:left="760" w:hanging="324"/>
        <w:spacing w:after="0"/>
        <w:tabs>
          <w:tab w:leader="none" w:pos="760" w:val="left"/>
        </w:tabs>
        <w:numPr>
          <w:ilvl w:val="0"/>
          <w:numId w:val="66"/>
        </w:numPr>
        <w:rPr>
          <w:rFonts w:ascii="Arial" w:cs="Arial" w:eastAsia="Arial" w:hAnsi="Arial"/>
          <w:sz w:val="16"/>
          <w:szCs w:val="16"/>
          <w:color w:val="3575B3"/>
        </w:rPr>
      </w:pPr>
      <w:r>
        <w:rPr>
          <w:rFonts w:ascii="Arial" w:cs="Arial" w:eastAsia="Arial" w:hAnsi="Arial"/>
          <w:sz w:val="16"/>
          <w:szCs w:val="16"/>
          <w:color w:val="435363"/>
        </w:rPr>
        <w:t>Adjusted pre-tax margin;</w:t>
      </w:r>
    </w:p>
    <w:p>
      <w:pPr>
        <w:spacing w:after="0" w:line="80" w:lineRule="exact"/>
        <w:rPr>
          <w:rFonts w:ascii="Arial" w:cs="Arial" w:eastAsia="Arial" w:hAnsi="Arial"/>
          <w:sz w:val="16"/>
          <w:szCs w:val="16"/>
          <w:color w:val="3575B3"/>
        </w:rPr>
      </w:pPr>
    </w:p>
    <w:p>
      <w:pPr>
        <w:ind w:left="760" w:hanging="324"/>
        <w:spacing w:after="0"/>
        <w:tabs>
          <w:tab w:leader="none" w:pos="760" w:val="left"/>
        </w:tabs>
        <w:numPr>
          <w:ilvl w:val="0"/>
          <w:numId w:val="66"/>
        </w:numPr>
        <w:rPr>
          <w:rFonts w:ascii="Arial" w:cs="Arial" w:eastAsia="Arial" w:hAnsi="Arial"/>
          <w:sz w:val="16"/>
          <w:szCs w:val="16"/>
          <w:color w:val="3575B3"/>
        </w:rPr>
      </w:pPr>
      <w:r>
        <w:rPr>
          <w:rFonts w:ascii="Arial" w:cs="Arial" w:eastAsia="Arial" w:hAnsi="Arial"/>
          <w:sz w:val="16"/>
          <w:szCs w:val="16"/>
          <w:color w:val="435363"/>
        </w:rPr>
        <w:t>Total debt reduction;</w:t>
      </w:r>
    </w:p>
    <w:p>
      <w:pPr>
        <w:spacing w:after="0" w:line="80" w:lineRule="exact"/>
        <w:rPr>
          <w:rFonts w:ascii="Arial" w:cs="Arial" w:eastAsia="Arial" w:hAnsi="Arial"/>
          <w:sz w:val="16"/>
          <w:szCs w:val="16"/>
          <w:color w:val="3575B3"/>
        </w:rPr>
      </w:pPr>
    </w:p>
    <w:p>
      <w:pPr>
        <w:ind w:left="760" w:hanging="324"/>
        <w:spacing w:after="0"/>
        <w:tabs>
          <w:tab w:leader="none" w:pos="760" w:val="left"/>
        </w:tabs>
        <w:numPr>
          <w:ilvl w:val="0"/>
          <w:numId w:val="66"/>
        </w:numPr>
        <w:rPr>
          <w:rFonts w:ascii="Arial" w:cs="Arial" w:eastAsia="Arial" w:hAnsi="Arial"/>
          <w:sz w:val="16"/>
          <w:szCs w:val="16"/>
          <w:color w:val="3575B3"/>
        </w:rPr>
      </w:pPr>
      <w:r>
        <w:rPr>
          <w:rFonts w:ascii="Arial" w:cs="Arial" w:eastAsia="Arial" w:hAnsi="Arial"/>
          <w:sz w:val="16"/>
          <w:szCs w:val="16"/>
          <w:color w:val="435363"/>
        </w:rPr>
        <w:t>Adjusted pre-tax income;</w:t>
      </w:r>
    </w:p>
    <w:p>
      <w:pPr>
        <w:spacing w:after="0" w:line="80" w:lineRule="exact"/>
        <w:rPr>
          <w:rFonts w:ascii="Arial" w:cs="Arial" w:eastAsia="Arial" w:hAnsi="Arial"/>
          <w:sz w:val="16"/>
          <w:szCs w:val="16"/>
          <w:color w:val="3575B3"/>
        </w:rPr>
      </w:pPr>
    </w:p>
    <w:p>
      <w:pPr>
        <w:ind w:left="760" w:hanging="324"/>
        <w:spacing w:after="0"/>
        <w:tabs>
          <w:tab w:leader="none" w:pos="760" w:val="left"/>
        </w:tabs>
        <w:numPr>
          <w:ilvl w:val="0"/>
          <w:numId w:val="66"/>
        </w:numPr>
        <w:rPr>
          <w:rFonts w:ascii="Arial" w:cs="Arial" w:eastAsia="Arial" w:hAnsi="Arial"/>
          <w:sz w:val="16"/>
          <w:szCs w:val="16"/>
          <w:color w:val="3575B3"/>
        </w:rPr>
      </w:pPr>
      <w:r>
        <w:rPr>
          <w:rFonts w:ascii="Arial" w:cs="Arial" w:eastAsia="Arial" w:hAnsi="Arial"/>
          <w:sz w:val="16"/>
          <w:szCs w:val="16"/>
          <w:color w:val="435363"/>
        </w:rPr>
        <w:t>Mainline and regional on-time departures</w:t>
      </w:r>
    </w:p>
    <w:p>
      <w:pPr>
        <w:spacing w:after="0" w:line="80" w:lineRule="exact"/>
        <w:rPr>
          <w:rFonts w:ascii="Arial" w:cs="Arial" w:eastAsia="Arial" w:hAnsi="Arial"/>
          <w:sz w:val="16"/>
          <w:szCs w:val="16"/>
          <w:color w:val="3575B3"/>
        </w:rPr>
      </w:pPr>
    </w:p>
    <w:p>
      <w:pPr>
        <w:ind w:left="760" w:hanging="324"/>
        <w:spacing w:after="0"/>
        <w:tabs>
          <w:tab w:leader="none" w:pos="760" w:val="left"/>
        </w:tabs>
        <w:numPr>
          <w:ilvl w:val="0"/>
          <w:numId w:val="66"/>
        </w:numPr>
        <w:rPr>
          <w:rFonts w:ascii="Arial" w:cs="Arial" w:eastAsia="Arial" w:hAnsi="Arial"/>
          <w:sz w:val="16"/>
          <w:szCs w:val="16"/>
          <w:color w:val="3575B3"/>
        </w:rPr>
      </w:pPr>
      <w:r>
        <w:rPr>
          <w:rFonts w:ascii="Arial" w:cs="Arial" w:eastAsia="Arial" w:hAnsi="Arial"/>
          <w:sz w:val="16"/>
          <w:szCs w:val="16"/>
          <w:color w:val="435363"/>
        </w:rPr>
        <w:t>Mainline and regional controllable completion factor; and</w:t>
      </w:r>
    </w:p>
    <w:p>
      <w:pPr>
        <w:spacing w:after="0" w:line="80" w:lineRule="exact"/>
        <w:rPr>
          <w:rFonts w:ascii="Arial" w:cs="Arial" w:eastAsia="Arial" w:hAnsi="Arial"/>
          <w:sz w:val="16"/>
          <w:szCs w:val="16"/>
          <w:color w:val="3575B3"/>
        </w:rPr>
      </w:pPr>
    </w:p>
    <w:p>
      <w:pPr>
        <w:ind w:left="760" w:hanging="324"/>
        <w:spacing w:after="0"/>
        <w:tabs>
          <w:tab w:leader="none" w:pos="760" w:val="left"/>
        </w:tabs>
        <w:numPr>
          <w:ilvl w:val="0"/>
          <w:numId w:val="66"/>
        </w:numPr>
        <w:rPr>
          <w:rFonts w:ascii="Arial" w:cs="Arial" w:eastAsia="Arial" w:hAnsi="Arial"/>
          <w:sz w:val="16"/>
          <w:szCs w:val="16"/>
          <w:color w:val="3575B3"/>
        </w:rPr>
      </w:pPr>
      <w:r>
        <w:rPr>
          <w:rFonts w:ascii="Arial" w:cs="Arial" w:eastAsia="Arial" w:hAnsi="Arial"/>
          <w:sz w:val="16"/>
          <w:szCs w:val="16"/>
          <w:color w:val="435363"/>
        </w:rPr>
        <w:t>Measures related to diversity, equity and inclusion.</w:t>
      </w:r>
    </w:p>
    <w:p>
      <w:pPr>
        <w:spacing w:after="0" w:line="107" w:lineRule="exact"/>
        <w:rPr>
          <w:sz w:val="20"/>
          <w:szCs w:val="20"/>
          <w:color w:val="auto"/>
        </w:rPr>
      </w:pPr>
    </w:p>
    <w:p>
      <w:pPr>
        <w:ind w:left="220" w:right="120"/>
        <w:spacing w:after="0" w:line="275" w:lineRule="auto"/>
        <w:rPr>
          <w:sz w:val="20"/>
          <w:szCs w:val="20"/>
          <w:color w:val="auto"/>
        </w:rPr>
      </w:pPr>
      <w:r>
        <w:rPr>
          <w:rFonts w:ascii="Arial" w:cs="Arial" w:eastAsia="Arial" w:hAnsi="Arial"/>
          <w:sz w:val="16"/>
          <w:szCs w:val="16"/>
          <w:color w:val="435363"/>
        </w:rPr>
        <w:t>For additional details regarding our performance measures, please see the sections entitled “Annual Cash Incentive Program” and “Long-Term Incentive Programs” in our “Compensation Discussion and Analysis” beginning on pages 53 and 56,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93980</wp:posOffset>
            </wp:positionV>
            <wp:extent cx="5177155" cy="1682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79</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200660</wp:posOffset>
            </wp:positionV>
            <wp:extent cx="6193790" cy="2857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32"/>
          <w:szCs w:val="32"/>
          <w:color w:val="66AFDA"/>
        </w:rPr>
        <w:t>EQUITY COMPENSATION PLAN INFORMATION</w:t>
      </w:r>
    </w:p>
    <w:p>
      <w:pPr>
        <w:spacing w:after="0" w:line="229" w:lineRule="exact"/>
        <w:rPr>
          <w:sz w:val="20"/>
          <w:szCs w:val="20"/>
          <w:color w:val="auto"/>
        </w:rPr>
      </w:pPr>
    </w:p>
    <w:p>
      <w:pPr>
        <w:ind w:left="220" w:right="280"/>
        <w:spacing w:after="0" w:line="275" w:lineRule="auto"/>
        <w:rPr>
          <w:sz w:val="20"/>
          <w:szCs w:val="20"/>
          <w:color w:val="auto"/>
        </w:rPr>
      </w:pPr>
      <w:r>
        <w:rPr>
          <w:rFonts w:ascii="Arial" w:cs="Arial" w:eastAsia="Arial" w:hAnsi="Arial"/>
          <w:sz w:val="16"/>
          <w:szCs w:val="16"/>
          <w:color w:val="435363"/>
        </w:rPr>
        <w:t>The following table provides information about our Common Stock that may be issued under our equity compensation plans as of December 31, 2023, which consists of the 2023 Incentive Award Plan (the “2023 Plan”) and the 2013 Incentive Award Plan (the “2013 Plan”).</w:t>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620" w:type="dxa"/>
            <w:vAlign w:val="bottom"/>
          </w:tcPr>
          <w:p>
            <w:pPr>
              <w:jc w:val="center"/>
              <w:ind w:left="78"/>
              <w:spacing w:after="0"/>
              <w:rPr>
                <w:sz w:val="20"/>
                <w:szCs w:val="20"/>
                <w:color w:val="auto"/>
              </w:rPr>
            </w:pPr>
            <w:r>
              <w:rPr>
                <w:rFonts w:ascii="Arial" w:cs="Arial" w:eastAsia="Arial" w:hAnsi="Arial"/>
                <w:sz w:val="16"/>
                <w:szCs w:val="16"/>
                <w:b w:val="1"/>
                <w:bCs w:val="1"/>
                <w:color w:val="3575B3"/>
                <w:w w:val="92"/>
              </w:rPr>
              <w:t>(i)</w:t>
            </w:r>
          </w:p>
        </w:tc>
        <w:tc>
          <w:tcPr>
            <w:tcW w:w="21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620" w:type="dxa"/>
            <w:vAlign w:val="bottom"/>
          </w:tcPr>
          <w:p>
            <w:pPr>
              <w:jc w:val="center"/>
              <w:ind w:left="78"/>
              <w:spacing w:after="0"/>
              <w:rPr>
                <w:sz w:val="20"/>
                <w:szCs w:val="20"/>
                <w:color w:val="auto"/>
              </w:rPr>
            </w:pPr>
            <w:r>
              <w:rPr>
                <w:rFonts w:ascii="Arial" w:cs="Arial" w:eastAsia="Arial" w:hAnsi="Arial"/>
                <w:sz w:val="16"/>
                <w:szCs w:val="16"/>
                <w:b w:val="1"/>
                <w:bCs w:val="1"/>
                <w:color w:val="3575B3"/>
                <w:w w:val="97"/>
              </w:rPr>
              <w:t>Number of</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3575B3"/>
              </w:rPr>
              <w:t>(ii)</w:t>
            </w:r>
          </w:p>
        </w:tc>
        <w:tc>
          <w:tcPr>
            <w:tcW w:w="2560" w:type="dxa"/>
            <w:vAlign w:val="bottom"/>
          </w:tcPr>
          <w:p>
            <w:pPr>
              <w:jc w:val="center"/>
              <w:ind w:left="238"/>
              <w:spacing w:after="0"/>
              <w:rPr>
                <w:sz w:val="20"/>
                <w:szCs w:val="20"/>
                <w:color w:val="auto"/>
              </w:rPr>
            </w:pPr>
            <w:r>
              <w:rPr>
                <w:rFonts w:ascii="Arial" w:cs="Arial" w:eastAsia="Arial" w:hAnsi="Arial"/>
                <w:sz w:val="16"/>
                <w:szCs w:val="16"/>
                <w:b w:val="1"/>
                <w:bCs w:val="1"/>
                <w:color w:val="3575B3"/>
                <w:w w:val="99"/>
              </w:rPr>
              <w:t>(iii)</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620" w:type="dxa"/>
            <w:vAlign w:val="bottom"/>
          </w:tcPr>
          <w:p>
            <w:pPr>
              <w:jc w:val="center"/>
              <w:ind w:left="78"/>
              <w:spacing w:after="0"/>
              <w:rPr>
                <w:sz w:val="20"/>
                <w:szCs w:val="20"/>
                <w:color w:val="auto"/>
              </w:rPr>
            </w:pPr>
            <w:r>
              <w:rPr>
                <w:rFonts w:ascii="Arial" w:cs="Arial" w:eastAsia="Arial" w:hAnsi="Arial"/>
                <w:sz w:val="16"/>
                <w:szCs w:val="16"/>
                <w:b w:val="1"/>
                <w:bCs w:val="1"/>
                <w:color w:val="3575B3"/>
                <w:w w:val="98"/>
              </w:rPr>
              <w:t>Securities to be</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3575B3"/>
                <w:w w:val="97"/>
              </w:rPr>
              <w:t>Weighted Average</w:t>
            </w:r>
          </w:p>
        </w:tc>
        <w:tc>
          <w:tcPr>
            <w:tcW w:w="2560" w:type="dxa"/>
            <w:vAlign w:val="bottom"/>
          </w:tcPr>
          <w:p>
            <w:pPr>
              <w:jc w:val="center"/>
              <w:ind w:left="238"/>
              <w:spacing w:after="0"/>
              <w:rPr>
                <w:sz w:val="20"/>
                <w:szCs w:val="20"/>
                <w:color w:val="auto"/>
              </w:rPr>
            </w:pPr>
            <w:r>
              <w:rPr>
                <w:rFonts w:ascii="Arial" w:cs="Arial" w:eastAsia="Arial" w:hAnsi="Arial"/>
                <w:sz w:val="16"/>
                <w:szCs w:val="16"/>
                <w:b w:val="1"/>
                <w:bCs w:val="1"/>
                <w:color w:val="3575B3"/>
                <w:w w:val="99"/>
              </w:rPr>
              <w:t>Number of Securities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620" w:type="dxa"/>
            <w:vAlign w:val="bottom"/>
          </w:tcPr>
          <w:p>
            <w:pPr>
              <w:jc w:val="center"/>
              <w:ind w:left="78"/>
              <w:spacing w:after="0"/>
              <w:rPr>
                <w:sz w:val="20"/>
                <w:szCs w:val="20"/>
                <w:color w:val="auto"/>
              </w:rPr>
            </w:pPr>
            <w:r>
              <w:rPr>
                <w:rFonts w:ascii="Arial" w:cs="Arial" w:eastAsia="Arial" w:hAnsi="Arial"/>
                <w:sz w:val="16"/>
                <w:szCs w:val="16"/>
                <w:b w:val="1"/>
                <w:bCs w:val="1"/>
                <w:color w:val="3575B3"/>
                <w:w w:val="97"/>
              </w:rPr>
              <w:t>Issued Upon</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3575B3"/>
                <w:w w:val="98"/>
              </w:rPr>
              <w:t>Exercise Price</w:t>
            </w:r>
          </w:p>
        </w:tc>
        <w:tc>
          <w:tcPr>
            <w:tcW w:w="2560" w:type="dxa"/>
            <w:vAlign w:val="bottom"/>
          </w:tcPr>
          <w:p>
            <w:pPr>
              <w:jc w:val="center"/>
              <w:ind w:left="238"/>
              <w:spacing w:after="0"/>
              <w:rPr>
                <w:sz w:val="20"/>
                <w:szCs w:val="20"/>
                <w:color w:val="auto"/>
              </w:rPr>
            </w:pPr>
            <w:r>
              <w:rPr>
                <w:rFonts w:ascii="Arial" w:cs="Arial" w:eastAsia="Arial" w:hAnsi="Arial"/>
                <w:sz w:val="16"/>
                <w:szCs w:val="16"/>
                <w:b w:val="1"/>
                <w:bCs w:val="1"/>
                <w:color w:val="3575B3"/>
                <w:w w:val="99"/>
              </w:rPr>
              <w:t>Remaining Available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620" w:type="dxa"/>
            <w:vAlign w:val="bottom"/>
          </w:tcPr>
          <w:p>
            <w:pPr>
              <w:jc w:val="center"/>
              <w:ind w:left="78"/>
              <w:spacing w:after="0"/>
              <w:rPr>
                <w:sz w:val="20"/>
                <w:szCs w:val="20"/>
                <w:color w:val="auto"/>
              </w:rPr>
            </w:pPr>
            <w:r>
              <w:rPr>
                <w:rFonts w:ascii="Arial" w:cs="Arial" w:eastAsia="Arial" w:hAnsi="Arial"/>
                <w:sz w:val="16"/>
                <w:szCs w:val="16"/>
                <w:b w:val="1"/>
                <w:bCs w:val="1"/>
                <w:color w:val="3575B3"/>
              </w:rPr>
              <w:t>Exercise of</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3575B3"/>
                <w:w w:val="98"/>
              </w:rPr>
              <w:t>of Outstanding</w:t>
            </w:r>
          </w:p>
        </w:tc>
        <w:tc>
          <w:tcPr>
            <w:tcW w:w="2560" w:type="dxa"/>
            <w:vAlign w:val="bottom"/>
          </w:tcPr>
          <w:p>
            <w:pPr>
              <w:jc w:val="center"/>
              <w:ind w:left="238"/>
              <w:spacing w:after="0"/>
              <w:rPr>
                <w:sz w:val="20"/>
                <w:szCs w:val="20"/>
                <w:color w:val="auto"/>
              </w:rPr>
            </w:pPr>
            <w:r>
              <w:rPr>
                <w:rFonts w:ascii="Arial" w:cs="Arial" w:eastAsia="Arial" w:hAnsi="Arial"/>
                <w:sz w:val="16"/>
                <w:szCs w:val="16"/>
                <w:b w:val="1"/>
                <w:bCs w:val="1"/>
                <w:color w:val="3575B3"/>
                <w:w w:val="98"/>
              </w:rPr>
              <w:t>for Future Issuance Under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620" w:type="dxa"/>
            <w:vAlign w:val="bottom"/>
          </w:tcPr>
          <w:p>
            <w:pPr>
              <w:jc w:val="center"/>
              <w:ind w:left="78"/>
              <w:spacing w:after="0"/>
              <w:rPr>
                <w:sz w:val="20"/>
                <w:szCs w:val="20"/>
                <w:color w:val="auto"/>
              </w:rPr>
            </w:pPr>
            <w:r>
              <w:rPr>
                <w:rFonts w:ascii="Arial" w:cs="Arial" w:eastAsia="Arial" w:hAnsi="Arial"/>
                <w:sz w:val="16"/>
                <w:szCs w:val="16"/>
                <w:b w:val="1"/>
                <w:bCs w:val="1"/>
                <w:color w:val="3575B3"/>
                <w:w w:val="99"/>
              </w:rPr>
              <w:t>Outstanding</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3575B3"/>
                <w:w w:val="98"/>
              </w:rPr>
              <w:t>Options, Warrants</w:t>
            </w:r>
          </w:p>
        </w:tc>
        <w:tc>
          <w:tcPr>
            <w:tcW w:w="2560" w:type="dxa"/>
            <w:vAlign w:val="bottom"/>
          </w:tcPr>
          <w:p>
            <w:pPr>
              <w:jc w:val="center"/>
              <w:ind w:left="218"/>
              <w:spacing w:after="0"/>
              <w:rPr>
                <w:sz w:val="20"/>
                <w:szCs w:val="20"/>
                <w:color w:val="auto"/>
              </w:rPr>
            </w:pPr>
            <w:r>
              <w:rPr>
                <w:rFonts w:ascii="Arial" w:cs="Arial" w:eastAsia="Arial" w:hAnsi="Arial"/>
                <w:sz w:val="16"/>
                <w:szCs w:val="16"/>
                <w:b w:val="1"/>
                <w:bCs w:val="1"/>
                <w:color w:val="3575B3"/>
                <w:w w:val="99"/>
              </w:rPr>
              <w:t>Equity Compensation Plans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620" w:type="dxa"/>
            <w:vAlign w:val="bottom"/>
          </w:tcPr>
          <w:p>
            <w:pPr>
              <w:jc w:val="center"/>
              <w:ind w:left="78"/>
              <w:spacing w:after="0"/>
              <w:rPr>
                <w:sz w:val="20"/>
                <w:szCs w:val="20"/>
                <w:color w:val="auto"/>
              </w:rPr>
            </w:pPr>
            <w:r>
              <w:rPr>
                <w:rFonts w:ascii="Arial" w:cs="Arial" w:eastAsia="Arial" w:hAnsi="Arial"/>
                <w:sz w:val="16"/>
                <w:szCs w:val="16"/>
                <w:b w:val="1"/>
                <w:bCs w:val="1"/>
                <w:color w:val="3575B3"/>
                <w:w w:val="99"/>
              </w:rPr>
              <w:t>Options, Warrants</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3575B3"/>
                <w:w w:val="99"/>
              </w:rPr>
              <w:t>and Rights</w:t>
            </w:r>
          </w:p>
        </w:tc>
        <w:tc>
          <w:tcPr>
            <w:tcW w:w="2560" w:type="dxa"/>
            <w:vAlign w:val="bottom"/>
          </w:tcPr>
          <w:p>
            <w:pPr>
              <w:jc w:val="center"/>
              <w:ind w:left="238"/>
              <w:spacing w:after="0"/>
              <w:rPr>
                <w:sz w:val="20"/>
                <w:szCs w:val="20"/>
                <w:color w:val="auto"/>
              </w:rPr>
            </w:pPr>
            <w:r>
              <w:rPr>
                <w:rFonts w:ascii="Arial" w:cs="Arial" w:eastAsia="Arial" w:hAnsi="Arial"/>
                <w:sz w:val="16"/>
                <w:szCs w:val="16"/>
                <w:b w:val="1"/>
                <w:bCs w:val="1"/>
                <w:color w:val="3575B3"/>
                <w:w w:val="98"/>
              </w:rPr>
              <w:t>(Excluding Securities</w:t>
            </w:r>
          </w:p>
        </w:tc>
        <w:tc>
          <w:tcPr>
            <w:tcW w:w="0" w:type="dxa"/>
            <w:vAlign w:val="bottom"/>
          </w:tcPr>
          <w:p>
            <w:pPr>
              <w:spacing w:after="0"/>
              <w:rPr>
                <w:sz w:val="1"/>
                <w:szCs w:val="1"/>
                <w:color w:val="auto"/>
              </w:rPr>
            </w:pPr>
          </w:p>
        </w:tc>
      </w:tr>
      <w:tr>
        <w:trPr>
          <w:trHeight w:val="213"/>
        </w:trPr>
        <w:tc>
          <w:tcPr>
            <w:tcW w:w="3500" w:type="dxa"/>
            <w:vAlign w:val="bottom"/>
            <w:gridSpan w:val="2"/>
          </w:tcPr>
          <w:p>
            <w:pPr>
              <w:spacing w:after="0"/>
              <w:rPr>
                <w:sz w:val="20"/>
                <w:szCs w:val="20"/>
                <w:color w:val="auto"/>
              </w:rPr>
            </w:pPr>
            <w:r>
              <w:rPr>
                <w:rFonts w:ascii="Arial" w:cs="Arial" w:eastAsia="Arial" w:hAnsi="Arial"/>
                <w:sz w:val="16"/>
                <w:szCs w:val="16"/>
                <w:b w:val="1"/>
                <w:bCs w:val="1"/>
                <w:color w:val="3575B3"/>
              </w:rPr>
              <w:t>  Plan Category</w:t>
            </w:r>
          </w:p>
        </w:tc>
        <w:tc>
          <w:tcPr>
            <w:tcW w:w="2620" w:type="dxa"/>
            <w:vAlign w:val="bottom"/>
          </w:tcPr>
          <w:p>
            <w:pPr>
              <w:jc w:val="center"/>
              <w:ind w:left="78"/>
              <w:spacing w:after="0"/>
              <w:rPr>
                <w:sz w:val="20"/>
                <w:szCs w:val="20"/>
                <w:color w:val="auto"/>
              </w:rPr>
            </w:pPr>
            <w:r>
              <w:rPr>
                <w:rFonts w:ascii="Arial" w:cs="Arial" w:eastAsia="Arial" w:hAnsi="Arial"/>
                <w:sz w:val="16"/>
                <w:szCs w:val="16"/>
                <w:b w:val="1"/>
                <w:bCs w:val="1"/>
                <w:color w:val="3575B3"/>
                <w:w w:val="99"/>
              </w:rPr>
              <w:t>and Rights</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3575B3"/>
              </w:rPr>
              <w:t>($)</w:t>
            </w:r>
          </w:p>
        </w:tc>
        <w:tc>
          <w:tcPr>
            <w:tcW w:w="2560" w:type="dxa"/>
            <w:vAlign w:val="bottom"/>
          </w:tcPr>
          <w:p>
            <w:pPr>
              <w:jc w:val="center"/>
              <w:ind w:left="238"/>
              <w:spacing w:after="0"/>
              <w:rPr>
                <w:sz w:val="20"/>
                <w:szCs w:val="20"/>
                <w:color w:val="auto"/>
              </w:rPr>
            </w:pPr>
            <w:r>
              <w:rPr>
                <w:rFonts w:ascii="Arial" w:cs="Arial" w:eastAsia="Arial" w:hAnsi="Arial"/>
                <w:sz w:val="16"/>
                <w:szCs w:val="16"/>
                <w:b w:val="1"/>
                <w:bCs w:val="1"/>
                <w:color w:val="3575B3"/>
              </w:rPr>
              <w:t>Reflected in Column (i))</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tcBorders>
              <w:top w:val="single" w:sz="8" w:color="BF0000"/>
            </w:tcBorders>
          </w:tcPr>
          <w:p>
            <w:pPr>
              <w:ind w:left="60"/>
              <w:spacing w:after="0"/>
              <w:rPr>
                <w:sz w:val="20"/>
                <w:szCs w:val="20"/>
                <w:color w:val="auto"/>
              </w:rPr>
            </w:pPr>
            <w:r>
              <w:rPr>
                <w:rFonts w:ascii="Arial" w:cs="Arial" w:eastAsia="Arial" w:hAnsi="Arial"/>
                <w:sz w:val="16"/>
                <w:szCs w:val="16"/>
                <w:b w:val="1"/>
                <w:bCs w:val="1"/>
                <w:color w:val="435363"/>
              </w:rPr>
              <w:t>Equity Compensation Plans</w:t>
            </w:r>
          </w:p>
        </w:tc>
        <w:tc>
          <w:tcPr>
            <w:tcW w:w="2620" w:type="dxa"/>
            <w:vAlign w:val="bottom"/>
            <w:tcBorders>
              <w:top w:val="single" w:sz="8" w:color="BF0000"/>
            </w:tcBorders>
            <w:vMerge w:val="restart"/>
          </w:tcPr>
          <w:p>
            <w:pPr>
              <w:jc w:val="right"/>
              <w:ind w:right="298"/>
              <w:spacing w:after="0"/>
              <w:rPr>
                <w:sz w:val="20"/>
                <w:szCs w:val="20"/>
                <w:color w:val="auto"/>
              </w:rPr>
            </w:pPr>
            <w:r>
              <w:rPr>
                <w:rFonts w:ascii="Arial" w:cs="Arial" w:eastAsia="Arial" w:hAnsi="Arial"/>
                <w:sz w:val="18"/>
                <w:szCs w:val="18"/>
                <w:color w:val="435363"/>
              </w:rPr>
              <w:t>14,234,700</w:t>
            </w:r>
            <w:r>
              <w:rPr>
                <w:rFonts w:ascii="Arial" w:cs="Arial" w:eastAsia="Arial" w:hAnsi="Arial"/>
                <w:sz w:val="26"/>
                <w:szCs w:val="26"/>
                <w:color w:val="435363"/>
                <w:vertAlign w:val="superscript"/>
              </w:rPr>
              <w:t>(b)</w:t>
            </w:r>
          </w:p>
        </w:tc>
        <w:tc>
          <w:tcPr>
            <w:tcW w:w="2140" w:type="dxa"/>
            <w:vAlign w:val="bottom"/>
            <w:tcBorders>
              <w:top w:val="single" w:sz="8" w:color="BF0000"/>
            </w:tcBorders>
            <w:vMerge w:val="restart"/>
          </w:tcPr>
          <w:p>
            <w:pPr>
              <w:jc w:val="right"/>
              <w:ind w:right="318"/>
              <w:spacing w:after="0"/>
              <w:rPr>
                <w:sz w:val="20"/>
                <w:szCs w:val="20"/>
                <w:color w:val="auto"/>
              </w:rPr>
            </w:pPr>
            <w:r>
              <w:rPr>
                <w:rFonts w:ascii="Arial" w:cs="Arial" w:eastAsia="Arial" w:hAnsi="Arial"/>
                <w:sz w:val="18"/>
                <w:szCs w:val="18"/>
                <w:color w:val="435363"/>
              </w:rPr>
              <w:t>-</w:t>
            </w:r>
          </w:p>
        </w:tc>
        <w:tc>
          <w:tcPr>
            <w:tcW w:w="2560" w:type="dxa"/>
            <w:vAlign w:val="bottom"/>
            <w:tcBorders>
              <w:top w:val="single" w:sz="8" w:color="BF0000"/>
            </w:tcBorders>
            <w:vMerge w:val="restart"/>
          </w:tcPr>
          <w:p>
            <w:pPr>
              <w:jc w:val="right"/>
              <w:spacing w:after="0"/>
              <w:rPr>
                <w:sz w:val="20"/>
                <w:szCs w:val="20"/>
                <w:color w:val="auto"/>
              </w:rPr>
            </w:pPr>
            <w:r>
              <w:rPr>
                <w:rFonts w:ascii="Arial" w:cs="Arial" w:eastAsia="Arial" w:hAnsi="Arial"/>
                <w:sz w:val="18"/>
                <w:szCs w:val="18"/>
                <w:color w:val="435363"/>
              </w:rPr>
              <w:t>9,501,204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80" w:type="dxa"/>
            <w:vAlign w:val="bottom"/>
            <w:vMerge w:val="restart"/>
          </w:tcPr>
          <w:p>
            <w:pPr>
              <w:ind w:left="60"/>
              <w:spacing w:after="0"/>
              <w:rPr>
                <w:sz w:val="20"/>
                <w:szCs w:val="20"/>
                <w:color w:val="auto"/>
              </w:rPr>
            </w:pPr>
            <w:r>
              <w:rPr>
                <w:rFonts w:ascii="Arial" w:cs="Arial" w:eastAsia="Arial" w:hAnsi="Arial"/>
                <w:sz w:val="16"/>
                <w:szCs w:val="16"/>
                <w:b w:val="1"/>
                <w:bCs w:val="1"/>
                <w:color w:val="435363"/>
              </w:rPr>
              <w:t>Approved by Security Holders</w:t>
            </w:r>
            <w:r>
              <w:rPr>
                <w:rFonts w:ascii="Arial" w:cs="Arial" w:eastAsia="Arial" w:hAnsi="Arial"/>
                <w:sz w:val="23"/>
                <w:szCs w:val="23"/>
                <w:b w:val="1"/>
                <w:bCs w:val="1"/>
                <w:color w:val="435363"/>
                <w:vertAlign w:val="superscript"/>
              </w:rPr>
              <w:t>(a)</w:t>
            </w:r>
          </w:p>
        </w:tc>
        <w:tc>
          <w:tcPr>
            <w:tcW w:w="2620" w:type="dxa"/>
            <w:vAlign w:val="bottom"/>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2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80" w:type="dxa"/>
            <w:vAlign w:val="bottom"/>
            <w:vMerge w:val="continue"/>
          </w:tcPr>
          <w:p>
            <w:pPr>
              <w:spacing w:after="0"/>
              <w:rPr>
                <w:sz w:val="9"/>
                <w:szCs w:val="9"/>
                <w:color w:val="auto"/>
              </w:rPr>
            </w:pPr>
          </w:p>
        </w:tc>
        <w:tc>
          <w:tcPr>
            <w:tcW w:w="26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435363"/>
              </w:rPr>
              <w:t>Equity Compensation Plans</w:t>
            </w:r>
          </w:p>
        </w:tc>
        <w:tc>
          <w:tcPr>
            <w:tcW w:w="2620" w:type="dxa"/>
            <w:vAlign w:val="bottom"/>
            <w:vMerge w:val="restart"/>
            <w:shd w:val="clear" w:color="auto" w:fill="EDEDED"/>
          </w:tcPr>
          <w:p>
            <w:pPr>
              <w:jc w:val="right"/>
              <w:ind w:right="458"/>
              <w:spacing w:after="0"/>
              <w:rPr>
                <w:sz w:val="20"/>
                <w:szCs w:val="20"/>
                <w:color w:val="auto"/>
              </w:rPr>
            </w:pPr>
            <w:r>
              <w:rPr>
                <w:rFonts w:ascii="Arial" w:cs="Arial" w:eastAsia="Arial" w:hAnsi="Arial"/>
                <w:sz w:val="18"/>
                <w:szCs w:val="18"/>
                <w:color w:val="435363"/>
              </w:rPr>
              <w:t>-</w:t>
            </w:r>
          </w:p>
        </w:tc>
        <w:tc>
          <w:tcPr>
            <w:tcW w:w="2140" w:type="dxa"/>
            <w:vAlign w:val="bottom"/>
            <w:vMerge w:val="restart"/>
            <w:shd w:val="clear" w:color="auto" w:fill="EDEDED"/>
          </w:tcPr>
          <w:p>
            <w:pPr>
              <w:jc w:val="right"/>
              <w:ind w:right="318"/>
              <w:spacing w:after="0"/>
              <w:rPr>
                <w:sz w:val="20"/>
                <w:szCs w:val="20"/>
                <w:color w:val="auto"/>
              </w:rPr>
            </w:pPr>
            <w:r>
              <w:rPr>
                <w:rFonts w:ascii="Arial" w:cs="Arial" w:eastAsia="Arial" w:hAnsi="Arial"/>
                <w:sz w:val="18"/>
                <w:szCs w:val="18"/>
                <w:color w:val="435363"/>
              </w:rPr>
              <w:t>-</w:t>
            </w:r>
          </w:p>
        </w:tc>
        <w:tc>
          <w:tcPr>
            <w:tcW w:w="2560" w:type="dxa"/>
            <w:vAlign w:val="bottom"/>
            <w:vMerge w:val="restart"/>
            <w:shd w:val="clear" w:color="auto" w:fill="EDEDED"/>
          </w:tcPr>
          <w:p>
            <w:pPr>
              <w:jc w:val="right"/>
              <w:spacing w:after="0"/>
              <w:rPr>
                <w:sz w:val="20"/>
                <w:szCs w:val="20"/>
                <w:color w:val="auto"/>
              </w:rPr>
            </w:pPr>
            <w:r>
              <w:rPr>
                <w:rFonts w:ascii="Arial" w:cs="Arial" w:eastAsia="Arial" w:hAnsi="Arial"/>
                <w:sz w:val="18"/>
                <w:szCs w:val="18"/>
                <w:color w:val="435363"/>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480" w:type="dxa"/>
            <w:vAlign w:val="bottom"/>
            <w:vMerge w:val="restart"/>
            <w:shd w:val="clear" w:color="auto" w:fill="EDEDED"/>
          </w:tcPr>
          <w:p>
            <w:pPr>
              <w:ind w:left="60"/>
              <w:spacing w:after="0"/>
              <w:rPr>
                <w:sz w:val="20"/>
                <w:szCs w:val="20"/>
                <w:color w:val="auto"/>
              </w:rPr>
            </w:pPr>
            <w:r>
              <w:rPr>
                <w:rFonts w:ascii="Arial" w:cs="Arial" w:eastAsia="Arial" w:hAnsi="Arial"/>
                <w:sz w:val="16"/>
                <w:szCs w:val="16"/>
                <w:b w:val="1"/>
                <w:bCs w:val="1"/>
                <w:color w:val="435363"/>
              </w:rPr>
              <w:t>Not Approved by Security Holders</w:t>
            </w:r>
          </w:p>
        </w:tc>
        <w:tc>
          <w:tcPr>
            <w:tcW w:w="2620" w:type="dxa"/>
            <w:vAlign w:val="bottom"/>
            <w:vMerge w:val="continue"/>
            <w:shd w:val="clear" w:color="auto" w:fill="EDEDED"/>
          </w:tcPr>
          <w:p>
            <w:pPr>
              <w:spacing w:after="0"/>
              <w:rPr>
                <w:sz w:val="11"/>
                <w:szCs w:val="11"/>
                <w:color w:val="auto"/>
              </w:rPr>
            </w:pPr>
          </w:p>
        </w:tc>
        <w:tc>
          <w:tcPr>
            <w:tcW w:w="2140" w:type="dxa"/>
            <w:vAlign w:val="bottom"/>
            <w:vMerge w:val="continue"/>
            <w:shd w:val="clear" w:color="auto" w:fill="EDEDED"/>
          </w:tcPr>
          <w:p>
            <w:pPr>
              <w:spacing w:after="0"/>
              <w:rPr>
                <w:sz w:val="11"/>
                <w:szCs w:val="11"/>
                <w:color w:val="auto"/>
              </w:rPr>
            </w:pPr>
          </w:p>
        </w:tc>
        <w:tc>
          <w:tcPr>
            <w:tcW w:w="2560" w:type="dxa"/>
            <w:vAlign w:val="bottom"/>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480" w:type="dxa"/>
            <w:vAlign w:val="bottom"/>
            <w:tcBorders>
              <w:bottom w:val="single" w:sz="8" w:color="EDEDED"/>
            </w:tcBorders>
            <w:vMerge w:val="continue"/>
            <w:shd w:val="clear" w:color="auto" w:fill="EDEDED"/>
          </w:tcPr>
          <w:p>
            <w:pPr>
              <w:spacing w:after="0"/>
              <w:rPr>
                <w:sz w:val="9"/>
                <w:szCs w:val="9"/>
                <w:color w:val="auto"/>
              </w:rPr>
            </w:pPr>
          </w:p>
        </w:tc>
        <w:tc>
          <w:tcPr>
            <w:tcW w:w="2620" w:type="dxa"/>
            <w:vAlign w:val="bottom"/>
            <w:tcBorders>
              <w:bottom w:val="single" w:sz="8" w:color="EDEDED"/>
            </w:tcBorders>
            <w:shd w:val="clear" w:color="auto" w:fill="EDEDED"/>
          </w:tcPr>
          <w:p>
            <w:pPr>
              <w:spacing w:after="0"/>
              <w:rPr>
                <w:sz w:val="9"/>
                <w:szCs w:val="9"/>
                <w:color w:val="auto"/>
              </w:rPr>
            </w:pPr>
          </w:p>
        </w:tc>
        <w:tc>
          <w:tcPr>
            <w:tcW w:w="2140" w:type="dxa"/>
            <w:vAlign w:val="bottom"/>
            <w:tcBorders>
              <w:bottom w:val="single" w:sz="8" w:color="EDEDED"/>
            </w:tcBorders>
            <w:shd w:val="clear" w:color="auto" w:fill="EDEDED"/>
          </w:tcPr>
          <w:p>
            <w:pPr>
              <w:spacing w:after="0"/>
              <w:rPr>
                <w:sz w:val="9"/>
                <w:szCs w:val="9"/>
                <w:color w:val="auto"/>
              </w:rPr>
            </w:pPr>
          </w:p>
        </w:tc>
        <w:tc>
          <w:tcPr>
            <w:tcW w:w="2560" w:type="dxa"/>
            <w:vAlign w:val="bottom"/>
            <w:tcBorders>
              <w:bottom w:val="single" w:sz="8" w:color="EDEDED"/>
            </w:tcBorders>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480" w:type="dxa"/>
            <w:vAlign w:val="bottom"/>
          </w:tcPr>
          <w:p>
            <w:pPr>
              <w:ind w:left="60"/>
              <w:spacing w:after="0"/>
              <w:rPr>
                <w:sz w:val="20"/>
                <w:szCs w:val="20"/>
                <w:color w:val="auto"/>
              </w:rPr>
            </w:pPr>
            <w:r>
              <w:rPr>
                <w:rFonts w:ascii="Arial" w:cs="Arial" w:eastAsia="Arial" w:hAnsi="Arial"/>
                <w:sz w:val="16"/>
                <w:szCs w:val="16"/>
                <w:b w:val="1"/>
                <w:bCs w:val="1"/>
                <w:color w:val="435363"/>
              </w:rPr>
              <w:t>Total</w:t>
            </w:r>
          </w:p>
        </w:tc>
        <w:tc>
          <w:tcPr>
            <w:tcW w:w="2620" w:type="dxa"/>
            <w:vAlign w:val="bottom"/>
          </w:tcPr>
          <w:p>
            <w:pPr>
              <w:jc w:val="right"/>
              <w:ind w:right="458"/>
              <w:spacing w:after="0"/>
              <w:rPr>
                <w:sz w:val="20"/>
                <w:szCs w:val="20"/>
                <w:color w:val="auto"/>
              </w:rPr>
            </w:pPr>
            <w:r>
              <w:rPr>
                <w:rFonts w:ascii="Arial" w:cs="Arial" w:eastAsia="Arial" w:hAnsi="Arial"/>
                <w:sz w:val="18"/>
                <w:szCs w:val="18"/>
                <w:color w:val="435363"/>
              </w:rPr>
              <w:t>14,234,700</w:t>
            </w:r>
          </w:p>
        </w:tc>
        <w:tc>
          <w:tcPr>
            <w:tcW w:w="2140" w:type="dxa"/>
            <w:vAlign w:val="bottom"/>
          </w:tcPr>
          <w:p>
            <w:pPr>
              <w:jc w:val="right"/>
              <w:ind w:right="318"/>
              <w:spacing w:after="0"/>
              <w:rPr>
                <w:sz w:val="20"/>
                <w:szCs w:val="20"/>
                <w:color w:val="auto"/>
              </w:rPr>
            </w:pPr>
            <w:r>
              <w:rPr>
                <w:rFonts w:ascii="Arial" w:cs="Arial" w:eastAsia="Arial" w:hAnsi="Arial"/>
                <w:sz w:val="18"/>
                <w:szCs w:val="18"/>
                <w:color w:val="435363"/>
              </w:rPr>
              <w:t>-</w:t>
            </w:r>
          </w:p>
        </w:tc>
        <w:tc>
          <w:tcPr>
            <w:tcW w:w="2560" w:type="dxa"/>
            <w:vAlign w:val="bottom"/>
          </w:tcPr>
          <w:p>
            <w:pPr>
              <w:jc w:val="right"/>
              <w:spacing w:after="0"/>
              <w:rPr>
                <w:sz w:val="20"/>
                <w:szCs w:val="20"/>
                <w:color w:val="auto"/>
              </w:rPr>
            </w:pPr>
            <w:r>
              <w:rPr>
                <w:rFonts w:ascii="Arial" w:cs="Arial" w:eastAsia="Arial" w:hAnsi="Arial"/>
                <w:sz w:val="18"/>
                <w:szCs w:val="18"/>
                <w:color w:val="435363"/>
              </w:rPr>
              <w:t>9,501,204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23495</wp:posOffset>
            </wp:positionV>
            <wp:extent cx="685736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91" w:lineRule="exact"/>
        <w:rPr>
          <w:sz w:val="20"/>
          <w:szCs w:val="20"/>
          <w:color w:val="auto"/>
        </w:rPr>
      </w:pPr>
    </w:p>
    <w:p>
      <w:pPr>
        <w:ind w:left="640" w:right="40" w:hanging="416"/>
        <w:spacing w:after="0" w:line="274" w:lineRule="auto"/>
        <w:tabs>
          <w:tab w:leader="none" w:pos="640" w:val="left"/>
        </w:tabs>
        <w:numPr>
          <w:ilvl w:val="0"/>
          <w:numId w:val="67"/>
        </w:numPr>
        <w:rPr>
          <w:rFonts w:ascii="Arial" w:cs="Arial" w:eastAsia="Arial" w:hAnsi="Arial"/>
          <w:sz w:val="12"/>
          <w:szCs w:val="12"/>
          <w:color w:val="435363"/>
        </w:rPr>
      </w:pPr>
      <w:r>
        <w:rPr>
          <w:rFonts w:ascii="Arial" w:cs="Arial" w:eastAsia="Arial" w:hAnsi="Arial"/>
          <w:sz w:val="12"/>
          <w:szCs w:val="12"/>
          <w:color w:val="435363"/>
        </w:rPr>
        <w:t>On May 10, 2023, our stockholders approved the 2023 Plan which replaced the 2013 Plan. The 2013 Plan was approved by the Bankruptcy Court in connection with AMR Corporation’s bankruptcy plan and further approved by the Board on December 9, 2013. Under Delaware law, as part of the reorganization, the 2013 Plan was deemed to be approved by our stockholders.</w:t>
      </w:r>
    </w:p>
    <w:p>
      <w:pPr>
        <w:spacing w:after="0" w:line="68" w:lineRule="exact"/>
        <w:rPr>
          <w:rFonts w:ascii="Arial" w:cs="Arial" w:eastAsia="Arial" w:hAnsi="Arial"/>
          <w:sz w:val="12"/>
          <w:szCs w:val="12"/>
          <w:color w:val="435363"/>
        </w:rPr>
      </w:pPr>
    </w:p>
    <w:p>
      <w:pPr>
        <w:ind w:left="640" w:hanging="416"/>
        <w:spacing w:after="0"/>
        <w:tabs>
          <w:tab w:leader="none" w:pos="640" w:val="left"/>
        </w:tabs>
        <w:numPr>
          <w:ilvl w:val="0"/>
          <w:numId w:val="67"/>
        </w:numPr>
        <w:rPr>
          <w:rFonts w:ascii="Arial" w:cs="Arial" w:eastAsia="Arial" w:hAnsi="Arial"/>
          <w:sz w:val="12"/>
          <w:szCs w:val="12"/>
          <w:color w:val="435363"/>
        </w:rPr>
      </w:pPr>
      <w:r>
        <w:rPr>
          <w:rFonts w:ascii="Arial" w:cs="Arial" w:eastAsia="Arial" w:hAnsi="Arial"/>
          <w:sz w:val="12"/>
          <w:szCs w:val="12"/>
          <w:color w:val="435363"/>
        </w:rPr>
        <w:t>Consists of 14,234,700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217805</wp:posOffset>
            </wp:positionV>
            <wp:extent cx="5177155" cy="1682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8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80</w:t>
      </w:r>
    </w:p>
    <w:p>
      <w:pPr>
        <w:spacing w:after="0" w:line="3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200660</wp:posOffset>
            </wp:positionV>
            <wp:extent cx="6193790" cy="2857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32"/>
          <w:szCs w:val="32"/>
          <w:color w:val="66AFDA"/>
        </w:rPr>
        <w:t>OTHER MATTERS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Stockholder Proposals</w:t>
      </w:r>
    </w:p>
    <w:p>
      <w:pPr>
        <w:spacing w:after="0" w:line="90" w:lineRule="exact"/>
        <w:rPr>
          <w:sz w:val="20"/>
          <w:szCs w:val="20"/>
          <w:color w:val="auto"/>
        </w:rPr>
      </w:pPr>
    </w:p>
    <w:p>
      <w:pPr>
        <w:ind w:left="220" w:right="440"/>
        <w:spacing w:after="0" w:line="250" w:lineRule="auto"/>
        <w:rPr>
          <w:sz w:val="20"/>
          <w:szCs w:val="20"/>
          <w:color w:val="auto"/>
        </w:rPr>
      </w:pPr>
      <w:r>
        <w:rPr>
          <w:rFonts w:ascii="Arial" w:cs="Arial" w:eastAsia="Arial" w:hAnsi="Arial"/>
          <w:sz w:val="16"/>
          <w:szCs w:val="16"/>
          <w:color w:val="435363"/>
        </w:rPr>
        <w:t>Rule 14a-8 of the Exchange Act provides that certain stockholder proposals must be included in the proxy statement for an annual meeting of stockholders. For a stockholder proposal to be considered for inclusion in the proxy statement for our 2025 Annual Meeting of Stockholders, our Corporate Secretary (Priya Aiyar, Corporate Secretary, at American Airlines Group Inc., MD8B503, 1 Skyview Drive, Fort Worth, Texas 76155) must receive the proposal no later than December   , 2024. The proposal must comply with the SEC regulations under Rule 14a-8 of the Exchange Act regarding the inclusion of stockholder proposals in our proxy materials.</w:t>
      </w:r>
    </w:p>
    <w:p>
      <w:pPr>
        <w:spacing w:after="0" w:line="101" w:lineRule="exact"/>
        <w:rPr>
          <w:sz w:val="20"/>
          <w:szCs w:val="20"/>
          <w:color w:val="auto"/>
        </w:rPr>
      </w:pPr>
    </w:p>
    <w:p>
      <w:pPr>
        <w:ind w:left="220"/>
        <w:spacing w:after="0" w:line="245" w:lineRule="auto"/>
        <w:rPr>
          <w:sz w:val="20"/>
          <w:szCs w:val="20"/>
          <w:color w:val="auto"/>
        </w:rPr>
      </w:pPr>
      <w:r>
        <w:rPr>
          <w:rFonts w:ascii="Arial" w:cs="Arial" w:eastAsia="Arial" w:hAnsi="Arial"/>
          <w:sz w:val="16"/>
          <w:szCs w:val="16"/>
          <w:color w:val="435363"/>
        </w:rPr>
        <w:t>Pursuant to the Bylaws, in order for a stockholder to present a proposal at an annual meeting of stockholders, other than proposals to be included in the proxy statement as described above, the stockholder must deliver proper notice to our Corporate Secretary at our principal executive offices (please see the address above) not more than 120 days and not less than 90 days prior to the anniversary date of the immediately preceding annual meeting or, if the date of the annual meeting is more than 30 days before or after such anniversary date, not later than the 90th day prior to such annual meeting or, if later, the tenth day following the day on which public disclosure of the date of such annual meeting was first made. For the 2025 Annual Meeting of Stockholders, notice must be delivered no sooner than February 5, 2025 and no later than March 7, 2025. Stockholders are advised to review the Bylaws, which contain additional requirements with respect to advance notice of stockholder proposals. Additional information with regard to director recommendations or nominations for director candidates can be found beginning on page 17 and we encourage stockholders to review the procedures and deadlines relating thereto before taking action.</w:t>
      </w:r>
    </w:p>
    <w:p>
      <w:pPr>
        <w:spacing w:after="0" w:line="123" w:lineRule="exact"/>
        <w:rPr>
          <w:sz w:val="20"/>
          <w:szCs w:val="20"/>
          <w:color w:val="auto"/>
        </w:rPr>
      </w:pPr>
    </w:p>
    <w:p>
      <w:pPr>
        <w:ind w:left="220" w:right="100"/>
        <w:spacing w:after="0" w:line="248" w:lineRule="auto"/>
        <w:rPr>
          <w:sz w:val="20"/>
          <w:szCs w:val="20"/>
          <w:color w:val="auto"/>
        </w:rPr>
      </w:pPr>
      <w:r>
        <w:rPr>
          <w:rFonts w:ascii="Arial" w:cs="Arial" w:eastAsia="Arial" w:hAnsi="Arial"/>
          <w:sz w:val="16"/>
          <w:szCs w:val="16"/>
          <w:color w:val="435363"/>
        </w:rPr>
        <w:t>In addition, our Bylaws permit certain of our stockholders who have beneficially owned 3% or more of our outstanding Common Stock continuously for at least three years to submit nominations to be included in the Company’s proxy materials for up to 20% of the total number of directors then serving. Notice of proxy access director nominations for the 2025 Annual Meeting of Stockholders must be delivered to our Corporate Secretary at our principal executive offices (please see the address above) no earlier than November   , 2024 and no later than the close of business on December   , 2024. The notice must set forth the information required by our Bylaws with respect to each proxy access director nomination that eligible stockholder or stockholders intend to present at the 2025 Annual Meeting of Stockholders and must otherwise be in compliance with our Bylaws.</w:t>
      </w:r>
    </w:p>
    <w:p>
      <w:pPr>
        <w:spacing w:after="0" w:line="117" w:lineRule="exact"/>
        <w:rPr>
          <w:sz w:val="20"/>
          <w:szCs w:val="20"/>
          <w:color w:val="auto"/>
        </w:rPr>
      </w:pPr>
    </w:p>
    <w:p>
      <w:pPr>
        <w:jc w:val="both"/>
        <w:ind w:left="220"/>
        <w:spacing w:after="0" w:line="258" w:lineRule="auto"/>
        <w:rPr>
          <w:sz w:val="20"/>
          <w:szCs w:val="20"/>
          <w:color w:val="auto"/>
        </w:rPr>
      </w:pPr>
      <w:r>
        <w:rPr>
          <w:rFonts w:ascii="Arial" w:cs="Arial" w:eastAsia="Arial" w:hAnsi="Arial"/>
          <w:sz w:val="16"/>
          <w:szCs w:val="16"/>
          <w:color w:val="435363"/>
        </w:rPr>
        <w:t>Any notice of director nomination other than through proxy access must include the additional information required by Rule 14a-19(b) under the Exchange Act and otherwise comply with our Bylaws. In connection with the 2025 annual meeting of stockholders, we intend to file a proxy statement and a WHITE proxy card with the SEC in connection with our solicitation of proxies for that meeting.</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Annual Report and Available Information</w:t>
      </w:r>
    </w:p>
    <w:p>
      <w:pPr>
        <w:spacing w:after="0" w:line="77" w:lineRule="exact"/>
        <w:rPr>
          <w:sz w:val="20"/>
          <w:szCs w:val="20"/>
          <w:color w:val="auto"/>
        </w:rPr>
      </w:pPr>
    </w:p>
    <w:p>
      <w:pPr>
        <w:ind w:left="220" w:right="80"/>
        <w:spacing w:after="0" w:line="250" w:lineRule="auto"/>
        <w:rPr>
          <w:sz w:val="20"/>
          <w:szCs w:val="20"/>
          <w:color w:val="auto"/>
        </w:rPr>
      </w:pPr>
      <w:r>
        <w:rPr>
          <w:rFonts w:ascii="Arial" w:cs="Arial" w:eastAsia="Arial" w:hAnsi="Arial"/>
          <w:sz w:val="16"/>
          <w:szCs w:val="16"/>
          <w:color w:val="435363"/>
        </w:rPr>
        <w:t xml:space="preserve">Our Annual Report on Form 10-K for the year ended December 31, 2023 accompanies this Proxy Statement but does not constitute a part of the proxy soliciting materials. </w:t>
      </w:r>
      <w:r>
        <w:rPr>
          <w:rFonts w:ascii="Arial" w:cs="Arial" w:eastAsia="Arial" w:hAnsi="Arial"/>
          <w:sz w:val="16"/>
          <w:szCs w:val="16"/>
          <w:b w:val="1"/>
          <w:bCs w:val="1"/>
          <w:color w:val="435363"/>
        </w:rPr>
        <w:t>A copy of our Annual Report on Form 10-K for the year ended December 31, 2023, including financial statements and</w:t>
      </w:r>
      <w:r>
        <w:rPr>
          <w:rFonts w:ascii="Arial" w:cs="Arial" w:eastAsia="Arial" w:hAnsi="Arial"/>
          <w:sz w:val="16"/>
          <w:szCs w:val="16"/>
          <w:color w:val="435363"/>
        </w:rPr>
        <w:t xml:space="preserve"> </w:t>
      </w:r>
      <w:r>
        <w:rPr>
          <w:rFonts w:ascii="Arial" w:cs="Arial" w:eastAsia="Arial" w:hAnsi="Arial"/>
          <w:sz w:val="16"/>
          <w:szCs w:val="16"/>
          <w:b w:val="1"/>
          <w:bCs w:val="1"/>
          <w:color w:val="435363"/>
        </w:rPr>
        <w:t xml:space="preserve">financial statement schedules but without exhibits, is available to any person whose vote is solicited by this proxy upon written request to the Corporate Secretary, American Airlines Group Inc., MD8B503, 1 Skyview Drive, Fort Worth, Texas 76155. </w:t>
      </w:r>
      <w:r>
        <w:rPr>
          <w:rFonts w:ascii="Arial" w:cs="Arial" w:eastAsia="Arial" w:hAnsi="Arial"/>
          <w:sz w:val="16"/>
          <w:szCs w:val="16"/>
          <w:color w:val="435363"/>
        </w:rPr>
        <w:t>Copies also may be obtained without</w:t>
      </w:r>
      <w:r>
        <w:rPr>
          <w:rFonts w:ascii="Arial" w:cs="Arial" w:eastAsia="Arial" w:hAnsi="Arial"/>
          <w:sz w:val="16"/>
          <w:szCs w:val="16"/>
          <w:b w:val="1"/>
          <w:bCs w:val="1"/>
          <w:color w:val="435363"/>
        </w:rPr>
        <w:t xml:space="preserve"> </w:t>
      </w:r>
      <w:r>
        <w:rPr>
          <w:rFonts w:ascii="Arial" w:cs="Arial" w:eastAsia="Arial" w:hAnsi="Arial"/>
          <w:sz w:val="16"/>
          <w:szCs w:val="16"/>
          <w:color w:val="435363"/>
        </w:rPr>
        <w:t xml:space="preserve">charge through the SEC’s website at </w:t>
      </w:r>
      <w:r>
        <w:rPr>
          <w:rFonts w:ascii="Arial" w:cs="Arial" w:eastAsia="Arial" w:hAnsi="Arial"/>
          <w:sz w:val="16"/>
          <w:szCs w:val="16"/>
          <w:i w:val="1"/>
          <w:iCs w:val="1"/>
          <w:color w:val="435363"/>
        </w:rPr>
        <w:t>www.sec.gov</w:t>
      </w:r>
      <w:r>
        <w:rPr>
          <w:rFonts w:ascii="Arial" w:cs="Arial" w:eastAsia="Arial" w:hAnsi="Arial"/>
          <w:sz w:val="16"/>
          <w:szCs w:val="16"/>
          <w:color w:val="435363"/>
        </w:rPr>
        <w:t>.</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Cautionary Statement Regarding Forward-Looking Statements</w:t>
      </w:r>
    </w:p>
    <w:p>
      <w:pPr>
        <w:spacing w:after="0" w:line="77" w:lineRule="exact"/>
        <w:rPr>
          <w:sz w:val="20"/>
          <w:szCs w:val="20"/>
          <w:color w:val="auto"/>
        </w:rPr>
      </w:pPr>
    </w:p>
    <w:p>
      <w:pPr>
        <w:ind w:left="220" w:right="60"/>
        <w:spacing w:after="0" w:line="250" w:lineRule="auto"/>
        <w:rPr>
          <w:sz w:val="20"/>
          <w:szCs w:val="20"/>
          <w:color w:val="auto"/>
        </w:rPr>
      </w:pPr>
      <w:r>
        <w:rPr>
          <w:rFonts w:ascii="Arial" w:cs="Arial" w:eastAsia="Arial" w:hAnsi="Arial"/>
          <w:sz w:val="16"/>
          <w:szCs w:val="16"/>
          <w:color w:val="435363"/>
        </w:rPr>
        <w:t>Certain of the statements contained in this Proxy Statement should be considered forward-looking statements within the meaning of the Securities Act,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106680</wp:posOffset>
            </wp:positionV>
            <wp:extent cx="5177155" cy="1682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81</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p>
      <w:pPr>
        <w:ind w:left="220"/>
        <w:spacing w:after="0" w:line="264" w:lineRule="auto"/>
        <w:rPr>
          <w:sz w:val="20"/>
          <w:szCs w:val="20"/>
          <w:color w:val="auto"/>
        </w:rPr>
      </w:pPr>
      <w:r>
        <w:rPr>
          <w:rFonts w:ascii="Arial" w:cs="Arial" w:eastAsia="Arial" w:hAnsi="Arial"/>
          <w:sz w:val="15"/>
          <w:szCs w:val="15"/>
          <w:color w:val="435363"/>
        </w:rPr>
        <w:t>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the Company’s Annual Report on Form 10-K for the year ended December 31, 2023 (especially in Part I, Item 1A. Risk Factors and Part II, Item 7. Management’s Discussion and Analysis of Financial Condition and Results of Operations), and other risks and uncertainties listed from time to time in the Company’s other filings with the SEC.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420370</wp:posOffset>
            </wp:positionV>
            <wp:extent cx="5177155" cy="1682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82</w:t>
      </w:r>
    </w:p>
    <w:p>
      <w:pPr>
        <w:spacing w:after="0" w:line="33"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0960"/>
          </w:cols>
          <w:pgMar w:left="320" w:top="477" w:right="6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200660</wp:posOffset>
            </wp:positionV>
            <wp:extent cx="6193790" cy="2857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32"/>
          <w:szCs w:val="32"/>
          <w:color w:val="66AFDA"/>
        </w:rPr>
        <w:t>APPENDIX A</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Proposal 4: Bylaw Voting Threshold Amendment</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435363"/>
        </w:rPr>
        <w:t>ARTICLE X</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435363"/>
        </w:rPr>
        <w:t>AMENDMENT OF BYLAWS</w:t>
      </w:r>
    </w:p>
    <w:p>
      <w:pPr>
        <w:spacing w:after="0" w:line="91" w:lineRule="exact"/>
        <w:rPr>
          <w:sz w:val="20"/>
          <w:szCs w:val="20"/>
          <w:color w:val="auto"/>
        </w:rPr>
      </w:pPr>
    </w:p>
    <w:p>
      <w:pPr>
        <w:ind w:left="220" w:right="120"/>
        <w:spacing w:after="0" w:line="258" w:lineRule="auto"/>
        <w:rPr>
          <w:sz w:val="20"/>
          <w:szCs w:val="20"/>
          <w:color w:val="auto"/>
        </w:rPr>
      </w:pPr>
      <w:r>
        <w:rPr>
          <w:rFonts w:ascii="Arial" w:cs="Arial" w:eastAsia="Arial" w:hAnsi="Arial"/>
          <w:sz w:val="16"/>
          <w:szCs w:val="16"/>
          <w:color w:val="435363"/>
        </w:rPr>
        <w:t xml:space="preserve">In furtherance and not in limitation of the powers conferred upon it by the laws of the State of Delaware, the Board of Directors shall have the power to adopt, amend, alter or repeal the Bylaws as provided for therein. The Bylaws also may be adopted, amended, altered or repealed by the affirmative vote of the holders of at least </w:t>
      </w:r>
      <w:r>
        <w:rPr>
          <w:rFonts w:ascii="Arial" w:cs="Arial" w:eastAsia="Arial" w:hAnsi="Arial"/>
          <w:sz w:val="16"/>
          <w:szCs w:val="16"/>
          <w:color w:val="435363"/>
          <w:strike w:val="1"/>
        </w:rPr>
        <w:t>80%</w:t>
      </w:r>
      <w:r>
        <w:rPr>
          <w:rFonts w:ascii="Arial" w:cs="Arial" w:eastAsia="Arial" w:hAnsi="Arial"/>
          <w:sz w:val="16"/>
          <w:szCs w:val="16"/>
          <w:color w:val="435363"/>
        </w:rPr>
        <w:t xml:space="preserve"> </w:t>
      </w:r>
      <w:r>
        <w:rPr>
          <w:rFonts w:ascii="Arial" w:cs="Arial" w:eastAsia="Arial" w:hAnsi="Arial"/>
          <w:sz w:val="16"/>
          <w:szCs w:val="16"/>
          <w:u w:val="single" w:color="auto"/>
          <w:color w:val="435363"/>
        </w:rPr>
        <w:t>a majority</w:t>
      </w:r>
      <w:r>
        <w:rPr>
          <w:rFonts w:ascii="Arial" w:cs="Arial" w:eastAsia="Arial" w:hAnsi="Arial"/>
          <w:sz w:val="16"/>
          <w:szCs w:val="16"/>
          <w:color w:val="435363"/>
        </w:rPr>
        <w:t xml:space="preserve"> of the voting power of the outstanding shares entitled to vote for the election of Directors.</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Proposal 5: Supermajority Elimination Amendment</w:t>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435363"/>
        </w:rPr>
        <w:t>ARTICLE XIII</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435363"/>
        </w:rPr>
        <w:t>AMENDMENT OF THE CERTIFICATE OF INCORPORATION</w:t>
      </w:r>
    </w:p>
    <w:p>
      <w:pPr>
        <w:spacing w:after="0" w:line="91" w:lineRule="exact"/>
        <w:rPr>
          <w:sz w:val="20"/>
          <w:szCs w:val="20"/>
          <w:color w:val="auto"/>
        </w:rPr>
      </w:pPr>
    </w:p>
    <w:p>
      <w:pPr>
        <w:ind w:left="220" w:right="20"/>
        <w:spacing w:after="0" w:line="247" w:lineRule="auto"/>
        <w:rPr>
          <w:sz w:val="20"/>
          <w:szCs w:val="20"/>
          <w:color w:val="auto"/>
        </w:rPr>
      </w:pPr>
      <w:r>
        <w:rPr>
          <w:rFonts w:ascii="Arial" w:cs="Arial" w:eastAsia="Arial" w:hAnsi="Arial"/>
          <w:sz w:val="16"/>
          <w:szCs w:val="16"/>
          <w:color w:val="435363"/>
        </w:rPr>
        <w:t xml:space="preserve">The Corporation reserves the right to amend, alter, change or repeal any provision contained in this Certificate of Incorporation in the manner now or hereafter prescribed in this Certificate of Incorporation or the DGCL, and all rights herein conferred upon stockholders are granted subject to such reservation; provided, however, that, notwithstanding any other provision of this Certificate of Incorporation (but in addition to any other vote that may be required by applicable law or this Certificate of Incorporation), the affirmative vote of the holders of at least </w:t>
      </w:r>
      <w:r>
        <w:rPr>
          <w:rFonts w:ascii="Arial" w:cs="Arial" w:eastAsia="Arial" w:hAnsi="Arial"/>
          <w:sz w:val="16"/>
          <w:szCs w:val="16"/>
          <w:color w:val="435363"/>
          <w:strike w:val="1"/>
        </w:rPr>
        <w:t>two-thirds</w:t>
      </w:r>
      <w:r>
        <w:rPr>
          <w:rFonts w:ascii="Arial" w:cs="Arial" w:eastAsia="Arial" w:hAnsi="Arial"/>
          <w:sz w:val="16"/>
          <w:szCs w:val="16"/>
          <w:color w:val="435363"/>
        </w:rPr>
        <w:t xml:space="preserve"> </w:t>
      </w:r>
      <w:r>
        <w:rPr>
          <w:rFonts w:ascii="Arial" w:cs="Arial" w:eastAsia="Arial" w:hAnsi="Arial"/>
          <w:sz w:val="16"/>
          <w:szCs w:val="16"/>
          <w:u w:val="single" w:color="auto"/>
          <w:color w:val="435363"/>
        </w:rPr>
        <w:t>a majority</w:t>
      </w:r>
      <w:r>
        <w:rPr>
          <w:rFonts w:ascii="Arial" w:cs="Arial" w:eastAsia="Arial" w:hAnsi="Arial"/>
          <w:sz w:val="16"/>
          <w:szCs w:val="16"/>
          <w:color w:val="435363"/>
        </w:rPr>
        <w:t xml:space="preserve"> of the voting power of the outstanding shares entitled to vote for the election of Directors shall be required to amend, alter, change or repeal, or to adopt any provision as part of this Certificate of Incorporation </w:t>
      </w:r>
      <w:r>
        <w:rPr>
          <w:rFonts w:ascii="Arial" w:cs="Arial" w:eastAsia="Arial" w:hAnsi="Arial"/>
          <w:sz w:val="16"/>
          <w:szCs w:val="16"/>
          <w:color w:val="435363"/>
          <w:strike w:val="1"/>
        </w:rPr>
        <w:t>inconsistent with the purpose and intent of Section 6 of Article IV, Article V, Article VIII and Article X of this Certificate of</w:t>
      </w:r>
      <w:r>
        <w:rPr>
          <w:rFonts w:ascii="Arial" w:cs="Arial" w:eastAsia="Arial" w:hAnsi="Arial"/>
          <w:sz w:val="16"/>
          <w:szCs w:val="16"/>
          <w:color w:val="435363"/>
        </w:rPr>
        <w:t xml:space="preserve"> </w:t>
      </w:r>
      <w:r>
        <w:rPr>
          <w:rFonts w:ascii="Arial" w:cs="Arial" w:eastAsia="Arial" w:hAnsi="Arial"/>
          <w:sz w:val="16"/>
          <w:szCs w:val="16"/>
          <w:color w:val="435363"/>
          <w:strike w:val="1"/>
        </w:rPr>
        <w:t>Incorporation or this Article XIII.</w:t>
      </w:r>
    </w:p>
    <w:p>
      <w:pPr>
        <w:spacing w:after="0" w:line="39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435363"/>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354330</wp:posOffset>
            </wp:positionV>
            <wp:extent cx="5177155" cy="1682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435363"/>
        </w:rPr>
        <w:t>A-1</w:t>
      </w: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20"/>
          </w:cols>
          <w:pgMar w:left="320" w:top="477" w:right="5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200660</wp:posOffset>
            </wp:positionV>
            <wp:extent cx="6193790" cy="2857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19379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32"/>
          <w:szCs w:val="32"/>
          <w:color w:val="66AFDA"/>
        </w:rPr>
        <w:t>APPENDIX B</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Reconciliation of Certain GAAP to Non-GAAP Financial Information</w:t>
      </w:r>
    </w:p>
    <w:p>
      <w:pPr>
        <w:spacing w:after="0" w:line="90" w:lineRule="exact"/>
        <w:rPr>
          <w:sz w:val="20"/>
          <w:szCs w:val="20"/>
          <w:color w:val="auto"/>
        </w:rPr>
      </w:pPr>
    </w:p>
    <w:p>
      <w:pPr>
        <w:ind w:left="220" w:right="20"/>
        <w:spacing w:after="0" w:line="245" w:lineRule="auto"/>
        <w:rPr>
          <w:sz w:val="20"/>
          <w:szCs w:val="20"/>
          <w:color w:val="auto"/>
        </w:rPr>
      </w:pPr>
      <w:r>
        <w:rPr>
          <w:rFonts w:ascii="Arial" w:cs="Arial" w:eastAsia="Arial" w:hAnsi="Arial"/>
          <w:sz w:val="16"/>
          <w:szCs w:val="16"/>
          <w:color w:val="435363"/>
        </w:rPr>
        <w:t>We sometimes use financial measures that are derived from the condensed consolidated financial statements but that are not presented in accordance with generally accepted accounting principles in the U.S.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 Management uses these non-GAAP financial measures to evaluate the Company’s current operating performance and to allow for period-to-period comparison. As net special items may vary from period-to-period in nature and amount, the adjustment to exclude net special items allows management an additional tool to understand our core operating performance.</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6"/>
          <w:szCs w:val="16"/>
          <w:color w:val="435363"/>
        </w:rPr>
        <w:t>The tables below present the reconciliations of the following GAAP measures to their non-GAAP measures:</w:t>
      </w:r>
    </w:p>
    <w:p>
      <w:pPr>
        <w:spacing w:after="0" w:line="120" w:lineRule="exact"/>
        <w:rPr>
          <w:sz w:val="20"/>
          <w:szCs w:val="20"/>
          <w:color w:val="auto"/>
        </w:rPr>
      </w:pPr>
    </w:p>
    <w:p>
      <w:pPr>
        <w:ind w:left="1080" w:hanging="326"/>
        <w:spacing w:after="0"/>
        <w:tabs>
          <w:tab w:leader="none" w:pos="1080" w:val="left"/>
        </w:tabs>
        <w:numPr>
          <w:ilvl w:val="0"/>
          <w:numId w:val="68"/>
        </w:numPr>
        <w:rPr>
          <w:rFonts w:ascii="Arial" w:cs="Arial" w:eastAsia="Arial" w:hAnsi="Arial"/>
          <w:sz w:val="16"/>
          <w:szCs w:val="16"/>
          <w:color w:val="3575B3"/>
        </w:rPr>
      </w:pPr>
      <w:r>
        <w:rPr>
          <w:rFonts w:ascii="Arial" w:cs="Arial" w:eastAsia="Arial" w:hAnsi="Arial"/>
          <w:sz w:val="16"/>
          <w:szCs w:val="16"/>
          <w:color w:val="435363"/>
        </w:rPr>
        <w:t>Pre-Tax Income (Loss) (GAAP measure) to Pre-Tax Income (Loss) Excluding Net Special Items (non-GAAP measure);</w:t>
      </w:r>
    </w:p>
    <w:p>
      <w:pPr>
        <w:spacing w:after="0" w:line="120" w:lineRule="exact"/>
        <w:rPr>
          <w:rFonts w:ascii="Arial" w:cs="Arial" w:eastAsia="Arial" w:hAnsi="Arial"/>
          <w:sz w:val="16"/>
          <w:szCs w:val="16"/>
          <w:color w:val="3575B3"/>
        </w:rPr>
      </w:pPr>
    </w:p>
    <w:p>
      <w:pPr>
        <w:ind w:left="1080" w:hanging="326"/>
        <w:spacing w:after="0"/>
        <w:tabs>
          <w:tab w:leader="none" w:pos="1080" w:val="left"/>
        </w:tabs>
        <w:numPr>
          <w:ilvl w:val="0"/>
          <w:numId w:val="68"/>
        </w:numPr>
        <w:rPr>
          <w:rFonts w:ascii="Arial" w:cs="Arial" w:eastAsia="Arial" w:hAnsi="Arial"/>
          <w:sz w:val="16"/>
          <w:szCs w:val="16"/>
          <w:color w:val="3575B3"/>
        </w:rPr>
      </w:pPr>
      <w:r>
        <w:rPr>
          <w:rFonts w:ascii="Arial" w:cs="Arial" w:eastAsia="Arial" w:hAnsi="Arial"/>
          <w:sz w:val="16"/>
          <w:szCs w:val="16"/>
          <w:color w:val="435363"/>
        </w:rPr>
        <w:t>Pre-Tax Margin (GAAP measure) to Pre-Tax Margin Excluding Net Special Items (non-GAAP measure);</w:t>
      </w:r>
    </w:p>
    <w:p>
      <w:pPr>
        <w:spacing w:after="0" w:line="120" w:lineRule="exact"/>
        <w:rPr>
          <w:rFonts w:ascii="Arial" w:cs="Arial" w:eastAsia="Arial" w:hAnsi="Arial"/>
          <w:sz w:val="16"/>
          <w:szCs w:val="16"/>
          <w:color w:val="3575B3"/>
        </w:rPr>
      </w:pPr>
    </w:p>
    <w:p>
      <w:pPr>
        <w:ind w:left="1080" w:hanging="326"/>
        <w:spacing w:after="0"/>
        <w:tabs>
          <w:tab w:leader="none" w:pos="1080" w:val="left"/>
        </w:tabs>
        <w:numPr>
          <w:ilvl w:val="0"/>
          <w:numId w:val="68"/>
        </w:numPr>
        <w:rPr>
          <w:rFonts w:ascii="Arial" w:cs="Arial" w:eastAsia="Arial" w:hAnsi="Arial"/>
          <w:sz w:val="16"/>
          <w:szCs w:val="16"/>
          <w:color w:val="3575B3"/>
        </w:rPr>
      </w:pPr>
      <w:r>
        <w:rPr>
          <w:rFonts w:ascii="Arial" w:cs="Arial" w:eastAsia="Arial" w:hAnsi="Arial"/>
          <w:sz w:val="16"/>
          <w:szCs w:val="16"/>
          <w:color w:val="435363"/>
        </w:rPr>
        <w:t>Net Income (GAAP measure) to Net Income Excluding Net Special Items (non-GAAP measure); and</w:t>
      </w:r>
    </w:p>
    <w:p>
      <w:pPr>
        <w:spacing w:after="0" w:line="120" w:lineRule="exact"/>
        <w:rPr>
          <w:rFonts w:ascii="Arial" w:cs="Arial" w:eastAsia="Arial" w:hAnsi="Arial"/>
          <w:sz w:val="16"/>
          <w:szCs w:val="16"/>
          <w:color w:val="3575B3"/>
        </w:rPr>
      </w:pPr>
    </w:p>
    <w:p>
      <w:pPr>
        <w:ind w:left="1080" w:right="660" w:hanging="326"/>
        <w:spacing w:after="0" w:line="275" w:lineRule="auto"/>
        <w:tabs>
          <w:tab w:leader="none" w:pos="1080" w:val="left"/>
        </w:tabs>
        <w:numPr>
          <w:ilvl w:val="0"/>
          <w:numId w:val="68"/>
        </w:numPr>
        <w:rPr>
          <w:rFonts w:ascii="Arial" w:cs="Arial" w:eastAsia="Arial" w:hAnsi="Arial"/>
          <w:sz w:val="16"/>
          <w:szCs w:val="16"/>
          <w:color w:val="3575B3"/>
        </w:rPr>
      </w:pPr>
      <w:r>
        <w:rPr>
          <w:rFonts w:ascii="Arial" w:cs="Arial" w:eastAsia="Arial" w:hAnsi="Arial"/>
          <w:sz w:val="16"/>
          <w:szCs w:val="16"/>
          <w:color w:val="435363"/>
        </w:rPr>
        <w:t>Basic and Diluted Earnings Per Share (GAAP measure) to Basic and Diluted Earnings (Loss) Per Share Excluding Net Special Items (Non-GAAP measure).</w:t>
      </w:r>
    </w:p>
    <w:p>
      <w:pPr>
        <w:spacing w:after="0" w:line="187"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10"/>
          </w:tcPr>
          <w:p>
            <w:pPr>
              <w:jc w:val="center"/>
              <w:ind w:right="460"/>
              <w:spacing w:after="0"/>
              <w:rPr>
                <w:sz w:val="20"/>
                <w:szCs w:val="20"/>
                <w:color w:val="auto"/>
              </w:rPr>
            </w:pPr>
            <w:r>
              <w:rPr>
                <w:rFonts w:ascii="Arial" w:cs="Arial" w:eastAsia="Arial" w:hAnsi="Arial"/>
                <w:sz w:val="16"/>
                <w:szCs w:val="16"/>
                <w:b w:val="1"/>
                <w:bCs w:val="1"/>
                <w:color w:val="3575B3"/>
                <w:w w:val="99"/>
              </w:rPr>
              <w:t>12 Months Ended December 31,</w:t>
            </w:r>
          </w:p>
        </w:tc>
        <w:tc>
          <w:tcPr>
            <w:tcW w:w="0" w:type="dxa"/>
            <w:vAlign w:val="bottom"/>
          </w:tcPr>
          <w:p>
            <w:pPr>
              <w:spacing w:after="0"/>
              <w:rPr>
                <w:sz w:val="1"/>
                <w:szCs w:val="1"/>
                <w:color w:val="auto"/>
              </w:rPr>
            </w:pPr>
          </w:p>
        </w:tc>
      </w:tr>
      <w:tr>
        <w:trPr>
          <w:trHeight w:val="35"/>
        </w:trPr>
        <w:tc>
          <w:tcPr>
            <w:tcW w:w="7140" w:type="dxa"/>
            <w:vAlign w:val="bottom"/>
            <w:gridSpan w:val="2"/>
            <w:vMerge w:val="restart"/>
          </w:tcPr>
          <w:p>
            <w:pPr>
              <w:spacing w:after="0"/>
              <w:rPr>
                <w:sz w:val="20"/>
                <w:szCs w:val="20"/>
                <w:color w:val="auto"/>
              </w:rPr>
            </w:pPr>
            <w:r>
              <w:rPr>
                <w:rFonts w:ascii="Arial" w:cs="Arial" w:eastAsia="Arial" w:hAnsi="Arial"/>
                <w:sz w:val="16"/>
                <w:szCs w:val="16"/>
                <w:b w:val="1"/>
                <w:bCs w:val="1"/>
                <w:color w:val="3575B3"/>
              </w:rPr>
              <w:t>  Reconciliation of Pre-Tax Income (Loss) Excluding Net Special Items</w:t>
            </w:r>
          </w:p>
        </w:tc>
        <w:tc>
          <w:tcPr>
            <w:tcW w:w="220" w:type="dxa"/>
            <w:vAlign w:val="bottom"/>
            <w:tcBorders>
              <w:bottom w:val="single" w:sz="8" w:color="BF0000"/>
            </w:tcBorders>
          </w:tcPr>
          <w:p>
            <w:pPr>
              <w:spacing w:after="0"/>
              <w:rPr>
                <w:sz w:val="3"/>
                <w:szCs w:val="3"/>
                <w:color w:val="auto"/>
              </w:rPr>
            </w:pPr>
          </w:p>
        </w:tc>
        <w:tc>
          <w:tcPr>
            <w:tcW w:w="120" w:type="dxa"/>
            <w:vAlign w:val="bottom"/>
            <w:tcBorders>
              <w:bottom w:val="single" w:sz="8" w:color="BF0000"/>
            </w:tcBorders>
          </w:tcPr>
          <w:p>
            <w:pPr>
              <w:spacing w:after="0"/>
              <w:rPr>
                <w:sz w:val="3"/>
                <w:szCs w:val="3"/>
                <w:color w:val="auto"/>
              </w:rPr>
            </w:pPr>
          </w:p>
        </w:tc>
        <w:tc>
          <w:tcPr>
            <w:tcW w:w="560" w:type="dxa"/>
            <w:vAlign w:val="bottom"/>
            <w:tcBorders>
              <w:bottom w:val="single" w:sz="8" w:color="BF0000"/>
            </w:tcBorders>
          </w:tcPr>
          <w:p>
            <w:pPr>
              <w:spacing w:after="0"/>
              <w:rPr>
                <w:sz w:val="3"/>
                <w:szCs w:val="3"/>
                <w:color w:val="auto"/>
              </w:rPr>
            </w:pPr>
          </w:p>
        </w:tc>
        <w:tc>
          <w:tcPr>
            <w:tcW w:w="320" w:type="dxa"/>
            <w:vAlign w:val="bottom"/>
            <w:tcBorders>
              <w:bottom w:val="single" w:sz="8" w:color="BF0000"/>
            </w:tcBorders>
          </w:tcPr>
          <w:p>
            <w:pPr>
              <w:spacing w:after="0"/>
              <w:rPr>
                <w:sz w:val="3"/>
                <w:szCs w:val="3"/>
                <w:color w:val="auto"/>
              </w:rPr>
            </w:pPr>
          </w:p>
        </w:tc>
        <w:tc>
          <w:tcPr>
            <w:tcW w:w="200" w:type="dxa"/>
            <w:vAlign w:val="bottom"/>
            <w:tcBorders>
              <w:bottom w:val="single" w:sz="8" w:color="BF0000"/>
            </w:tcBorders>
          </w:tcPr>
          <w:p>
            <w:pPr>
              <w:spacing w:after="0"/>
              <w:rPr>
                <w:sz w:val="3"/>
                <w:szCs w:val="3"/>
                <w:color w:val="auto"/>
              </w:rPr>
            </w:pPr>
          </w:p>
        </w:tc>
        <w:tc>
          <w:tcPr>
            <w:tcW w:w="120" w:type="dxa"/>
            <w:vAlign w:val="bottom"/>
            <w:tcBorders>
              <w:bottom w:val="single" w:sz="8" w:color="BF0000"/>
            </w:tcBorders>
          </w:tcPr>
          <w:p>
            <w:pPr>
              <w:spacing w:after="0"/>
              <w:rPr>
                <w:sz w:val="3"/>
                <w:szCs w:val="3"/>
                <w:color w:val="auto"/>
              </w:rPr>
            </w:pPr>
          </w:p>
        </w:tc>
        <w:tc>
          <w:tcPr>
            <w:tcW w:w="560" w:type="dxa"/>
            <w:vAlign w:val="bottom"/>
            <w:tcBorders>
              <w:bottom w:val="single" w:sz="8" w:color="BF0000"/>
            </w:tcBorders>
          </w:tcPr>
          <w:p>
            <w:pPr>
              <w:spacing w:after="0"/>
              <w:rPr>
                <w:sz w:val="3"/>
                <w:szCs w:val="3"/>
                <w:color w:val="auto"/>
              </w:rPr>
            </w:pPr>
          </w:p>
        </w:tc>
        <w:tc>
          <w:tcPr>
            <w:tcW w:w="340" w:type="dxa"/>
            <w:vAlign w:val="bottom"/>
            <w:tcBorders>
              <w:bottom w:val="single" w:sz="8" w:color="BF0000"/>
            </w:tcBorders>
          </w:tcPr>
          <w:p>
            <w:pPr>
              <w:spacing w:after="0"/>
              <w:rPr>
                <w:sz w:val="3"/>
                <w:szCs w:val="3"/>
                <w:color w:val="auto"/>
              </w:rPr>
            </w:pPr>
          </w:p>
        </w:tc>
        <w:tc>
          <w:tcPr>
            <w:tcW w:w="200" w:type="dxa"/>
            <w:vAlign w:val="bottom"/>
            <w:tcBorders>
              <w:bottom w:val="single" w:sz="8" w:color="BF0000"/>
            </w:tcBorders>
          </w:tcPr>
          <w:p>
            <w:pPr>
              <w:spacing w:after="0"/>
              <w:rPr>
                <w:sz w:val="3"/>
                <w:szCs w:val="3"/>
                <w:color w:val="auto"/>
              </w:rPr>
            </w:pPr>
          </w:p>
        </w:tc>
        <w:tc>
          <w:tcPr>
            <w:tcW w:w="120" w:type="dxa"/>
            <w:vAlign w:val="bottom"/>
            <w:tcBorders>
              <w:bottom w:val="single" w:sz="8" w:color="BF0000"/>
            </w:tcBorders>
          </w:tcPr>
          <w:p>
            <w:pPr>
              <w:spacing w:after="0"/>
              <w:rPr>
                <w:sz w:val="3"/>
                <w:szCs w:val="3"/>
                <w:color w:val="auto"/>
              </w:rPr>
            </w:pPr>
          </w:p>
        </w:tc>
        <w:tc>
          <w:tcPr>
            <w:tcW w:w="600" w:type="dxa"/>
            <w:vAlign w:val="bottom"/>
            <w:tcBorders>
              <w:bottom w:val="single" w:sz="8" w:color="BF0000"/>
            </w:tcBorders>
          </w:tcPr>
          <w:p>
            <w:pPr>
              <w:spacing w:after="0"/>
              <w:rPr>
                <w:sz w:val="3"/>
                <w:szCs w:val="3"/>
                <w:color w:val="auto"/>
              </w:rPr>
            </w:pPr>
          </w:p>
        </w:tc>
        <w:tc>
          <w:tcPr>
            <w:tcW w:w="320" w:type="dxa"/>
            <w:vAlign w:val="bottom"/>
            <w:tcBorders>
              <w:bottom w:val="single" w:sz="8" w:color="BF0000"/>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71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101"/>
              <w:spacing w:after="0"/>
              <w:rPr>
                <w:sz w:val="20"/>
                <w:szCs w:val="20"/>
                <w:color w:val="auto"/>
              </w:rPr>
            </w:pPr>
            <w:r>
              <w:rPr>
                <w:rFonts w:ascii="Arial" w:cs="Arial" w:eastAsia="Arial" w:hAnsi="Arial"/>
                <w:sz w:val="16"/>
                <w:szCs w:val="16"/>
                <w:b w:val="1"/>
                <w:bCs w:val="1"/>
                <w:color w:val="3575B3"/>
              </w:rPr>
              <w:t>2023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center"/>
              <w:ind w:right="41"/>
              <w:spacing w:after="0"/>
              <w:rPr>
                <w:sz w:val="20"/>
                <w:szCs w:val="20"/>
                <w:color w:val="auto"/>
              </w:rPr>
            </w:pPr>
            <w:r>
              <w:rPr>
                <w:rFonts w:ascii="Arial" w:cs="Arial" w:eastAsia="Arial" w:hAnsi="Arial"/>
                <w:sz w:val="16"/>
                <w:szCs w:val="16"/>
                <w:b w:val="1"/>
                <w:bCs w:val="1"/>
                <w:color w:val="3575B3"/>
              </w:rPr>
              <w:t>2022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ind w:right="121"/>
              <w:spacing w:after="0"/>
              <w:rPr>
                <w:sz w:val="20"/>
                <w:szCs w:val="20"/>
                <w:color w:val="auto"/>
              </w:rPr>
            </w:pPr>
            <w:r>
              <w:rPr>
                <w:rFonts w:ascii="Arial" w:cs="Arial" w:eastAsia="Arial" w:hAnsi="Arial"/>
                <w:sz w:val="16"/>
                <w:szCs w:val="16"/>
                <w:b w:val="1"/>
                <w:bCs w:val="1"/>
                <w:color w:val="3575B3"/>
              </w:rPr>
              <w:t>2021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Borders>
              <w:bottom w:val="single" w:sz="8" w:color="BF0000"/>
            </w:tcBorders>
          </w:tcPr>
          <w:p>
            <w:pPr>
              <w:spacing w:after="0" w:line="20" w:lineRule="exact"/>
              <w:rPr>
                <w:sz w:val="1"/>
                <w:szCs w:val="1"/>
                <w:color w:val="auto"/>
              </w:rPr>
            </w:pPr>
          </w:p>
        </w:tc>
        <w:tc>
          <w:tcPr>
            <w:tcW w:w="220" w:type="dxa"/>
            <w:vAlign w:val="bottom"/>
            <w:tcBorders>
              <w:bottom w:val="single" w:sz="8" w:color="BF0000"/>
            </w:tcBorders>
          </w:tcPr>
          <w:p>
            <w:pPr>
              <w:spacing w:after="0" w:line="20" w:lineRule="exact"/>
              <w:rPr>
                <w:sz w:val="1"/>
                <w:szCs w:val="1"/>
                <w:color w:val="auto"/>
              </w:rPr>
            </w:pPr>
          </w:p>
        </w:tc>
        <w:tc>
          <w:tcPr>
            <w:tcW w:w="120" w:type="dxa"/>
            <w:vAlign w:val="bottom"/>
            <w:tcBorders>
              <w:bottom w:val="single" w:sz="8" w:color="BF0000"/>
            </w:tcBorders>
          </w:tcPr>
          <w:p>
            <w:pPr>
              <w:spacing w:after="0" w:line="20" w:lineRule="exact"/>
              <w:rPr>
                <w:sz w:val="1"/>
                <w:szCs w:val="1"/>
                <w:color w:val="auto"/>
              </w:rPr>
            </w:pPr>
          </w:p>
        </w:tc>
        <w:tc>
          <w:tcPr>
            <w:tcW w:w="3340" w:type="dxa"/>
            <w:vAlign w:val="bottom"/>
            <w:tcBorders>
              <w:bottom w:val="single" w:sz="8" w:color="BF0000"/>
            </w:tcBorders>
            <w:gridSpan w:val="1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10"/>
          </w:tcPr>
          <w:p>
            <w:pPr>
              <w:jc w:val="center"/>
              <w:ind w:right="460"/>
              <w:spacing w:after="0"/>
              <w:rPr>
                <w:sz w:val="20"/>
                <w:szCs w:val="20"/>
                <w:color w:val="auto"/>
              </w:rPr>
            </w:pPr>
            <w:r>
              <w:rPr>
                <w:rFonts w:ascii="Arial" w:cs="Arial" w:eastAsia="Arial" w:hAnsi="Arial"/>
                <w:sz w:val="16"/>
                <w:szCs w:val="16"/>
                <w:b w:val="1"/>
                <w:bCs w:val="1"/>
                <w:color w:val="3575B3"/>
                <w:w w:val="98"/>
              </w:rPr>
              <w:t>(in millions, other than percentages)</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120" w:type="dxa"/>
            <w:vAlign w:val="bottom"/>
          </w:tcPr>
          <w:p>
            <w:pPr>
              <w:ind w:left="60"/>
              <w:spacing w:after="0"/>
              <w:rPr>
                <w:sz w:val="20"/>
                <w:szCs w:val="20"/>
                <w:color w:val="auto"/>
              </w:rPr>
            </w:pPr>
            <w:r>
              <w:rPr>
                <w:rFonts w:ascii="Arial" w:cs="Arial" w:eastAsia="Arial" w:hAnsi="Arial"/>
                <w:sz w:val="16"/>
                <w:szCs w:val="16"/>
                <w:color w:val="435363"/>
              </w:rPr>
              <w:t>Pre-tax income (loss) as reported</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435363"/>
              </w:rPr>
              <w:t>$</w:t>
            </w:r>
          </w:p>
        </w:tc>
        <w:tc>
          <w:tcPr>
            <w:tcW w:w="560" w:type="dxa"/>
            <w:vAlign w:val="bottom"/>
          </w:tcPr>
          <w:p>
            <w:pPr>
              <w:jc w:val="right"/>
              <w:spacing w:after="0"/>
              <w:rPr>
                <w:sz w:val="20"/>
                <w:szCs w:val="20"/>
                <w:color w:val="auto"/>
              </w:rPr>
            </w:pPr>
            <w:r>
              <w:rPr>
                <w:rFonts w:ascii="Arial" w:cs="Arial" w:eastAsia="Arial" w:hAnsi="Arial"/>
                <w:sz w:val="16"/>
                <w:szCs w:val="16"/>
                <w:color w:val="435363"/>
              </w:rPr>
              <w:t>1,121</w:t>
            </w:r>
          </w:p>
        </w:tc>
        <w:tc>
          <w:tcPr>
            <w:tcW w:w="320" w:type="dxa"/>
            <w:vAlign w:val="bottom"/>
          </w:tcPr>
          <w:p>
            <w:pPr>
              <w:spacing w:after="0"/>
              <w:rPr>
                <w:sz w:val="23"/>
                <w:szCs w:val="2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435363"/>
              </w:rPr>
              <w:t>$</w:t>
            </w:r>
          </w:p>
        </w:tc>
        <w:tc>
          <w:tcPr>
            <w:tcW w:w="560" w:type="dxa"/>
            <w:vAlign w:val="bottom"/>
          </w:tcPr>
          <w:p>
            <w:pPr>
              <w:jc w:val="right"/>
              <w:spacing w:after="0"/>
              <w:rPr>
                <w:sz w:val="20"/>
                <w:szCs w:val="20"/>
                <w:color w:val="auto"/>
              </w:rPr>
            </w:pPr>
            <w:r>
              <w:rPr>
                <w:rFonts w:ascii="Arial" w:cs="Arial" w:eastAsia="Arial" w:hAnsi="Arial"/>
                <w:sz w:val="16"/>
                <w:szCs w:val="16"/>
                <w:color w:val="435363"/>
              </w:rPr>
              <w:t>186</w:t>
            </w:r>
          </w:p>
        </w:tc>
        <w:tc>
          <w:tcPr>
            <w:tcW w:w="340" w:type="dxa"/>
            <w:vAlign w:val="bottom"/>
          </w:tcPr>
          <w:p>
            <w:pPr>
              <w:spacing w:after="0"/>
              <w:rPr>
                <w:sz w:val="23"/>
                <w:szCs w:val="23"/>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435363"/>
              </w:rPr>
              <w:t>$</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435363"/>
              </w:rPr>
              <w:t>(2,548)</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1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435363"/>
              </w:rPr>
              <w:t>Pre-tax net special items:</w:t>
            </w:r>
          </w:p>
        </w:tc>
        <w:tc>
          <w:tcPr>
            <w:tcW w:w="220" w:type="dxa"/>
            <w:vAlign w:val="bottom"/>
            <w:tcBorders>
              <w:bottom w:val="single" w:sz="8" w:color="EDEDED"/>
            </w:tcBorders>
            <w:shd w:val="clear" w:color="auto" w:fill="EDEDED"/>
          </w:tcPr>
          <w:p>
            <w:pPr>
              <w:spacing w:after="0"/>
              <w:rPr>
                <w:sz w:val="23"/>
                <w:szCs w:val="23"/>
                <w:color w:val="auto"/>
              </w:rPr>
            </w:pPr>
          </w:p>
        </w:tc>
        <w:tc>
          <w:tcPr>
            <w:tcW w:w="120" w:type="dxa"/>
            <w:vAlign w:val="bottom"/>
            <w:tcBorders>
              <w:bottom w:val="single" w:sz="8" w:color="EDEDED"/>
            </w:tcBorders>
            <w:shd w:val="clear" w:color="auto" w:fill="EDEDED"/>
          </w:tcPr>
          <w:p>
            <w:pPr>
              <w:spacing w:after="0"/>
              <w:rPr>
                <w:sz w:val="23"/>
                <w:szCs w:val="23"/>
                <w:color w:val="auto"/>
              </w:rPr>
            </w:pPr>
          </w:p>
        </w:tc>
        <w:tc>
          <w:tcPr>
            <w:tcW w:w="560" w:type="dxa"/>
            <w:vAlign w:val="bottom"/>
            <w:tcBorders>
              <w:bottom w:val="single" w:sz="8" w:color="EDEDED"/>
            </w:tcBorders>
            <w:shd w:val="clear" w:color="auto" w:fill="EDEDED"/>
          </w:tcPr>
          <w:p>
            <w:pPr>
              <w:spacing w:after="0"/>
              <w:rPr>
                <w:sz w:val="23"/>
                <w:szCs w:val="23"/>
                <w:color w:val="auto"/>
              </w:rPr>
            </w:pPr>
          </w:p>
        </w:tc>
        <w:tc>
          <w:tcPr>
            <w:tcW w:w="320" w:type="dxa"/>
            <w:vAlign w:val="bottom"/>
            <w:tcBorders>
              <w:bottom w:val="single" w:sz="8" w:color="EDEDED"/>
            </w:tcBorders>
            <w:shd w:val="clear" w:color="auto" w:fill="EDEDED"/>
          </w:tcPr>
          <w:p>
            <w:pPr>
              <w:spacing w:after="0"/>
              <w:rPr>
                <w:sz w:val="23"/>
                <w:szCs w:val="23"/>
                <w:color w:val="auto"/>
              </w:rPr>
            </w:pPr>
          </w:p>
        </w:tc>
        <w:tc>
          <w:tcPr>
            <w:tcW w:w="200" w:type="dxa"/>
            <w:vAlign w:val="bottom"/>
            <w:tcBorders>
              <w:bottom w:val="single" w:sz="8" w:color="EDEDED"/>
            </w:tcBorders>
            <w:shd w:val="clear" w:color="auto" w:fill="EDEDED"/>
          </w:tcPr>
          <w:p>
            <w:pPr>
              <w:spacing w:after="0"/>
              <w:rPr>
                <w:sz w:val="23"/>
                <w:szCs w:val="23"/>
                <w:color w:val="auto"/>
              </w:rPr>
            </w:pPr>
          </w:p>
        </w:tc>
        <w:tc>
          <w:tcPr>
            <w:tcW w:w="120" w:type="dxa"/>
            <w:vAlign w:val="bottom"/>
            <w:tcBorders>
              <w:bottom w:val="single" w:sz="8" w:color="EDEDED"/>
            </w:tcBorders>
            <w:shd w:val="clear" w:color="auto" w:fill="EDEDED"/>
          </w:tcPr>
          <w:p>
            <w:pPr>
              <w:spacing w:after="0"/>
              <w:rPr>
                <w:sz w:val="23"/>
                <w:szCs w:val="23"/>
                <w:color w:val="auto"/>
              </w:rPr>
            </w:pPr>
          </w:p>
        </w:tc>
        <w:tc>
          <w:tcPr>
            <w:tcW w:w="560" w:type="dxa"/>
            <w:vAlign w:val="bottom"/>
            <w:tcBorders>
              <w:bottom w:val="single" w:sz="8" w:color="EDEDED"/>
            </w:tcBorders>
            <w:shd w:val="clear" w:color="auto" w:fill="EDEDED"/>
          </w:tcPr>
          <w:p>
            <w:pPr>
              <w:spacing w:after="0"/>
              <w:rPr>
                <w:sz w:val="23"/>
                <w:szCs w:val="23"/>
                <w:color w:val="auto"/>
              </w:rPr>
            </w:pPr>
          </w:p>
        </w:tc>
        <w:tc>
          <w:tcPr>
            <w:tcW w:w="340" w:type="dxa"/>
            <w:vAlign w:val="bottom"/>
            <w:tcBorders>
              <w:bottom w:val="single" w:sz="8" w:color="EDEDED"/>
            </w:tcBorders>
            <w:shd w:val="clear" w:color="auto" w:fill="EDEDED"/>
          </w:tcPr>
          <w:p>
            <w:pPr>
              <w:spacing w:after="0"/>
              <w:rPr>
                <w:sz w:val="23"/>
                <w:szCs w:val="23"/>
                <w:color w:val="auto"/>
              </w:rPr>
            </w:pPr>
          </w:p>
        </w:tc>
        <w:tc>
          <w:tcPr>
            <w:tcW w:w="200" w:type="dxa"/>
            <w:vAlign w:val="bottom"/>
            <w:tcBorders>
              <w:bottom w:val="single" w:sz="8" w:color="EDEDED"/>
            </w:tcBorders>
            <w:shd w:val="clear" w:color="auto" w:fill="EDEDED"/>
          </w:tcPr>
          <w:p>
            <w:pPr>
              <w:spacing w:after="0"/>
              <w:rPr>
                <w:sz w:val="23"/>
                <w:szCs w:val="23"/>
                <w:color w:val="auto"/>
              </w:rPr>
            </w:pPr>
          </w:p>
        </w:tc>
        <w:tc>
          <w:tcPr>
            <w:tcW w:w="120" w:type="dxa"/>
            <w:vAlign w:val="bottom"/>
            <w:tcBorders>
              <w:bottom w:val="single" w:sz="8" w:color="EDEDED"/>
            </w:tcBorders>
            <w:shd w:val="clear" w:color="auto" w:fill="EDEDED"/>
          </w:tcPr>
          <w:p>
            <w:pPr>
              <w:spacing w:after="0"/>
              <w:rPr>
                <w:sz w:val="23"/>
                <w:szCs w:val="23"/>
                <w:color w:val="auto"/>
              </w:rPr>
            </w:pPr>
          </w:p>
        </w:tc>
        <w:tc>
          <w:tcPr>
            <w:tcW w:w="600" w:type="dxa"/>
            <w:vAlign w:val="bottom"/>
            <w:tcBorders>
              <w:bottom w:val="single" w:sz="8" w:color="EDEDED"/>
            </w:tcBorders>
            <w:shd w:val="clear" w:color="auto" w:fill="EDEDED"/>
          </w:tcPr>
          <w:p>
            <w:pPr>
              <w:spacing w:after="0"/>
              <w:rPr>
                <w:sz w:val="23"/>
                <w:szCs w:val="23"/>
                <w:color w:val="auto"/>
              </w:rPr>
            </w:pPr>
          </w:p>
        </w:tc>
        <w:tc>
          <w:tcPr>
            <w:tcW w:w="320" w:type="dxa"/>
            <w:vAlign w:val="bottom"/>
            <w:tcBorders>
              <w:bottom w:val="single" w:sz="8" w:color="EDEDED"/>
            </w:tcBorders>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120" w:type="dxa"/>
            <w:vAlign w:val="bottom"/>
          </w:tcPr>
          <w:p>
            <w:pPr>
              <w:ind w:left="220"/>
              <w:spacing w:after="0"/>
              <w:rPr>
                <w:sz w:val="20"/>
                <w:szCs w:val="20"/>
                <w:color w:val="auto"/>
              </w:rPr>
            </w:pPr>
            <w:r>
              <w:rPr>
                <w:rFonts w:ascii="Arial" w:cs="Arial" w:eastAsia="Arial" w:hAnsi="Arial"/>
                <w:sz w:val="16"/>
                <w:szCs w:val="16"/>
                <w:color w:val="435363"/>
              </w:rPr>
              <w:t xml:space="preserve">Mainline operating special items, net </w:t>
            </w:r>
            <w:r>
              <w:rPr>
                <w:rFonts w:ascii="Arial" w:cs="Arial" w:eastAsia="Arial" w:hAnsi="Arial"/>
                <w:sz w:val="23"/>
                <w:szCs w:val="23"/>
                <w:color w:val="435363"/>
                <w:vertAlign w:val="superscript"/>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435363"/>
              </w:rPr>
              <w:t>971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435363"/>
              </w:rPr>
              <w:t>193</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435363"/>
              </w:rPr>
              <w:t>(4,006)</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120" w:type="dxa"/>
            <w:vAlign w:val="bottom"/>
            <w:shd w:val="clear" w:color="auto" w:fill="EDEDED"/>
          </w:tcPr>
          <w:p>
            <w:pPr>
              <w:ind w:left="220"/>
              <w:spacing w:after="0"/>
              <w:rPr>
                <w:sz w:val="20"/>
                <w:szCs w:val="20"/>
                <w:color w:val="auto"/>
              </w:rPr>
            </w:pPr>
            <w:r>
              <w:rPr>
                <w:rFonts w:ascii="Arial" w:cs="Arial" w:eastAsia="Arial" w:hAnsi="Arial"/>
                <w:sz w:val="16"/>
                <w:szCs w:val="16"/>
                <w:color w:val="435363"/>
              </w:rPr>
              <w:t xml:space="preserve">Regional operating special items, net </w:t>
            </w:r>
            <w:r>
              <w:rPr>
                <w:rFonts w:ascii="Arial" w:cs="Arial" w:eastAsia="Arial" w:hAnsi="Arial"/>
                <w:sz w:val="23"/>
                <w:szCs w:val="23"/>
                <w:color w:val="435363"/>
                <w:vertAlign w:val="superscript"/>
              </w:rPr>
              <w:t>(2)</w:t>
            </w:r>
          </w:p>
        </w:tc>
        <w:tc>
          <w:tcPr>
            <w:tcW w:w="22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56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8</w:t>
            </w:r>
          </w:p>
        </w:tc>
        <w:tc>
          <w:tcPr>
            <w:tcW w:w="32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560" w:type="dxa"/>
            <w:vAlign w:val="bottom"/>
            <w:shd w:val="clear" w:color="auto" w:fill="EDEDED"/>
          </w:tcPr>
          <w:p>
            <w:pPr>
              <w:jc w:val="right"/>
              <w:spacing w:after="0"/>
              <w:rPr>
                <w:sz w:val="20"/>
                <w:szCs w:val="20"/>
                <w:color w:val="auto"/>
              </w:rPr>
            </w:pPr>
            <w:r>
              <w:rPr>
                <w:rFonts w:ascii="Arial" w:cs="Arial" w:eastAsia="Arial" w:hAnsi="Arial"/>
                <w:sz w:val="16"/>
                <w:szCs w:val="16"/>
                <w:color w:val="435363"/>
              </w:rPr>
              <w:t>5</w:t>
            </w:r>
          </w:p>
        </w:tc>
        <w:tc>
          <w:tcPr>
            <w:tcW w:w="34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920" w:type="dxa"/>
            <w:vAlign w:val="bottom"/>
            <w:gridSpan w:val="2"/>
            <w:shd w:val="clear" w:color="auto" w:fill="EDEDED"/>
          </w:tcPr>
          <w:p>
            <w:pPr>
              <w:jc w:val="right"/>
              <w:ind w:right="280"/>
              <w:spacing w:after="0"/>
              <w:rPr>
                <w:sz w:val="20"/>
                <w:szCs w:val="20"/>
                <w:color w:val="auto"/>
              </w:rPr>
            </w:pPr>
            <w:r>
              <w:rPr>
                <w:rFonts w:ascii="Arial" w:cs="Arial" w:eastAsia="Arial" w:hAnsi="Arial"/>
                <w:sz w:val="16"/>
                <w:szCs w:val="16"/>
                <w:color w:val="435363"/>
              </w:rPr>
              <w:t>(449)</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120" w:type="dxa"/>
            <w:vAlign w:val="bottom"/>
          </w:tcPr>
          <w:p>
            <w:pPr>
              <w:ind w:left="220"/>
              <w:spacing w:after="0"/>
              <w:rPr>
                <w:sz w:val="20"/>
                <w:szCs w:val="20"/>
                <w:color w:val="auto"/>
              </w:rPr>
            </w:pPr>
            <w:r>
              <w:rPr>
                <w:rFonts w:ascii="Arial" w:cs="Arial" w:eastAsia="Arial" w:hAnsi="Arial"/>
                <w:sz w:val="16"/>
                <w:szCs w:val="16"/>
                <w:color w:val="435363"/>
              </w:rPr>
              <w:t xml:space="preserve">Nonoperating special items, net </w:t>
            </w:r>
            <w:r>
              <w:rPr>
                <w:rFonts w:ascii="Arial" w:cs="Arial" w:eastAsia="Arial" w:hAnsi="Arial"/>
                <w:sz w:val="23"/>
                <w:szCs w:val="23"/>
                <w:color w:val="435363"/>
                <w:vertAlign w:val="superscript"/>
              </w:rPr>
              <w:t>(3)</w:t>
            </w:r>
          </w:p>
        </w:tc>
        <w:tc>
          <w:tcPr>
            <w:tcW w:w="220" w:type="dxa"/>
            <w:vAlign w:val="bottom"/>
          </w:tcPr>
          <w:p>
            <w:pPr>
              <w:spacing w:after="0"/>
              <w:rPr>
                <w:sz w:val="24"/>
                <w:szCs w:val="24"/>
                <w:color w:val="auto"/>
              </w:rPr>
            </w:pPr>
          </w:p>
        </w:tc>
        <w:tc>
          <w:tcPr>
            <w:tcW w:w="120" w:type="dxa"/>
            <w:vAlign w:val="bottom"/>
            <w:tcBorders>
              <w:bottom w:val="single" w:sz="8" w:color="435363"/>
            </w:tcBorders>
          </w:tcPr>
          <w:p>
            <w:pPr>
              <w:spacing w:after="0"/>
              <w:rPr>
                <w:sz w:val="24"/>
                <w:szCs w:val="24"/>
                <w:color w:val="auto"/>
              </w:rPr>
            </w:pPr>
          </w:p>
        </w:tc>
        <w:tc>
          <w:tcPr>
            <w:tcW w:w="560" w:type="dxa"/>
            <w:vAlign w:val="bottom"/>
            <w:tcBorders>
              <w:bottom w:val="single" w:sz="8" w:color="435363"/>
            </w:tcBorders>
          </w:tcPr>
          <w:p>
            <w:pPr>
              <w:jc w:val="right"/>
              <w:spacing w:after="0"/>
              <w:rPr>
                <w:sz w:val="20"/>
                <w:szCs w:val="20"/>
                <w:color w:val="auto"/>
              </w:rPr>
            </w:pPr>
            <w:r>
              <w:rPr>
                <w:rFonts w:ascii="Arial" w:cs="Arial" w:eastAsia="Arial" w:hAnsi="Arial"/>
                <w:sz w:val="16"/>
                <w:szCs w:val="16"/>
                <w:color w:val="435363"/>
              </w:rPr>
              <w:t>362</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435363"/>
            </w:tcBorders>
          </w:tcPr>
          <w:p>
            <w:pPr>
              <w:spacing w:after="0"/>
              <w:rPr>
                <w:sz w:val="24"/>
                <w:szCs w:val="24"/>
                <w:color w:val="auto"/>
              </w:rPr>
            </w:pPr>
          </w:p>
        </w:tc>
        <w:tc>
          <w:tcPr>
            <w:tcW w:w="560" w:type="dxa"/>
            <w:vAlign w:val="bottom"/>
            <w:tcBorders>
              <w:bottom w:val="single" w:sz="8" w:color="435363"/>
            </w:tcBorders>
          </w:tcPr>
          <w:p>
            <w:pPr>
              <w:jc w:val="right"/>
              <w:spacing w:after="0"/>
              <w:rPr>
                <w:sz w:val="20"/>
                <w:szCs w:val="20"/>
                <w:color w:val="auto"/>
              </w:rPr>
            </w:pPr>
            <w:r>
              <w:rPr>
                <w:rFonts w:ascii="Arial" w:cs="Arial" w:eastAsia="Arial" w:hAnsi="Arial"/>
                <w:sz w:val="16"/>
                <w:szCs w:val="16"/>
                <w:color w:val="435363"/>
              </w:rPr>
              <w:t>74</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435363"/>
            </w:tcBorders>
          </w:tcPr>
          <w:p>
            <w:pPr>
              <w:spacing w:after="0"/>
              <w:rPr>
                <w:sz w:val="24"/>
                <w:szCs w:val="24"/>
                <w:color w:val="auto"/>
              </w:rPr>
            </w:pPr>
          </w:p>
        </w:tc>
        <w:tc>
          <w:tcPr>
            <w:tcW w:w="600" w:type="dxa"/>
            <w:vAlign w:val="bottom"/>
            <w:tcBorders>
              <w:bottom w:val="single" w:sz="8" w:color="435363"/>
            </w:tcBorders>
          </w:tcPr>
          <w:p>
            <w:pPr>
              <w:jc w:val="right"/>
              <w:spacing w:after="0"/>
              <w:rPr>
                <w:sz w:val="20"/>
                <w:szCs w:val="20"/>
                <w:color w:val="auto"/>
              </w:rPr>
            </w:pPr>
            <w:r>
              <w:rPr>
                <w:rFonts w:ascii="Arial" w:cs="Arial" w:eastAsia="Arial" w:hAnsi="Arial"/>
                <w:sz w:val="16"/>
                <w:szCs w:val="16"/>
                <w:color w:val="435363"/>
              </w:rPr>
              <w:t>60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71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435363"/>
              </w:rPr>
              <w:t>Total pre-tax net special items</w:t>
            </w:r>
          </w:p>
        </w:tc>
        <w:tc>
          <w:tcPr>
            <w:tcW w:w="220" w:type="dxa"/>
            <w:vAlign w:val="bottom"/>
            <w:tcBorders>
              <w:bottom w:val="single" w:sz="8" w:color="EDEDED"/>
            </w:tcBorders>
            <w:shd w:val="clear" w:color="auto" w:fill="EDEDED"/>
          </w:tcPr>
          <w:p>
            <w:pPr>
              <w:spacing w:after="0"/>
              <w:rPr>
                <w:sz w:val="22"/>
                <w:szCs w:val="22"/>
                <w:color w:val="auto"/>
              </w:rPr>
            </w:pPr>
          </w:p>
        </w:tc>
        <w:tc>
          <w:tcPr>
            <w:tcW w:w="12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1,341</w:t>
            </w:r>
          </w:p>
        </w:tc>
        <w:tc>
          <w:tcPr>
            <w:tcW w:w="320" w:type="dxa"/>
            <w:vAlign w:val="bottom"/>
            <w:tcBorders>
              <w:bottom w:val="single" w:sz="8" w:color="EDEDED"/>
            </w:tcBorders>
            <w:shd w:val="clear" w:color="auto" w:fill="EDEDED"/>
          </w:tcPr>
          <w:p>
            <w:pPr>
              <w:spacing w:after="0"/>
              <w:rPr>
                <w:sz w:val="22"/>
                <w:szCs w:val="22"/>
                <w:color w:val="auto"/>
              </w:rPr>
            </w:pPr>
          </w:p>
        </w:tc>
        <w:tc>
          <w:tcPr>
            <w:tcW w:w="200" w:type="dxa"/>
            <w:vAlign w:val="bottom"/>
            <w:tcBorders>
              <w:bottom w:val="single" w:sz="8" w:color="EDEDED"/>
            </w:tcBorders>
            <w:shd w:val="clear" w:color="auto" w:fill="EDEDED"/>
          </w:tcPr>
          <w:p>
            <w:pPr>
              <w:spacing w:after="0"/>
              <w:rPr>
                <w:sz w:val="22"/>
                <w:szCs w:val="22"/>
                <w:color w:val="auto"/>
              </w:rPr>
            </w:pPr>
          </w:p>
        </w:tc>
        <w:tc>
          <w:tcPr>
            <w:tcW w:w="12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272</w:t>
            </w:r>
          </w:p>
        </w:tc>
        <w:tc>
          <w:tcPr>
            <w:tcW w:w="340" w:type="dxa"/>
            <w:vAlign w:val="bottom"/>
            <w:tcBorders>
              <w:bottom w:val="single" w:sz="8" w:color="EDEDED"/>
            </w:tcBorders>
            <w:shd w:val="clear" w:color="auto" w:fill="EDEDED"/>
          </w:tcPr>
          <w:p>
            <w:pPr>
              <w:spacing w:after="0"/>
              <w:rPr>
                <w:sz w:val="22"/>
                <w:szCs w:val="22"/>
                <w:color w:val="auto"/>
              </w:rPr>
            </w:pPr>
          </w:p>
        </w:tc>
        <w:tc>
          <w:tcPr>
            <w:tcW w:w="200" w:type="dxa"/>
            <w:vAlign w:val="bottom"/>
            <w:tcBorders>
              <w:bottom w:val="single" w:sz="8" w:color="EDEDED"/>
            </w:tcBorders>
            <w:shd w:val="clear" w:color="auto" w:fill="EDEDED"/>
          </w:tcPr>
          <w:p>
            <w:pPr>
              <w:spacing w:after="0"/>
              <w:rPr>
                <w:sz w:val="22"/>
                <w:szCs w:val="22"/>
                <w:color w:val="auto"/>
              </w:rPr>
            </w:pPr>
          </w:p>
        </w:tc>
        <w:tc>
          <w:tcPr>
            <w:tcW w:w="120" w:type="dxa"/>
            <w:vAlign w:val="bottom"/>
            <w:tcBorders>
              <w:bottom w:val="single" w:sz="8" w:color="EDEDED"/>
            </w:tcBorders>
            <w:shd w:val="clear" w:color="auto" w:fill="EDEDED"/>
          </w:tcPr>
          <w:p>
            <w:pPr>
              <w:spacing w:after="0"/>
              <w:rPr>
                <w:sz w:val="22"/>
                <w:szCs w:val="22"/>
                <w:color w:val="auto"/>
              </w:rPr>
            </w:pPr>
          </w:p>
        </w:tc>
        <w:tc>
          <w:tcPr>
            <w:tcW w:w="920" w:type="dxa"/>
            <w:vAlign w:val="bottom"/>
            <w:tcBorders>
              <w:bottom w:val="single" w:sz="8" w:color="EDEDED"/>
            </w:tcBorders>
            <w:gridSpan w:val="2"/>
            <w:shd w:val="clear" w:color="auto" w:fill="EDEDED"/>
          </w:tcPr>
          <w:p>
            <w:pPr>
              <w:jc w:val="right"/>
              <w:ind w:right="280"/>
              <w:spacing w:after="0"/>
              <w:rPr>
                <w:sz w:val="20"/>
                <w:szCs w:val="20"/>
                <w:color w:val="auto"/>
              </w:rPr>
            </w:pPr>
            <w:r>
              <w:rPr>
                <w:rFonts w:ascii="Arial" w:cs="Arial" w:eastAsia="Arial" w:hAnsi="Arial"/>
                <w:sz w:val="16"/>
                <w:szCs w:val="16"/>
                <w:color w:val="435363"/>
              </w:rPr>
              <w:t>(4,395)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120" w:type="dxa"/>
            <w:vAlign w:val="bottom"/>
          </w:tcPr>
          <w:p>
            <w:pPr>
              <w:ind w:left="60"/>
              <w:spacing w:after="0"/>
              <w:rPr>
                <w:sz w:val="20"/>
                <w:szCs w:val="20"/>
                <w:color w:val="auto"/>
              </w:rPr>
            </w:pPr>
            <w:r>
              <w:rPr>
                <w:rFonts w:ascii="Arial" w:cs="Arial" w:eastAsia="Arial" w:hAnsi="Arial"/>
                <w:sz w:val="16"/>
                <w:szCs w:val="16"/>
                <w:color w:val="435363"/>
              </w:rPr>
              <w:t>Pre-tax income (loss) excluding net special items</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435363"/>
              </w:rPr>
              <w:t>$</w:t>
            </w:r>
          </w:p>
        </w:tc>
        <w:tc>
          <w:tcPr>
            <w:tcW w:w="560" w:type="dxa"/>
            <w:vAlign w:val="bottom"/>
          </w:tcPr>
          <w:p>
            <w:pPr>
              <w:jc w:val="right"/>
              <w:spacing w:after="0"/>
              <w:rPr>
                <w:sz w:val="20"/>
                <w:szCs w:val="20"/>
                <w:color w:val="auto"/>
              </w:rPr>
            </w:pPr>
            <w:r>
              <w:rPr>
                <w:rFonts w:ascii="Arial" w:cs="Arial" w:eastAsia="Arial" w:hAnsi="Arial"/>
                <w:sz w:val="16"/>
                <w:szCs w:val="16"/>
                <w:color w:val="435363"/>
              </w:rPr>
              <w:t>2,462</w:t>
            </w:r>
          </w:p>
        </w:tc>
        <w:tc>
          <w:tcPr>
            <w:tcW w:w="3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435363"/>
              </w:rPr>
              <w:t>$</w:t>
            </w:r>
          </w:p>
        </w:tc>
        <w:tc>
          <w:tcPr>
            <w:tcW w:w="560" w:type="dxa"/>
            <w:vAlign w:val="bottom"/>
          </w:tcPr>
          <w:p>
            <w:pPr>
              <w:jc w:val="right"/>
              <w:spacing w:after="0"/>
              <w:rPr>
                <w:sz w:val="20"/>
                <w:szCs w:val="20"/>
                <w:color w:val="auto"/>
              </w:rPr>
            </w:pPr>
            <w:r>
              <w:rPr>
                <w:rFonts w:ascii="Arial" w:cs="Arial" w:eastAsia="Arial" w:hAnsi="Arial"/>
                <w:sz w:val="16"/>
                <w:szCs w:val="16"/>
                <w:color w:val="435363"/>
              </w:rPr>
              <w:t>458</w:t>
            </w:r>
          </w:p>
        </w:tc>
        <w:tc>
          <w:tcPr>
            <w:tcW w:w="34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435363"/>
              </w:rPr>
              <w:t>$</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435363"/>
              </w:rPr>
              <w:t>(6,943)</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1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Calculation of Pre-Tax Margin</w:t>
            </w:r>
          </w:p>
        </w:tc>
        <w:tc>
          <w:tcPr>
            <w:tcW w:w="220" w:type="dxa"/>
            <w:vAlign w:val="bottom"/>
            <w:tcBorders>
              <w:bottom w:val="single" w:sz="8" w:color="EDEDED"/>
            </w:tcBorders>
            <w:shd w:val="clear" w:color="auto" w:fill="EDEDED"/>
          </w:tcPr>
          <w:p>
            <w:pPr>
              <w:spacing w:after="0"/>
              <w:rPr>
                <w:sz w:val="24"/>
                <w:szCs w:val="24"/>
                <w:color w:val="auto"/>
              </w:rPr>
            </w:pPr>
          </w:p>
        </w:tc>
        <w:tc>
          <w:tcPr>
            <w:tcW w:w="120" w:type="dxa"/>
            <w:vAlign w:val="bottom"/>
            <w:tcBorders>
              <w:bottom w:val="single" w:sz="8" w:color="EDEDED"/>
            </w:tcBorders>
            <w:shd w:val="clear" w:color="auto" w:fill="EDEDED"/>
          </w:tcPr>
          <w:p>
            <w:pPr>
              <w:spacing w:after="0"/>
              <w:rPr>
                <w:sz w:val="24"/>
                <w:szCs w:val="24"/>
                <w:color w:val="auto"/>
              </w:rPr>
            </w:pPr>
          </w:p>
        </w:tc>
        <w:tc>
          <w:tcPr>
            <w:tcW w:w="56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EDEDED"/>
            </w:tcBorders>
            <w:shd w:val="clear" w:color="auto" w:fill="EDEDED"/>
          </w:tcPr>
          <w:p>
            <w:pPr>
              <w:spacing w:after="0"/>
              <w:rPr>
                <w:sz w:val="24"/>
                <w:szCs w:val="24"/>
                <w:color w:val="auto"/>
              </w:rPr>
            </w:pPr>
          </w:p>
        </w:tc>
        <w:tc>
          <w:tcPr>
            <w:tcW w:w="120" w:type="dxa"/>
            <w:vAlign w:val="bottom"/>
            <w:tcBorders>
              <w:bottom w:val="single" w:sz="8" w:color="EDEDED"/>
            </w:tcBorders>
            <w:shd w:val="clear" w:color="auto" w:fill="EDEDED"/>
          </w:tcPr>
          <w:p>
            <w:pPr>
              <w:spacing w:after="0"/>
              <w:rPr>
                <w:sz w:val="24"/>
                <w:szCs w:val="24"/>
                <w:color w:val="auto"/>
              </w:rPr>
            </w:pPr>
          </w:p>
        </w:tc>
        <w:tc>
          <w:tcPr>
            <w:tcW w:w="56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EDEDED"/>
            </w:tcBorders>
            <w:shd w:val="clear" w:color="auto" w:fill="EDEDED"/>
          </w:tcPr>
          <w:p>
            <w:pPr>
              <w:spacing w:after="0"/>
              <w:rPr>
                <w:sz w:val="24"/>
                <w:szCs w:val="24"/>
                <w:color w:val="auto"/>
              </w:rPr>
            </w:pPr>
          </w:p>
        </w:tc>
        <w:tc>
          <w:tcPr>
            <w:tcW w:w="120" w:type="dxa"/>
            <w:vAlign w:val="bottom"/>
            <w:tcBorders>
              <w:bottom w:val="single" w:sz="8" w:color="EDEDED"/>
            </w:tcBorders>
            <w:shd w:val="clear" w:color="auto" w:fill="EDEDED"/>
          </w:tcPr>
          <w:p>
            <w:pPr>
              <w:spacing w:after="0"/>
              <w:rPr>
                <w:sz w:val="24"/>
                <w:szCs w:val="24"/>
                <w:color w:val="auto"/>
              </w:rPr>
            </w:pPr>
          </w:p>
        </w:tc>
        <w:tc>
          <w:tcPr>
            <w:tcW w:w="60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tcBorders>
              <w:top w:val="single" w:sz="8" w:color="BF0000"/>
            </w:tcBorders>
          </w:tcPr>
          <w:p>
            <w:pPr>
              <w:ind w:left="60"/>
              <w:spacing w:after="0"/>
              <w:rPr>
                <w:sz w:val="20"/>
                <w:szCs w:val="20"/>
                <w:color w:val="auto"/>
              </w:rPr>
            </w:pPr>
            <w:r>
              <w:rPr>
                <w:rFonts w:ascii="Arial" w:cs="Arial" w:eastAsia="Arial" w:hAnsi="Arial"/>
                <w:sz w:val="16"/>
                <w:szCs w:val="16"/>
                <w:color w:val="435363"/>
              </w:rPr>
              <w:t>Pre-tax income (loss) as reported</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435363"/>
              </w:rPr>
              <w:t>$</w:t>
            </w:r>
          </w:p>
        </w:tc>
        <w:tc>
          <w:tcPr>
            <w:tcW w:w="560" w:type="dxa"/>
            <w:vAlign w:val="bottom"/>
          </w:tcPr>
          <w:p>
            <w:pPr>
              <w:jc w:val="right"/>
              <w:spacing w:after="0"/>
              <w:rPr>
                <w:sz w:val="20"/>
                <w:szCs w:val="20"/>
                <w:color w:val="auto"/>
              </w:rPr>
            </w:pPr>
            <w:r>
              <w:rPr>
                <w:rFonts w:ascii="Arial" w:cs="Arial" w:eastAsia="Arial" w:hAnsi="Arial"/>
                <w:sz w:val="16"/>
                <w:szCs w:val="16"/>
                <w:color w:val="435363"/>
              </w:rPr>
              <w:t>1,121</w:t>
            </w:r>
          </w:p>
        </w:tc>
        <w:tc>
          <w:tcPr>
            <w:tcW w:w="32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435363"/>
              </w:rPr>
              <w:t>$</w:t>
            </w:r>
          </w:p>
        </w:tc>
        <w:tc>
          <w:tcPr>
            <w:tcW w:w="560" w:type="dxa"/>
            <w:vAlign w:val="bottom"/>
          </w:tcPr>
          <w:p>
            <w:pPr>
              <w:jc w:val="right"/>
              <w:spacing w:after="0"/>
              <w:rPr>
                <w:sz w:val="20"/>
                <w:szCs w:val="20"/>
                <w:color w:val="auto"/>
              </w:rPr>
            </w:pPr>
            <w:r>
              <w:rPr>
                <w:rFonts w:ascii="Arial" w:cs="Arial" w:eastAsia="Arial" w:hAnsi="Arial"/>
                <w:sz w:val="16"/>
                <w:szCs w:val="16"/>
                <w:color w:val="435363"/>
              </w:rPr>
              <w:t>186</w:t>
            </w:r>
          </w:p>
        </w:tc>
        <w:tc>
          <w:tcPr>
            <w:tcW w:w="3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435363"/>
              </w:rPr>
              <w:t>$</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435363"/>
              </w:rPr>
              <w:t>(2,548)</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1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435363"/>
              </w:rPr>
              <w:t>Total operating revenues as reported</w:t>
            </w:r>
          </w:p>
        </w:tc>
        <w:tc>
          <w:tcPr>
            <w:tcW w:w="340" w:type="dxa"/>
            <w:vAlign w:val="bottom"/>
            <w:tcBorders>
              <w:bottom w:val="single" w:sz="8" w:color="EDEDED"/>
            </w:tcBorders>
            <w:gridSpan w:val="2"/>
            <w:shd w:val="clear" w:color="auto" w:fill="EDEDED"/>
          </w:tcPr>
          <w:p>
            <w:pPr>
              <w:jc w:val="right"/>
              <w:ind w:right="40"/>
              <w:spacing w:after="0"/>
              <w:rPr>
                <w:sz w:val="20"/>
                <w:szCs w:val="20"/>
                <w:color w:val="auto"/>
              </w:rPr>
            </w:pPr>
            <w:r>
              <w:rPr>
                <w:rFonts w:ascii="Arial" w:cs="Arial" w:eastAsia="Arial" w:hAnsi="Arial"/>
                <w:sz w:val="16"/>
                <w:szCs w:val="16"/>
                <w:color w:val="435363"/>
              </w:rPr>
              <w:t>$</w:t>
            </w:r>
          </w:p>
        </w:tc>
        <w:tc>
          <w:tcPr>
            <w:tcW w:w="5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52,788</w:t>
            </w:r>
          </w:p>
        </w:tc>
        <w:tc>
          <w:tcPr>
            <w:tcW w:w="320" w:type="dxa"/>
            <w:vAlign w:val="bottom"/>
            <w:tcBorders>
              <w:bottom w:val="single" w:sz="8" w:color="EDEDED"/>
            </w:tcBorders>
            <w:shd w:val="clear" w:color="auto" w:fill="EDEDED"/>
          </w:tcPr>
          <w:p>
            <w:pPr>
              <w:spacing w:after="0"/>
              <w:rPr>
                <w:sz w:val="23"/>
                <w:szCs w:val="23"/>
                <w:color w:val="auto"/>
              </w:rPr>
            </w:pPr>
          </w:p>
        </w:tc>
        <w:tc>
          <w:tcPr>
            <w:tcW w:w="320" w:type="dxa"/>
            <w:vAlign w:val="bottom"/>
            <w:tcBorders>
              <w:bottom w:val="single" w:sz="8" w:color="EDEDED"/>
            </w:tcBorders>
            <w:gridSpan w:val="2"/>
            <w:shd w:val="clear" w:color="auto" w:fill="EDEDED"/>
          </w:tcPr>
          <w:p>
            <w:pPr>
              <w:jc w:val="right"/>
              <w:ind w:right="40"/>
              <w:spacing w:after="0"/>
              <w:rPr>
                <w:sz w:val="20"/>
                <w:szCs w:val="20"/>
                <w:color w:val="auto"/>
              </w:rPr>
            </w:pPr>
            <w:r>
              <w:rPr>
                <w:rFonts w:ascii="Arial" w:cs="Arial" w:eastAsia="Arial" w:hAnsi="Arial"/>
                <w:sz w:val="16"/>
                <w:szCs w:val="16"/>
                <w:color w:val="435363"/>
              </w:rPr>
              <w:t>$</w:t>
            </w:r>
          </w:p>
        </w:tc>
        <w:tc>
          <w:tcPr>
            <w:tcW w:w="5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48,971</w:t>
            </w:r>
          </w:p>
        </w:tc>
        <w:tc>
          <w:tcPr>
            <w:tcW w:w="340" w:type="dxa"/>
            <w:vAlign w:val="bottom"/>
            <w:tcBorders>
              <w:bottom w:val="single" w:sz="8" w:color="EDEDED"/>
            </w:tcBorders>
            <w:shd w:val="clear" w:color="auto" w:fill="EDEDED"/>
          </w:tcPr>
          <w:p>
            <w:pPr>
              <w:spacing w:after="0"/>
              <w:rPr>
                <w:sz w:val="23"/>
                <w:szCs w:val="23"/>
                <w:color w:val="auto"/>
              </w:rPr>
            </w:pPr>
          </w:p>
        </w:tc>
        <w:tc>
          <w:tcPr>
            <w:tcW w:w="320" w:type="dxa"/>
            <w:vAlign w:val="bottom"/>
            <w:tcBorders>
              <w:bottom w:val="single" w:sz="8" w:color="EDEDED"/>
            </w:tcBorders>
            <w:gridSpan w:val="2"/>
            <w:shd w:val="clear" w:color="auto" w:fill="EDEDED"/>
          </w:tcPr>
          <w:p>
            <w:pPr>
              <w:jc w:val="right"/>
              <w:ind w:right="40"/>
              <w:spacing w:after="0"/>
              <w:rPr>
                <w:sz w:val="20"/>
                <w:szCs w:val="20"/>
                <w:color w:val="auto"/>
              </w:rPr>
            </w:pPr>
            <w:r>
              <w:rPr>
                <w:rFonts w:ascii="Arial" w:cs="Arial" w:eastAsia="Arial" w:hAnsi="Arial"/>
                <w:sz w:val="16"/>
                <w:szCs w:val="16"/>
                <w:color w:val="435363"/>
              </w:rPr>
              <w:t>$</w:t>
            </w:r>
          </w:p>
        </w:tc>
        <w:tc>
          <w:tcPr>
            <w:tcW w:w="6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29,882</w:t>
            </w:r>
          </w:p>
        </w:tc>
        <w:tc>
          <w:tcPr>
            <w:tcW w:w="320" w:type="dxa"/>
            <w:vAlign w:val="bottom"/>
            <w:tcBorders>
              <w:bottom w:val="single" w:sz="8" w:color="EDEDED"/>
            </w:tcBorders>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120" w:type="dxa"/>
            <w:vAlign w:val="bottom"/>
          </w:tcPr>
          <w:p>
            <w:pPr>
              <w:ind w:left="60"/>
              <w:spacing w:after="0"/>
              <w:rPr>
                <w:sz w:val="20"/>
                <w:szCs w:val="20"/>
                <w:color w:val="auto"/>
              </w:rPr>
            </w:pPr>
            <w:r>
              <w:rPr>
                <w:rFonts w:ascii="Arial" w:cs="Arial" w:eastAsia="Arial" w:hAnsi="Arial"/>
                <w:sz w:val="16"/>
                <w:szCs w:val="16"/>
                <w:color w:val="435363"/>
              </w:rPr>
              <w:t>Pre-tax margin</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435363"/>
              </w:rPr>
              <w:t>2.1%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435363"/>
              </w:rPr>
              <w:t>0.4%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435363"/>
              </w:rPr>
              <w:t>(8.5%)</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1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Calculation of Pre-Tax Margin Excluding Net Special Items</w:t>
            </w:r>
          </w:p>
        </w:tc>
        <w:tc>
          <w:tcPr>
            <w:tcW w:w="220" w:type="dxa"/>
            <w:vAlign w:val="bottom"/>
            <w:tcBorders>
              <w:bottom w:val="single" w:sz="8" w:color="EDEDED"/>
            </w:tcBorders>
            <w:shd w:val="clear" w:color="auto" w:fill="EDEDED"/>
          </w:tcPr>
          <w:p>
            <w:pPr>
              <w:spacing w:after="0"/>
              <w:rPr>
                <w:sz w:val="24"/>
                <w:szCs w:val="24"/>
                <w:color w:val="auto"/>
              </w:rPr>
            </w:pPr>
          </w:p>
        </w:tc>
        <w:tc>
          <w:tcPr>
            <w:tcW w:w="120" w:type="dxa"/>
            <w:vAlign w:val="bottom"/>
            <w:tcBorders>
              <w:bottom w:val="single" w:sz="8" w:color="EDEDED"/>
            </w:tcBorders>
            <w:shd w:val="clear" w:color="auto" w:fill="EDEDED"/>
          </w:tcPr>
          <w:p>
            <w:pPr>
              <w:spacing w:after="0"/>
              <w:rPr>
                <w:sz w:val="24"/>
                <w:szCs w:val="24"/>
                <w:color w:val="auto"/>
              </w:rPr>
            </w:pPr>
          </w:p>
        </w:tc>
        <w:tc>
          <w:tcPr>
            <w:tcW w:w="56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EDEDED"/>
            </w:tcBorders>
            <w:shd w:val="clear" w:color="auto" w:fill="EDEDED"/>
          </w:tcPr>
          <w:p>
            <w:pPr>
              <w:spacing w:after="0"/>
              <w:rPr>
                <w:sz w:val="24"/>
                <w:szCs w:val="24"/>
                <w:color w:val="auto"/>
              </w:rPr>
            </w:pPr>
          </w:p>
        </w:tc>
        <w:tc>
          <w:tcPr>
            <w:tcW w:w="120" w:type="dxa"/>
            <w:vAlign w:val="bottom"/>
            <w:tcBorders>
              <w:bottom w:val="single" w:sz="8" w:color="EDEDED"/>
            </w:tcBorders>
            <w:shd w:val="clear" w:color="auto" w:fill="EDEDED"/>
          </w:tcPr>
          <w:p>
            <w:pPr>
              <w:spacing w:after="0"/>
              <w:rPr>
                <w:sz w:val="24"/>
                <w:szCs w:val="24"/>
                <w:color w:val="auto"/>
              </w:rPr>
            </w:pPr>
          </w:p>
        </w:tc>
        <w:tc>
          <w:tcPr>
            <w:tcW w:w="56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EDEDED"/>
            </w:tcBorders>
            <w:shd w:val="clear" w:color="auto" w:fill="EDEDED"/>
          </w:tcPr>
          <w:p>
            <w:pPr>
              <w:spacing w:after="0"/>
              <w:rPr>
                <w:sz w:val="24"/>
                <w:szCs w:val="24"/>
                <w:color w:val="auto"/>
              </w:rPr>
            </w:pPr>
          </w:p>
        </w:tc>
        <w:tc>
          <w:tcPr>
            <w:tcW w:w="120" w:type="dxa"/>
            <w:vAlign w:val="bottom"/>
            <w:tcBorders>
              <w:bottom w:val="single" w:sz="8" w:color="EDEDED"/>
            </w:tcBorders>
            <w:shd w:val="clear" w:color="auto" w:fill="EDEDED"/>
          </w:tcPr>
          <w:p>
            <w:pPr>
              <w:spacing w:after="0"/>
              <w:rPr>
                <w:sz w:val="24"/>
                <w:szCs w:val="24"/>
                <w:color w:val="auto"/>
              </w:rPr>
            </w:pPr>
          </w:p>
        </w:tc>
        <w:tc>
          <w:tcPr>
            <w:tcW w:w="60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EDEDED"/>
            </w:tcBorders>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tcBorders>
              <w:top w:val="single" w:sz="8" w:color="BF0000"/>
            </w:tcBorders>
          </w:tcPr>
          <w:p>
            <w:pPr>
              <w:ind w:left="60"/>
              <w:spacing w:after="0"/>
              <w:rPr>
                <w:sz w:val="20"/>
                <w:szCs w:val="20"/>
                <w:color w:val="auto"/>
              </w:rPr>
            </w:pPr>
            <w:r>
              <w:rPr>
                <w:rFonts w:ascii="Arial" w:cs="Arial" w:eastAsia="Arial" w:hAnsi="Arial"/>
                <w:sz w:val="16"/>
                <w:szCs w:val="16"/>
                <w:color w:val="435363"/>
              </w:rPr>
              <w:t>Pre-tax income (loss) excluding net special items</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435363"/>
              </w:rPr>
              <w:t>$</w:t>
            </w:r>
          </w:p>
        </w:tc>
        <w:tc>
          <w:tcPr>
            <w:tcW w:w="560" w:type="dxa"/>
            <w:vAlign w:val="bottom"/>
          </w:tcPr>
          <w:p>
            <w:pPr>
              <w:jc w:val="right"/>
              <w:spacing w:after="0"/>
              <w:rPr>
                <w:sz w:val="20"/>
                <w:szCs w:val="20"/>
                <w:color w:val="auto"/>
              </w:rPr>
            </w:pPr>
            <w:r>
              <w:rPr>
                <w:rFonts w:ascii="Arial" w:cs="Arial" w:eastAsia="Arial" w:hAnsi="Arial"/>
                <w:sz w:val="16"/>
                <w:szCs w:val="16"/>
                <w:color w:val="435363"/>
              </w:rPr>
              <w:t>2,462</w:t>
            </w:r>
          </w:p>
        </w:tc>
        <w:tc>
          <w:tcPr>
            <w:tcW w:w="32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435363"/>
              </w:rPr>
              <w:t>$</w:t>
            </w:r>
          </w:p>
        </w:tc>
        <w:tc>
          <w:tcPr>
            <w:tcW w:w="560" w:type="dxa"/>
            <w:vAlign w:val="bottom"/>
          </w:tcPr>
          <w:p>
            <w:pPr>
              <w:jc w:val="right"/>
              <w:spacing w:after="0"/>
              <w:rPr>
                <w:sz w:val="20"/>
                <w:szCs w:val="20"/>
                <w:color w:val="auto"/>
              </w:rPr>
            </w:pPr>
            <w:r>
              <w:rPr>
                <w:rFonts w:ascii="Arial" w:cs="Arial" w:eastAsia="Arial" w:hAnsi="Arial"/>
                <w:sz w:val="16"/>
                <w:szCs w:val="16"/>
                <w:color w:val="435363"/>
              </w:rPr>
              <w:t>458</w:t>
            </w:r>
          </w:p>
        </w:tc>
        <w:tc>
          <w:tcPr>
            <w:tcW w:w="3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435363"/>
              </w:rPr>
              <w:t>$</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435363"/>
              </w:rPr>
              <w:t>(6,943)</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1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435363"/>
              </w:rPr>
              <w:t>Total operating revenues as reported</w:t>
            </w:r>
          </w:p>
        </w:tc>
        <w:tc>
          <w:tcPr>
            <w:tcW w:w="340" w:type="dxa"/>
            <w:vAlign w:val="bottom"/>
            <w:tcBorders>
              <w:bottom w:val="single" w:sz="8" w:color="EDEDED"/>
            </w:tcBorders>
            <w:gridSpan w:val="2"/>
            <w:shd w:val="clear" w:color="auto" w:fill="EDEDED"/>
          </w:tcPr>
          <w:p>
            <w:pPr>
              <w:jc w:val="right"/>
              <w:ind w:right="40"/>
              <w:spacing w:after="0"/>
              <w:rPr>
                <w:sz w:val="20"/>
                <w:szCs w:val="20"/>
                <w:color w:val="auto"/>
              </w:rPr>
            </w:pPr>
            <w:r>
              <w:rPr>
                <w:rFonts w:ascii="Arial" w:cs="Arial" w:eastAsia="Arial" w:hAnsi="Arial"/>
                <w:sz w:val="16"/>
                <w:szCs w:val="16"/>
                <w:color w:val="435363"/>
              </w:rPr>
              <w:t>$</w:t>
            </w:r>
          </w:p>
        </w:tc>
        <w:tc>
          <w:tcPr>
            <w:tcW w:w="5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52,788</w:t>
            </w:r>
          </w:p>
        </w:tc>
        <w:tc>
          <w:tcPr>
            <w:tcW w:w="320" w:type="dxa"/>
            <w:vAlign w:val="bottom"/>
            <w:tcBorders>
              <w:bottom w:val="single" w:sz="8" w:color="EDEDED"/>
            </w:tcBorders>
            <w:shd w:val="clear" w:color="auto" w:fill="EDEDED"/>
          </w:tcPr>
          <w:p>
            <w:pPr>
              <w:spacing w:after="0"/>
              <w:rPr>
                <w:sz w:val="23"/>
                <w:szCs w:val="23"/>
                <w:color w:val="auto"/>
              </w:rPr>
            </w:pPr>
          </w:p>
        </w:tc>
        <w:tc>
          <w:tcPr>
            <w:tcW w:w="320" w:type="dxa"/>
            <w:vAlign w:val="bottom"/>
            <w:tcBorders>
              <w:bottom w:val="single" w:sz="8" w:color="EDEDED"/>
            </w:tcBorders>
            <w:gridSpan w:val="2"/>
            <w:shd w:val="clear" w:color="auto" w:fill="EDEDED"/>
          </w:tcPr>
          <w:p>
            <w:pPr>
              <w:jc w:val="right"/>
              <w:ind w:right="40"/>
              <w:spacing w:after="0"/>
              <w:rPr>
                <w:sz w:val="20"/>
                <w:szCs w:val="20"/>
                <w:color w:val="auto"/>
              </w:rPr>
            </w:pPr>
            <w:r>
              <w:rPr>
                <w:rFonts w:ascii="Arial" w:cs="Arial" w:eastAsia="Arial" w:hAnsi="Arial"/>
                <w:sz w:val="16"/>
                <w:szCs w:val="16"/>
                <w:color w:val="435363"/>
              </w:rPr>
              <w:t>$</w:t>
            </w:r>
          </w:p>
        </w:tc>
        <w:tc>
          <w:tcPr>
            <w:tcW w:w="5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48,971</w:t>
            </w:r>
          </w:p>
        </w:tc>
        <w:tc>
          <w:tcPr>
            <w:tcW w:w="340" w:type="dxa"/>
            <w:vAlign w:val="bottom"/>
            <w:tcBorders>
              <w:bottom w:val="single" w:sz="8" w:color="EDEDED"/>
            </w:tcBorders>
            <w:shd w:val="clear" w:color="auto" w:fill="EDEDED"/>
          </w:tcPr>
          <w:p>
            <w:pPr>
              <w:spacing w:after="0"/>
              <w:rPr>
                <w:sz w:val="23"/>
                <w:szCs w:val="23"/>
                <w:color w:val="auto"/>
              </w:rPr>
            </w:pPr>
          </w:p>
        </w:tc>
        <w:tc>
          <w:tcPr>
            <w:tcW w:w="320" w:type="dxa"/>
            <w:vAlign w:val="bottom"/>
            <w:tcBorders>
              <w:bottom w:val="single" w:sz="8" w:color="EDEDED"/>
            </w:tcBorders>
            <w:gridSpan w:val="2"/>
            <w:shd w:val="clear" w:color="auto" w:fill="EDEDED"/>
          </w:tcPr>
          <w:p>
            <w:pPr>
              <w:jc w:val="right"/>
              <w:ind w:right="40"/>
              <w:spacing w:after="0"/>
              <w:rPr>
                <w:sz w:val="20"/>
                <w:szCs w:val="20"/>
                <w:color w:val="auto"/>
              </w:rPr>
            </w:pPr>
            <w:r>
              <w:rPr>
                <w:rFonts w:ascii="Arial" w:cs="Arial" w:eastAsia="Arial" w:hAnsi="Arial"/>
                <w:sz w:val="16"/>
                <w:szCs w:val="16"/>
                <w:color w:val="435363"/>
              </w:rPr>
              <w:t>$</w:t>
            </w:r>
          </w:p>
        </w:tc>
        <w:tc>
          <w:tcPr>
            <w:tcW w:w="6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29,882</w:t>
            </w:r>
          </w:p>
        </w:tc>
        <w:tc>
          <w:tcPr>
            <w:tcW w:w="320" w:type="dxa"/>
            <w:vAlign w:val="bottom"/>
            <w:tcBorders>
              <w:bottom w:val="single" w:sz="8" w:color="EDEDED"/>
            </w:tcBorders>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120" w:type="dxa"/>
            <w:vAlign w:val="bottom"/>
          </w:tcPr>
          <w:p>
            <w:pPr>
              <w:ind w:left="60"/>
              <w:spacing w:after="0"/>
              <w:rPr>
                <w:sz w:val="20"/>
                <w:szCs w:val="20"/>
                <w:color w:val="auto"/>
              </w:rPr>
            </w:pPr>
            <w:r>
              <w:rPr>
                <w:rFonts w:ascii="Arial" w:cs="Arial" w:eastAsia="Arial" w:hAnsi="Arial"/>
                <w:sz w:val="16"/>
                <w:szCs w:val="16"/>
                <w:color w:val="435363"/>
              </w:rPr>
              <w:t>Pre-tax margin excluding net special items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435363"/>
              </w:rPr>
              <w:t>4.7%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435363"/>
              </w:rPr>
              <w:t>0.9%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435363"/>
              </w:rPr>
              <w:t>(23.2%)</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120" w:type="dxa"/>
            <w:vAlign w:val="bottom"/>
            <w:tcBorders>
              <w:bottom w:val="single" w:sz="8" w:color="435363"/>
            </w:tcBorders>
          </w:tcPr>
          <w:p>
            <w:pPr>
              <w:spacing w:after="0"/>
              <w:rPr>
                <w:sz w:val="3"/>
                <w:szCs w:val="3"/>
                <w:color w:val="auto"/>
              </w:rPr>
            </w:pPr>
          </w:p>
        </w:tc>
        <w:tc>
          <w:tcPr>
            <w:tcW w:w="220" w:type="dxa"/>
            <w:vAlign w:val="bottom"/>
            <w:tcBorders>
              <w:bottom w:val="single" w:sz="8" w:color="435363"/>
            </w:tcBorders>
          </w:tcPr>
          <w:p>
            <w:pPr>
              <w:spacing w:after="0"/>
              <w:rPr>
                <w:sz w:val="3"/>
                <w:szCs w:val="3"/>
                <w:color w:val="auto"/>
              </w:rPr>
            </w:pPr>
          </w:p>
        </w:tc>
        <w:tc>
          <w:tcPr>
            <w:tcW w:w="120" w:type="dxa"/>
            <w:vAlign w:val="bottom"/>
            <w:tcBorders>
              <w:bottom w:val="single" w:sz="8" w:color="435363"/>
            </w:tcBorders>
          </w:tcPr>
          <w:p>
            <w:pPr>
              <w:spacing w:after="0"/>
              <w:rPr>
                <w:sz w:val="3"/>
                <w:szCs w:val="3"/>
                <w:color w:val="auto"/>
              </w:rPr>
            </w:pPr>
          </w:p>
        </w:tc>
        <w:tc>
          <w:tcPr>
            <w:tcW w:w="560" w:type="dxa"/>
            <w:vAlign w:val="bottom"/>
            <w:tcBorders>
              <w:bottom w:val="single" w:sz="8" w:color="435363"/>
            </w:tcBorders>
          </w:tcPr>
          <w:p>
            <w:pPr>
              <w:spacing w:after="0"/>
              <w:rPr>
                <w:sz w:val="3"/>
                <w:szCs w:val="3"/>
                <w:color w:val="auto"/>
              </w:rPr>
            </w:pPr>
          </w:p>
        </w:tc>
        <w:tc>
          <w:tcPr>
            <w:tcW w:w="320" w:type="dxa"/>
            <w:vAlign w:val="bottom"/>
            <w:tcBorders>
              <w:bottom w:val="single" w:sz="8" w:color="435363"/>
            </w:tcBorders>
          </w:tcPr>
          <w:p>
            <w:pPr>
              <w:spacing w:after="0"/>
              <w:rPr>
                <w:sz w:val="3"/>
                <w:szCs w:val="3"/>
                <w:color w:val="auto"/>
              </w:rPr>
            </w:pPr>
          </w:p>
        </w:tc>
        <w:tc>
          <w:tcPr>
            <w:tcW w:w="200" w:type="dxa"/>
            <w:vAlign w:val="bottom"/>
            <w:tcBorders>
              <w:bottom w:val="single" w:sz="8" w:color="435363"/>
            </w:tcBorders>
          </w:tcPr>
          <w:p>
            <w:pPr>
              <w:spacing w:after="0"/>
              <w:rPr>
                <w:sz w:val="3"/>
                <w:szCs w:val="3"/>
                <w:color w:val="auto"/>
              </w:rPr>
            </w:pPr>
          </w:p>
        </w:tc>
        <w:tc>
          <w:tcPr>
            <w:tcW w:w="120" w:type="dxa"/>
            <w:vAlign w:val="bottom"/>
            <w:tcBorders>
              <w:bottom w:val="single" w:sz="8" w:color="435363"/>
            </w:tcBorders>
          </w:tcPr>
          <w:p>
            <w:pPr>
              <w:spacing w:after="0"/>
              <w:rPr>
                <w:sz w:val="3"/>
                <w:szCs w:val="3"/>
                <w:color w:val="auto"/>
              </w:rPr>
            </w:pPr>
          </w:p>
        </w:tc>
        <w:tc>
          <w:tcPr>
            <w:tcW w:w="560" w:type="dxa"/>
            <w:vAlign w:val="bottom"/>
            <w:tcBorders>
              <w:bottom w:val="single" w:sz="8" w:color="435363"/>
            </w:tcBorders>
          </w:tcPr>
          <w:p>
            <w:pPr>
              <w:spacing w:after="0"/>
              <w:rPr>
                <w:sz w:val="3"/>
                <w:szCs w:val="3"/>
                <w:color w:val="auto"/>
              </w:rPr>
            </w:pPr>
          </w:p>
        </w:tc>
        <w:tc>
          <w:tcPr>
            <w:tcW w:w="340" w:type="dxa"/>
            <w:vAlign w:val="bottom"/>
            <w:tcBorders>
              <w:bottom w:val="single" w:sz="8" w:color="435363"/>
            </w:tcBorders>
          </w:tcPr>
          <w:p>
            <w:pPr>
              <w:spacing w:after="0"/>
              <w:rPr>
                <w:sz w:val="3"/>
                <w:szCs w:val="3"/>
                <w:color w:val="auto"/>
              </w:rPr>
            </w:pPr>
          </w:p>
        </w:tc>
        <w:tc>
          <w:tcPr>
            <w:tcW w:w="200" w:type="dxa"/>
            <w:vAlign w:val="bottom"/>
            <w:tcBorders>
              <w:bottom w:val="single" w:sz="8" w:color="435363"/>
            </w:tcBorders>
          </w:tcPr>
          <w:p>
            <w:pPr>
              <w:spacing w:after="0"/>
              <w:rPr>
                <w:sz w:val="3"/>
                <w:szCs w:val="3"/>
                <w:color w:val="auto"/>
              </w:rPr>
            </w:pPr>
          </w:p>
        </w:tc>
        <w:tc>
          <w:tcPr>
            <w:tcW w:w="120" w:type="dxa"/>
            <w:vAlign w:val="bottom"/>
            <w:tcBorders>
              <w:bottom w:val="single" w:sz="8" w:color="435363"/>
            </w:tcBorders>
          </w:tcPr>
          <w:p>
            <w:pPr>
              <w:spacing w:after="0"/>
              <w:rPr>
                <w:sz w:val="3"/>
                <w:szCs w:val="3"/>
                <w:color w:val="auto"/>
              </w:rPr>
            </w:pPr>
          </w:p>
        </w:tc>
        <w:tc>
          <w:tcPr>
            <w:tcW w:w="600" w:type="dxa"/>
            <w:vAlign w:val="bottom"/>
            <w:tcBorders>
              <w:bottom w:val="single" w:sz="8" w:color="435363"/>
            </w:tcBorders>
          </w:tcPr>
          <w:p>
            <w:pPr>
              <w:spacing w:after="0"/>
              <w:rPr>
                <w:sz w:val="3"/>
                <w:szCs w:val="3"/>
                <w:color w:val="auto"/>
              </w:rPr>
            </w:pPr>
          </w:p>
        </w:tc>
        <w:tc>
          <w:tcPr>
            <w:tcW w:w="320" w:type="dxa"/>
            <w:vAlign w:val="bottom"/>
            <w:tcBorders>
              <w:bottom w:val="single" w:sz="8" w:color="43536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117475</wp:posOffset>
            </wp:positionV>
            <wp:extent cx="5177155" cy="1682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191" w:lineRule="exact"/>
        <w:rPr>
          <w:sz w:val="20"/>
          <w:szCs w:val="20"/>
          <w:color w:val="auto"/>
        </w:rPr>
      </w:pPr>
    </w:p>
    <w:p>
      <w:pPr>
        <w:ind w:left="10760"/>
        <w:spacing w:after="0"/>
        <w:rPr>
          <w:sz w:val="20"/>
          <w:szCs w:val="20"/>
          <w:color w:val="auto"/>
        </w:rPr>
      </w:pPr>
      <w:r>
        <w:rPr>
          <w:rFonts w:ascii="Arial" w:cs="Arial" w:eastAsia="Arial" w:hAnsi="Arial"/>
          <w:sz w:val="16"/>
          <w:szCs w:val="16"/>
          <w:b w:val="1"/>
          <w:bCs w:val="1"/>
          <w:color w:val="435363"/>
        </w:rPr>
        <w:t>B-1</w:t>
      </w:r>
    </w:p>
    <w:p>
      <w:pPr>
        <w:spacing w:after="0" w:line="244"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7" w:lineRule="exact"/>
        <w:rPr>
          <w:sz w:val="20"/>
          <w:szCs w:val="20"/>
          <w:color w:val="auto"/>
        </w:rPr>
      </w:pPr>
    </w:p>
    <w:tbl>
      <w:tblPr>
        <w:tblLayout w:type="fixed"/>
        <w:tblInd w:w="240" w:type="dxa"/>
        <w:tblCellMar>
          <w:top w:w="0" w:type="dxa"/>
          <w:left w:w="0" w:type="dxa"/>
          <w:bottom w:w="0" w:type="dxa"/>
          <w:right w:w="0" w:type="dxa"/>
        </w:tblCellMar>
      </w:tblPr>
      <w:tr>
        <w:trPr>
          <w:trHeight w:val="218"/>
        </w:trPr>
        <w:tc>
          <w:tcPr>
            <w:tcW w:w="5600" w:type="dxa"/>
            <w:vAlign w:val="bottom"/>
          </w:tcPr>
          <w:p>
            <w:pPr>
              <w:spacing w:after="0"/>
              <w:rPr>
                <w:sz w:val="18"/>
                <w:szCs w:val="18"/>
                <w:color w:val="auto"/>
              </w:rPr>
            </w:pPr>
          </w:p>
        </w:tc>
        <w:tc>
          <w:tcPr>
            <w:tcW w:w="5200" w:type="dxa"/>
            <w:vAlign w:val="bottom"/>
            <w:gridSpan w:val="4"/>
          </w:tcPr>
          <w:p>
            <w:pPr>
              <w:ind w:left="2280"/>
              <w:spacing w:after="0"/>
              <w:rPr>
                <w:sz w:val="20"/>
                <w:szCs w:val="20"/>
                <w:color w:val="auto"/>
              </w:rPr>
            </w:pPr>
            <w:r>
              <w:rPr>
                <w:rFonts w:ascii="Arial" w:cs="Arial" w:eastAsia="Arial" w:hAnsi="Arial"/>
                <w:sz w:val="16"/>
                <w:szCs w:val="16"/>
                <w:b w:val="1"/>
                <w:bCs w:val="1"/>
                <w:color w:val="3575B3"/>
              </w:rPr>
              <w:t>12 Months Ended December 31, 2023</w:t>
            </w:r>
          </w:p>
        </w:tc>
      </w:tr>
      <w:tr>
        <w:trPr>
          <w:trHeight w:val="61"/>
        </w:trPr>
        <w:tc>
          <w:tcPr>
            <w:tcW w:w="5600" w:type="dxa"/>
            <w:vAlign w:val="bottom"/>
          </w:tcPr>
          <w:p>
            <w:pPr>
              <w:spacing w:after="0"/>
              <w:rPr>
                <w:sz w:val="5"/>
                <w:szCs w:val="5"/>
                <w:color w:val="auto"/>
              </w:rPr>
            </w:pPr>
          </w:p>
        </w:tc>
        <w:tc>
          <w:tcPr>
            <w:tcW w:w="2300" w:type="dxa"/>
            <w:vAlign w:val="bottom"/>
            <w:tcBorders>
              <w:bottom w:val="single" w:sz="8" w:color="BF0000"/>
            </w:tcBorders>
          </w:tcPr>
          <w:p>
            <w:pPr>
              <w:spacing w:after="0"/>
              <w:rPr>
                <w:sz w:val="5"/>
                <w:szCs w:val="5"/>
                <w:color w:val="auto"/>
              </w:rPr>
            </w:pPr>
          </w:p>
        </w:tc>
        <w:tc>
          <w:tcPr>
            <w:tcW w:w="100" w:type="dxa"/>
            <w:vAlign w:val="bottom"/>
            <w:tcBorders>
              <w:bottom w:val="single" w:sz="8" w:color="BF0000"/>
            </w:tcBorders>
          </w:tcPr>
          <w:p>
            <w:pPr>
              <w:spacing w:after="0"/>
              <w:rPr>
                <w:sz w:val="5"/>
                <w:szCs w:val="5"/>
                <w:color w:val="auto"/>
              </w:rPr>
            </w:pPr>
          </w:p>
        </w:tc>
        <w:tc>
          <w:tcPr>
            <w:tcW w:w="2800" w:type="dxa"/>
            <w:vAlign w:val="bottom"/>
            <w:tcBorders>
              <w:bottom w:val="single" w:sz="8" w:color="BF0000"/>
            </w:tcBorders>
            <w:gridSpan w:val="2"/>
          </w:tcPr>
          <w:p>
            <w:pPr>
              <w:spacing w:after="0"/>
              <w:rPr>
                <w:sz w:val="5"/>
                <w:szCs w:val="5"/>
                <w:color w:val="auto"/>
              </w:rPr>
            </w:pPr>
          </w:p>
        </w:tc>
      </w:tr>
      <w:tr>
        <w:trPr>
          <w:trHeight w:val="164"/>
        </w:trPr>
        <w:tc>
          <w:tcPr>
            <w:tcW w:w="56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2"/>
          </w:tcPr>
          <w:p>
            <w:pPr>
              <w:jc w:val="right"/>
              <w:ind w:right="260"/>
              <w:spacing w:after="0" w:line="165" w:lineRule="exact"/>
              <w:rPr>
                <w:sz w:val="20"/>
                <w:szCs w:val="20"/>
                <w:color w:val="auto"/>
              </w:rPr>
            </w:pPr>
            <w:r>
              <w:rPr>
                <w:rFonts w:ascii="Arial" w:cs="Arial" w:eastAsia="Arial" w:hAnsi="Arial"/>
                <w:sz w:val="16"/>
                <w:szCs w:val="16"/>
                <w:b w:val="1"/>
                <w:bCs w:val="1"/>
                <w:color w:val="3575B3"/>
                <w:w w:val="99"/>
              </w:rPr>
              <w:t>(in millions, except share and per</w:t>
            </w:r>
          </w:p>
        </w:tc>
      </w:tr>
      <w:tr>
        <w:trPr>
          <w:trHeight w:val="199"/>
        </w:trPr>
        <w:tc>
          <w:tcPr>
            <w:tcW w:w="5600" w:type="dxa"/>
            <w:vAlign w:val="bottom"/>
            <w:tcBorders>
              <w:bottom w:val="single" w:sz="8" w:color="BF0000"/>
            </w:tcBorders>
          </w:tcPr>
          <w:p>
            <w:pPr>
              <w:ind w:left="60"/>
              <w:spacing w:after="0"/>
              <w:rPr>
                <w:sz w:val="20"/>
                <w:szCs w:val="20"/>
                <w:color w:val="auto"/>
              </w:rPr>
            </w:pPr>
            <w:r>
              <w:rPr>
                <w:rFonts w:ascii="Arial" w:cs="Arial" w:eastAsia="Arial" w:hAnsi="Arial"/>
                <w:sz w:val="16"/>
                <w:szCs w:val="16"/>
                <w:b w:val="1"/>
                <w:bCs w:val="1"/>
                <w:color w:val="3575B3"/>
              </w:rPr>
              <w:t>Reconciliation of Net Income Excluding Net Special Items</w:t>
            </w:r>
          </w:p>
        </w:tc>
        <w:tc>
          <w:tcPr>
            <w:tcW w:w="2300" w:type="dxa"/>
            <w:vAlign w:val="bottom"/>
            <w:tcBorders>
              <w:bottom w:val="single" w:sz="8" w:color="BF0000"/>
            </w:tcBorders>
          </w:tcPr>
          <w:p>
            <w:pPr>
              <w:spacing w:after="0"/>
              <w:rPr>
                <w:sz w:val="17"/>
                <w:szCs w:val="17"/>
                <w:color w:val="auto"/>
              </w:rPr>
            </w:pPr>
          </w:p>
        </w:tc>
        <w:tc>
          <w:tcPr>
            <w:tcW w:w="100" w:type="dxa"/>
            <w:vAlign w:val="bottom"/>
            <w:tcBorders>
              <w:bottom w:val="single" w:sz="8" w:color="BF0000"/>
            </w:tcBorders>
          </w:tcPr>
          <w:p>
            <w:pPr>
              <w:spacing w:after="0"/>
              <w:rPr>
                <w:sz w:val="17"/>
                <w:szCs w:val="17"/>
                <w:color w:val="auto"/>
              </w:rPr>
            </w:pPr>
          </w:p>
        </w:tc>
        <w:tc>
          <w:tcPr>
            <w:tcW w:w="2800" w:type="dxa"/>
            <w:vAlign w:val="bottom"/>
            <w:tcBorders>
              <w:bottom w:val="single" w:sz="8" w:color="BF0000"/>
            </w:tcBorders>
            <w:gridSpan w:val="2"/>
          </w:tcPr>
          <w:p>
            <w:pPr>
              <w:jc w:val="right"/>
              <w:ind w:right="920"/>
              <w:spacing w:after="0"/>
              <w:rPr>
                <w:sz w:val="20"/>
                <w:szCs w:val="20"/>
                <w:color w:val="auto"/>
              </w:rPr>
            </w:pPr>
            <w:r>
              <w:rPr>
                <w:rFonts w:ascii="Arial" w:cs="Arial" w:eastAsia="Arial" w:hAnsi="Arial"/>
                <w:sz w:val="16"/>
                <w:szCs w:val="16"/>
                <w:b w:val="1"/>
                <w:bCs w:val="1"/>
                <w:color w:val="3575B3"/>
              </w:rPr>
              <w:t>share amounts)</w:t>
            </w:r>
          </w:p>
        </w:tc>
      </w:tr>
      <w:tr>
        <w:trPr>
          <w:trHeight w:val="229"/>
        </w:trPr>
        <w:tc>
          <w:tcPr>
            <w:tcW w:w="5600" w:type="dxa"/>
            <w:vAlign w:val="bottom"/>
          </w:tcPr>
          <w:p>
            <w:pPr>
              <w:ind w:left="60"/>
              <w:spacing w:after="0"/>
              <w:rPr>
                <w:sz w:val="20"/>
                <w:szCs w:val="20"/>
                <w:color w:val="auto"/>
              </w:rPr>
            </w:pPr>
            <w:r>
              <w:rPr>
                <w:rFonts w:ascii="Arial" w:cs="Arial" w:eastAsia="Arial" w:hAnsi="Arial"/>
                <w:sz w:val="16"/>
                <w:szCs w:val="16"/>
                <w:color w:val="435363"/>
              </w:rPr>
              <w:t>Net income as reported</w:t>
            </w:r>
          </w:p>
        </w:tc>
        <w:tc>
          <w:tcPr>
            <w:tcW w:w="2400" w:type="dxa"/>
            <w:vAlign w:val="bottom"/>
            <w:gridSpan w:val="2"/>
          </w:tcPr>
          <w:p>
            <w:pPr>
              <w:ind w:left="2280"/>
              <w:spacing w:after="0"/>
              <w:rPr>
                <w:sz w:val="20"/>
                <w:szCs w:val="20"/>
                <w:color w:val="auto"/>
              </w:rPr>
            </w:pPr>
            <w:r>
              <w:rPr>
                <w:rFonts w:ascii="Arial" w:cs="Arial" w:eastAsia="Arial" w:hAnsi="Arial"/>
                <w:sz w:val="16"/>
                <w:szCs w:val="16"/>
                <w:color w:val="435363"/>
              </w:rPr>
              <w:t>$</w:t>
            </w:r>
          </w:p>
        </w:tc>
        <w:tc>
          <w:tcPr>
            <w:tcW w:w="2680" w:type="dxa"/>
            <w:vAlign w:val="bottom"/>
          </w:tcPr>
          <w:p>
            <w:pPr>
              <w:jc w:val="right"/>
              <w:spacing w:after="0"/>
              <w:rPr>
                <w:sz w:val="20"/>
                <w:szCs w:val="20"/>
                <w:color w:val="auto"/>
              </w:rPr>
            </w:pPr>
            <w:r>
              <w:rPr>
                <w:rFonts w:ascii="Arial" w:cs="Arial" w:eastAsia="Arial" w:hAnsi="Arial"/>
                <w:sz w:val="16"/>
                <w:szCs w:val="16"/>
                <w:color w:val="435363"/>
              </w:rPr>
              <w:t>822</w:t>
            </w:r>
          </w:p>
        </w:tc>
        <w:tc>
          <w:tcPr>
            <w:tcW w:w="120" w:type="dxa"/>
            <w:vAlign w:val="bottom"/>
          </w:tcPr>
          <w:p>
            <w:pPr>
              <w:spacing w:after="0"/>
              <w:rPr>
                <w:sz w:val="19"/>
                <w:szCs w:val="19"/>
                <w:color w:val="auto"/>
              </w:rPr>
            </w:pPr>
          </w:p>
        </w:tc>
      </w:tr>
      <w:tr>
        <w:trPr>
          <w:trHeight w:val="43"/>
        </w:trPr>
        <w:tc>
          <w:tcPr>
            <w:tcW w:w="56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1"/>
        </w:trPr>
        <w:tc>
          <w:tcPr>
            <w:tcW w:w="56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435363"/>
              </w:rPr>
              <w:t>Net special items:</w:t>
            </w:r>
          </w:p>
        </w:tc>
        <w:tc>
          <w:tcPr>
            <w:tcW w:w="2300" w:type="dxa"/>
            <w:vAlign w:val="bottom"/>
            <w:tcBorders>
              <w:bottom w:val="single" w:sz="8" w:color="EDEDED"/>
            </w:tcBorders>
            <w:shd w:val="clear" w:color="auto" w:fill="EDEDED"/>
          </w:tcPr>
          <w:p>
            <w:pPr>
              <w:spacing w:after="0"/>
              <w:rPr>
                <w:sz w:val="23"/>
                <w:szCs w:val="23"/>
                <w:color w:val="auto"/>
              </w:rPr>
            </w:pPr>
          </w:p>
        </w:tc>
        <w:tc>
          <w:tcPr>
            <w:tcW w:w="100" w:type="dxa"/>
            <w:vAlign w:val="bottom"/>
            <w:tcBorders>
              <w:bottom w:val="single" w:sz="8" w:color="EDEDED"/>
            </w:tcBorders>
            <w:shd w:val="clear" w:color="auto" w:fill="EDEDED"/>
          </w:tcPr>
          <w:p>
            <w:pPr>
              <w:spacing w:after="0"/>
              <w:rPr>
                <w:sz w:val="23"/>
                <w:szCs w:val="23"/>
                <w:color w:val="auto"/>
              </w:rPr>
            </w:pPr>
          </w:p>
        </w:tc>
        <w:tc>
          <w:tcPr>
            <w:tcW w:w="2680" w:type="dxa"/>
            <w:vAlign w:val="bottom"/>
            <w:tcBorders>
              <w:bottom w:val="single" w:sz="8" w:color="EDEDED"/>
            </w:tcBorders>
            <w:shd w:val="clear" w:color="auto" w:fill="EDEDED"/>
          </w:tcPr>
          <w:p>
            <w:pPr>
              <w:spacing w:after="0"/>
              <w:rPr>
                <w:sz w:val="23"/>
                <w:szCs w:val="23"/>
                <w:color w:val="auto"/>
              </w:rPr>
            </w:pPr>
          </w:p>
        </w:tc>
        <w:tc>
          <w:tcPr>
            <w:tcW w:w="120" w:type="dxa"/>
            <w:vAlign w:val="bottom"/>
            <w:tcBorders>
              <w:bottom w:val="single" w:sz="8" w:color="EDEDED"/>
            </w:tcBorders>
            <w:shd w:val="clear" w:color="auto" w:fill="EDEDED"/>
          </w:tcPr>
          <w:p>
            <w:pPr>
              <w:spacing w:after="0"/>
              <w:rPr>
                <w:sz w:val="23"/>
                <w:szCs w:val="23"/>
                <w:color w:val="auto"/>
              </w:rPr>
            </w:pPr>
          </w:p>
        </w:tc>
      </w:tr>
      <w:tr>
        <w:trPr>
          <w:trHeight w:val="291"/>
        </w:trPr>
        <w:tc>
          <w:tcPr>
            <w:tcW w:w="5600" w:type="dxa"/>
            <w:vAlign w:val="bottom"/>
          </w:tcPr>
          <w:p>
            <w:pPr>
              <w:ind w:left="220"/>
              <w:spacing w:after="0"/>
              <w:rPr>
                <w:sz w:val="20"/>
                <w:szCs w:val="20"/>
                <w:color w:val="auto"/>
              </w:rPr>
            </w:pPr>
            <w:r>
              <w:rPr>
                <w:rFonts w:ascii="Arial" w:cs="Arial" w:eastAsia="Arial" w:hAnsi="Arial"/>
                <w:sz w:val="16"/>
                <w:szCs w:val="16"/>
                <w:color w:val="435363"/>
              </w:rPr>
              <w:t xml:space="preserve">Total pre-tax net special items </w:t>
            </w:r>
            <w:r>
              <w:rPr>
                <w:rFonts w:ascii="Arial" w:cs="Arial" w:eastAsia="Arial" w:hAnsi="Arial"/>
                <w:sz w:val="23"/>
                <w:szCs w:val="23"/>
                <w:color w:val="435363"/>
                <w:vertAlign w:val="superscript"/>
              </w:rPr>
              <w:t>(1), (3)</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6"/>
                <w:szCs w:val="16"/>
                <w:color w:val="435363"/>
              </w:rPr>
              <w:t>1,341</w:t>
            </w:r>
          </w:p>
        </w:tc>
        <w:tc>
          <w:tcPr>
            <w:tcW w:w="120" w:type="dxa"/>
            <w:vAlign w:val="bottom"/>
          </w:tcPr>
          <w:p>
            <w:pPr>
              <w:spacing w:after="0"/>
              <w:rPr>
                <w:sz w:val="24"/>
                <w:szCs w:val="24"/>
                <w:color w:val="auto"/>
              </w:rPr>
            </w:pPr>
          </w:p>
        </w:tc>
      </w:tr>
      <w:tr>
        <w:trPr>
          <w:trHeight w:val="271"/>
        </w:trPr>
        <w:tc>
          <w:tcPr>
            <w:tcW w:w="5600" w:type="dxa"/>
            <w:vAlign w:val="bottom"/>
            <w:tcBorders>
              <w:bottom w:val="single" w:sz="8" w:color="EDEDED"/>
            </w:tcBorders>
            <w:shd w:val="clear" w:color="auto" w:fill="EDEDED"/>
          </w:tcPr>
          <w:p>
            <w:pPr>
              <w:ind w:left="220"/>
              <w:spacing w:after="0"/>
              <w:rPr>
                <w:sz w:val="20"/>
                <w:szCs w:val="20"/>
                <w:color w:val="auto"/>
              </w:rPr>
            </w:pPr>
            <w:r>
              <w:rPr>
                <w:rFonts w:ascii="Arial" w:cs="Arial" w:eastAsia="Arial" w:hAnsi="Arial"/>
                <w:sz w:val="16"/>
                <w:szCs w:val="16"/>
                <w:color w:val="435363"/>
              </w:rPr>
              <w:t>Net tax effect of net special items</w:t>
            </w:r>
          </w:p>
        </w:tc>
        <w:tc>
          <w:tcPr>
            <w:tcW w:w="2300" w:type="dxa"/>
            <w:vAlign w:val="bottom"/>
            <w:tcBorders>
              <w:bottom w:val="single" w:sz="8" w:color="EDEDED"/>
            </w:tcBorders>
            <w:shd w:val="clear" w:color="auto" w:fill="EDEDED"/>
          </w:tcPr>
          <w:p>
            <w:pPr>
              <w:spacing w:after="0"/>
              <w:rPr>
                <w:sz w:val="23"/>
                <w:szCs w:val="23"/>
                <w:color w:val="auto"/>
              </w:rPr>
            </w:pPr>
          </w:p>
        </w:tc>
        <w:tc>
          <w:tcPr>
            <w:tcW w:w="100" w:type="dxa"/>
            <w:vAlign w:val="bottom"/>
            <w:tcBorders>
              <w:bottom w:val="single" w:sz="8" w:color="EDEDED"/>
            </w:tcBorders>
            <w:shd w:val="clear" w:color="auto" w:fill="EDEDED"/>
          </w:tcPr>
          <w:p>
            <w:pPr>
              <w:spacing w:after="0"/>
              <w:rPr>
                <w:sz w:val="23"/>
                <w:szCs w:val="23"/>
                <w:color w:val="auto"/>
              </w:rPr>
            </w:pPr>
          </w:p>
        </w:tc>
        <w:tc>
          <w:tcPr>
            <w:tcW w:w="2800" w:type="dxa"/>
            <w:vAlign w:val="bottom"/>
            <w:tcBorders>
              <w:bottom w:val="single" w:sz="8" w:color="EDEDED"/>
            </w:tcBorders>
            <w:gridSpan w:val="2"/>
            <w:shd w:val="clear" w:color="auto" w:fill="EDEDED"/>
          </w:tcPr>
          <w:p>
            <w:pPr>
              <w:jc w:val="right"/>
              <w:ind w:right="60"/>
              <w:spacing w:after="0"/>
              <w:rPr>
                <w:sz w:val="20"/>
                <w:szCs w:val="20"/>
                <w:color w:val="auto"/>
              </w:rPr>
            </w:pPr>
            <w:r>
              <w:rPr>
                <w:rFonts w:ascii="Arial" w:cs="Arial" w:eastAsia="Arial" w:hAnsi="Arial"/>
                <w:sz w:val="16"/>
                <w:szCs w:val="16"/>
                <w:color w:val="435363"/>
              </w:rPr>
              <w:t>(304)</w:t>
            </w:r>
          </w:p>
        </w:tc>
      </w:tr>
      <w:tr>
        <w:trPr>
          <w:trHeight w:val="20"/>
        </w:trPr>
        <w:tc>
          <w:tcPr>
            <w:tcW w:w="5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435363"/>
          </w:tcPr>
          <w:p>
            <w:pPr>
              <w:spacing w:after="0" w:line="20" w:lineRule="exact"/>
              <w:rPr>
                <w:sz w:val="1"/>
                <w:szCs w:val="1"/>
                <w:color w:val="auto"/>
              </w:rPr>
            </w:pPr>
          </w:p>
        </w:tc>
        <w:tc>
          <w:tcPr>
            <w:tcW w:w="2680" w:type="dxa"/>
            <w:vAlign w:val="bottom"/>
            <w:shd w:val="clear" w:color="auto" w:fill="43536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5"/>
        </w:trPr>
        <w:tc>
          <w:tcPr>
            <w:tcW w:w="5600" w:type="dxa"/>
            <w:vAlign w:val="bottom"/>
          </w:tcPr>
          <w:p>
            <w:pPr>
              <w:ind w:left="60"/>
              <w:spacing w:after="0"/>
              <w:rPr>
                <w:sz w:val="20"/>
                <w:szCs w:val="20"/>
                <w:color w:val="auto"/>
              </w:rPr>
            </w:pPr>
            <w:r>
              <w:rPr>
                <w:rFonts w:ascii="Arial" w:cs="Arial" w:eastAsia="Arial" w:hAnsi="Arial"/>
                <w:sz w:val="16"/>
                <w:szCs w:val="16"/>
                <w:color w:val="435363"/>
              </w:rPr>
              <w:t>Net income excluding net special items</w:t>
            </w:r>
          </w:p>
        </w:tc>
        <w:tc>
          <w:tcPr>
            <w:tcW w:w="2400" w:type="dxa"/>
            <w:vAlign w:val="bottom"/>
            <w:gridSpan w:val="2"/>
          </w:tcPr>
          <w:p>
            <w:pPr>
              <w:ind w:left="2280"/>
              <w:spacing w:after="0"/>
              <w:rPr>
                <w:sz w:val="20"/>
                <w:szCs w:val="20"/>
                <w:color w:val="auto"/>
              </w:rPr>
            </w:pPr>
            <w:r>
              <w:rPr>
                <w:rFonts w:ascii="Arial" w:cs="Arial" w:eastAsia="Arial" w:hAnsi="Arial"/>
                <w:sz w:val="16"/>
                <w:szCs w:val="16"/>
                <w:color w:val="435363"/>
              </w:rPr>
              <w:t>$</w:t>
            </w:r>
          </w:p>
        </w:tc>
        <w:tc>
          <w:tcPr>
            <w:tcW w:w="2680" w:type="dxa"/>
            <w:vAlign w:val="bottom"/>
          </w:tcPr>
          <w:p>
            <w:pPr>
              <w:jc w:val="right"/>
              <w:spacing w:after="0"/>
              <w:rPr>
                <w:sz w:val="20"/>
                <w:szCs w:val="20"/>
                <w:color w:val="auto"/>
              </w:rPr>
            </w:pPr>
            <w:r>
              <w:rPr>
                <w:rFonts w:ascii="Arial" w:cs="Arial" w:eastAsia="Arial" w:hAnsi="Arial"/>
                <w:sz w:val="16"/>
                <w:szCs w:val="16"/>
                <w:color w:val="435363"/>
              </w:rPr>
              <w:t>1,859</w:t>
            </w:r>
          </w:p>
        </w:tc>
        <w:tc>
          <w:tcPr>
            <w:tcW w:w="120" w:type="dxa"/>
            <w:vAlign w:val="bottom"/>
          </w:tcPr>
          <w:p>
            <w:pPr>
              <w:spacing w:after="0"/>
              <w:rPr>
                <w:sz w:val="22"/>
                <w:szCs w:val="22"/>
                <w:color w:val="auto"/>
              </w:rPr>
            </w:pPr>
          </w:p>
        </w:tc>
      </w:tr>
      <w:tr>
        <w:trPr>
          <w:trHeight w:val="43"/>
        </w:trPr>
        <w:tc>
          <w:tcPr>
            <w:tcW w:w="56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24"/>
        </w:trPr>
        <w:tc>
          <w:tcPr>
            <w:tcW w:w="560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435363"/>
              </w:rPr>
              <w:t>Reconciliation of Basic and Diluted Earnings Per Share Excluding Net</w:t>
            </w:r>
          </w:p>
        </w:tc>
        <w:tc>
          <w:tcPr>
            <w:tcW w:w="2300" w:type="dxa"/>
            <w:vAlign w:val="bottom"/>
            <w:shd w:val="clear" w:color="auto" w:fill="EDEDED"/>
          </w:tcPr>
          <w:p>
            <w:pPr>
              <w:spacing w:after="0"/>
              <w:rPr>
                <w:sz w:val="19"/>
                <w:szCs w:val="19"/>
                <w:color w:val="auto"/>
              </w:rPr>
            </w:pPr>
          </w:p>
        </w:tc>
        <w:tc>
          <w:tcPr>
            <w:tcW w:w="100" w:type="dxa"/>
            <w:vAlign w:val="bottom"/>
            <w:shd w:val="clear" w:color="auto" w:fill="EDEDED"/>
          </w:tcPr>
          <w:p>
            <w:pPr>
              <w:spacing w:after="0"/>
              <w:rPr>
                <w:sz w:val="19"/>
                <w:szCs w:val="19"/>
                <w:color w:val="auto"/>
              </w:rPr>
            </w:pPr>
          </w:p>
        </w:tc>
        <w:tc>
          <w:tcPr>
            <w:tcW w:w="2680" w:type="dxa"/>
            <w:vAlign w:val="bottom"/>
            <w:shd w:val="clear" w:color="auto" w:fill="EDEDED"/>
          </w:tcPr>
          <w:p>
            <w:pPr>
              <w:spacing w:after="0"/>
              <w:rPr>
                <w:sz w:val="19"/>
                <w:szCs w:val="19"/>
                <w:color w:val="auto"/>
              </w:rPr>
            </w:pPr>
          </w:p>
        </w:tc>
        <w:tc>
          <w:tcPr>
            <w:tcW w:w="120" w:type="dxa"/>
            <w:vAlign w:val="bottom"/>
            <w:shd w:val="clear" w:color="auto" w:fill="EDEDED"/>
          </w:tcPr>
          <w:p>
            <w:pPr>
              <w:spacing w:after="0"/>
              <w:rPr>
                <w:sz w:val="19"/>
                <w:szCs w:val="19"/>
                <w:color w:val="auto"/>
              </w:rPr>
            </w:pPr>
          </w:p>
        </w:tc>
      </w:tr>
      <w:tr>
        <w:trPr>
          <w:trHeight w:val="232"/>
        </w:trPr>
        <w:tc>
          <w:tcPr>
            <w:tcW w:w="56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435363"/>
              </w:rPr>
              <w:t>Special Items</w:t>
            </w:r>
          </w:p>
        </w:tc>
        <w:tc>
          <w:tcPr>
            <w:tcW w:w="2300" w:type="dxa"/>
            <w:vAlign w:val="bottom"/>
            <w:tcBorders>
              <w:bottom w:val="single" w:sz="8" w:color="EDEDED"/>
            </w:tcBorders>
            <w:shd w:val="clear" w:color="auto" w:fill="EDEDED"/>
          </w:tcPr>
          <w:p>
            <w:pPr>
              <w:spacing w:after="0"/>
              <w:rPr>
                <w:sz w:val="20"/>
                <w:szCs w:val="20"/>
                <w:color w:val="auto"/>
              </w:rPr>
            </w:pPr>
          </w:p>
        </w:tc>
        <w:tc>
          <w:tcPr>
            <w:tcW w:w="100" w:type="dxa"/>
            <w:vAlign w:val="bottom"/>
            <w:tcBorders>
              <w:bottom w:val="single" w:sz="8" w:color="EDEDED"/>
            </w:tcBorders>
            <w:shd w:val="clear" w:color="auto" w:fill="EDEDED"/>
          </w:tcPr>
          <w:p>
            <w:pPr>
              <w:spacing w:after="0"/>
              <w:rPr>
                <w:sz w:val="20"/>
                <w:szCs w:val="20"/>
                <w:color w:val="auto"/>
              </w:rPr>
            </w:pPr>
          </w:p>
        </w:tc>
        <w:tc>
          <w:tcPr>
            <w:tcW w:w="2680" w:type="dxa"/>
            <w:vAlign w:val="bottom"/>
            <w:tcBorders>
              <w:bottom w:val="single" w:sz="8" w:color="EDEDED"/>
            </w:tcBorders>
            <w:shd w:val="clear" w:color="auto" w:fill="EDEDED"/>
          </w:tcPr>
          <w:p>
            <w:pPr>
              <w:spacing w:after="0"/>
              <w:rPr>
                <w:sz w:val="20"/>
                <w:szCs w:val="20"/>
                <w:color w:val="auto"/>
              </w:rPr>
            </w:pPr>
          </w:p>
        </w:tc>
        <w:tc>
          <w:tcPr>
            <w:tcW w:w="120" w:type="dxa"/>
            <w:vAlign w:val="bottom"/>
            <w:tcBorders>
              <w:bottom w:val="single" w:sz="8" w:color="EDEDED"/>
            </w:tcBorders>
            <w:shd w:val="clear" w:color="auto" w:fill="EDEDED"/>
          </w:tcPr>
          <w:p>
            <w:pPr>
              <w:spacing w:after="0"/>
              <w:rPr>
                <w:sz w:val="20"/>
                <w:szCs w:val="20"/>
                <w:color w:val="auto"/>
              </w:rPr>
            </w:pPr>
          </w:p>
        </w:tc>
      </w:tr>
      <w:tr>
        <w:trPr>
          <w:trHeight w:val="20"/>
        </w:trPr>
        <w:tc>
          <w:tcPr>
            <w:tcW w:w="5600" w:type="dxa"/>
            <w:vAlign w:val="bottom"/>
            <w:shd w:val="clear" w:color="auto" w:fill="BF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 w:lineRule="exact"/>
        <w:rPr>
          <w:sz w:val="20"/>
          <w:szCs w:val="20"/>
          <w:color w:val="auto"/>
        </w:rPr>
      </w:pPr>
    </w:p>
    <w:p>
      <w:pPr>
        <w:sectPr>
          <w:pgSz w:w="11900" w:h="16838" w:orient="portrait"/>
          <w:cols w:equalWidth="0" w:num="1">
            <w:col w:w="11040"/>
          </w:cols>
          <w:pgMar w:left="320" w:top="477" w:right="539" w:bottom="1440" w:gutter="0" w:footer="0" w:header="0"/>
        </w:sectPr>
      </w:pPr>
    </w:p>
    <w:p>
      <w:pPr>
        <w:ind w:left="300" w:right="1700"/>
        <w:spacing w:after="0" w:line="396" w:lineRule="auto"/>
        <w:rPr>
          <w:sz w:val="20"/>
          <w:szCs w:val="20"/>
          <w:color w:val="auto"/>
        </w:rPr>
      </w:pPr>
      <w:r>
        <w:rPr>
          <w:rFonts w:ascii="Arial" w:cs="Arial" w:eastAsia="Arial" w:hAnsi="Arial"/>
          <w:sz w:val="16"/>
          <w:szCs w:val="16"/>
          <w:color w:val="435363"/>
        </w:rPr>
        <w:t>Net income excluding net special items Shares used for computation (in thousands):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-417195</wp:posOffset>
            </wp:positionV>
            <wp:extent cx="3563620" cy="1847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563620" cy="184785"/>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-13970</wp:posOffset>
            </wp:positionV>
            <wp:extent cx="3563620" cy="1847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563620" cy="18478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6"/>
          <w:szCs w:val="16"/>
          <w:color w:val="435363"/>
        </w:rPr>
        <w:t>Diluted</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5"/>
          <w:szCs w:val="15"/>
          <w:color w:val="435363"/>
        </w:rPr>
        <w:t>Earnings per share excluding net special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50800</wp:posOffset>
            </wp:positionV>
            <wp:extent cx="3563620" cy="1847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563620" cy="184785"/>
                    </a:xfrm>
                    <a:prstGeom prst="rect">
                      <a:avLst/>
                    </a:prstGeom>
                    <a:noFill/>
                  </pic:spPr>
                </pic:pic>
              </a:graphicData>
            </a:graphic>
          </wp:anchor>
        </w:drawing>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Basic</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6"/>
          <w:szCs w:val="16"/>
          <w:color w:val="435363"/>
        </w:rPr>
        <w:t xml:space="preserve">Diluted </w:t>
      </w:r>
      <w:r>
        <w:rPr>
          <w:rFonts w:ascii="Arial" w:cs="Arial" w:eastAsia="Arial" w:hAnsi="Arial"/>
          <w:sz w:val="23"/>
          <w:szCs w:val="23"/>
          <w:color w:val="435363"/>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42545</wp:posOffset>
            </wp:positionV>
            <wp:extent cx="50171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0171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Pr>
          <w:p>
            <w:pPr>
              <w:jc w:val="right"/>
              <w:ind w:right="1061"/>
              <w:spacing w:after="0"/>
              <w:rPr>
                <w:sz w:val="20"/>
                <w:szCs w:val="20"/>
                <w:color w:val="auto"/>
              </w:rPr>
            </w:pPr>
            <w:r>
              <w:rPr>
                <w:rFonts w:ascii="Arial" w:cs="Arial" w:eastAsia="Arial" w:hAnsi="Arial"/>
                <w:sz w:val="16"/>
                <w:szCs w:val="16"/>
                <w:color w:val="435363"/>
              </w:rPr>
              <w:t>$</w:t>
            </w:r>
          </w:p>
        </w:tc>
        <w:tc>
          <w:tcPr>
            <w:tcW w:w="1680" w:type="dxa"/>
            <w:vAlign w:val="bottom"/>
          </w:tcPr>
          <w:p>
            <w:pPr>
              <w:jc w:val="right"/>
              <w:ind w:right="41"/>
              <w:spacing w:after="0"/>
              <w:rPr>
                <w:sz w:val="20"/>
                <w:szCs w:val="20"/>
                <w:color w:val="auto"/>
              </w:rPr>
            </w:pPr>
            <w:r>
              <w:rPr>
                <w:rFonts w:ascii="Arial" w:cs="Arial" w:eastAsia="Arial" w:hAnsi="Arial"/>
                <w:sz w:val="16"/>
                <w:szCs w:val="16"/>
                <w:color w:val="435363"/>
              </w:rPr>
              <w:t>1,859</w:t>
            </w:r>
          </w:p>
        </w:tc>
      </w:tr>
      <w:tr>
        <w:trPr>
          <w:trHeight w:val="43"/>
        </w:trPr>
        <w:tc>
          <w:tcPr>
            <w:tcW w:w="352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91"/>
        </w:trPr>
        <w:tc>
          <w:tcPr>
            <w:tcW w:w="3520" w:type="dxa"/>
            <w:vAlign w:val="bottom"/>
            <w:shd w:val="clear" w:color="auto" w:fill="EDEDED"/>
          </w:tcPr>
          <w:p>
            <w:pPr>
              <w:spacing w:after="0"/>
              <w:rPr>
                <w:sz w:val="24"/>
                <w:szCs w:val="24"/>
                <w:color w:val="auto"/>
              </w:rPr>
            </w:pPr>
          </w:p>
        </w:tc>
        <w:tc>
          <w:tcPr>
            <w:tcW w:w="1680" w:type="dxa"/>
            <w:vAlign w:val="bottom"/>
            <w:shd w:val="clear" w:color="auto" w:fill="EDEDED"/>
          </w:tcPr>
          <w:p>
            <w:pPr>
              <w:spacing w:after="0"/>
              <w:rPr>
                <w:sz w:val="24"/>
                <w:szCs w:val="24"/>
                <w:color w:val="auto"/>
              </w:rPr>
            </w:pPr>
          </w:p>
        </w:tc>
      </w:tr>
    </w:tbl>
    <w:p>
      <w:pPr>
        <w:spacing w:after="0" w:line="39" w:lineRule="exact"/>
        <w:rPr>
          <w:sz w:val="20"/>
          <w:szCs w:val="20"/>
          <w:color w:val="auto"/>
        </w:rPr>
      </w:pPr>
    </w:p>
    <w:p>
      <w:pPr>
        <w:ind w:left="4500"/>
        <w:spacing w:after="0"/>
        <w:rPr>
          <w:sz w:val="20"/>
          <w:szCs w:val="20"/>
          <w:color w:val="auto"/>
        </w:rPr>
      </w:pPr>
      <w:r>
        <w:rPr>
          <w:rFonts w:ascii="Arial" w:cs="Arial" w:eastAsia="Arial" w:hAnsi="Arial"/>
          <w:sz w:val="16"/>
          <w:szCs w:val="16"/>
          <w:color w:val="435363"/>
        </w:rPr>
        <w:t>653,612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76835</wp:posOffset>
            </wp:positionV>
            <wp:extent cx="3294380" cy="336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294380" cy="3365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43180</wp:posOffset>
            </wp:positionV>
            <wp:extent cx="17735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773555" cy="8255"/>
                    </a:xfrm>
                    <a:prstGeom prst="rect">
                      <a:avLst/>
                    </a:prstGeom>
                    <a:noFill/>
                  </pic:spPr>
                </pic:pic>
              </a:graphicData>
            </a:graphic>
          </wp:anchor>
        </w:drawing>
        <w:drawing>
          <wp:anchor simplePos="0" relativeHeight="251657728" behindDoc="1" locked="0" layoutInCell="0" allowOverlap="1">
            <wp:simplePos x="0" y="0"/>
            <wp:positionH relativeFrom="column">
              <wp:posOffset>1455420</wp:posOffset>
            </wp:positionH>
            <wp:positionV relativeFrom="paragraph">
              <wp:posOffset>60325</wp:posOffset>
            </wp:positionV>
            <wp:extent cx="17735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773555" cy="8255"/>
                    </a:xfrm>
                    <a:prstGeom prst="rect">
                      <a:avLst/>
                    </a:prstGeom>
                    <a:noFill/>
                  </pic:spPr>
                </pic:pic>
              </a:graphicData>
            </a:graphic>
          </wp:anchor>
        </w:drawing>
      </w:r>
    </w:p>
    <w:p>
      <w:pPr>
        <w:spacing w:after="0" w:line="140" w:lineRule="exact"/>
        <w:rPr>
          <w:sz w:val="20"/>
          <w:szCs w:val="20"/>
          <w:color w:val="auto"/>
        </w:rPr>
      </w:pPr>
    </w:p>
    <w:p>
      <w:pPr>
        <w:ind w:left="4500"/>
        <w:spacing w:after="0"/>
        <w:rPr>
          <w:sz w:val="20"/>
          <w:szCs w:val="20"/>
          <w:color w:val="auto"/>
        </w:rPr>
      </w:pPr>
      <w:r>
        <w:rPr>
          <w:rFonts w:ascii="Arial" w:cs="Arial" w:eastAsia="Arial" w:hAnsi="Arial"/>
          <w:sz w:val="16"/>
          <w:szCs w:val="16"/>
          <w:color w:val="435363"/>
        </w:rPr>
        <w:t>719,669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3294380" cy="1765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294380" cy="17653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3580" w:type="dxa"/>
            <w:vAlign w:val="bottom"/>
            <w:tcBorders>
              <w:bottom w:val="single" w:sz="8" w:color="EDEDED"/>
            </w:tcBorders>
            <w:gridSpan w:val="3"/>
            <w:shd w:val="clear" w:color="auto" w:fill="EDEDED"/>
          </w:tcPr>
          <w:p>
            <w:pPr>
              <w:jc w:val="right"/>
              <w:ind w:right="1200"/>
              <w:spacing w:after="0"/>
              <w:rPr>
                <w:sz w:val="20"/>
                <w:szCs w:val="20"/>
                <w:color w:val="auto"/>
              </w:rPr>
            </w:pPr>
            <w:r>
              <w:rPr>
                <w:rFonts w:ascii="Arial" w:cs="Arial" w:eastAsia="Arial" w:hAnsi="Arial"/>
                <w:sz w:val="16"/>
                <w:szCs w:val="16"/>
                <w:color w:val="435363"/>
              </w:rPr>
              <w:t>$</w:t>
            </w:r>
          </w:p>
        </w:tc>
        <w:tc>
          <w:tcPr>
            <w:tcW w:w="150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2.84</w:t>
            </w:r>
          </w:p>
        </w:tc>
        <w:tc>
          <w:tcPr>
            <w:tcW w:w="120" w:type="dxa"/>
            <w:vAlign w:val="bottom"/>
            <w:tcBorders>
              <w:bottom w:val="single" w:sz="8" w:color="EDEDED"/>
            </w:tcBorders>
            <w:shd w:val="clear" w:color="auto" w:fill="EDEDED"/>
          </w:tcPr>
          <w:p>
            <w:pPr>
              <w:spacing w:after="0"/>
              <w:rPr>
                <w:sz w:val="24"/>
                <w:szCs w:val="24"/>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top w:val="single" w:sz="8" w:color="435363"/>
              <w:bottom w:val="single" w:sz="8" w:color="435363"/>
            </w:tcBorders>
          </w:tcPr>
          <w:p>
            <w:pPr>
              <w:spacing w:after="0" w:line="20" w:lineRule="exact"/>
              <w:rPr>
                <w:sz w:val="1"/>
                <w:szCs w:val="1"/>
                <w:color w:val="auto"/>
              </w:rPr>
            </w:pPr>
          </w:p>
        </w:tc>
        <w:tc>
          <w:tcPr>
            <w:tcW w:w="1500" w:type="dxa"/>
            <w:vAlign w:val="bottom"/>
            <w:tcBorders>
              <w:top w:val="single" w:sz="8" w:color="435363"/>
              <w:bottom w:val="single" w:sz="8" w:color="43536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1"/>
        </w:trPr>
        <w:tc>
          <w:tcPr>
            <w:tcW w:w="3580" w:type="dxa"/>
            <w:vAlign w:val="bottom"/>
            <w:gridSpan w:val="3"/>
          </w:tcPr>
          <w:p>
            <w:pPr>
              <w:jc w:val="right"/>
              <w:ind w:right="1200"/>
              <w:spacing w:after="0"/>
              <w:rPr>
                <w:sz w:val="20"/>
                <w:szCs w:val="20"/>
                <w:color w:val="auto"/>
              </w:rPr>
            </w:pPr>
            <w:r>
              <w:rPr>
                <w:rFonts w:ascii="Arial" w:cs="Arial" w:eastAsia="Arial" w:hAnsi="Arial"/>
                <w:sz w:val="16"/>
                <w:szCs w:val="16"/>
                <w:color w:val="435363"/>
              </w:rPr>
              <w:t>$</w:t>
            </w:r>
          </w:p>
        </w:tc>
        <w:tc>
          <w:tcPr>
            <w:tcW w:w="1500" w:type="dxa"/>
            <w:vAlign w:val="bottom"/>
          </w:tcPr>
          <w:p>
            <w:pPr>
              <w:jc w:val="right"/>
              <w:spacing w:after="0"/>
              <w:rPr>
                <w:sz w:val="20"/>
                <w:szCs w:val="20"/>
                <w:color w:val="auto"/>
              </w:rPr>
            </w:pPr>
            <w:r>
              <w:rPr>
                <w:rFonts w:ascii="Arial" w:cs="Arial" w:eastAsia="Arial" w:hAnsi="Arial"/>
                <w:sz w:val="16"/>
                <w:szCs w:val="16"/>
                <w:color w:val="435363"/>
              </w:rPr>
              <w:t>2.65</w:t>
            </w:r>
          </w:p>
        </w:tc>
        <w:tc>
          <w:tcPr>
            <w:tcW w:w="120" w:type="dxa"/>
            <w:vAlign w:val="bottom"/>
          </w:tcPr>
          <w:p>
            <w:pPr>
              <w:spacing w:after="0"/>
              <w:rPr>
                <w:sz w:val="20"/>
                <w:szCs w:val="20"/>
                <w:color w:val="auto"/>
              </w:rPr>
            </w:pPr>
          </w:p>
        </w:tc>
      </w:tr>
      <w:tr>
        <w:trPr>
          <w:trHeight w:val="43"/>
        </w:trPr>
        <w:tc>
          <w:tcPr>
            <w:tcW w:w="2280" w:type="dxa"/>
            <w:vAlign w:val="bottom"/>
          </w:tcPr>
          <w:p>
            <w:pPr>
              <w:spacing w:after="0"/>
              <w:rPr>
                <w:sz w:val="3"/>
                <w:szCs w:val="3"/>
                <w:color w:val="auto"/>
              </w:rPr>
            </w:pPr>
          </w:p>
        </w:tc>
        <w:tc>
          <w:tcPr>
            <w:tcW w:w="20" w:type="dxa"/>
            <w:vAlign w:val="bottom"/>
            <w:tcBorders>
              <w:bottom w:val="single" w:sz="8" w:color="435363"/>
            </w:tcBorders>
          </w:tcPr>
          <w:p>
            <w:pPr>
              <w:spacing w:after="0"/>
              <w:rPr>
                <w:sz w:val="3"/>
                <w:szCs w:val="3"/>
                <w:color w:val="auto"/>
              </w:rPr>
            </w:pPr>
          </w:p>
        </w:tc>
        <w:tc>
          <w:tcPr>
            <w:tcW w:w="1280" w:type="dxa"/>
            <w:vAlign w:val="bottom"/>
            <w:tcBorders>
              <w:bottom w:val="single" w:sz="8" w:color="435363"/>
            </w:tcBorders>
          </w:tcPr>
          <w:p>
            <w:pPr>
              <w:spacing w:after="0"/>
              <w:rPr>
                <w:sz w:val="3"/>
                <w:szCs w:val="3"/>
                <w:color w:val="auto"/>
              </w:rPr>
            </w:pPr>
          </w:p>
        </w:tc>
        <w:tc>
          <w:tcPr>
            <w:tcW w:w="1500" w:type="dxa"/>
            <w:vAlign w:val="bottom"/>
            <w:tcBorders>
              <w:bottom w:val="single" w:sz="8" w:color="435363"/>
            </w:tcBorders>
          </w:tcPr>
          <w:p>
            <w:pPr>
              <w:spacing w:after="0"/>
              <w:rPr>
                <w:sz w:val="3"/>
                <w:szCs w:val="3"/>
                <w:color w:val="auto"/>
              </w:rPr>
            </w:pPr>
          </w:p>
        </w:tc>
        <w:tc>
          <w:tcPr>
            <w:tcW w:w="120" w:type="dxa"/>
            <w:vAlign w:val="bottom"/>
          </w:tcPr>
          <w:p>
            <w:pPr>
              <w:spacing w:after="0"/>
              <w:rPr>
                <w:sz w:val="3"/>
                <w:szCs w:val="3"/>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435363"/>
            </w:tcBorders>
          </w:tcPr>
          <w:p>
            <w:pPr>
              <w:spacing w:after="0" w:line="20" w:lineRule="exact"/>
              <w:rPr>
                <w:sz w:val="1"/>
                <w:szCs w:val="1"/>
                <w:color w:val="auto"/>
              </w:rPr>
            </w:pPr>
          </w:p>
        </w:tc>
        <w:tc>
          <w:tcPr>
            <w:tcW w:w="1500" w:type="dxa"/>
            <w:vAlign w:val="bottom"/>
            <w:tcBorders>
              <w:bottom w:val="single" w:sz="8" w:color="43536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435363"/>
            </w:tcBorders>
          </w:tcPr>
          <w:p>
            <w:pPr>
              <w:spacing w:after="0" w:line="20" w:lineRule="exact"/>
              <w:rPr>
                <w:sz w:val="1"/>
                <w:szCs w:val="1"/>
                <w:color w:val="auto"/>
              </w:rPr>
            </w:pPr>
          </w:p>
        </w:tc>
        <w:tc>
          <w:tcPr>
            <w:tcW w:w="1500" w:type="dxa"/>
            <w:vAlign w:val="bottom"/>
            <w:tcBorders>
              <w:bottom w:val="single" w:sz="8" w:color="435363"/>
            </w:tcBorders>
          </w:tcPr>
          <w:p>
            <w:pPr>
              <w:spacing w:after="0" w:line="20" w:lineRule="exact"/>
              <w:rPr>
                <w:sz w:val="1"/>
                <w:szCs w:val="1"/>
                <w:color w:val="auto"/>
              </w:rPr>
            </w:pPr>
          </w:p>
        </w:tc>
        <w:tc>
          <w:tcPr>
            <w:tcW w:w="120" w:type="dxa"/>
            <w:vAlign w:val="bottom"/>
            <w:tcBorders>
              <w:bottom w:val="single" w:sz="8" w:color="435363"/>
            </w:tcBorders>
          </w:tcPr>
          <w:p>
            <w:pPr>
              <w:spacing w:after="0" w:line="20" w:lineRule="exact"/>
              <w:rPr>
                <w:sz w:val="1"/>
                <w:szCs w:val="1"/>
                <w:color w:val="auto"/>
              </w:rPr>
            </w:pPr>
          </w:p>
        </w:tc>
      </w:tr>
    </w:tbl>
    <w:p>
      <w:pPr>
        <w:spacing w:after="0" w:line="224"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3575B3"/>
        </w:rPr>
        <w:t>Three Months Ended March 31, 2022</w:t>
      </w:r>
    </w:p>
    <w:p>
      <w:pPr>
        <w:spacing w:after="0" w:line="75" w:lineRule="exact"/>
        <w:rPr>
          <w:sz w:val="20"/>
          <w:szCs w:val="20"/>
          <w:color w:val="auto"/>
        </w:rPr>
      </w:pPr>
    </w:p>
    <w:p>
      <w:pPr>
        <w:sectPr>
          <w:pgSz w:w="11900" w:h="16838" w:orient="portrait"/>
          <w:cols w:equalWidth="0" w:num="2">
            <w:col w:w="5120" w:space="720"/>
            <w:col w:w="5200"/>
          </w:cols>
          <w:pgMar w:left="320" w:top="477" w:right="539" w:bottom="1440" w:gutter="0" w:footer="0" w:header="0"/>
          <w:type w:val="continuous"/>
        </w:sectPr>
      </w:pPr>
    </w:p>
    <w:tbl>
      <w:tblPr>
        <w:tblLayout w:type="fixed"/>
        <w:tblInd w:w="2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5700" w:type="dxa"/>
            <w:vAlign w:val="bottom"/>
            <w:tcBorders>
              <w:bottom w:val="single" w:sz="8" w:color="BF0000"/>
            </w:tcBorders>
            <w:gridSpan w:val="2"/>
          </w:tcPr>
          <w:p>
            <w:pPr>
              <w:ind w:left="60"/>
              <w:spacing w:after="0"/>
              <w:rPr>
                <w:sz w:val="20"/>
                <w:szCs w:val="20"/>
                <w:color w:val="auto"/>
              </w:rPr>
            </w:pPr>
            <w:r>
              <w:rPr>
                <w:rFonts w:ascii="Arial" w:cs="Arial" w:eastAsia="Arial" w:hAnsi="Arial"/>
                <w:sz w:val="16"/>
                <w:szCs w:val="16"/>
                <w:b w:val="1"/>
                <w:bCs w:val="1"/>
                <w:color w:val="3575B3"/>
              </w:rPr>
              <w:t>Reconciliation of Pre-Tax Loss Excluding Net Special Items</w:t>
            </w:r>
          </w:p>
        </w:tc>
        <w:tc>
          <w:tcPr>
            <w:tcW w:w="2240" w:type="dxa"/>
            <w:vAlign w:val="bottom"/>
            <w:tcBorders>
              <w:top w:val="single" w:sz="8" w:color="BF0000"/>
              <w:bottom w:val="single" w:sz="8" w:color="BF0000"/>
            </w:tcBorders>
          </w:tcPr>
          <w:p>
            <w:pPr>
              <w:spacing w:after="0"/>
              <w:rPr>
                <w:sz w:val="17"/>
                <w:szCs w:val="17"/>
                <w:color w:val="auto"/>
              </w:rPr>
            </w:pPr>
          </w:p>
        </w:tc>
        <w:tc>
          <w:tcPr>
            <w:tcW w:w="500" w:type="dxa"/>
            <w:vAlign w:val="bottom"/>
            <w:tcBorders>
              <w:top w:val="single" w:sz="8" w:color="BF0000"/>
              <w:bottom w:val="single" w:sz="8" w:color="BF0000"/>
            </w:tcBorders>
          </w:tcPr>
          <w:p>
            <w:pPr>
              <w:spacing w:after="0"/>
              <w:rPr>
                <w:sz w:val="17"/>
                <w:szCs w:val="17"/>
                <w:color w:val="auto"/>
              </w:rPr>
            </w:pPr>
          </w:p>
        </w:tc>
        <w:tc>
          <w:tcPr>
            <w:tcW w:w="2360" w:type="dxa"/>
            <w:vAlign w:val="bottom"/>
            <w:tcBorders>
              <w:top w:val="single" w:sz="8" w:color="BF0000"/>
              <w:bottom w:val="single" w:sz="8" w:color="BF0000"/>
            </w:tcBorders>
            <w:gridSpan w:val="2"/>
          </w:tcPr>
          <w:p>
            <w:pPr>
              <w:jc w:val="right"/>
              <w:ind w:right="1060"/>
              <w:spacing w:after="0"/>
              <w:rPr>
                <w:sz w:val="20"/>
                <w:szCs w:val="20"/>
                <w:color w:val="auto"/>
              </w:rPr>
            </w:pPr>
            <w:r>
              <w:rPr>
                <w:rFonts w:ascii="Arial" w:cs="Arial" w:eastAsia="Arial" w:hAnsi="Arial"/>
                <w:sz w:val="16"/>
                <w:szCs w:val="16"/>
                <w:b w:val="1"/>
                <w:bCs w:val="1"/>
                <w:color w:val="3575B3"/>
              </w:rPr>
              <w:t>(in millions)</w:t>
            </w:r>
          </w:p>
        </w:tc>
      </w:tr>
      <w:tr>
        <w:trPr>
          <w:trHeight w:val="229"/>
        </w:trPr>
        <w:tc>
          <w:tcPr>
            <w:tcW w:w="20" w:type="dxa"/>
            <w:vAlign w:val="bottom"/>
          </w:tcPr>
          <w:p>
            <w:pPr>
              <w:spacing w:after="0"/>
              <w:rPr>
                <w:sz w:val="19"/>
                <w:szCs w:val="19"/>
                <w:color w:val="auto"/>
              </w:rPr>
            </w:pPr>
          </w:p>
        </w:tc>
        <w:tc>
          <w:tcPr>
            <w:tcW w:w="5700" w:type="dxa"/>
            <w:vAlign w:val="bottom"/>
            <w:gridSpan w:val="2"/>
          </w:tcPr>
          <w:p>
            <w:pPr>
              <w:ind w:left="60"/>
              <w:spacing w:after="0"/>
              <w:rPr>
                <w:sz w:val="20"/>
                <w:szCs w:val="20"/>
                <w:color w:val="auto"/>
              </w:rPr>
            </w:pPr>
            <w:r>
              <w:rPr>
                <w:rFonts w:ascii="Arial" w:cs="Arial" w:eastAsia="Arial" w:hAnsi="Arial"/>
                <w:sz w:val="16"/>
                <w:szCs w:val="16"/>
                <w:color w:val="435363"/>
              </w:rPr>
              <w:t>Pre-tax loss as reported</w:t>
            </w:r>
          </w:p>
        </w:tc>
        <w:tc>
          <w:tcPr>
            <w:tcW w:w="2740" w:type="dxa"/>
            <w:vAlign w:val="bottom"/>
            <w:gridSpan w:val="2"/>
          </w:tcPr>
          <w:p>
            <w:pPr>
              <w:jc w:val="right"/>
              <w:ind w:right="420"/>
              <w:spacing w:after="0"/>
              <w:rPr>
                <w:sz w:val="20"/>
                <w:szCs w:val="20"/>
                <w:color w:val="auto"/>
              </w:rPr>
            </w:pPr>
            <w:r>
              <w:rPr>
                <w:rFonts w:ascii="Arial" w:cs="Arial" w:eastAsia="Arial" w:hAnsi="Arial"/>
                <w:sz w:val="16"/>
                <w:szCs w:val="16"/>
                <w:color w:val="435363"/>
              </w:rPr>
              <w:t>$</w:t>
            </w:r>
          </w:p>
        </w:tc>
        <w:tc>
          <w:tcPr>
            <w:tcW w:w="2360" w:type="dxa"/>
            <w:vAlign w:val="bottom"/>
            <w:gridSpan w:val="2"/>
          </w:tcPr>
          <w:p>
            <w:pPr>
              <w:jc w:val="right"/>
              <w:ind w:right="60"/>
              <w:spacing w:after="0"/>
              <w:rPr>
                <w:sz w:val="20"/>
                <w:szCs w:val="20"/>
                <w:color w:val="auto"/>
              </w:rPr>
            </w:pPr>
            <w:r>
              <w:rPr>
                <w:rFonts w:ascii="Arial" w:cs="Arial" w:eastAsia="Arial" w:hAnsi="Arial"/>
                <w:sz w:val="16"/>
                <w:szCs w:val="16"/>
                <w:color w:val="435363"/>
              </w:rPr>
              <w:t>(2,086)</w:t>
            </w:r>
          </w:p>
        </w:tc>
      </w:tr>
      <w:tr>
        <w:trPr>
          <w:trHeight w:val="43"/>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9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1"/>
        </w:trPr>
        <w:tc>
          <w:tcPr>
            <w:tcW w:w="20" w:type="dxa"/>
            <w:vAlign w:val="bottom"/>
          </w:tcPr>
          <w:p>
            <w:pPr>
              <w:spacing w:after="0"/>
              <w:rPr>
                <w:sz w:val="23"/>
                <w:szCs w:val="23"/>
                <w:color w:val="auto"/>
              </w:rPr>
            </w:pPr>
          </w:p>
        </w:tc>
        <w:tc>
          <w:tcPr>
            <w:tcW w:w="5700" w:type="dxa"/>
            <w:vAlign w:val="bottom"/>
            <w:tcBorders>
              <w:bottom w:val="single" w:sz="8" w:color="EDEDED"/>
            </w:tcBorders>
            <w:gridSpan w:val="2"/>
            <w:shd w:val="clear" w:color="auto" w:fill="EDEDED"/>
          </w:tcPr>
          <w:p>
            <w:pPr>
              <w:ind w:left="60"/>
              <w:spacing w:after="0"/>
              <w:rPr>
                <w:sz w:val="20"/>
                <w:szCs w:val="20"/>
                <w:color w:val="auto"/>
              </w:rPr>
            </w:pPr>
            <w:r>
              <w:rPr>
                <w:rFonts w:ascii="Arial" w:cs="Arial" w:eastAsia="Arial" w:hAnsi="Arial"/>
                <w:sz w:val="16"/>
                <w:szCs w:val="16"/>
                <w:color w:val="435363"/>
              </w:rPr>
              <w:t>Pre-tax net special items:</w:t>
            </w:r>
          </w:p>
        </w:tc>
        <w:tc>
          <w:tcPr>
            <w:tcW w:w="2240" w:type="dxa"/>
            <w:vAlign w:val="bottom"/>
            <w:tcBorders>
              <w:bottom w:val="single" w:sz="8" w:color="EDEDED"/>
            </w:tcBorders>
            <w:shd w:val="clear" w:color="auto" w:fill="EDEDED"/>
          </w:tcPr>
          <w:p>
            <w:pPr>
              <w:spacing w:after="0"/>
              <w:rPr>
                <w:sz w:val="23"/>
                <w:szCs w:val="23"/>
                <w:color w:val="auto"/>
              </w:rPr>
            </w:pPr>
          </w:p>
        </w:tc>
        <w:tc>
          <w:tcPr>
            <w:tcW w:w="500" w:type="dxa"/>
            <w:vAlign w:val="bottom"/>
            <w:tcBorders>
              <w:bottom w:val="single" w:sz="8" w:color="EDEDED"/>
            </w:tcBorders>
            <w:shd w:val="clear" w:color="auto" w:fill="EDEDED"/>
          </w:tcPr>
          <w:p>
            <w:pPr>
              <w:spacing w:after="0"/>
              <w:rPr>
                <w:sz w:val="23"/>
                <w:szCs w:val="23"/>
                <w:color w:val="auto"/>
              </w:rPr>
            </w:pPr>
          </w:p>
        </w:tc>
        <w:tc>
          <w:tcPr>
            <w:tcW w:w="2240" w:type="dxa"/>
            <w:vAlign w:val="bottom"/>
            <w:tcBorders>
              <w:bottom w:val="single" w:sz="8" w:color="EDEDED"/>
            </w:tcBorders>
            <w:shd w:val="clear" w:color="auto" w:fill="EDEDED"/>
          </w:tcPr>
          <w:p>
            <w:pPr>
              <w:spacing w:after="0"/>
              <w:rPr>
                <w:sz w:val="23"/>
                <w:szCs w:val="23"/>
                <w:color w:val="auto"/>
              </w:rPr>
            </w:pPr>
          </w:p>
        </w:tc>
        <w:tc>
          <w:tcPr>
            <w:tcW w:w="120" w:type="dxa"/>
            <w:vAlign w:val="bottom"/>
            <w:tcBorders>
              <w:bottom w:val="single" w:sz="8" w:color="EDEDED"/>
            </w:tcBorders>
            <w:shd w:val="clear" w:color="auto" w:fill="EDEDED"/>
          </w:tcPr>
          <w:p>
            <w:pPr>
              <w:spacing w:after="0"/>
              <w:rPr>
                <w:sz w:val="23"/>
                <w:szCs w:val="23"/>
                <w:color w:val="auto"/>
              </w:rPr>
            </w:pPr>
          </w:p>
        </w:tc>
      </w:tr>
      <w:tr>
        <w:trPr>
          <w:trHeight w:val="291"/>
        </w:trPr>
        <w:tc>
          <w:tcPr>
            <w:tcW w:w="20" w:type="dxa"/>
            <w:vAlign w:val="bottom"/>
          </w:tcPr>
          <w:p>
            <w:pPr>
              <w:spacing w:after="0"/>
              <w:rPr>
                <w:sz w:val="24"/>
                <w:szCs w:val="24"/>
                <w:color w:val="auto"/>
              </w:rPr>
            </w:pPr>
          </w:p>
        </w:tc>
        <w:tc>
          <w:tcPr>
            <w:tcW w:w="5700" w:type="dxa"/>
            <w:vAlign w:val="bottom"/>
            <w:gridSpan w:val="2"/>
          </w:tcPr>
          <w:p>
            <w:pPr>
              <w:ind w:left="220"/>
              <w:spacing w:after="0"/>
              <w:rPr>
                <w:sz w:val="20"/>
                <w:szCs w:val="20"/>
                <w:color w:val="auto"/>
              </w:rPr>
            </w:pPr>
            <w:r>
              <w:rPr>
                <w:rFonts w:ascii="Arial" w:cs="Arial" w:eastAsia="Arial" w:hAnsi="Arial"/>
                <w:sz w:val="16"/>
                <w:szCs w:val="16"/>
                <w:color w:val="435363"/>
              </w:rPr>
              <w:t xml:space="preserve">Mainline operating special items, net </w:t>
            </w:r>
            <w:r>
              <w:rPr>
                <w:rFonts w:ascii="Arial" w:cs="Arial" w:eastAsia="Arial" w:hAnsi="Arial"/>
                <w:sz w:val="23"/>
                <w:szCs w:val="23"/>
                <w:color w:val="435363"/>
                <w:vertAlign w:val="superscript"/>
              </w:rPr>
              <w:t>(1)</w:t>
            </w:r>
          </w:p>
        </w:tc>
        <w:tc>
          <w:tcPr>
            <w:tcW w:w="2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435363"/>
              </w:rPr>
              <w:t>157</w:t>
            </w:r>
          </w:p>
        </w:tc>
        <w:tc>
          <w:tcPr>
            <w:tcW w:w="12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5700" w:type="dxa"/>
            <w:vAlign w:val="bottom"/>
            <w:gridSpan w:val="2"/>
            <w:shd w:val="clear" w:color="auto" w:fill="EDEDED"/>
          </w:tcPr>
          <w:p>
            <w:pPr>
              <w:ind w:left="220"/>
              <w:spacing w:after="0"/>
              <w:rPr>
                <w:sz w:val="20"/>
                <w:szCs w:val="20"/>
                <w:color w:val="auto"/>
              </w:rPr>
            </w:pPr>
            <w:r>
              <w:rPr>
                <w:rFonts w:ascii="Arial" w:cs="Arial" w:eastAsia="Arial" w:hAnsi="Arial"/>
                <w:sz w:val="16"/>
                <w:szCs w:val="16"/>
                <w:color w:val="435363"/>
              </w:rPr>
              <w:t xml:space="preserve">Nonoperating special items, net </w:t>
            </w:r>
            <w:r>
              <w:rPr>
                <w:rFonts w:ascii="Arial" w:cs="Arial" w:eastAsia="Arial" w:hAnsi="Arial"/>
                <w:sz w:val="23"/>
                <w:szCs w:val="23"/>
                <w:color w:val="435363"/>
                <w:vertAlign w:val="superscript"/>
              </w:rPr>
              <w:t>(3)</w:t>
            </w:r>
          </w:p>
        </w:tc>
        <w:tc>
          <w:tcPr>
            <w:tcW w:w="2240" w:type="dxa"/>
            <w:vAlign w:val="bottom"/>
            <w:shd w:val="clear" w:color="auto" w:fill="EDEDED"/>
          </w:tcPr>
          <w:p>
            <w:pPr>
              <w:spacing w:after="0"/>
              <w:rPr>
                <w:sz w:val="24"/>
                <w:szCs w:val="24"/>
                <w:color w:val="auto"/>
              </w:rPr>
            </w:pPr>
          </w:p>
        </w:tc>
        <w:tc>
          <w:tcPr>
            <w:tcW w:w="500" w:type="dxa"/>
            <w:vAlign w:val="bottom"/>
            <w:tcBorders>
              <w:bottom w:val="single" w:sz="8" w:color="435363"/>
            </w:tcBorders>
            <w:shd w:val="clear" w:color="auto" w:fill="EDEDED"/>
          </w:tcPr>
          <w:p>
            <w:pPr>
              <w:spacing w:after="0"/>
              <w:rPr>
                <w:sz w:val="24"/>
                <w:szCs w:val="24"/>
                <w:color w:val="auto"/>
              </w:rPr>
            </w:pPr>
          </w:p>
        </w:tc>
        <w:tc>
          <w:tcPr>
            <w:tcW w:w="2240" w:type="dxa"/>
            <w:vAlign w:val="bottom"/>
            <w:tcBorders>
              <w:bottom w:val="single" w:sz="8" w:color="435363"/>
            </w:tcBorders>
            <w:shd w:val="clear" w:color="auto" w:fill="EDEDED"/>
          </w:tcPr>
          <w:p>
            <w:pPr>
              <w:jc w:val="right"/>
              <w:spacing w:after="0"/>
              <w:rPr>
                <w:sz w:val="20"/>
                <w:szCs w:val="20"/>
                <w:color w:val="auto"/>
              </w:rPr>
            </w:pPr>
            <w:r>
              <w:rPr>
                <w:rFonts w:ascii="Arial" w:cs="Arial" w:eastAsia="Arial" w:hAnsi="Arial"/>
                <w:sz w:val="16"/>
                <w:szCs w:val="16"/>
                <w:color w:val="435363"/>
              </w:rPr>
              <w:t>3</w:t>
            </w:r>
          </w:p>
        </w:tc>
        <w:tc>
          <w:tcPr>
            <w:tcW w:w="120" w:type="dxa"/>
            <w:vAlign w:val="bottom"/>
            <w:shd w:val="clear" w:color="auto" w:fill="EDEDED"/>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5700" w:type="dxa"/>
            <w:vAlign w:val="bottom"/>
            <w:gridSpan w:val="2"/>
          </w:tcPr>
          <w:p>
            <w:pPr>
              <w:ind w:left="60"/>
              <w:spacing w:after="0"/>
              <w:rPr>
                <w:sz w:val="20"/>
                <w:szCs w:val="20"/>
                <w:color w:val="auto"/>
              </w:rPr>
            </w:pPr>
            <w:r>
              <w:rPr>
                <w:rFonts w:ascii="Arial" w:cs="Arial" w:eastAsia="Arial" w:hAnsi="Arial"/>
                <w:sz w:val="16"/>
                <w:szCs w:val="16"/>
                <w:color w:val="435363"/>
              </w:rPr>
              <w:t>Total pre-tax net special items</w:t>
            </w:r>
          </w:p>
        </w:tc>
        <w:tc>
          <w:tcPr>
            <w:tcW w:w="2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435363"/>
              </w:rPr>
              <w:t>160</w:t>
            </w:r>
          </w:p>
        </w:tc>
        <w:tc>
          <w:tcPr>
            <w:tcW w:w="120" w:type="dxa"/>
            <w:vAlign w:val="bottom"/>
          </w:tcPr>
          <w:p>
            <w:pPr>
              <w:spacing w:after="0"/>
              <w:rPr>
                <w:sz w:val="22"/>
                <w:szCs w:val="22"/>
                <w:color w:val="auto"/>
              </w:rPr>
            </w:pPr>
          </w:p>
        </w:tc>
      </w:tr>
      <w:tr>
        <w:trPr>
          <w:trHeight w:val="43"/>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9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1"/>
        </w:trPr>
        <w:tc>
          <w:tcPr>
            <w:tcW w:w="20" w:type="dxa"/>
            <w:vAlign w:val="bottom"/>
          </w:tcPr>
          <w:p>
            <w:pPr>
              <w:spacing w:after="0"/>
              <w:rPr>
                <w:sz w:val="23"/>
                <w:szCs w:val="23"/>
                <w:color w:val="auto"/>
              </w:rPr>
            </w:pPr>
          </w:p>
        </w:tc>
        <w:tc>
          <w:tcPr>
            <w:tcW w:w="5700" w:type="dxa"/>
            <w:vAlign w:val="bottom"/>
            <w:tcBorders>
              <w:bottom w:val="single" w:sz="8" w:color="EDEDED"/>
            </w:tcBorders>
            <w:gridSpan w:val="2"/>
            <w:shd w:val="clear" w:color="auto" w:fill="EDEDED"/>
          </w:tcPr>
          <w:p>
            <w:pPr>
              <w:ind w:left="60"/>
              <w:spacing w:after="0"/>
              <w:rPr>
                <w:sz w:val="20"/>
                <w:szCs w:val="20"/>
                <w:color w:val="auto"/>
              </w:rPr>
            </w:pPr>
            <w:r>
              <w:rPr>
                <w:rFonts w:ascii="Arial" w:cs="Arial" w:eastAsia="Arial" w:hAnsi="Arial"/>
                <w:sz w:val="16"/>
                <w:szCs w:val="16"/>
                <w:color w:val="435363"/>
              </w:rPr>
              <w:t>Pre-tax loss excluding net special items</w:t>
            </w:r>
          </w:p>
        </w:tc>
        <w:tc>
          <w:tcPr>
            <w:tcW w:w="2740" w:type="dxa"/>
            <w:vAlign w:val="bottom"/>
            <w:tcBorders>
              <w:bottom w:val="single" w:sz="8" w:color="EDEDED"/>
            </w:tcBorders>
            <w:gridSpan w:val="2"/>
            <w:shd w:val="clear" w:color="auto" w:fill="EDEDED"/>
          </w:tcPr>
          <w:p>
            <w:pPr>
              <w:jc w:val="right"/>
              <w:ind w:right="420"/>
              <w:spacing w:after="0"/>
              <w:rPr>
                <w:sz w:val="20"/>
                <w:szCs w:val="20"/>
                <w:color w:val="auto"/>
              </w:rPr>
            </w:pPr>
            <w:r>
              <w:rPr>
                <w:rFonts w:ascii="Arial" w:cs="Arial" w:eastAsia="Arial" w:hAnsi="Arial"/>
                <w:sz w:val="16"/>
                <w:szCs w:val="16"/>
                <w:color w:val="435363"/>
              </w:rPr>
              <w:t>$</w:t>
            </w:r>
          </w:p>
        </w:tc>
        <w:tc>
          <w:tcPr>
            <w:tcW w:w="2360" w:type="dxa"/>
            <w:vAlign w:val="bottom"/>
            <w:tcBorders>
              <w:bottom w:val="single" w:sz="8" w:color="EDEDED"/>
            </w:tcBorders>
            <w:gridSpan w:val="2"/>
            <w:shd w:val="clear" w:color="auto" w:fill="EDEDED"/>
          </w:tcPr>
          <w:p>
            <w:pPr>
              <w:jc w:val="right"/>
              <w:ind w:right="60"/>
              <w:spacing w:after="0"/>
              <w:rPr>
                <w:sz w:val="20"/>
                <w:szCs w:val="20"/>
                <w:color w:val="auto"/>
              </w:rPr>
            </w:pPr>
            <w:r>
              <w:rPr>
                <w:rFonts w:ascii="Arial" w:cs="Arial" w:eastAsia="Arial" w:hAnsi="Arial"/>
                <w:sz w:val="16"/>
                <w:szCs w:val="16"/>
                <w:color w:val="435363"/>
              </w:rPr>
              <w:t>(1,926)</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435363"/>
          </w:tcPr>
          <w:p>
            <w:pPr>
              <w:spacing w:after="0" w:line="20" w:lineRule="exact"/>
              <w:rPr>
                <w:sz w:val="1"/>
                <w:szCs w:val="1"/>
                <w:color w:val="auto"/>
              </w:rPr>
            </w:pPr>
          </w:p>
        </w:tc>
        <w:tc>
          <w:tcPr>
            <w:tcW w:w="4940" w:type="dxa"/>
            <w:vAlign w:val="bottom"/>
            <w:shd w:val="clear" w:color="auto" w:fill="435363"/>
          </w:tcPr>
          <w:p>
            <w:pPr>
              <w:spacing w:after="0" w:line="20" w:lineRule="exact"/>
              <w:rPr>
                <w:sz w:val="1"/>
                <w:szCs w:val="1"/>
                <w:color w:val="auto"/>
              </w:rPr>
            </w:pPr>
          </w:p>
        </w:tc>
        <w:tc>
          <w:tcPr>
            <w:tcW w:w="2240" w:type="dxa"/>
            <w:vAlign w:val="bottom"/>
            <w:shd w:val="clear" w:color="auto" w:fill="435363"/>
          </w:tcPr>
          <w:p>
            <w:pPr>
              <w:spacing w:after="0" w:line="20" w:lineRule="exact"/>
              <w:rPr>
                <w:sz w:val="1"/>
                <w:szCs w:val="1"/>
                <w:color w:val="auto"/>
              </w:rPr>
            </w:pPr>
          </w:p>
        </w:tc>
        <w:tc>
          <w:tcPr>
            <w:tcW w:w="500" w:type="dxa"/>
            <w:vAlign w:val="bottom"/>
            <w:shd w:val="clear" w:color="auto" w:fill="435363"/>
          </w:tcPr>
          <w:p>
            <w:pPr>
              <w:spacing w:after="0" w:line="20" w:lineRule="exact"/>
              <w:rPr>
                <w:sz w:val="1"/>
                <w:szCs w:val="1"/>
                <w:color w:val="auto"/>
              </w:rPr>
            </w:pPr>
          </w:p>
        </w:tc>
        <w:tc>
          <w:tcPr>
            <w:tcW w:w="2240" w:type="dxa"/>
            <w:vAlign w:val="bottom"/>
            <w:shd w:val="clear" w:color="auto" w:fill="435363"/>
          </w:tcPr>
          <w:p>
            <w:pPr>
              <w:spacing w:after="0" w:line="20" w:lineRule="exact"/>
              <w:rPr>
                <w:sz w:val="1"/>
                <w:szCs w:val="1"/>
                <w:color w:val="auto"/>
              </w:rPr>
            </w:pPr>
          </w:p>
        </w:tc>
        <w:tc>
          <w:tcPr>
            <w:tcW w:w="120" w:type="dxa"/>
            <w:vAlign w:val="bottom"/>
            <w:shd w:val="clear" w:color="auto" w:fill="435363"/>
          </w:tcPr>
          <w:p>
            <w:pPr>
              <w:spacing w:after="0" w:line="20" w:lineRule="exact"/>
              <w:rPr>
                <w:sz w:val="1"/>
                <w:szCs w:val="1"/>
                <w:color w:val="auto"/>
              </w:rPr>
            </w:pPr>
          </w:p>
        </w:tc>
      </w:tr>
      <w:tr>
        <w:trPr>
          <w:trHeight w:val="334"/>
        </w:trPr>
        <w:tc>
          <w:tcPr>
            <w:tcW w:w="5720" w:type="dxa"/>
            <w:vAlign w:val="bottom"/>
            <w:gridSpan w:val="3"/>
          </w:tcPr>
          <w:p>
            <w:pPr>
              <w:spacing w:after="0"/>
              <w:rPr>
                <w:sz w:val="20"/>
                <w:szCs w:val="20"/>
                <w:color w:val="auto"/>
              </w:rPr>
            </w:pPr>
            <w:r>
              <w:rPr>
                <w:rFonts w:ascii="Arial" w:cs="Arial" w:eastAsia="Arial" w:hAnsi="Arial"/>
                <w:sz w:val="16"/>
                <w:szCs w:val="16"/>
                <w:color w:val="435363"/>
              </w:rPr>
              <w:t>Note: Amounts may not recalculate due to rounding.</w:t>
            </w:r>
          </w:p>
        </w:tc>
        <w:tc>
          <w:tcPr>
            <w:tcW w:w="2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4"/>
        </w:trPr>
        <w:tc>
          <w:tcPr>
            <w:tcW w:w="5720" w:type="dxa"/>
            <w:vAlign w:val="bottom"/>
            <w:gridSpan w:val="3"/>
          </w:tcPr>
          <w:p>
            <w:pPr>
              <w:spacing w:after="0"/>
              <w:rPr>
                <w:sz w:val="20"/>
                <w:szCs w:val="20"/>
                <w:color w:val="auto"/>
              </w:rPr>
            </w:pPr>
            <w:r>
              <w:rPr>
                <w:rFonts w:ascii="Arial" w:cs="Arial" w:eastAsia="Arial" w:hAnsi="Arial"/>
                <w:sz w:val="12"/>
                <w:szCs w:val="12"/>
                <w:b w:val="1"/>
                <w:bCs w:val="1"/>
                <w:color w:val="435363"/>
              </w:rPr>
              <w:t>FOOTNOTES:</w:t>
            </w:r>
          </w:p>
        </w:tc>
        <w:tc>
          <w:tcPr>
            <w:tcW w:w="2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
        </w:trPr>
        <w:tc>
          <w:tcPr>
            <w:tcW w:w="20" w:type="dxa"/>
            <w:vAlign w:val="bottom"/>
            <w:shd w:val="clear" w:color="auto" w:fill="435363"/>
          </w:tcPr>
          <w:p>
            <w:pPr>
              <w:spacing w:after="0" w:line="20" w:lineRule="exact"/>
              <w:rPr>
                <w:sz w:val="1"/>
                <w:szCs w:val="1"/>
                <w:color w:val="auto"/>
              </w:rPr>
            </w:pPr>
          </w:p>
        </w:tc>
        <w:tc>
          <w:tcPr>
            <w:tcW w:w="760" w:type="dxa"/>
            <w:vAlign w:val="bottom"/>
            <w:shd w:val="clear" w:color="auto" w:fill="435363"/>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62" w:lineRule="exact"/>
        <w:rPr>
          <w:sz w:val="20"/>
          <w:szCs w:val="20"/>
          <w:color w:val="auto"/>
        </w:rPr>
      </w:pPr>
    </w:p>
    <w:p>
      <w:pPr>
        <w:ind w:left="640" w:hanging="416"/>
        <w:spacing w:after="0"/>
        <w:tabs>
          <w:tab w:leader="none" w:pos="640" w:val="left"/>
        </w:tabs>
        <w:numPr>
          <w:ilvl w:val="0"/>
          <w:numId w:val="69"/>
        </w:numPr>
        <w:rPr>
          <w:rFonts w:ascii="Arial" w:cs="Arial" w:eastAsia="Arial" w:hAnsi="Arial"/>
          <w:sz w:val="12"/>
          <w:szCs w:val="12"/>
          <w:color w:val="435363"/>
        </w:rPr>
      </w:pPr>
      <w:r>
        <w:rPr>
          <w:rFonts w:ascii="Arial" w:cs="Arial" w:eastAsia="Arial" w:hAnsi="Arial"/>
          <w:sz w:val="12"/>
          <w:szCs w:val="12"/>
          <w:u w:val="single" w:color="auto"/>
          <w:color w:val="435363"/>
        </w:rPr>
        <w:t>Mainline operating special items</w:t>
      </w:r>
    </w:p>
    <w:p>
      <w:pPr>
        <w:spacing w:after="0" w:line="61" w:lineRule="exact"/>
        <w:rPr>
          <w:sz w:val="20"/>
          <w:szCs w:val="20"/>
          <w:color w:val="auto"/>
        </w:rPr>
      </w:pPr>
    </w:p>
    <w:p>
      <w:pPr>
        <w:ind w:left="220" w:right="120"/>
        <w:spacing w:after="0" w:line="274" w:lineRule="auto"/>
        <w:rPr>
          <w:sz w:val="20"/>
          <w:szCs w:val="20"/>
          <w:color w:val="auto"/>
        </w:rPr>
      </w:pPr>
      <w:r>
        <w:rPr>
          <w:rFonts w:ascii="Arial" w:cs="Arial" w:eastAsia="Arial" w:hAnsi="Arial"/>
          <w:sz w:val="12"/>
          <w:szCs w:val="12"/>
          <w:color w:val="435363"/>
        </w:rPr>
        <w:t>The twelve months ended December 31, 2023 mainline operating special items, net principally included $989 million of one-time charges resulting from the ratification of a new collective bargaining agreement with our mainline pilots, including a one-time payment of $754 million as well as adjustments to other benefit-related items of $235 million.</w:t>
      </w:r>
    </w:p>
    <w:p>
      <w:pPr>
        <w:spacing w:after="0" w:line="16" w:lineRule="exact"/>
        <w:rPr>
          <w:sz w:val="20"/>
          <w:szCs w:val="20"/>
          <w:color w:val="auto"/>
        </w:rPr>
      </w:pPr>
    </w:p>
    <w:p>
      <w:pPr>
        <w:ind w:left="220" w:right="240"/>
        <w:spacing w:after="0" w:line="252" w:lineRule="auto"/>
        <w:rPr>
          <w:sz w:val="20"/>
          <w:szCs w:val="20"/>
          <w:color w:val="auto"/>
        </w:rPr>
      </w:pPr>
      <w:r>
        <w:rPr>
          <w:rFonts w:ascii="Arial" w:cs="Arial" w:eastAsia="Arial" w:hAnsi="Arial"/>
          <w:sz w:val="12"/>
          <w:szCs w:val="12"/>
          <w:color w:val="435363"/>
        </w:rPr>
        <w:t>The three months ended March 31, 2022 and twelve months ended December 31, 2022 mainline operating special items, net principally included a non-cash impairment charge to write down the carrying value of the Company’s retired Airbus A330 fleet to the estimated fair value due to the market conditions for certain used aircraft. The Company retired its Airbus A330 fleet in 2020 as discussed below.</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2"/>
          <w:szCs w:val="12"/>
          <w:color w:val="435363"/>
        </w:rPr>
        <w:t>The twelve months ended December 31, 2021 mainline operating special items, net principally included $4.2 billion of Payroll Support Program (“PSP”) financial assistance, offset in part by</w:t>
      </w:r>
    </w:p>
    <w:p>
      <w:pPr>
        <w:spacing w:after="0" w:line="6" w:lineRule="exact"/>
        <w:rPr>
          <w:sz w:val="20"/>
          <w:szCs w:val="20"/>
          <w:color w:val="auto"/>
        </w:rPr>
      </w:pPr>
    </w:p>
    <w:p>
      <w:pPr>
        <w:ind w:left="220" w:right="120"/>
        <w:spacing w:after="0" w:line="254" w:lineRule="auto"/>
        <w:rPr>
          <w:sz w:val="20"/>
          <w:szCs w:val="20"/>
          <w:color w:val="auto"/>
        </w:rPr>
      </w:pPr>
      <w:r>
        <w:rPr>
          <w:rFonts w:ascii="Arial" w:cs="Arial" w:eastAsia="Arial" w:hAnsi="Arial"/>
          <w:sz w:val="12"/>
          <w:szCs w:val="12"/>
          <w:color w:val="435363"/>
        </w:rPr>
        <w:t>$168 million of salary and medical costs associated with certain team members who opted into voluntary early retirement programs offered as a result of reductions to the Company’s operation due to the COVID-19 pandemic.</w:t>
      </w:r>
    </w:p>
    <w:p>
      <w:pPr>
        <w:spacing w:after="0" w:line="40" w:lineRule="exact"/>
        <w:rPr>
          <w:sz w:val="20"/>
          <w:szCs w:val="20"/>
          <w:color w:val="auto"/>
        </w:rPr>
      </w:pPr>
    </w:p>
    <w:p>
      <w:pPr>
        <w:ind w:left="640" w:hanging="416"/>
        <w:spacing w:after="0"/>
        <w:tabs>
          <w:tab w:leader="none" w:pos="640" w:val="left"/>
        </w:tabs>
        <w:numPr>
          <w:ilvl w:val="0"/>
          <w:numId w:val="70"/>
        </w:numPr>
        <w:rPr>
          <w:rFonts w:ascii="Arial" w:cs="Arial" w:eastAsia="Arial" w:hAnsi="Arial"/>
          <w:sz w:val="12"/>
          <w:szCs w:val="12"/>
          <w:color w:val="435363"/>
        </w:rPr>
      </w:pPr>
      <w:r>
        <w:rPr>
          <w:rFonts w:ascii="Arial" w:cs="Arial" w:eastAsia="Arial" w:hAnsi="Arial"/>
          <w:sz w:val="12"/>
          <w:szCs w:val="12"/>
          <w:u w:val="single" w:color="auto"/>
          <w:color w:val="435363"/>
        </w:rPr>
        <w:t>Regional operating special items</w:t>
      </w:r>
    </w:p>
    <w:p>
      <w:pPr>
        <w:spacing w:after="0" w:line="6" w:lineRule="exact"/>
        <w:rPr>
          <w:sz w:val="20"/>
          <w:szCs w:val="20"/>
          <w:color w:val="auto"/>
        </w:rPr>
      </w:pPr>
    </w:p>
    <w:p>
      <w:pPr>
        <w:jc w:val="both"/>
        <w:ind w:left="220" w:right="40"/>
        <w:spacing w:after="0" w:line="238" w:lineRule="auto"/>
        <w:rPr>
          <w:sz w:val="20"/>
          <w:szCs w:val="20"/>
          <w:color w:val="auto"/>
        </w:rPr>
      </w:pPr>
      <w:r>
        <w:rPr>
          <w:rFonts w:ascii="Arial" w:cs="Arial" w:eastAsia="Arial" w:hAnsi="Arial"/>
          <w:sz w:val="12"/>
          <w:szCs w:val="12"/>
          <w:color w:val="435363"/>
        </w:rPr>
        <w:t>The twelve months ended December 31, 2021 regional operating special items, net principally included $539 million of PSP financial assistance, offset in part by a $61 million charge associated with the regional pilot retention program which provides for, among other things, a cash retention bonus paid in the fourth quarter of 2021 to eligible captains at the wholly-owned regional airlines included on the pilot seniority list as of September 1, 2021 and a $27 million non-cash impairment charge to write down regional aircraft resulting from the retirement of the remaining Embraer 140 fleet earlier than planned.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202565</wp:posOffset>
            </wp:positionV>
            <wp:extent cx="5177155" cy="1682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pacing w:after="0" w:line="36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435363"/>
        </w:rPr>
        <w:t>B-2</w:t>
      </w:r>
    </w:p>
    <w:p>
      <w:pPr>
        <w:spacing w:after="0" w:line="3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435363"/>
        </w:rPr>
        <w:t>2024 Proxy Statement</w:t>
      </w:r>
    </w:p>
    <w:p>
      <w:pPr>
        <w:sectPr>
          <w:pgSz w:w="11900" w:h="16838" w:orient="portrait"/>
          <w:cols w:equalWidth="0" w:num="1">
            <w:col w:w="11040"/>
          </w:cols>
          <w:pgMar w:left="320" w:top="477" w:right="5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0" w:lineRule="exact"/>
        <w:rPr>
          <w:sz w:val="20"/>
          <w:szCs w:val="20"/>
          <w:color w:val="auto"/>
        </w:rPr>
      </w:pPr>
    </w:p>
    <w:p>
      <w:pPr>
        <w:spacing w:after="0" w:line="243" w:lineRule="exact"/>
        <w:rPr>
          <w:sz w:val="20"/>
          <w:szCs w:val="20"/>
          <w:color w:val="auto"/>
        </w:rPr>
      </w:pPr>
    </w:p>
    <w:p>
      <w:pPr>
        <w:ind w:left="640" w:hanging="416"/>
        <w:spacing w:after="0"/>
        <w:tabs>
          <w:tab w:leader="none" w:pos="640" w:val="left"/>
        </w:tabs>
        <w:numPr>
          <w:ilvl w:val="0"/>
          <w:numId w:val="71"/>
        </w:numPr>
        <w:rPr>
          <w:rFonts w:ascii="Arial" w:cs="Arial" w:eastAsia="Arial" w:hAnsi="Arial"/>
          <w:sz w:val="12"/>
          <w:szCs w:val="12"/>
          <w:color w:val="435363"/>
        </w:rPr>
      </w:pPr>
      <w:r>
        <w:rPr>
          <w:rFonts w:ascii="Arial" w:cs="Arial" w:eastAsia="Arial" w:hAnsi="Arial"/>
          <w:sz w:val="12"/>
          <w:szCs w:val="12"/>
          <w:u w:val="single" w:color="auto"/>
          <w:color w:val="435363"/>
        </w:rPr>
        <w:t>Nonoperating special items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2"/>
          <w:szCs w:val="12"/>
          <w:color w:val="435363"/>
        </w:rPr>
        <w:t>Principally included charges associated with debt refinancings and extinguishments as well as mark-to-market net unrealized gains and losses associated with certain equity investments.</w:t>
      </w:r>
    </w:p>
    <w:p>
      <w:pPr>
        <w:spacing w:after="0" w:line="61" w:lineRule="exact"/>
        <w:rPr>
          <w:sz w:val="20"/>
          <w:szCs w:val="20"/>
          <w:color w:val="auto"/>
        </w:rPr>
      </w:pPr>
    </w:p>
    <w:p>
      <w:pPr>
        <w:jc w:val="both"/>
        <w:ind w:left="220" w:right="320" w:firstLine="4"/>
        <w:spacing w:after="0" w:line="252" w:lineRule="auto"/>
        <w:tabs>
          <w:tab w:leader="none" w:pos="405" w:val="left"/>
        </w:tabs>
        <w:numPr>
          <w:ilvl w:val="0"/>
          <w:numId w:val="72"/>
        </w:numPr>
        <w:rPr>
          <w:rFonts w:ascii="Arial" w:cs="Arial" w:eastAsia="Arial" w:hAnsi="Arial"/>
          <w:sz w:val="12"/>
          <w:szCs w:val="12"/>
          <w:color w:val="435363"/>
        </w:rPr>
      </w:pPr>
      <w:r>
        <w:rPr>
          <w:rFonts w:ascii="Arial" w:cs="Arial" w:eastAsia="Arial" w:hAnsi="Arial"/>
          <w:sz w:val="12"/>
          <w:szCs w:val="12"/>
          <w:color w:val="435363"/>
        </w:rPr>
        <w:t>The twelve months ended December 31, 2023 diluted earnings per share gives effect to, among other things, the Company’s outstanding 6.5% senior convertible notes by (a) adding back to earnings $47 million of interest expense related to such convertible notes, net of estimated profit sharing, short-term incentive and tax effects and (b) including in the diluted shares outstanding, 61.7 million shares issuable in respect to such convertible notes.</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3575B3"/>
        </w:rPr>
        <w:t>Free Cash Flow</w:t>
      </w:r>
    </w:p>
    <w:p>
      <w:pPr>
        <w:spacing w:after="0" w:line="77" w:lineRule="exact"/>
        <w:rPr>
          <w:sz w:val="20"/>
          <w:szCs w:val="20"/>
          <w:color w:val="auto"/>
        </w:rPr>
      </w:pPr>
    </w:p>
    <w:p>
      <w:pPr>
        <w:ind w:left="220" w:right="80"/>
        <w:spacing w:after="0" w:line="245" w:lineRule="auto"/>
        <w:rPr>
          <w:sz w:val="20"/>
          <w:szCs w:val="20"/>
          <w:color w:val="auto"/>
        </w:rPr>
      </w:pPr>
      <w:r>
        <w:rPr>
          <w:rFonts w:ascii="Arial" w:cs="Arial" w:eastAsia="Arial" w:hAnsi="Arial"/>
          <w:sz w:val="16"/>
          <w:szCs w:val="16"/>
          <w:color w:val="435363"/>
        </w:rPr>
        <w:t>Our free cash flow summary is presented in the table below, which is a non-GAAP measure that management believes is useful information to investors and others in evaluating our ability to generate cash from our core operating performance that is available for use to reinvest in the business or to reduce debt. We define free cash flows as net cash provided by operating activities less net cash used in investing activities, adjusted for (1) net sales of short-term investments and (2) change in restricted cash. We believe that calculating free cash flow as adjusted for these items is more useful for investors because short-term investment activity and restricted cash are not representative of activity core to our operations. This non-GAAP measure may not be comparable to similarly titled non-GAAP measures of other companies, and should be considered in addition to, and not as a substitute for or superior to, any measure of performance, cash flow or liquidity prepared in accordance with GAAP. Our calculation of free cash flow is not intended, and should not be used, to measure the residual cash flow available for discretionary expenditures because, among other things, it excludes mandatory debt service requirements and certain other non-discretionary expenditures. </w:t>
      </w: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40" w:type="dxa"/>
            <w:vAlign w:val="bottom"/>
            <w:gridSpan w:val="4"/>
          </w:tcPr>
          <w:p>
            <w:pPr>
              <w:ind w:left="120"/>
              <w:spacing w:after="0"/>
              <w:rPr>
                <w:sz w:val="20"/>
                <w:szCs w:val="20"/>
                <w:color w:val="auto"/>
              </w:rPr>
            </w:pPr>
            <w:r>
              <w:rPr>
                <w:rFonts w:ascii="Arial" w:cs="Arial" w:eastAsia="Arial" w:hAnsi="Arial"/>
                <w:sz w:val="16"/>
                <w:szCs w:val="16"/>
                <w:b w:val="1"/>
                <w:bCs w:val="1"/>
                <w:color w:val="3575B3"/>
              </w:rPr>
              <w:t>Year Ended December 31, 2023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4140" w:type="dxa"/>
            <w:vAlign w:val="bottom"/>
          </w:tcPr>
          <w:p>
            <w:pPr>
              <w:spacing w:after="0"/>
              <w:rPr>
                <w:sz w:val="5"/>
                <w:szCs w:val="5"/>
                <w:color w:val="auto"/>
              </w:rPr>
            </w:pPr>
          </w:p>
        </w:tc>
        <w:tc>
          <w:tcPr>
            <w:tcW w:w="1800" w:type="dxa"/>
            <w:vAlign w:val="bottom"/>
            <w:tcBorders>
              <w:bottom w:val="single" w:sz="8" w:color="BF0000"/>
            </w:tcBorders>
          </w:tcPr>
          <w:p>
            <w:pPr>
              <w:spacing w:after="0"/>
              <w:rPr>
                <w:sz w:val="5"/>
                <w:szCs w:val="5"/>
                <w:color w:val="auto"/>
              </w:rPr>
            </w:pPr>
          </w:p>
        </w:tc>
        <w:tc>
          <w:tcPr>
            <w:tcW w:w="120" w:type="dxa"/>
            <w:vAlign w:val="bottom"/>
            <w:tcBorders>
              <w:bottom w:val="single" w:sz="8" w:color="BF0000"/>
            </w:tcBorders>
          </w:tcPr>
          <w:p>
            <w:pPr>
              <w:spacing w:after="0"/>
              <w:rPr>
                <w:sz w:val="5"/>
                <w:szCs w:val="5"/>
                <w:color w:val="auto"/>
              </w:rPr>
            </w:pPr>
          </w:p>
        </w:tc>
        <w:tc>
          <w:tcPr>
            <w:tcW w:w="400" w:type="dxa"/>
            <w:vAlign w:val="bottom"/>
            <w:tcBorders>
              <w:bottom w:val="single" w:sz="8" w:color="BF0000"/>
            </w:tcBorders>
          </w:tcPr>
          <w:p>
            <w:pPr>
              <w:spacing w:after="0"/>
              <w:rPr>
                <w:sz w:val="5"/>
                <w:szCs w:val="5"/>
                <w:color w:val="auto"/>
              </w:rPr>
            </w:pPr>
          </w:p>
        </w:tc>
        <w:tc>
          <w:tcPr>
            <w:tcW w:w="2120" w:type="dxa"/>
            <w:vAlign w:val="bottom"/>
            <w:tcBorders>
              <w:bottom w:val="single" w:sz="8" w:color="BF0000"/>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220" w:type="dxa"/>
            <w:vAlign w:val="bottom"/>
            <w:tcBorders>
              <w:bottom w:val="single" w:sz="8" w:color="BF0000"/>
            </w:tcBorders>
          </w:tcPr>
          <w:p>
            <w:pPr>
              <w:spacing w:after="0"/>
              <w:rPr>
                <w:sz w:val="15"/>
                <w:szCs w:val="15"/>
                <w:color w:val="auto"/>
              </w:rPr>
            </w:pPr>
          </w:p>
        </w:tc>
        <w:tc>
          <w:tcPr>
            <w:tcW w:w="4140" w:type="dxa"/>
            <w:vAlign w:val="bottom"/>
            <w:tcBorders>
              <w:bottom w:val="single" w:sz="8" w:color="BF0000"/>
            </w:tcBorders>
          </w:tcPr>
          <w:p>
            <w:pPr>
              <w:spacing w:after="0"/>
              <w:rPr>
                <w:sz w:val="15"/>
                <w:szCs w:val="15"/>
                <w:color w:val="auto"/>
              </w:rPr>
            </w:pPr>
          </w:p>
        </w:tc>
        <w:tc>
          <w:tcPr>
            <w:tcW w:w="1800" w:type="dxa"/>
            <w:vAlign w:val="bottom"/>
            <w:tcBorders>
              <w:bottom w:val="single" w:sz="8" w:color="BF0000"/>
            </w:tcBorders>
          </w:tcPr>
          <w:p>
            <w:pPr>
              <w:spacing w:after="0"/>
              <w:rPr>
                <w:sz w:val="15"/>
                <w:szCs w:val="15"/>
                <w:color w:val="auto"/>
              </w:rPr>
            </w:pPr>
          </w:p>
        </w:tc>
        <w:tc>
          <w:tcPr>
            <w:tcW w:w="120" w:type="dxa"/>
            <w:vAlign w:val="bottom"/>
            <w:tcBorders>
              <w:bottom w:val="single" w:sz="8" w:color="BF0000"/>
            </w:tcBorders>
          </w:tcPr>
          <w:p>
            <w:pPr>
              <w:spacing w:after="0"/>
              <w:rPr>
                <w:sz w:val="15"/>
                <w:szCs w:val="15"/>
                <w:color w:val="auto"/>
              </w:rPr>
            </w:pPr>
          </w:p>
        </w:tc>
        <w:tc>
          <w:tcPr>
            <w:tcW w:w="400" w:type="dxa"/>
            <w:vAlign w:val="bottom"/>
            <w:tcBorders>
              <w:bottom w:val="single" w:sz="8" w:color="BF0000"/>
            </w:tcBorders>
          </w:tcPr>
          <w:p>
            <w:pPr>
              <w:spacing w:after="0"/>
              <w:rPr>
                <w:sz w:val="15"/>
                <w:szCs w:val="15"/>
                <w:color w:val="auto"/>
              </w:rPr>
            </w:pPr>
          </w:p>
        </w:tc>
        <w:tc>
          <w:tcPr>
            <w:tcW w:w="2120" w:type="dxa"/>
            <w:vAlign w:val="bottom"/>
            <w:tcBorders>
              <w:bottom w:val="single" w:sz="8" w:color="BF0000"/>
            </w:tcBorders>
            <w:gridSpan w:val="2"/>
          </w:tcPr>
          <w:p>
            <w:pPr>
              <w:jc w:val="right"/>
              <w:ind w:right="920"/>
              <w:spacing w:after="0" w:line="178" w:lineRule="exact"/>
              <w:rPr>
                <w:sz w:val="20"/>
                <w:szCs w:val="20"/>
                <w:color w:val="auto"/>
              </w:rPr>
            </w:pPr>
            <w:r>
              <w:rPr>
                <w:rFonts w:ascii="Arial" w:cs="Arial" w:eastAsia="Arial" w:hAnsi="Arial"/>
                <w:sz w:val="16"/>
                <w:szCs w:val="16"/>
                <w:b w:val="1"/>
                <w:bCs w:val="1"/>
                <w:color w:val="3575B3"/>
              </w:rPr>
              <w:t>(in millions)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60" w:type="dxa"/>
            <w:vAlign w:val="bottom"/>
            <w:gridSpan w:val="3"/>
          </w:tcPr>
          <w:p>
            <w:pPr>
              <w:ind w:left="60"/>
              <w:spacing w:after="0"/>
              <w:rPr>
                <w:sz w:val="20"/>
                <w:szCs w:val="20"/>
                <w:color w:val="auto"/>
              </w:rPr>
            </w:pPr>
            <w:r>
              <w:rPr>
                <w:rFonts w:ascii="Arial" w:cs="Arial" w:eastAsia="Arial" w:hAnsi="Arial"/>
                <w:sz w:val="16"/>
                <w:szCs w:val="16"/>
                <w:color w:val="435363"/>
              </w:rPr>
              <w:t>Net cash provided by operating activities</w:t>
            </w:r>
          </w:p>
        </w:tc>
        <w:tc>
          <w:tcPr>
            <w:tcW w:w="520" w:type="dxa"/>
            <w:vAlign w:val="bottom"/>
            <w:gridSpan w:val="2"/>
          </w:tcPr>
          <w:p>
            <w:pPr>
              <w:ind w:left="100"/>
              <w:spacing w:after="0"/>
              <w:rPr>
                <w:sz w:val="20"/>
                <w:szCs w:val="20"/>
                <w:color w:val="auto"/>
              </w:rPr>
            </w:pPr>
            <w:r>
              <w:rPr>
                <w:rFonts w:ascii="Arial" w:cs="Arial" w:eastAsia="Arial" w:hAnsi="Arial"/>
                <w:sz w:val="16"/>
                <w:szCs w:val="16"/>
                <w:color w:val="435363"/>
              </w:rPr>
              <w:t>$</w:t>
            </w:r>
          </w:p>
        </w:tc>
        <w:tc>
          <w:tcPr>
            <w:tcW w:w="1940" w:type="dxa"/>
            <w:vAlign w:val="bottom"/>
          </w:tcPr>
          <w:p>
            <w:pPr>
              <w:jc w:val="right"/>
              <w:spacing w:after="0"/>
              <w:rPr>
                <w:sz w:val="20"/>
                <w:szCs w:val="20"/>
                <w:color w:val="auto"/>
              </w:rPr>
            </w:pPr>
            <w:r>
              <w:rPr>
                <w:rFonts w:ascii="Arial" w:cs="Arial" w:eastAsia="Arial" w:hAnsi="Arial"/>
                <w:sz w:val="16"/>
                <w:szCs w:val="16"/>
                <w:color w:val="435363"/>
              </w:rPr>
              <w:t>3,803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59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360" w:type="dxa"/>
            <w:vAlign w:val="bottom"/>
            <w:gridSpan w:val="2"/>
            <w:shd w:val="clear" w:color="auto" w:fill="EDEDED"/>
          </w:tcPr>
          <w:p>
            <w:pPr>
              <w:ind w:left="60"/>
              <w:spacing w:after="0"/>
              <w:rPr>
                <w:sz w:val="20"/>
                <w:szCs w:val="20"/>
                <w:color w:val="auto"/>
              </w:rPr>
            </w:pPr>
            <w:r>
              <w:rPr>
                <w:rFonts w:ascii="Arial" w:cs="Arial" w:eastAsia="Arial" w:hAnsi="Arial"/>
                <w:sz w:val="16"/>
                <w:szCs w:val="16"/>
                <w:color w:val="435363"/>
              </w:rPr>
              <w:t xml:space="preserve">Adjusted net cash used in investing activities </w:t>
            </w:r>
            <w:r>
              <w:rPr>
                <w:rFonts w:ascii="Arial" w:cs="Arial" w:eastAsia="Arial" w:hAnsi="Arial"/>
                <w:sz w:val="23"/>
                <w:szCs w:val="23"/>
                <w:color w:val="435363"/>
                <w:vertAlign w:val="superscript"/>
              </w:rPr>
              <w:t>(1)</w:t>
            </w:r>
          </w:p>
        </w:tc>
        <w:tc>
          <w:tcPr>
            <w:tcW w:w="1800" w:type="dxa"/>
            <w:vAlign w:val="bottom"/>
            <w:shd w:val="clear" w:color="auto" w:fill="EDEDED"/>
          </w:tcPr>
          <w:p>
            <w:pPr>
              <w:spacing w:after="0"/>
              <w:rPr>
                <w:sz w:val="24"/>
                <w:szCs w:val="24"/>
                <w:color w:val="auto"/>
              </w:rPr>
            </w:pPr>
          </w:p>
        </w:tc>
        <w:tc>
          <w:tcPr>
            <w:tcW w:w="120" w:type="dxa"/>
            <w:vAlign w:val="bottom"/>
            <w:shd w:val="clear" w:color="auto" w:fill="EDEDED"/>
          </w:tcPr>
          <w:p>
            <w:pPr>
              <w:spacing w:after="0"/>
              <w:rPr>
                <w:sz w:val="24"/>
                <w:szCs w:val="24"/>
                <w:color w:val="auto"/>
              </w:rPr>
            </w:pPr>
          </w:p>
        </w:tc>
        <w:tc>
          <w:tcPr>
            <w:tcW w:w="400" w:type="dxa"/>
            <w:vAlign w:val="bottom"/>
            <w:shd w:val="clear" w:color="auto" w:fill="EDEDED"/>
          </w:tcPr>
          <w:p>
            <w:pPr>
              <w:spacing w:after="0"/>
              <w:rPr>
                <w:sz w:val="24"/>
                <w:szCs w:val="24"/>
                <w:color w:val="auto"/>
              </w:rPr>
            </w:pPr>
          </w:p>
        </w:tc>
        <w:tc>
          <w:tcPr>
            <w:tcW w:w="2120" w:type="dxa"/>
            <w:vAlign w:val="bottom"/>
            <w:gridSpan w:val="2"/>
            <w:shd w:val="clear" w:color="auto" w:fill="EDEDED"/>
          </w:tcPr>
          <w:p>
            <w:pPr>
              <w:jc w:val="right"/>
              <w:ind w:right="140"/>
              <w:spacing w:after="0"/>
              <w:rPr>
                <w:sz w:val="20"/>
                <w:szCs w:val="20"/>
                <w:color w:val="auto"/>
              </w:rPr>
            </w:pPr>
            <w:r>
              <w:rPr>
                <w:rFonts w:ascii="Arial" w:cs="Arial" w:eastAsia="Arial" w:hAnsi="Arial"/>
                <w:sz w:val="16"/>
                <w:szCs w:val="16"/>
                <w:color w:val="435363"/>
              </w:rPr>
              <w:t>(1,997)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435363"/>
          </w:tcPr>
          <w:p>
            <w:pPr>
              <w:spacing w:after="0" w:line="20" w:lineRule="exact"/>
              <w:rPr>
                <w:sz w:val="1"/>
                <w:szCs w:val="1"/>
                <w:color w:val="auto"/>
              </w:rPr>
            </w:pPr>
          </w:p>
        </w:tc>
        <w:tc>
          <w:tcPr>
            <w:tcW w:w="1940" w:type="dxa"/>
            <w:vAlign w:val="bottom"/>
            <w:shd w:val="clear" w:color="auto" w:fill="43536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8160" w:type="dxa"/>
            <w:vAlign w:val="bottom"/>
            <w:gridSpan w:val="3"/>
          </w:tcPr>
          <w:p>
            <w:pPr>
              <w:ind w:left="60"/>
              <w:spacing w:after="0"/>
              <w:rPr>
                <w:sz w:val="20"/>
                <w:szCs w:val="20"/>
                <w:color w:val="auto"/>
              </w:rPr>
            </w:pPr>
            <w:r>
              <w:rPr>
                <w:rFonts w:ascii="Arial" w:cs="Arial" w:eastAsia="Arial" w:hAnsi="Arial"/>
                <w:sz w:val="16"/>
                <w:szCs w:val="16"/>
                <w:color w:val="435363"/>
              </w:rPr>
              <w:t>Free cash flow</w:t>
            </w:r>
          </w:p>
        </w:tc>
        <w:tc>
          <w:tcPr>
            <w:tcW w:w="520" w:type="dxa"/>
            <w:vAlign w:val="bottom"/>
            <w:gridSpan w:val="2"/>
          </w:tcPr>
          <w:p>
            <w:pPr>
              <w:ind w:left="100"/>
              <w:spacing w:after="0"/>
              <w:rPr>
                <w:sz w:val="20"/>
                <w:szCs w:val="20"/>
                <w:color w:val="auto"/>
              </w:rPr>
            </w:pPr>
            <w:r>
              <w:rPr>
                <w:rFonts w:ascii="Arial" w:cs="Arial" w:eastAsia="Arial" w:hAnsi="Arial"/>
                <w:sz w:val="16"/>
                <w:szCs w:val="16"/>
                <w:color w:val="435363"/>
              </w:rPr>
              <w:t>$</w:t>
            </w:r>
          </w:p>
        </w:tc>
        <w:tc>
          <w:tcPr>
            <w:tcW w:w="1940" w:type="dxa"/>
            <w:vAlign w:val="bottom"/>
          </w:tcPr>
          <w:p>
            <w:pPr>
              <w:jc w:val="right"/>
              <w:spacing w:after="0"/>
              <w:rPr>
                <w:sz w:val="20"/>
                <w:szCs w:val="20"/>
                <w:color w:val="auto"/>
              </w:rPr>
            </w:pPr>
            <w:r>
              <w:rPr>
                <w:rFonts w:ascii="Arial" w:cs="Arial" w:eastAsia="Arial" w:hAnsi="Arial"/>
                <w:sz w:val="16"/>
                <w:szCs w:val="16"/>
                <w:color w:val="435363"/>
              </w:rPr>
              <w:t>1,806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Borders>
              <w:bottom w:val="single" w:sz="8" w:color="435363"/>
            </w:tcBorders>
          </w:tcPr>
          <w:p>
            <w:pPr>
              <w:spacing w:after="0"/>
              <w:rPr>
                <w:sz w:val="3"/>
                <w:szCs w:val="3"/>
                <w:color w:val="auto"/>
              </w:rPr>
            </w:pPr>
          </w:p>
        </w:tc>
        <w:tc>
          <w:tcPr>
            <w:tcW w:w="1940" w:type="dxa"/>
            <w:vAlign w:val="bottom"/>
            <w:tcBorders>
              <w:bottom w:val="single" w:sz="8" w:color="435363"/>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435363"/>
            </w:tcBorders>
          </w:tcPr>
          <w:p>
            <w:pPr>
              <w:spacing w:after="0" w:line="20" w:lineRule="exact"/>
              <w:rPr>
                <w:sz w:val="1"/>
                <w:szCs w:val="1"/>
                <w:color w:val="auto"/>
              </w:rPr>
            </w:pPr>
          </w:p>
        </w:tc>
        <w:tc>
          <w:tcPr>
            <w:tcW w:w="1940" w:type="dxa"/>
            <w:vAlign w:val="bottom"/>
            <w:tcBorders>
              <w:bottom w:val="single" w:sz="8" w:color="43536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2220" w:type="dxa"/>
            <w:vAlign w:val="bottom"/>
            <w:tcBorders>
              <w:bottom w:val="single" w:sz="8" w:color="435363"/>
            </w:tcBorders>
          </w:tcPr>
          <w:p>
            <w:pPr>
              <w:spacing w:after="0"/>
              <w:rPr>
                <w:sz w:val="7"/>
                <w:szCs w:val="7"/>
                <w:color w:val="auto"/>
              </w:rPr>
            </w:pPr>
          </w:p>
        </w:tc>
        <w:tc>
          <w:tcPr>
            <w:tcW w:w="41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120" w:type="dxa"/>
            <w:vAlign w:val="bottom"/>
            <w:gridSpan w:val="2"/>
            <w:vMerge w:val="restart"/>
          </w:tcPr>
          <w:p>
            <w:pPr>
              <w:jc w:val="right"/>
              <w:ind w:right="60"/>
              <w:spacing w:after="0"/>
              <w:rPr>
                <w:sz w:val="20"/>
                <w:szCs w:val="20"/>
                <w:color w:val="auto"/>
              </w:rPr>
            </w:pPr>
            <w:r>
              <w:rPr>
                <w:rFonts w:ascii="Arial" w:cs="Arial" w:eastAsia="Arial" w:hAnsi="Arial"/>
                <w:sz w:val="9"/>
                <w:szCs w:val="9"/>
                <w:color w:val="435363"/>
              </w:rPr>
              <w:t>     </w:t>
            </w:r>
          </w:p>
        </w:tc>
        <w:tc>
          <w:tcPr>
            <w:tcW w:w="0" w:type="dxa"/>
            <w:vAlign w:val="bottom"/>
          </w:tcPr>
          <w:p>
            <w:pPr>
              <w:spacing w:after="0"/>
              <w:rPr>
                <w:sz w:val="1"/>
                <w:szCs w:val="1"/>
                <w:color w:val="auto"/>
              </w:rPr>
            </w:pPr>
          </w:p>
        </w:tc>
      </w:tr>
      <w:tr>
        <w:trPr>
          <w:trHeight w:val="50"/>
        </w:trPr>
        <w:tc>
          <w:tcPr>
            <w:tcW w:w="8180" w:type="dxa"/>
            <w:vAlign w:val="bottom"/>
            <w:gridSpan w:val="4"/>
            <w:vMerge w:val="restart"/>
          </w:tcPr>
          <w:p>
            <w:pPr>
              <w:spacing w:after="0"/>
              <w:rPr>
                <w:sz w:val="20"/>
                <w:szCs w:val="20"/>
                <w:color w:val="auto"/>
              </w:rPr>
            </w:pPr>
            <w:r>
              <w:rPr>
                <w:rFonts w:ascii="Arial" w:cs="Arial" w:eastAsia="Arial" w:hAnsi="Arial"/>
                <w:sz w:val="18"/>
                <w:szCs w:val="18"/>
                <w:color w:val="435363"/>
                <w:vertAlign w:val="superscript"/>
              </w:rPr>
              <w:t>(1)     </w:t>
            </w:r>
            <w:r>
              <w:rPr>
                <w:rFonts w:ascii="Arial" w:cs="Arial" w:eastAsia="Arial" w:hAnsi="Arial"/>
                <w:sz w:val="12"/>
                <w:szCs w:val="12"/>
                <w:color w:val="435363"/>
              </w:rPr>
              <w:t>The following table provides a reconciliation of adjusted net cash used in investing activities for the year ended December 31, 2023 (in millions):</w:t>
            </w: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81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160" w:type="dxa"/>
            <w:vAlign w:val="bottom"/>
            <w:gridSpan w:val="3"/>
          </w:tcPr>
          <w:p>
            <w:pPr>
              <w:ind w:left="60"/>
              <w:spacing w:after="0"/>
              <w:rPr>
                <w:sz w:val="20"/>
                <w:szCs w:val="20"/>
                <w:color w:val="auto"/>
              </w:rPr>
            </w:pPr>
            <w:r>
              <w:rPr>
                <w:rFonts w:ascii="Arial" w:cs="Arial" w:eastAsia="Arial" w:hAnsi="Arial"/>
                <w:sz w:val="16"/>
                <w:szCs w:val="16"/>
                <w:color w:val="435363"/>
              </w:rPr>
              <w:t>Net cash used in investing activities</w:t>
            </w:r>
          </w:p>
        </w:tc>
        <w:tc>
          <w:tcPr>
            <w:tcW w:w="520" w:type="dxa"/>
            <w:vAlign w:val="bottom"/>
            <w:gridSpan w:val="2"/>
          </w:tcPr>
          <w:p>
            <w:pPr>
              <w:ind w:left="100"/>
              <w:spacing w:after="0"/>
              <w:rPr>
                <w:sz w:val="20"/>
                <w:szCs w:val="20"/>
                <w:color w:val="auto"/>
              </w:rPr>
            </w:pPr>
            <w:r>
              <w:rPr>
                <w:rFonts w:ascii="Arial" w:cs="Arial" w:eastAsia="Arial" w:hAnsi="Arial"/>
                <w:sz w:val="16"/>
                <w:szCs w:val="16"/>
                <w:color w:val="435363"/>
              </w:rPr>
              <w:t>$</w:t>
            </w:r>
          </w:p>
        </w:tc>
        <w:tc>
          <w:tcPr>
            <w:tcW w:w="2120" w:type="dxa"/>
            <w:vAlign w:val="bottom"/>
            <w:gridSpan w:val="2"/>
          </w:tcPr>
          <w:p>
            <w:pPr>
              <w:jc w:val="right"/>
              <w:ind w:right="140"/>
              <w:spacing w:after="0"/>
              <w:rPr>
                <w:sz w:val="20"/>
                <w:szCs w:val="20"/>
                <w:color w:val="auto"/>
              </w:rPr>
            </w:pPr>
            <w:r>
              <w:rPr>
                <w:rFonts w:ascii="Arial" w:cs="Arial" w:eastAsia="Arial" w:hAnsi="Arial"/>
                <w:sz w:val="16"/>
                <w:szCs w:val="16"/>
                <w:color w:val="435363"/>
              </w:rPr>
              <w:t>(502)</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59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360" w:type="dxa"/>
            <w:vAlign w:val="bottom"/>
            <w:tcBorders>
              <w:bottom w:val="single" w:sz="8" w:color="EDEDED"/>
            </w:tcBorders>
            <w:gridSpan w:val="2"/>
            <w:shd w:val="clear" w:color="auto" w:fill="EDEDED"/>
          </w:tcPr>
          <w:p>
            <w:pPr>
              <w:ind w:left="60"/>
              <w:spacing w:after="0"/>
              <w:rPr>
                <w:sz w:val="20"/>
                <w:szCs w:val="20"/>
                <w:color w:val="auto"/>
              </w:rPr>
            </w:pPr>
            <w:r>
              <w:rPr>
                <w:rFonts w:ascii="Arial" w:cs="Arial" w:eastAsia="Arial" w:hAnsi="Arial"/>
                <w:sz w:val="16"/>
                <w:szCs w:val="16"/>
                <w:color w:val="435363"/>
              </w:rPr>
              <w:t>Adjustments:</w:t>
            </w:r>
          </w:p>
        </w:tc>
        <w:tc>
          <w:tcPr>
            <w:tcW w:w="1800" w:type="dxa"/>
            <w:vAlign w:val="bottom"/>
            <w:tcBorders>
              <w:bottom w:val="single" w:sz="8" w:color="EDEDED"/>
            </w:tcBorders>
            <w:shd w:val="clear" w:color="auto" w:fill="EDEDED"/>
          </w:tcPr>
          <w:p>
            <w:pPr>
              <w:spacing w:after="0"/>
              <w:rPr>
                <w:sz w:val="23"/>
                <w:szCs w:val="23"/>
                <w:color w:val="auto"/>
              </w:rPr>
            </w:pPr>
          </w:p>
        </w:tc>
        <w:tc>
          <w:tcPr>
            <w:tcW w:w="120" w:type="dxa"/>
            <w:vAlign w:val="bottom"/>
            <w:tcBorders>
              <w:bottom w:val="single" w:sz="8" w:color="EDEDED"/>
            </w:tcBorders>
            <w:shd w:val="clear" w:color="auto" w:fill="EDEDED"/>
          </w:tcPr>
          <w:p>
            <w:pPr>
              <w:spacing w:after="0"/>
              <w:rPr>
                <w:sz w:val="23"/>
                <w:szCs w:val="23"/>
                <w:color w:val="auto"/>
              </w:rPr>
            </w:pPr>
          </w:p>
        </w:tc>
        <w:tc>
          <w:tcPr>
            <w:tcW w:w="400" w:type="dxa"/>
            <w:vAlign w:val="bottom"/>
            <w:tcBorders>
              <w:bottom w:val="single" w:sz="8" w:color="EDEDED"/>
            </w:tcBorders>
            <w:shd w:val="clear" w:color="auto" w:fill="EDEDED"/>
          </w:tcPr>
          <w:p>
            <w:pPr>
              <w:spacing w:after="0"/>
              <w:rPr>
                <w:sz w:val="23"/>
                <w:szCs w:val="23"/>
                <w:color w:val="auto"/>
              </w:rPr>
            </w:pPr>
          </w:p>
        </w:tc>
        <w:tc>
          <w:tcPr>
            <w:tcW w:w="1940" w:type="dxa"/>
            <w:vAlign w:val="bottom"/>
            <w:tcBorders>
              <w:bottom w:val="single" w:sz="8" w:color="EDEDED"/>
            </w:tcBorders>
            <w:shd w:val="clear" w:color="auto" w:fill="EDEDED"/>
          </w:tcPr>
          <w:p>
            <w:pPr>
              <w:spacing w:after="0"/>
              <w:rPr>
                <w:sz w:val="23"/>
                <w:szCs w:val="23"/>
                <w:color w:val="auto"/>
              </w:rPr>
            </w:pPr>
          </w:p>
        </w:tc>
        <w:tc>
          <w:tcPr>
            <w:tcW w:w="180" w:type="dxa"/>
            <w:vAlign w:val="bottom"/>
            <w:tcBorders>
              <w:bottom w:val="single" w:sz="8" w:color="EDEDED"/>
            </w:tcBorders>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160" w:type="dxa"/>
            <w:vAlign w:val="bottom"/>
            <w:gridSpan w:val="3"/>
          </w:tcPr>
          <w:p>
            <w:pPr>
              <w:ind w:left="220"/>
              <w:spacing w:after="0"/>
              <w:rPr>
                <w:sz w:val="20"/>
                <w:szCs w:val="20"/>
                <w:color w:val="auto"/>
              </w:rPr>
            </w:pPr>
            <w:r>
              <w:rPr>
                <w:rFonts w:ascii="Arial" w:cs="Arial" w:eastAsia="Arial" w:hAnsi="Arial"/>
                <w:sz w:val="16"/>
                <w:szCs w:val="16"/>
                <w:color w:val="435363"/>
              </w:rPr>
              <w:t>Net sales of short-term investments</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120" w:type="dxa"/>
            <w:vAlign w:val="bottom"/>
            <w:gridSpan w:val="2"/>
          </w:tcPr>
          <w:p>
            <w:pPr>
              <w:jc w:val="right"/>
              <w:ind w:right="140"/>
              <w:spacing w:after="0"/>
              <w:rPr>
                <w:sz w:val="20"/>
                <w:szCs w:val="20"/>
                <w:color w:val="auto"/>
              </w:rPr>
            </w:pPr>
            <w:r>
              <w:rPr>
                <w:rFonts w:ascii="Arial" w:cs="Arial" w:eastAsia="Arial" w:hAnsi="Arial"/>
                <w:sz w:val="16"/>
                <w:szCs w:val="16"/>
                <w:color w:val="435363"/>
              </w:rPr>
              <w:t>(1,538)</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59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360" w:type="dxa"/>
            <w:vAlign w:val="bottom"/>
            <w:tcBorders>
              <w:bottom w:val="single" w:sz="8" w:color="EDEDED"/>
            </w:tcBorders>
            <w:gridSpan w:val="2"/>
            <w:shd w:val="clear" w:color="auto" w:fill="EDEDED"/>
          </w:tcPr>
          <w:p>
            <w:pPr>
              <w:ind w:left="220"/>
              <w:spacing w:after="0"/>
              <w:rPr>
                <w:sz w:val="20"/>
                <w:szCs w:val="20"/>
                <w:color w:val="auto"/>
              </w:rPr>
            </w:pPr>
            <w:r>
              <w:rPr>
                <w:rFonts w:ascii="Arial" w:cs="Arial" w:eastAsia="Arial" w:hAnsi="Arial"/>
                <w:sz w:val="16"/>
                <w:szCs w:val="16"/>
                <w:color w:val="435363"/>
              </w:rPr>
              <w:t>Decrease in restricted cash</w:t>
            </w:r>
          </w:p>
        </w:tc>
        <w:tc>
          <w:tcPr>
            <w:tcW w:w="1800" w:type="dxa"/>
            <w:vAlign w:val="bottom"/>
            <w:tcBorders>
              <w:bottom w:val="single" w:sz="8" w:color="EDEDED"/>
            </w:tcBorders>
            <w:shd w:val="clear" w:color="auto" w:fill="EDEDED"/>
          </w:tcPr>
          <w:p>
            <w:pPr>
              <w:spacing w:after="0"/>
              <w:rPr>
                <w:sz w:val="23"/>
                <w:szCs w:val="23"/>
                <w:color w:val="auto"/>
              </w:rPr>
            </w:pPr>
          </w:p>
        </w:tc>
        <w:tc>
          <w:tcPr>
            <w:tcW w:w="120" w:type="dxa"/>
            <w:vAlign w:val="bottom"/>
            <w:tcBorders>
              <w:bottom w:val="single" w:sz="8" w:color="EDEDED"/>
            </w:tcBorders>
            <w:shd w:val="clear" w:color="auto" w:fill="EDEDED"/>
          </w:tcPr>
          <w:p>
            <w:pPr>
              <w:spacing w:after="0"/>
              <w:rPr>
                <w:sz w:val="23"/>
                <w:szCs w:val="23"/>
                <w:color w:val="auto"/>
              </w:rPr>
            </w:pPr>
          </w:p>
        </w:tc>
        <w:tc>
          <w:tcPr>
            <w:tcW w:w="400" w:type="dxa"/>
            <w:vAlign w:val="bottom"/>
            <w:tcBorders>
              <w:bottom w:val="single" w:sz="8" w:color="EDEDED"/>
            </w:tcBorders>
            <w:shd w:val="clear" w:color="auto" w:fill="EDEDED"/>
          </w:tcPr>
          <w:p>
            <w:pPr>
              <w:spacing w:after="0"/>
              <w:rPr>
                <w:sz w:val="23"/>
                <w:szCs w:val="23"/>
                <w:color w:val="auto"/>
              </w:rPr>
            </w:pPr>
          </w:p>
        </w:tc>
        <w:tc>
          <w:tcPr>
            <w:tcW w:w="194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435363"/>
              </w:rPr>
              <w:t>43</w:t>
            </w:r>
          </w:p>
        </w:tc>
        <w:tc>
          <w:tcPr>
            <w:tcW w:w="180" w:type="dxa"/>
            <w:vAlign w:val="bottom"/>
            <w:tcBorders>
              <w:bottom w:val="single" w:sz="8" w:color="EDEDED"/>
            </w:tcBorders>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435363"/>
          </w:tcPr>
          <w:p>
            <w:pPr>
              <w:spacing w:after="0" w:line="20" w:lineRule="exact"/>
              <w:rPr>
                <w:sz w:val="1"/>
                <w:szCs w:val="1"/>
                <w:color w:val="auto"/>
              </w:rPr>
            </w:pPr>
          </w:p>
        </w:tc>
        <w:tc>
          <w:tcPr>
            <w:tcW w:w="1940" w:type="dxa"/>
            <w:vAlign w:val="bottom"/>
            <w:shd w:val="clear" w:color="auto" w:fill="43536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8160" w:type="dxa"/>
            <w:vAlign w:val="bottom"/>
            <w:gridSpan w:val="3"/>
          </w:tcPr>
          <w:p>
            <w:pPr>
              <w:ind w:left="60"/>
              <w:spacing w:after="0"/>
              <w:rPr>
                <w:sz w:val="20"/>
                <w:szCs w:val="20"/>
                <w:color w:val="auto"/>
              </w:rPr>
            </w:pPr>
            <w:r>
              <w:rPr>
                <w:rFonts w:ascii="Arial" w:cs="Arial" w:eastAsia="Arial" w:hAnsi="Arial"/>
                <w:sz w:val="16"/>
                <w:szCs w:val="16"/>
                <w:color w:val="435363"/>
              </w:rPr>
              <w:t>Adjusted net cash used in investing activities</w:t>
            </w:r>
          </w:p>
        </w:tc>
        <w:tc>
          <w:tcPr>
            <w:tcW w:w="520" w:type="dxa"/>
            <w:vAlign w:val="bottom"/>
            <w:gridSpan w:val="2"/>
          </w:tcPr>
          <w:p>
            <w:pPr>
              <w:ind w:left="100"/>
              <w:spacing w:after="0"/>
              <w:rPr>
                <w:sz w:val="20"/>
                <w:szCs w:val="20"/>
                <w:color w:val="auto"/>
              </w:rPr>
            </w:pPr>
            <w:r>
              <w:rPr>
                <w:rFonts w:ascii="Arial" w:cs="Arial" w:eastAsia="Arial" w:hAnsi="Arial"/>
                <w:sz w:val="16"/>
                <w:szCs w:val="16"/>
                <w:color w:val="435363"/>
              </w:rPr>
              <w:t>$</w:t>
            </w:r>
          </w:p>
        </w:tc>
        <w:tc>
          <w:tcPr>
            <w:tcW w:w="2120" w:type="dxa"/>
            <w:vAlign w:val="bottom"/>
            <w:gridSpan w:val="2"/>
          </w:tcPr>
          <w:p>
            <w:pPr>
              <w:jc w:val="right"/>
              <w:ind w:right="140"/>
              <w:spacing w:after="0"/>
              <w:rPr>
                <w:sz w:val="20"/>
                <w:szCs w:val="20"/>
                <w:color w:val="auto"/>
              </w:rPr>
            </w:pPr>
            <w:r>
              <w:rPr>
                <w:rFonts w:ascii="Arial" w:cs="Arial" w:eastAsia="Arial" w:hAnsi="Arial"/>
                <w:sz w:val="16"/>
                <w:szCs w:val="16"/>
                <w:color w:val="435363"/>
              </w:rPr>
              <w:t>(1,997)</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Borders>
              <w:bottom w:val="single" w:sz="8" w:color="435363"/>
            </w:tcBorders>
          </w:tcPr>
          <w:p>
            <w:pPr>
              <w:spacing w:after="0"/>
              <w:rPr>
                <w:sz w:val="3"/>
                <w:szCs w:val="3"/>
                <w:color w:val="auto"/>
              </w:rPr>
            </w:pPr>
          </w:p>
        </w:tc>
        <w:tc>
          <w:tcPr>
            <w:tcW w:w="1940" w:type="dxa"/>
            <w:vAlign w:val="bottom"/>
            <w:tcBorders>
              <w:bottom w:val="single" w:sz="8" w:color="435363"/>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435363"/>
            </w:tcBorders>
          </w:tcPr>
          <w:p>
            <w:pPr>
              <w:spacing w:after="0" w:line="20" w:lineRule="exact"/>
              <w:rPr>
                <w:sz w:val="1"/>
                <w:szCs w:val="1"/>
                <w:color w:val="auto"/>
              </w:rPr>
            </w:pPr>
          </w:p>
        </w:tc>
        <w:tc>
          <w:tcPr>
            <w:tcW w:w="1940" w:type="dxa"/>
            <w:vAlign w:val="bottom"/>
            <w:tcBorders>
              <w:bottom w:val="single" w:sz="8" w:color="435363"/>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435363"/>
              </w:rPr>
              <w:t>B-3</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940" w:type="dxa"/>
            <w:vAlign w:val="bottom"/>
            <w:gridSpan w:val="2"/>
          </w:tcPr>
          <w:p>
            <w:pPr>
              <w:ind w:left="2460"/>
              <w:spacing w:after="0"/>
              <w:rPr>
                <w:sz w:val="20"/>
                <w:szCs w:val="20"/>
                <w:color w:val="auto"/>
              </w:rPr>
            </w:pPr>
            <w:r>
              <w:rPr>
                <w:rFonts w:ascii="Arial" w:cs="Arial" w:eastAsia="Arial" w:hAnsi="Arial"/>
                <w:sz w:val="14"/>
                <w:szCs w:val="14"/>
                <w:color w:val="435363"/>
              </w:rPr>
              <w:t>2024 Proxy Statement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-405765</wp:posOffset>
            </wp:positionV>
            <wp:extent cx="5177155" cy="1682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177155" cy="168275"/>
                    </a:xfrm>
                    <a:prstGeom prst="rect">
                      <a:avLst/>
                    </a:prstGeom>
                    <a:noFill/>
                  </pic:spPr>
                </pic:pic>
              </a:graphicData>
            </a:graphic>
          </wp:anchor>
        </w:drawing>
      </w:r>
    </w:p>
    <w:p>
      <w:pPr>
        <w:sectPr>
          <w:pgSz w:w="11900" w:h="16838" w:orient="portrait"/>
          <w:cols w:equalWidth="0" w:num="1">
            <w:col w:w="11040"/>
          </w:cols>
          <w:pgMar w:left="320" w:top="477" w:right="5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544830</wp:posOffset>
            </wp:positionV>
            <wp:extent cx="2571750" cy="4203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717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P.O. BOX 8016, CARY, NC 27512-9903</w:t>
      </w:r>
    </w:p>
    <w:p>
      <w:pPr>
        <w:spacing w:after="0" w:line="20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FF4338"/>
        </w:rPr>
        <w:t>PRELIMINARY – SUBJECT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5"/>
          <w:szCs w:val="25"/>
          <w:b w:val="1"/>
          <w:bCs w:val="1"/>
          <w:color w:val="004C97"/>
        </w:rPr>
        <w:t>American Airlines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4134485" cy="43688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1344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auto"/>
        </w:rPr>
        <w:t>For Stockholders of record as of April 9, 2024</w:t>
      </w:r>
    </w:p>
    <w:p>
      <w:pPr>
        <w:spacing w:after="0" w:line="9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004C97"/>
        </w:rPr>
        <w:t>Wednesday, June 5, 2024 9:00 AM, Central Time</w:t>
      </w:r>
    </w:p>
    <w:p>
      <w:pPr>
        <w:spacing w:after="0" w:line="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004C97"/>
        </w:rPr>
        <w:t>Annual Meeting to be held live via the internet - please visit</w:t>
      </w:r>
    </w:p>
    <w:p>
      <w:pPr>
        <w:spacing w:after="0" w:line="44"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color w:val="004C97"/>
        </w:rPr>
        <w:t>www.proxydocs.com/AAL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14605</wp:posOffset>
            </wp:positionV>
            <wp:extent cx="418528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185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4"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7"/>
          <w:szCs w:val="17"/>
          <w:b w:val="1"/>
          <w:bCs w:val="1"/>
          <w:color w:val="auto"/>
        </w:rPr>
        <w:t>PLEASE VOTE BY: 9:00 AM, Central Time, June 5,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004C97"/>
        </w:rPr>
        <w:t>Scan QR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-1233805</wp:posOffset>
            </wp:positionH>
            <wp:positionV relativeFrom="paragraph">
              <wp:posOffset>-2891155</wp:posOffset>
            </wp:positionV>
            <wp:extent cx="3558540" cy="25044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558540" cy="2504440"/>
                    </a:xfrm>
                    <a:prstGeom prst="rect">
                      <a:avLst/>
                    </a:prstGeom>
                    <a:noFill/>
                  </pic:spPr>
                </pic:pic>
              </a:graphicData>
            </a:graphic>
          </wp:anchor>
        </w:drawing>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004C97"/>
        </w:rPr>
        <w:t>digital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4C97"/>
        </w:rPr>
        <w:t>Internet: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F272F"/>
        </w:rPr>
        <w:t>www.proxypush.com/AAL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-92710</wp:posOffset>
            </wp:positionV>
            <wp:extent cx="378460" cy="3194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78460" cy="319405"/>
                    </a:xfrm>
                    <a:prstGeom prst="rect">
                      <a:avLst/>
                    </a:prstGeom>
                    <a:noFill/>
                  </pic:spPr>
                </pic:pic>
              </a:graphicData>
            </a:graphic>
          </wp:anchor>
        </w:drawing>
      </w:r>
    </w:p>
    <w:p>
      <w:pPr>
        <w:spacing w:after="0" w:line="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 Cast your vote online</w:t>
      </w:r>
    </w:p>
    <w:p>
      <w:pPr>
        <w:spacing w:after="0" w:line="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Have your Proxy Card ready</w:t>
      </w:r>
    </w:p>
    <w:p>
      <w:pPr>
        <w:spacing w:after="0" w:line="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 Follow the simple instructions to record your vote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4C97"/>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41275</wp:posOffset>
            </wp:positionV>
            <wp:extent cx="243840" cy="3784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43840" cy="37846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F272F"/>
        </w:rPr>
        <w:t>1-866-570-3320</w:t>
      </w:r>
    </w:p>
    <w:p>
      <w:pPr>
        <w:spacing w:after="0" w:line="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 Use any touch-tone telephone</w:t>
      </w:r>
    </w:p>
    <w:p>
      <w:pPr>
        <w:spacing w:after="0" w:line="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Have your Proxy Card ready</w:t>
      </w:r>
    </w:p>
    <w:p>
      <w:pPr>
        <w:spacing w:after="0" w:line="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 Follow the simple recorded instructions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4C97"/>
        </w:rPr>
        <w:t>Mail:</w:t>
      </w:r>
    </w:p>
    <w:p>
      <w:pPr>
        <w:spacing w:after="0" w:line="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•    Mark, sign and date your Proxy Card</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•    Fold and return your Proxy Card in the postage-paid</w:t>
      </w:r>
    </w:p>
    <w:p>
      <w:pPr>
        <w:spacing w:after="0" w:line="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envelope provided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4C97"/>
        </w:rPr>
        <w:t>Virtual: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-118110</wp:posOffset>
            </wp:positionV>
            <wp:extent cx="378460" cy="3194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78460" cy="319405"/>
                    </a:xfrm>
                    <a:prstGeom prst="rect">
                      <a:avLst/>
                    </a:prstGeom>
                    <a:noFill/>
                  </pic:spPr>
                </pic:pic>
              </a:graphicData>
            </a:graphic>
          </wp:anchor>
        </w:drawing>
      </w:r>
    </w:p>
    <w:p>
      <w:pPr>
        <w:spacing w:after="0" w:line="62"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4"/>
          <w:szCs w:val="14"/>
          <w:color w:val="auto"/>
        </w:rPr>
        <w:t>You must register to attend the meeting online and/or participate at www.proxydocs.com/AAL</w:t>
      </w:r>
    </w:p>
    <w:p>
      <w:pPr>
        <w:spacing w:after="0" w:line="183" w:lineRule="exact"/>
        <w:rPr>
          <w:sz w:val="20"/>
          <w:szCs w:val="20"/>
          <w:color w:val="auto"/>
        </w:rPr>
      </w:pPr>
    </w:p>
    <w:p>
      <w:pPr>
        <w:sectPr>
          <w:pgSz w:w="11900" w:h="16838" w:orient="portrait"/>
          <w:cols w:equalWidth="0" w:num="2">
            <w:col w:w="6960" w:space="720"/>
            <w:col w:w="3340"/>
          </w:cols>
          <w:pgMar w:left="320" w:top="477" w:right="559" w:bottom="567" w:gutter="0" w:footer="0" w:header="0"/>
        </w:sectPr>
      </w:pPr>
    </w:p>
    <w:p>
      <w:pPr>
        <w:ind w:left="220"/>
        <w:spacing w:after="0"/>
        <w:rPr>
          <w:sz w:val="20"/>
          <w:szCs w:val="20"/>
          <w:color w:val="auto"/>
        </w:rPr>
      </w:pPr>
      <w:r>
        <w:rPr>
          <w:rFonts w:ascii="Times New Roman" w:cs="Times New Roman" w:eastAsia="Times New Roman" w:hAnsi="Times New Roman"/>
          <w:sz w:val="18"/>
          <w:szCs w:val="18"/>
          <w:b w:val="1"/>
          <w:bCs w:val="1"/>
          <w:color w:val="004C97"/>
        </w:rPr>
        <w:t>This proxy is being solicited on behalf of the Board of Directors</w:t>
      </w:r>
    </w:p>
    <w:p>
      <w:pPr>
        <w:spacing w:after="0" w:line="113" w:lineRule="exact"/>
        <w:rPr>
          <w:sz w:val="20"/>
          <w:szCs w:val="20"/>
          <w:color w:val="auto"/>
        </w:rPr>
      </w:pPr>
    </w:p>
    <w:p>
      <w:pPr>
        <w:ind w:left="220"/>
        <w:spacing w:after="0" w:line="270" w:lineRule="auto"/>
        <w:rPr>
          <w:sz w:val="20"/>
          <w:szCs w:val="20"/>
          <w:color w:val="auto"/>
        </w:rPr>
      </w:pPr>
      <w:r>
        <w:rPr>
          <w:rFonts w:ascii="Times New Roman" w:cs="Times New Roman" w:eastAsia="Times New Roman" w:hAnsi="Times New Roman"/>
          <w:sz w:val="17"/>
          <w:szCs w:val="17"/>
          <w:color w:val="auto"/>
        </w:rPr>
        <w:t>The undersigned hereby appoints Robert D. Isom and Stephen L. Johnson (the “Named Proxies”), and each or either of them, as the true and lawful attorneys of the undersigned, with full power of substitution and revocation, and authorizes them, and each of them, to vote all the shares of capital stock of American Airlines Group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131" w:lineRule="exact"/>
        <w:rPr>
          <w:sz w:val="20"/>
          <w:szCs w:val="20"/>
          <w:color w:val="auto"/>
        </w:rPr>
      </w:pPr>
    </w:p>
    <w:p>
      <w:pPr>
        <w:ind w:left="220" w:right="80"/>
        <w:spacing w:after="0" w:line="254" w:lineRule="auto"/>
        <w:rPr>
          <w:sz w:val="20"/>
          <w:szCs w:val="20"/>
          <w:color w:val="auto"/>
        </w:rPr>
      </w:pPr>
      <w:r>
        <w:rPr>
          <w:rFonts w:ascii="Times New Roman" w:cs="Times New Roman" w:eastAsia="Times New Roman" w:hAnsi="Times New Roman"/>
          <w:sz w:val="18"/>
          <w:szCs w:val="18"/>
          <w:color w:val="auto"/>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156" w:lineRule="exact"/>
        <w:rPr>
          <w:sz w:val="20"/>
          <w:szCs w:val="20"/>
          <w:color w:val="auto"/>
        </w:rPr>
      </w:pPr>
    </w:p>
    <w:p>
      <w:pPr>
        <w:ind w:left="220" w:right="180"/>
        <w:spacing w:after="0" w:line="258" w:lineRule="auto"/>
        <w:rPr>
          <w:sz w:val="20"/>
          <w:szCs w:val="20"/>
          <w:color w:val="auto"/>
        </w:rPr>
      </w:pPr>
      <w:r>
        <w:rPr>
          <w:rFonts w:ascii="Times New Roman" w:cs="Times New Roman" w:eastAsia="Times New Roman" w:hAnsi="Times New Roman"/>
          <w:sz w:val="18"/>
          <w:szCs w:val="18"/>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31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PLEASE BE SURE TO SIGN AND DATE THIS PROXY CARD AND MARK ON THE REVERSE SIDE</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Copyright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2024 BetaNXT, Inc. or its affiliates. All Rights Reserved</w:t>
      </w:r>
    </w:p>
    <w:p>
      <w:pPr>
        <w:sectPr>
          <w:pgSz w:w="11900" w:h="16838" w:orient="portrait"/>
          <w:cols w:equalWidth="0" w:num="1">
            <w:col w:w="11020"/>
          </w:cols>
          <w:pgMar w:left="320" w:top="477" w:right="559" w:bottom="567"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200660</wp:posOffset>
            </wp:positionV>
            <wp:extent cx="2571750" cy="4203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5717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Please make your marks like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-118110</wp:posOffset>
            </wp:positionV>
            <wp:extent cx="176530" cy="1765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76530" cy="176530"/>
                    </a:xfrm>
                    <a:prstGeom prst="rect">
                      <a:avLst/>
                    </a:prstGeom>
                    <a:noFill/>
                  </pic:spPr>
                </pic:pic>
              </a:graphicData>
            </a:graphic>
          </wp:anchor>
        </w:drawing>
      </w:r>
    </w:p>
    <w:p>
      <w:pPr>
        <w:spacing w:after="0" w:line="2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b w:val="1"/>
          <w:bCs w:val="1"/>
          <w:color w:val="auto"/>
        </w:rPr>
        <w:t>THE BOARD OF DIRECTORS RECOMMENDS A VOTE:</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ON PROPOSALS 1, 2, 3, 4 AND 5</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ON 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154940</wp:posOffset>
            </wp:positionV>
            <wp:extent cx="6118225" cy="2857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118225" cy="2857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04C97"/>
        </w:rPr>
        <w:t>American Airlines Group Inc.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-656590</wp:posOffset>
            </wp:positionV>
            <wp:extent cx="7177405" cy="546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7405" cy="54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BOARD OF</w:t>
      </w:r>
    </w:p>
    <w:p>
      <w:pPr>
        <w:ind w:left="1960"/>
        <w:spacing w:after="0" w:line="220" w:lineRule="auto"/>
        <w:tabs>
          <w:tab w:leader="none" w:pos="3760" w:val="left"/>
        </w:tabs>
        <w:rPr>
          <w:sz w:val="20"/>
          <w:szCs w:val="20"/>
          <w:color w:val="auto"/>
        </w:rPr>
      </w:pPr>
      <w:r>
        <w:rPr>
          <w:rFonts w:ascii="Times New Roman" w:cs="Times New Roman" w:eastAsia="Times New Roman" w:hAnsi="Times New Roman"/>
          <w:sz w:val="17"/>
          <w:szCs w:val="17"/>
          <w:b w:val="1"/>
          <w:bCs w:val="1"/>
          <w:color w:val="auto"/>
          <w:vertAlign w:val="subscript"/>
        </w:rPr>
        <w:t>YOUR VOTE</w:t>
      </w:r>
      <w:r>
        <w:rPr>
          <w:sz w:val="20"/>
          <w:szCs w:val="20"/>
          <w:color w:val="auto"/>
        </w:rPr>
        <w:tab/>
      </w:r>
      <w:r>
        <w:rPr>
          <w:rFonts w:ascii="Times New Roman" w:cs="Times New Roman" w:eastAsia="Times New Roman" w:hAnsi="Times New Roman"/>
          <w:sz w:val="14"/>
          <w:szCs w:val="14"/>
          <w:b w:val="1"/>
          <w:bCs w:val="1"/>
          <w:color w:val="auto"/>
        </w:rPr>
        <w:t>DIRECTORS</w:t>
      </w:r>
    </w:p>
    <w:p>
      <w:pPr>
        <w:spacing w:after="0" w:line="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2540</wp:posOffset>
            </wp:positionV>
            <wp:extent cx="8255" cy="46640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4664075"/>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5560" w:space="720"/>
            <w:col w:w="4740"/>
          </w:cols>
          <w:pgMar w:left="320" w:top="477" w:right="559" w:bottom="1440" w:gutter="0" w:footer="0" w:header="0"/>
        </w:sectPr>
      </w:pPr>
    </w:p>
    <w:p>
      <w:pPr>
        <w:ind w:left="560" w:right="3840" w:hanging="336"/>
        <w:spacing w:after="0" w:line="250" w:lineRule="auto"/>
        <w:tabs>
          <w:tab w:leader="none" w:pos="56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11 directors to serve until the 2025 Annual Meeting of Stockholders of American Airlines Group Inc. and until their respective successors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6491605</wp:posOffset>
            </wp:positionH>
            <wp:positionV relativeFrom="paragraph">
              <wp:posOffset>-198120</wp:posOffset>
            </wp:positionV>
            <wp:extent cx="335915" cy="3695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35915" cy="369570"/>
                    </a:xfrm>
                    <a:prstGeom prst="rect">
                      <a:avLst/>
                    </a:prstGeom>
                    <a:noFill/>
                  </pic:spPr>
                </pic:pic>
              </a:graphicData>
            </a:graphic>
          </wp:anchor>
        </w:drawing>
      </w:r>
    </w:p>
    <w:p>
      <w:pPr>
        <w:spacing w:after="0" w:line="93"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ABSTAIN</w:t>
            </w:r>
          </w:p>
        </w:tc>
        <w:tc>
          <w:tcPr>
            <w:tcW w:w="820" w:type="dxa"/>
            <w:vAlign w:val="bottom"/>
          </w:tcPr>
          <w:p>
            <w:pPr>
              <w:spacing w:after="0"/>
              <w:rPr>
                <w:sz w:val="16"/>
                <w:szCs w:val="16"/>
                <w:color w:val="auto"/>
              </w:rPr>
            </w:pPr>
          </w:p>
        </w:tc>
      </w:tr>
      <w:tr>
        <w:trPr>
          <w:trHeight w:val="303"/>
        </w:trPr>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1.01</w:t>
            </w:r>
          </w:p>
        </w:tc>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Adriane Brown</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right="14"/>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344"/>
        </w:trPr>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1.02</w:t>
            </w:r>
          </w:p>
        </w:tc>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John Cahill</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right="14"/>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344"/>
        </w:trPr>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1.03</w:t>
            </w:r>
          </w:p>
        </w:tc>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Mike Embler</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right="14"/>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344"/>
        </w:trPr>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1.04</w:t>
            </w:r>
          </w:p>
        </w:tc>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Matt Hart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right="14"/>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344"/>
        </w:trPr>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1.05</w:t>
            </w:r>
          </w:p>
        </w:tc>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Robert Isom</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right="14"/>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344"/>
        </w:trPr>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1.06</w:t>
            </w:r>
          </w:p>
        </w:tc>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Sue Kronick</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right="14"/>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344"/>
        </w:trPr>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1.07</w:t>
            </w:r>
          </w:p>
        </w:tc>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Marty Nesbitt</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right="14"/>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344"/>
        </w:trPr>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1.08</w:t>
            </w:r>
          </w:p>
        </w:tc>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Denise O’Leary</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right="14"/>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344"/>
        </w:trPr>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1.09</w:t>
            </w:r>
          </w:p>
        </w:tc>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Vicente Reynal</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right="14"/>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344"/>
        </w:trPr>
        <w:tc>
          <w:tcPr>
            <w:tcW w:w="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1.10</w:t>
            </w:r>
          </w:p>
        </w:tc>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Greg Smith</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right="14"/>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344"/>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1.11 Doug Steenland</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right="14"/>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304"/>
        </w:trPr>
        <w:tc>
          <w:tcPr>
            <w:tcW w:w="6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ABSTAIN</w:t>
            </w:r>
          </w:p>
        </w:tc>
        <w:tc>
          <w:tcPr>
            <w:tcW w:w="820" w:type="dxa"/>
            <w:vAlign w:val="bottom"/>
          </w:tcPr>
          <w:p>
            <w:pPr>
              <w:spacing w:after="0"/>
              <w:rPr>
                <w:sz w:val="24"/>
                <w:szCs w:val="24"/>
                <w:color w:val="auto"/>
              </w:rPr>
            </w:pPr>
          </w:p>
        </w:tc>
      </w:tr>
      <w:tr>
        <w:trPr>
          <w:trHeight w:val="165"/>
        </w:trPr>
        <w:tc>
          <w:tcPr>
            <w:tcW w:w="7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    Ratification of the appointment of KPMG LLP as the independent registered public accounting firm of American</w:t>
            </w:r>
          </w:p>
        </w:tc>
        <w:tc>
          <w:tcPr>
            <w:tcW w:w="620" w:type="dxa"/>
            <w:vAlign w:val="bottom"/>
          </w:tcPr>
          <w:p>
            <w:pPr>
              <w:jc w:val="center"/>
              <w:spacing w:after="0" w:line="166"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66"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right="14"/>
              <w:spacing w:after="0" w:line="166"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184"/>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Airlines Group Inc. for the fiscal year ending December 31, 2024</w:t>
            </w: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40"/>
        </w:trPr>
        <w:tc>
          <w:tcPr>
            <w:tcW w:w="7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    Advisory vote to approve executive compensation (Say-on-Pay)</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right="14"/>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244"/>
        </w:trPr>
        <w:tc>
          <w:tcPr>
            <w:tcW w:w="7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    Approve and adopt an amendment of the Certificate of Incorporation to allow future amendments to the Bylaws by</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right="14"/>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184"/>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stockholders by simple majority vote</w:t>
            </w: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0"/>
        </w:trPr>
        <w:tc>
          <w:tcPr>
            <w:tcW w:w="7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    Approve and adopt an amendment of the Certificate of Incorporation to allow all other provisions of the Certificate of</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right="14"/>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184"/>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Incorporation to be amended in the future by simple majority vote</w:t>
            </w: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0"/>
        </w:trPr>
        <w:tc>
          <w:tcPr>
            <w:tcW w:w="7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6.    Advisory vote on a stockholder proposal requesting a third-party audit of how effectively American Airlines Group Inc.</w:t>
            </w:r>
          </w:p>
        </w:tc>
        <w:tc>
          <w:tcPr>
            <w:tcW w:w="6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40" w:type="dxa"/>
            <w:vAlign w:val="bottom"/>
          </w:tcPr>
          <w:p>
            <w:pPr>
              <w:jc w:val="center"/>
              <w:ind w:right="14"/>
              <w:spacing w:after="0" w:line="181" w:lineRule="exact"/>
              <w:rPr>
                <w:sz w:val="20"/>
                <w:szCs w:val="20"/>
                <w:color w:val="auto"/>
              </w:rPr>
            </w:pPr>
            <w:r>
              <w:rPr>
                <w:rFonts w:ascii="MS PGothic" w:cs="MS PGothic" w:eastAsia="MS PGothic" w:hAnsi="MS PGothic"/>
                <w:sz w:val="18"/>
                <w:szCs w:val="18"/>
                <w:color w:val="auto"/>
                <w:w w:val="88"/>
              </w:rPr>
              <w:t>☐</w:t>
            </w:r>
          </w:p>
        </w:tc>
        <w:tc>
          <w:tcPr>
            <w:tcW w:w="82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AGAINST</w:t>
            </w:r>
          </w:p>
        </w:tc>
      </w:tr>
      <w:tr>
        <w:trPr>
          <w:trHeight w:val="184"/>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is implementing its environmental and social commitments</w:t>
            </w: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4"/>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If any other matters properly come before the 2024 Annual Meeting of Stockholders or any adjournments or</w:t>
            </w: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46"/>
        </w:trPr>
        <w:tc>
          <w:tcPr>
            <w:tcW w:w="7280" w:type="dxa"/>
            <w:vAlign w:val="bottom"/>
            <w:gridSpan w:val="2"/>
          </w:tcPr>
          <w:p>
            <w:pPr>
              <w:ind w:left="340"/>
              <w:spacing w:after="0" w:line="146" w:lineRule="exact"/>
              <w:rPr>
                <w:sz w:val="20"/>
                <w:szCs w:val="20"/>
                <w:color w:val="auto"/>
              </w:rPr>
            </w:pPr>
            <w:r>
              <w:rPr>
                <w:rFonts w:ascii="Times New Roman" w:cs="Times New Roman" w:eastAsia="Times New Roman" w:hAnsi="Times New Roman"/>
                <w:sz w:val="14"/>
                <w:szCs w:val="14"/>
                <w:color w:val="auto"/>
              </w:rPr>
              <w:t>postponements thereof, the persons named as proxies will vote upon those matters according to their judgment. The</w:t>
            </w: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6"/>
        </w:trPr>
        <w:tc>
          <w:tcPr>
            <w:tcW w:w="7280" w:type="dxa"/>
            <w:vAlign w:val="bottom"/>
            <w:gridSpan w:val="2"/>
          </w:tcPr>
          <w:p>
            <w:pPr>
              <w:ind w:left="340"/>
              <w:spacing w:after="0" w:line="146" w:lineRule="exact"/>
              <w:rPr>
                <w:sz w:val="20"/>
                <w:szCs w:val="20"/>
                <w:color w:val="auto"/>
              </w:rPr>
            </w:pPr>
            <w:r>
              <w:rPr>
                <w:rFonts w:ascii="Times New Roman" w:cs="Times New Roman" w:eastAsia="Times New Roman" w:hAnsi="Times New Roman"/>
                <w:sz w:val="14"/>
                <w:szCs w:val="14"/>
                <w:color w:val="auto"/>
              </w:rPr>
              <w:t>Board of Directors of American Airlines Group Inc. is not aware of any other business to be presented to a vote of the</w:t>
            </w: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84"/>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stockholders at the 2024 Annual Meeting of Stockholders.</w:t>
            </w: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200" w:lineRule="exact"/>
        <w:rPr>
          <w:sz w:val="20"/>
          <w:szCs w:val="20"/>
          <w:color w:val="auto"/>
        </w:rPr>
      </w:pPr>
    </w:p>
    <w:p>
      <w:pPr>
        <w:spacing w:after="0" w:line="254" w:lineRule="exact"/>
        <w:rPr>
          <w:sz w:val="20"/>
          <w:szCs w:val="20"/>
          <w:color w:val="auto"/>
        </w:rPr>
      </w:pPr>
    </w:p>
    <w:p>
      <w:pPr>
        <w:ind w:left="940" w:right="300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You must register to attend the meeting online and/or participate at www.proxydocs.com/AAL </w:t>
      </w:r>
      <w:r>
        <w:rPr>
          <w:rFonts w:ascii="Times New Roman" w:cs="Times New Roman" w:eastAsia="Times New Roman" w:hAnsi="Times New Roman"/>
          <w:sz w:val="17"/>
          <w:szCs w:val="17"/>
          <w:color w:val="auto"/>
        </w:rPr>
        <w:t>Authorized Signatures must be completed for your instructions to be executed.</w:t>
      </w:r>
    </w:p>
    <w:p>
      <w:pPr>
        <w:spacing w:after="0" w:line="1" w:lineRule="exact"/>
        <w:rPr>
          <w:sz w:val="20"/>
          <w:szCs w:val="20"/>
          <w:color w:val="auto"/>
        </w:rPr>
      </w:pPr>
    </w:p>
    <w:p>
      <w:pPr>
        <w:jc w:val="both"/>
        <w:ind w:left="940" w:right="1660"/>
        <w:spacing w:after="0" w:line="248" w:lineRule="auto"/>
        <w:rPr>
          <w:sz w:val="20"/>
          <w:szCs w:val="20"/>
          <w:color w:val="auto"/>
        </w:rPr>
      </w:pPr>
      <w:r>
        <w:rPr>
          <w:rFonts w:ascii="Times New Roman" w:cs="Times New Roman" w:eastAsia="Times New Roman" w:hAnsi="Times New Roman"/>
          <w:sz w:val="18"/>
          <w:szCs w:val="18"/>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0" w:lineRule="exact"/>
        <w:rPr>
          <w:sz w:val="20"/>
          <w:szCs w:val="20"/>
          <w:color w:val="auto"/>
        </w:rPr>
      </w:pPr>
    </w:p>
    <w:p>
      <w:pPr>
        <w:spacing w:after="0" w:line="292" w:lineRule="exact"/>
        <w:rPr>
          <w:sz w:val="20"/>
          <w:szCs w:val="20"/>
          <w:color w:val="auto"/>
        </w:rPr>
      </w:pPr>
    </w:p>
    <w:p>
      <w:pPr>
        <w:ind w:left="220"/>
        <w:spacing w:after="0"/>
        <w:tabs>
          <w:tab w:leader="none" w:pos="4500" w:val="left"/>
          <w:tab w:leader="none" w:pos="5940" w:val="left"/>
          <w:tab w:leader="none" w:pos="9780" w:val="left"/>
        </w:tabs>
        <w:rPr>
          <w:sz w:val="20"/>
          <w:szCs w:val="20"/>
          <w:color w:val="auto"/>
        </w:rPr>
      </w:pPr>
      <w:r>
        <w:rPr>
          <w:rFonts w:ascii="Times New Roman" w:cs="Times New Roman" w:eastAsia="Times New Roman" w:hAnsi="Times New Roman"/>
          <w:sz w:val="18"/>
          <w:szCs w:val="18"/>
          <w:color w:val="auto"/>
        </w:rPr>
        <w:t>Signature (and Title if applicable)</w:t>
      </w:r>
      <w:r>
        <w:rPr>
          <w:sz w:val="20"/>
          <w:szCs w:val="20"/>
          <w:color w:val="auto"/>
        </w:rPr>
        <w:tab/>
      </w:r>
      <w:r>
        <w:rPr>
          <w:rFonts w:ascii="Times New Roman" w:cs="Times New Roman" w:eastAsia="Times New Roman" w:hAnsi="Times New Roman"/>
          <w:sz w:val="18"/>
          <w:szCs w:val="18"/>
          <w:color w:val="auto"/>
        </w:rPr>
        <w:t xml:space="preserve">Date    </w:t>
      </w:r>
      <w:r>
        <w:rPr>
          <w:sz w:val="20"/>
          <w:szCs w:val="20"/>
          <w:color w:val="auto"/>
        </w:rPr>
        <w:tab/>
      </w:r>
      <w:r>
        <w:rPr>
          <w:rFonts w:ascii="Times New Roman" w:cs="Times New Roman" w:eastAsia="Times New Roman" w:hAnsi="Times New Roman"/>
          <w:sz w:val="18"/>
          <w:szCs w:val="18"/>
          <w:color w:val="auto"/>
        </w:rPr>
        <w:t xml:space="preserve">Signature (if held jointly)    </w:t>
      </w:r>
      <w:r>
        <w:rPr>
          <w:sz w:val="20"/>
          <w:szCs w:val="20"/>
          <w:color w:val="auto"/>
        </w:rPr>
        <w:tab/>
      </w: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-127635</wp:posOffset>
            </wp:positionV>
            <wp:extent cx="685736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sectPr>
      <w:pgSz w:w="11900" w:h="16838" w:orient="portrait"/>
      <w:cols w:equalWidth="0" w:num="1">
        <w:col w:w="11020"/>
      </w:cols>
      <w:pgMar w:left="320" w:top="477"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bullet"/>
      <w:start w:val="1"/>
    </w:lvl>
  </w:abstractNum>
  <w:abstractNum w:abstractNumId="5">
    <w:nsid w:val="51EAD36B"/>
    <w:multiLevelType w:val="hybridMultilevel"/>
    <w:lvl w:ilvl="0">
      <w:lvlJc w:val="left"/>
      <w:lvlText w:val="2"/>
      <w:numFmt w:val="bullet"/>
      <w:start w:val="1"/>
    </w:lvl>
  </w:abstractNum>
  <w:abstractNum w:abstractNumId="6">
    <w:nsid w:val="2D517796"/>
    <w:multiLevelType w:val="hybridMultilevel"/>
    <w:lvl w:ilvl="0">
      <w:lvlJc w:val="left"/>
      <w:lvlText w:val="3"/>
      <w:numFmt w:val="bullet"/>
      <w:start w:val="1"/>
    </w:lvl>
  </w:abstractNum>
  <w:abstractNum w:abstractNumId="7">
    <w:nsid w:val="580BD78F"/>
    <w:multiLevelType w:val="hybridMultilevel"/>
    <w:lvl w:ilvl="0">
      <w:lvlJc w:val="left"/>
      <w:lvlText w:val="4"/>
      <w:numFmt w:val="bullet"/>
      <w:start w:val="1"/>
    </w:lvl>
  </w:abstractNum>
  <w:abstractNum w:abstractNumId="8">
    <w:nsid w:val="153EA438"/>
    <w:multiLevelType w:val="hybridMultilevel"/>
    <w:lvl w:ilvl="0">
      <w:lvlJc w:val="left"/>
      <w:lvlText w:val="5"/>
      <w:numFmt w:val="bullet"/>
      <w:start w:val="1"/>
    </w:lvl>
  </w:abstractNum>
  <w:abstractNum w:abstractNumId="9">
    <w:nsid w:val="3855585C"/>
    <w:multiLevelType w:val="hybridMultilevel"/>
    <w:lvl w:ilvl="0">
      <w:lvlJc w:val="left"/>
      <w:lvlText w:val="6"/>
      <w:numFmt w:val="bullet"/>
      <w:start w:val="1"/>
    </w:lvl>
  </w:abstractNum>
  <w:abstractNum w:abstractNumId="10">
    <w:nsid w:val="70A64E2A"/>
    <w:multiLevelType w:val="hybridMultilevel"/>
    <w:lvl w:ilvl="0">
      <w:lvlJc w:val="left"/>
      <w:lvlText w:val="7"/>
      <w:numFmt w:val="bullet"/>
      <w:start w:val="1"/>
    </w:lvl>
  </w:abstractNum>
  <w:abstractNum w:abstractNumId="11">
    <w:nsid w:val="6A2342EC"/>
    <w:multiLevelType w:val="hybridMultilevel"/>
    <w:lvl w:ilvl="0">
      <w:lvlJc w:val="left"/>
      <w:lvlText w:val="%1."/>
      <w:numFmt w:val="decimal"/>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1"/>
      <w:numFmt w:val="bullet"/>
      <w:start w:val="1"/>
    </w:lvl>
  </w:abstractNum>
  <w:abstractNum w:abstractNumId="15">
    <w:nsid w:val="2CD89A32"/>
    <w:multiLevelType w:val="hybridMultilevel"/>
    <w:lvl w:ilvl="0">
      <w:lvlJc w:val="left"/>
      <w:lvlText w:val="2"/>
      <w:numFmt w:val="bullet"/>
      <w:start w:val="1"/>
    </w:lvl>
  </w:abstractNum>
  <w:abstractNum w:abstractNumId="16">
    <w:nsid w:val="57E4CCAF"/>
    <w:multiLevelType w:val="hybridMultilevel"/>
    <w:lvl w:ilvl="0">
      <w:lvlJc w:val="left"/>
      <w:lvlText w:val="3"/>
      <w:numFmt w:val="bullet"/>
      <w:start w:val="1"/>
    </w:lvl>
  </w:abstractNum>
  <w:abstractNum w:abstractNumId="17">
    <w:nsid w:val="7A6D8D3C"/>
    <w:multiLevelType w:val="hybridMultilevel"/>
    <w:lvl w:ilvl="0">
      <w:lvlJc w:val="left"/>
      <w:lvlText w:val="4"/>
      <w:numFmt w:val="bullet"/>
      <w:start w:val="1"/>
    </w:lvl>
  </w:abstractNum>
  <w:abstractNum w:abstractNumId="18">
    <w:nsid w:val="4B588F54"/>
    <w:multiLevelType w:val="hybridMultilevel"/>
    <w:lvl w:ilvl="0">
      <w:lvlJc w:val="left"/>
      <w:lvlText w:val="5"/>
      <w:numFmt w:val="bullet"/>
      <w:start w:val="1"/>
    </w:lvl>
  </w:abstractNum>
  <w:abstractNum w:abstractNumId="19">
    <w:nsid w:val="542289EC"/>
    <w:multiLevelType w:val="hybridMultilevel"/>
    <w:lvl w:ilvl="0">
      <w:lvlJc w:val="left"/>
      <w:lvlText w:val="6"/>
      <w:numFmt w:val="bullet"/>
      <w:start w:val="1"/>
    </w:lvl>
  </w:abstractNum>
  <w:abstractNum w:abstractNumId="20">
    <w:nsid w:val="6DE91B18"/>
    <w:multiLevelType w:val="hybridMultilevel"/>
    <w:lvl w:ilvl="0">
      <w:lvlJc w:val="left"/>
      <w:lvlText w:val="7"/>
      <w:numFmt w:val="bullet"/>
      <w:start w:val="1"/>
    </w:lvl>
  </w:abstractNum>
  <w:abstractNum w:abstractNumId="21">
    <w:nsid w:val="38437FDB"/>
    <w:multiLevelType w:val="hybridMultilevel"/>
    <w:lvl w:ilvl="0">
      <w:lvlJc w:val="left"/>
      <w:lvlText w:val="8"/>
      <w:numFmt w:val="bullet"/>
      <w:start w:val="1"/>
    </w:lvl>
  </w:abstractNum>
  <w:abstractNum w:abstractNumId="22">
    <w:nsid w:val="7644A45C"/>
    <w:multiLevelType w:val="hybridMultilevel"/>
    <w:lvl w:ilvl="0">
      <w:lvlJc w:val="left"/>
      <w:lvlText w:val="9"/>
      <w:numFmt w:val="bullet"/>
      <w:start w:val="1"/>
    </w:lvl>
  </w:abstractNum>
  <w:abstractNum w:abstractNumId="23">
    <w:nsid w:val="32FFF902"/>
    <w:multiLevelType w:val="hybridMultilevel"/>
    <w:lvl w:ilvl="0">
      <w:lvlJc w:val="left"/>
      <w:lvlText w:val="%1"/>
      <w:numFmt w:val="decimal"/>
      <w:start w:val="11"/>
    </w:lvl>
  </w:abstractNum>
  <w:abstractNum w:abstractNumId="24">
    <w:nsid w:val="684A481A"/>
    <w:multiLevelType w:val="hybridMultilevel"/>
    <w:lvl w:ilvl="0">
      <w:lvlJc w:val="left"/>
      <w:lvlText w:val="2"/>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1)"/>
      <w:numFmt w:val="decimal"/>
      <w:start w:val="1"/>
    </w:lvl>
  </w:abstractNum>
  <w:abstractNum w:abstractNumId="27">
    <w:nsid w:val="3DC240FB"/>
    <w:multiLevelType w:val="hybridMultilevel"/>
    <w:lvl w:ilvl="0">
      <w:lvlJc w:val="left"/>
      <w:lvlText w:val="(%1)"/>
      <w:numFmt w:val="lowerLetter"/>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1)"/>
      <w:numFmt w:val="lowerLetter"/>
      <w:start w:val="1"/>
    </w:lvl>
  </w:abstractNum>
  <w:abstractNum w:abstractNumId="33">
    <w:nsid w:val="520EEDD1"/>
    <w:multiLevelType w:val="hybridMultilevel"/>
    <w:lvl w:ilvl="0">
      <w:lvlJc w:val="left"/>
      <w:lvlText w:val="(%1)"/>
      <w:numFmt w:val="lowerLetter"/>
      <w:start w:val="4"/>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1)"/>
      <w:numFmt w:val="lowerRoman"/>
      <w:start w:val="1"/>
    </w:lvl>
  </w:abstractNum>
  <w:abstractNum w:abstractNumId="36">
    <w:nsid w:val="23F9C13C"/>
    <w:multiLevelType w:val="hybridMultilevel"/>
    <w:lvl w:ilvl="0">
      <w:lvlJc w:val="left"/>
      <w:lvlText w:val="\endash "/>
      <w:numFmt w:val="bullet"/>
      <w:start w:val="1"/>
    </w:lvl>
  </w:abstractNum>
  <w:abstractNum w:abstractNumId="37">
    <w:nsid w:val="649BB77C"/>
    <w:multiLevelType w:val="hybridMultilevel"/>
    <w:lvl w:ilvl="0">
      <w:lvlJc w:val="left"/>
      <w:lvlText w:val="\endash "/>
      <w:numFmt w:val="bullet"/>
      <w:start w:val="1"/>
    </w:lvl>
    <w:lvl w:ilvl="1">
      <w:lvlJc w:val="left"/>
      <w:lvlText w:val="•"/>
      <w:numFmt w:val="bullet"/>
      <w:start w:val="1"/>
    </w:lvl>
  </w:abstractNum>
  <w:abstractNum w:abstractNumId="38">
    <w:nsid w:val="275AC794"/>
    <w:multiLevelType w:val="hybridMultilevel"/>
    <w:lvl w:ilvl="0">
      <w:lvlJc w:val="left"/>
      <w:lvlText w:val="\endash "/>
      <w:numFmt w:val="bullet"/>
      <w:start w:val="1"/>
    </w:lvl>
  </w:abstractNum>
  <w:abstractNum w:abstractNumId="39">
    <w:nsid w:val="39386575"/>
    <w:multiLevelType w:val="hybridMultilevel"/>
    <w:lvl w:ilvl="0">
      <w:lvlJc w:val="left"/>
      <w:lvlText w:val="\endash "/>
      <w:numFmt w:val="bullet"/>
      <w:start w:val="1"/>
    </w:lvl>
  </w:abstractNum>
  <w:abstractNum w:abstractNumId="40">
    <w:nsid w:val="1CF10FD8"/>
    <w:multiLevelType w:val="hybridMultilevel"/>
    <w:lvl w:ilvl="0">
      <w:lvlJc w:val="left"/>
      <w:lvlText w:val="(%1)"/>
      <w:numFmt w:val="decimal"/>
    </w:lvl>
    <w:lvl w:ilvl="1">
      <w:lvlJc w:val="left"/>
      <w:lvlText w:val="\endash "/>
      <w:numFmt w:val="bullet"/>
      <w:start w:val="1"/>
    </w:lvl>
    <w:lvl w:ilvl="2">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1)"/>
      <w:numFmt w:val="lowerLetter"/>
      <w:start w:val="1"/>
    </w:lvl>
  </w:abstractNum>
  <w:abstractNum w:abstractNumId="50">
    <w:nsid w:val="61574095"/>
    <w:multiLevelType w:val="hybridMultilevel"/>
    <w:lvl w:ilvl="0">
      <w:lvlJc w:val="left"/>
      <w:lvlText w:val="(%1)"/>
      <w:numFmt w:val="lowerLetter"/>
      <w:start w:val="2"/>
    </w:lvl>
  </w:abstractNum>
  <w:abstractNum w:abstractNumId="51">
    <w:nsid w:val="7E0C57B1"/>
    <w:multiLevelType w:val="hybridMultilevel"/>
    <w:lvl w:ilvl="0">
      <w:lvlJc w:val="left"/>
      <w:lvlText w:val="%1"/>
      <w:numFmt w:val="lowerLetter"/>
      <w:start w:val="1"/>
    </w:lvl>
    <w:lvl w:ilvl="1">
      <w:lvlJc w:val="left"/>
      <w:lvlText w:val="(%2)"/>
      <w:numFmt w:val="decimal"/>
      <w:start w:val="1"/>
    </w:lvl>
  </w:abstractNum>
  <w:abstractNum w:abstractNumId="52">
    <w:nsid w:val="77AE35EB"/>
    <w:multiLevelType w:val="hybridMultilevel"/>
    <w:lvl w:ilvl="0">
      <w:lvlJc w:val="left"/>
      <w:lvlText w:val="(%1)"/>
      <w:numFmt w:val="lowerLetter"/>
      <w:start w:val="4"/>
    </w:lvl>
    <w:lvl w:ilvl="1">
      <w:lvlJc w:val="left"/>
      <w:lvlText w:val="%2"/>
      <w:numFmt w:val="decimal"/>
      <w:start w:val="1"/>
    </w:lvl>
  </w:abstractNum>
  <w:abstractNum w:abstractNumId="53">
    <w:nsid w:val="579BE4F1"/>
    <w:multiLevelType w:val="hybridMultilevel"/>
    <w:lvl w:ilvl="0">
      <w:lvlJc w:val="left"/>
      <w:lvlText w:val="(%1)"/>
      <w:numFmt w:val="lowerLetter"/>
      <w:start w:val="1"/>
    </w:lvl>
  </w:abstractNum>
  <w:abstractNum w:abstractNumId="54">
    <w:nsid w:val="310C50B3"/>
    <w:multiLevelType w:val="hybridMultilevel"/>
    <w:lvl w:ilvl="0">
      <w:lvlJc w:val="left"/>
      <w:lvlText w:val="(%1)"/>
      <w:numFmt w:val="lowerLetter"/>
      <w:start w:val="1"/>
    </w:lvl>
  </w:abstractNum>
  <w:abstractNum w:abstractNumId="55">
    <w:nsid w:val="5FF87E05"/>
    <w:multiLevelType w:val="hybridMultilevel"/>
    <w:lvl w:ilvl="0">
      <w:lvlJc w:val="left"/>
      <w:lvlText w:val="(%1)"/>
      <w:numFmt w:val="lowerLetter"/>
      <w:start w:val="8"/>
    </w:lvl>
  </w:abstractNum>
  <w:abstractNum w:abstractNumId="56">
    <w:nsid w:val="2F305DEF"/>
    <w:multiLevelType w:val="hybridMultilevel"/>
    <w:lvl w:ilvl="0">
      <w:lvlJc w:val="left"/>
      <w:lvlText w:val="(%1)"/>
      <w:numFmt w:val="lowerLetter"/>
      <w:start w:val="10"/>
    </w:lvl>
  </w:abstractNum>
  <w:abstractNum w:abstractNumId="57">
    <w:nsid w:val="25A70BF7"/>
    <w:multiLevelType w:val="hybridMultilevel"/>
    <w:lvl w:ilvl="0">
      <w:lvlJc w:val="left"/>
      <w:lvlText w:val="(%1)"/>
      <w:numFmt w:val="lowerLetter"/>
      <w:start w:val="1"/>
    </w:lvl>
  </w:abstractNum>
  <w:abstractNum w:abstractNumId="58">
    <w:nsid w:val="1DBABF00"/>
    <w:multiLevelType w:val="hybridMultilevel"/>
    <w:lvl w:ilvl="0">
      <w:lvlJc w:val="left"/>
      <w:lvlText w:val="(%1)"/>
      <w:numFmt w:val="lowerLetter"/>
      <w:start w:val="1"/>
    </w:lvl>
  </w:abstractNum>
  <w:abstractNum w:abstractNumId="59">
    <w:nsid w:val="4AD084E9"/>
    <w:multiLevelType w:val="hybridMultilevel"/>
    <w:lvl w:ilvl="0">
      <w:lvlJc w:val="left"/>
      <w:lvlText w:val="(%1)"/>
      <w:numFmt w:val="lowerLetter"/>
      <w:start w:val="2"/>
    </w:lvl>
  </w:abstractNum>
  <w:abstractNum w:abstractNumId="60">
    <w:nsid w:val="1F48EAA1"/>
    <w:multiLevelType w:val="hybridMultilevel"/>
    <w:lvl w:ilvl="0">
      <w:lvlJc w:val="left"/>
      <w:lvlText w:val="(%1)"/>
      <w:numFmt w:val="decimal"/>
    </w:lvl>
    <w:lvl w:ilvl="1">
      <w:lvlJc w:val="left"/>
      <w:lvlText w:val="•"/>
      <w:numFmt w:val="bullet"/>
      <w:start w:val="1"/>
    </w:lvl>
  </w:abstractNum>
  <w:abstractNum w:abstractNumId="61">
    <w:nsid w:val="1381823A"/>
    <w:multiLevelType w:val="hybridMultilevel"/>
    <w:lvl w:ilvl="0">
      <w:lvlJc w:val="left"/>
      <w:lvlText w:val="(%1)"/>
      <w:numFmt w:val="decimal"/>
      <w:start w:val="1"/>
    </w:lvl>
  </w:abstractNum>
  <w:abstractNum w:abstractNumId="62">
    <w:nsid w:val="5DB70AE5"/>
    <w:multiLevelType w:val="hybridMultilevel"/>
    <w:lvl w:ilvl="0">
      <w:lvlJc w:val="left"/>
      <w:lvlText w:val="(%1)"/>
      <w:numFmt w:val="decimal"/>
      <w:start w:val="2"/>
    </w:lvl>
  </w:abstractNum>
  <w:abstractNum w:abstractNumId="63">
    <w:nsid w:val="100F8FCA"/>
    <w:multiLevelType w:val="hybridMultilevel"/>
    <w:lvl w:ilvl="0">
      <w:lvlJc w:val="left"/>
      <w:lvlText w:val=" "/>
      <w:numFmt w:val="bullet"/>
      <w:start w:val="1"/>
    </w:lvl>
  </w:abstractNum>
  <w:abstractNum w:abstractNumId="64">
    <w:nsid w:val="6590700B"/>
    <w:multiLevelType w:val="hybridMultilevel"/>
    <w:lvl w:ilvl="0">
      <w:lvlJc w:val="left"/>
      <w:lvlText w:val="(%1)"/>
      <w:numFmt w:val="decimal"/>
      <w:start w:val="3"/>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1)"/>
      <w:numFmt w:val="lowerLetter"/>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2"/>
    </w:lvl>
  </w:abstractNum>
  <w:abstractNum w:abstractNumId="70">
    <w:nsid w:val="42C296BD"/>
    <w:multiLevelType w:val="hybridMultilevel"/>
    <w:lvl w:ilvl="0">
      <w:lvlJc w:val="left"/>
      <w:lvlText w:val="(%1)"/>
      <w:numFmt w:val="decimal"/>
      <w:start w:val="3"/>
    </w:lvl>
  </w:abstractNum>
  <w:abstractNum w:abstractNumId="71">
    <w:nsid w:val="168E121F"/>
    <w:multiLevelType w:val="hybridMultilevel"/>
    <w:lvl w:ilvl="0">
      <w:lvlJc w:val="left"/>
      <w:lvlText w:val="(%1)"/>
      <w:numFmt w:val="decimal"/>
      <w:start w:val="4"/>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2024-04-11T16:52:33Z</dcterms:created>
  <dcterms:modified xsi:type="dcterms:W3CDTF">2024-04-11T16:52:33Z</dcterms:modified>
</cp:coreProperties>
</file>