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8.png" ContentType="image/png"/>
  <Override PartName="/word/media/image7.png" ContentType="image/png"/>
  <Override PartName="/word/media/image6.png" ContentType="image/png"/>
  <Override PartName="/word/media/image5.png" ContentType="image/png"/>
  <Override PartName="/word/media/image1.png" ContentType="image/png"/>
  <Override PartName="/word/media/image2.png" ContentType="image/png"/>
  <Override PartName="/word/media/image3.png" ContentType="image/png"/>
  <Override PartName="/word/media/image4.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r>
        <w:rPr/>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5" w:type="dxa"/>
            <w:gridSpan w:val="15"/>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83"/>
        <w:jc w:val="center"/>
        <w:rPr>
          <w:rFonts w:ascii="Arial;sans-serif" w:hAnsi="Arial;sans-serif"/>
          <w:b/>
          <w:color w:val="000000"/>
          <w:sz w:val="24"/>
        </w:rPr>
      </w:pPr>
      <w:r>
        <w:rPr>
          <w:rFonts w:ascii="Arial;sans-serif" w:hAnsi="Arial;sans-serif"/>
          <w:b/>
          <w:color w:val="000000"/>
          <w:sz w:val="24"/>
        </w:rPr>
        <w:t>UNITED STATES SECURITIES AND EXCHANGE COMMISSION</w:t>
      </w:r>
    </w:p>
    <w:p>
      <w:pPr>
        <w:pStyle w:val="TextBody"/>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tbl>
      <w:tblPr>
        <w:tblW w:w="1500" w:type="dxa"/>
        <w:jc w:val="center"/>
        <w:tblInd w:w="0" w:type="dxa"/>
        <w:tblCellMar>
          <w:top w:w="28" w:type="dxa"/>
          <w:left w:w="28" w:type="dxa"/>
          <w:bottom w:w="28" w:type="dxa"/>
          <w:right w:w="28" w:type="dxa"/>
        </w:tblCellMar>
      </w:tblPr>
      <w:tblGrid>
        <w:gridCol w:w="299"/>
        <w:gridCol w:w="263"/>
        <w:gridCol w:w="264"/>
        <w:gridCol w:w="197"/>
        <w:gridCol w:w="197"/>
        <w:gridCol w:w="280"/>
      </w:tblGrid>
      <w:tr>
        <w:trPr/>
        <w:tc>
          <w:tcPr>
            <w:tcW w:w="29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r>
      <w:tr>
        <w:trPr/>
        <w:tc>
          <w:tcPr>
            <w:tcW w:w="8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4"/>
              </w:rPr>
            </w:pPr>
            <w:r>
              <w:rPr>
                <w:rFonts w:ascii="Arial;sans-serif" w:hAnsi="Arial;sans-serif"/>
                <w:b/>
                <w:color w:val="000000"/>
                <w:sz w:val="24"/>
              </w:rPr>
              <w:t>FORM</w:t>
            </w:r>
          </w:p>
        </w:tc>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4"/>
              </w:rPr>
            </w:pPr>
            <w:r>
              <w:rPr>
                <w:rFonts w:ascii="Arial;sans-serif" w:hAnsi="Arial;sans-serif"/>
                <w:b/>
                <w:color w:val="000000"/>
                <w:sz w:val="24"/>
              </w:rPr>
              <w:t>10-Q</w:t>
            </w:r>
          </w:p>
        </w:tc>
      </w:tr>
      <w:tr>
        <w:trPr/>
        <w:tc>
          <w:tcPr>
            <w:tcW w:w="82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674"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9672" w:type="dxa"/>
        <w:jc w:val="center"/>
        <w:tblInd w:w="0" w:type="dxa"/>
        <w:tblCellMar>
          <w:top w:w="28" w:type="dxa"/>
          <w:left w:w="28" w:type="dxa"/>
          <w:bottom w:w="28" w:type="dxa"/>
          <w:right w:w="28" w:type="dxa"/>
        </w:tblCellMar>
      </w:tblPr>
      <w:tblGrid>
        <w:gridCol w:w="124"/>
        <w:gridCol w:w="109"/>
        <w:gridCol w:w="109"/>
        <w:gridCol w:w="2733"/>
        <w:gridCol w:w="2733"/>
        <w:gridCol w:w="38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3" w:type="dxa"/>
            <w:tcBorders/>
            <w:shd w:fill="auto" w:val="clear"/>
            <w:vAlign w:val="center"/>
          </w:tcPr>
          <w:p>
            <w:pPr>
              <w:pStyle w:val="TableContents"/>
              <w:spacing w:before="0" w:after="283"/>
              <w:rPr>
                <w:sz w:val="4"/>
                <w:szCs w:val="4"/>
              </w:rPr>
            </w:pPr>
            <w:r>
              <w:rPr>
                <w:sz w:val="4"/>
                <w:szCs w:val="4"/>
              </w:rPr>
            </w:r>
          </w:p>
        </w:tc>
        <w:tc>
          <w:tcPr>
            <w:tcW w:w="2733" w:type="dxa"/>
            <w:tcBorders/>
            <w:shd w:fill="auto" w:val="clear"/>
            <w:vAlign w:val="center"/>
          </w:tcPr>
          <w:p>
            <w:pPr>
              <w:pStyle w:val="TableContents"/>
              <w:spacing w:before="0" w:after="283"/>
              <w:rPr>
                <w:sz w:val="4"/>
                <w:szCs w:val="4"/>
              </w:rPr>
            </w:pPr>
            <w:r>
              <w:rPr>
                <w:sz w:val="4"/>
                <w:szCs w:val="4"/>
              </w:rPr>
            </w:r>
          </w:p>
        </w:tc>
        <w:tc>
          <w:tcPr>
            <w:tcW w:w="38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33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color w:val="000000"/>
                <w:sz w:val="22"/>
              </w:rPr>
            </w:pPr>
            <w:r>
              <w:rPr>
                <w:rFonts w:ascii="Arial;sans-serif" w:hAnsi="Arial;sans-serif"/>
                <w:b/>
                <w:color w:val="000000"/>
                <w:sz w:val="22"/>
              </w:rPr>
              <w:t>Quarterly Report Pursuant to Section 13 or 15(d) of the Securities Exchange Act of 1934</w:t>
            </w:r>
          </w:p>
        </w:tc>
      </w:tr>
    </w:tbl>
    <w:p>
      <w:pPr>
        <w:pStyle w:val="TextBody"/>
        <w:spacing w:lineRule="auto" w:line="288" w:before="0" w:after="0"/>
        <w:jc w:val="center"/>
        <w:rPr/>
      </w:pPr>
      <w:r>
        <w:rPr>
          <w:rFonts w:ascii="Arial;sans-serif" w:hAnsi="Arial;sans-serif"/>
          <w:b/>
          <w:color w:val="000000"/>
          <w:sz w:val="18"/>
        </w:rPr>
        <w:t>For the Quarterly Period Ended March 31, 2023</w:t>
      </w:r>
      <w:r>
        <w:rPr>
          <w:color w:val="000000"/>
        </w:rPr>
        <w:t xml:space="preserve"> </w:t>
      </w:r>
    </w:p>
    <w:tbl>
      <w:tblPr>
        <w:tblW w:w="9747" w:type="dxa"/>
        <w:jc w:val="center"/>
        <w:tblInd w:w="0" w:type="dxa"/>
        <w:tblCellMar>
          <w:top w:w="28" w:type="dxa"/>
          <w:left w:w="28" w:type="dxa"/>
          <w:bottom w:w="28" w:type="dxa"/>
          <w:right w:w="28" w:type="dxa"/>
        </w:tblCellMar>
      </w:tblPr>
      <w:tblGrid>
        <w:gridCol w:w="124"/>
        <w:gridCol w:w="109"/>
        <w:gridCol w:w="109"/>
        <w:gridCol w:w="2755"/>
        <w:gridCol w:w="2755"/>
        <w:gridCol w:w="38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5" w:type="dxa"/>
            <w:tcBorders/>
            <w:shd w:fill="auto" w:val="clear"/>
            <w:vAlign w:val="center"/>
          </w:tcPr>
          <w:p>
            <w:pPr>
              <w:pStyle w:val="TableContents"/>
              <w:spacing w:before="0" w:after="283"/>
              <w:rPr>
                <w:sz w:val="4"/>
                <w:szCs w:val="4"/>
              </w:rPr>
            </w:pPr>
            <w:r>
              <w:rPr>
                <w:sz w:val="4"/>
                <w:szCs w:val="4"/>
              </w:rPr>
            </w:r>
          </w:p>
        </w:tc>
        <w:tc>
          <w:tcPr>
            <w:tcW w:w="2755" w:type="dxa"/>
            <w:tcBorders/>
            <w:shd w:fill="auto" w:val="clear"/>
            <w:vAlign w:val="center"/>
          </w:tcPr>
          <w:p>
            <w:pPr>
              <w:pStyle w:val="TableContents"/>
              <w:spacing w:before="0" w:after="283"/>
              <w:rPr>
                <w:sz w:val="4"/>
                <w:szCs w:val="4"/>
              </w:rPr>
            </w:pPr>
            <w:r>
              <w:rPr>
                <w:sz w:val="4"/>
                <w:szCs w:val="4"/>
              </w:rPr>
            </w:r>
          </w:p>
        </w:tc>
        <w:tc>
          <w:tcPr>
            <w:tcW w:w="38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color w:val="000000"/>
                <w:sz w:val="22"/>
              </w:rPr>
            </w:pPr>
            <w:r>
              <w:rPr>
                <w:rFonts w:ascii="Arial;sans-serif" w:hAnsi="Arial;sans-serif"/>
                <w:b/>
                <w:color w:val="000000"/>
                <w:sz w:val="22"/>
              </w:rPr>
              <w:t>Transition Report Pursuant to Section 13 or 15(d) of the Securities Exchange Act of 1934</w:t>
            </w:r>
          </w:p>
        </w:tc>
      </w:tr>
    </w:tbl>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For the Transition Period From                     to</w:t>
      </w:r>
    </w:p>
    <w:p>
      <w:pPr>
        <w:pStyle w:val="TextBody"/>
        <w:spacing w:lineRule="auto" w:line="288" w:before="180" w:after="283"/>
        <w:jc w:val="center"/>
        <w:rPr>
          <w:rFonts w:ascii="Arial;sans-serif" w:hAnsi="Arial;sans-serif"/>
          <w:b/>
          <w:color w:val="000000"/>
          <w:sz w:val="18"/>
        </w:rPr>
      </w:pPr>
      <w:r>
        <w:rPr>
          <w:rFonts w:ascii="Arial;sans-serif" w:hAnsi="Arial;sans-serif"/>
          <w:b/>
          <w:color w:val="000000"/>
          <w:sz w:val="18"/>
        </w:rPr>
        <w:t xml:space="preserve">Commission file number 1-8400 </w:t>
      </w:r>
    </w:p>
    <w:tbl>
      <w:tblPr>
        <w:tblW w:w="4300" w:type="dxa"/>
        <w:jc w:val="center"/>
        <w:tblInd w:w="0" w:type="dxa"/>
        <w:tblCellMar>
          <w:top w:w="28" w:type="dxa"/>
          <w:left w:w="28" w:type="dxa"/>
          <w:bottom w:w="28" w:type="dxa"/>
          <w:right w:w="28" w:type="dxa"/>
        </w:tblCellMar>
      </w:tblPr>
      <w:tblGrid>
        <w:gridCol w:w="512"/>
        <w:gridCol w:w="450"/>
        <w:gridCol w:w="450"/>
        <w:gridCol w:w="450"/>
        <w:gridCol w:w="450"/>
        <w:gridCol w:w="450"/>
        <w:gridCol w:w="450"/>
        <w:gridCol w:w="450"/>
        <w:gridCol w:w="638"/>
      </w:tblGrid>
      <w:tr>
        <w:trPr/>
        <w:tc>
          <w:tcPr>
            <w:tcW w:w="512"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r>
      <w:tr>
        <w:trPr/>
        <w:tc>
          <w:tcPr>
            <w:tcW w:w="141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00"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4"/>
              </w:rPr>
            </w:pPr>
            <w:r>
              <w:rPr>
                <w:rFonts w:ascii="Arial;sans-serif" w:hAnsi="Arial;sans-serif"/>
                <w:b/>
                <w:color w:val="000000"/>
                <w:sz w:val="24"/>
              </w:rPr>
              <w:t>American Airlines Group Inc.</w:t>
            </w:r>
          </w:p>
        </w:tc>
      </w:tr>
      <w:tr>
        <w:trPr/>
        <w:tc>
          <w:tcPr>
            <w:tcW w:w="43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c>
      </w:tr>
      <w:tr>
        <w:trPr/>
        <w:tc>
          <w:tcPr>
            <w:tcW w:w="141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35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538"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color w:val="000000"/>
        </w:rPr>
      </w:pPr>
      <w:r>
        <w:rPr>
          <w:color w:val="000000"/>
        </w:rPr>
        <w:t> </w:t>
      </w:r>
    </w:p>
    <w:tbl>
      <w:tblPr>
        <w:tblW w:w="9719" w:type="dxa"/>
        <w:jc w:val="center"/>
        <w:tblInd w:w="0" w:type="dxa"/>
        <w:tblCellMar>
          <w:top w:w="28" w:type="dxa"/>
          <w:left w:w="28" w:type="dxa"/>
          <w:bottom w:w="28" w:type="dxa"/>
          <w:right w:w="28" w:type="dxa"/>
        </w:tblCellMar>
      </w:tblPr>
      <w:tblGrid>
        <w:gridCol w:w="560"/>
        <w:gridCol w:w="492"/>
        <w:gridCol w:w="492"/>
        <w:gridCol w:w="357"/>
        <w:gridCol w:w="357"/>
        <w:gridCol w:w="357"/>
        <w:gridCol w:w="357"/>
        <w:gridCol w:w="357"/>
        <w:gridCol w:w="357"/>
        <w:gridCol w:w="357"/>
        <w:gridCol w:w="357"/>
        <w:gridCol w:w="357"/>
        <w:gridCol w:w="109"/>
        <w:gridCol w:w="109"/>
        <w:gridCol w:w="109"/>
        <w:gridCol w:w="109"/>
        <w:gridCol w:w="109"/>
        <w:gridCol w:w="109"/>
        <w:gridCol w:w="208"/>
        <w:gridCol w:w="208"/>
        <w:gridCol w:w="208"/>
        <w:gridCol w:w="208"/>
        <w:gridCol w:w="208"/>
        <w:gridCol w:w="208"/>
        <w:gridCol w:w="257"/>
        <w:gridCol w:w="257"/>
        <w:gridCol w:w="260"/>
        <w:gridCol w:w="215"/>
        <w:gridCol w:w="215"/>
        <w:gridCol w:w="215"/>
        <w:gridCol w:w="215"/>
        <w:gridCol w:w="215"/>
        <w:gridCol w:w="215"/>
        <w:gridCol w:w="208"/>
        <w:gridCol w:w="208"/>
        <w:gridCol w:w="208"/>
        <w:gridCol w:w="109"/>
        <w:gridCol w:w="109"/>
        <w:gridCol w:w="154"/>
      </w:tblGrid>
      <w:tr>
        <w:trPr/>
        <w:tc>
          <w:tcPr>
            <w:tcW w:w="560"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7" w:type="dxa"/>
            <w:gridSpan w:val="12"/>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6" w:type="dxa"/>
            <w:gridSpan w:val="18"/>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75-1825172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7"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6"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No.)</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color w:val="000000"/>
                <w:sz w:val="18"/>
              </w:rPr>
            </w:pPr>
            <w:r>
              <w:rPr>
                <w:rFonts w:ascii="Arial;sans-serif" w:hAnsi="Arial;sans-serif"/>
                <w:b/>
                <w:color w:val="000000"/>
                <w:sz w:val="18"/>
              </w:rPr>
              <w:t>1 Skyview Drive,</w:t>
            </w:r>
          </w:p>
        </w:tc>
        <w:tc>
          <w:tcPr>
            <w:tcW w:w="10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8"/>
              </w:rPr>
            </w:pPr>
            <w:r>
              <w:rPr>
                <w:rFonts w:ascii="Arial;sans-serif" w:hAnsi="Arial;sans-serif"/>
                <w:b/>
                <w:color w:val="000000"/>
                <w:sz w:val="18"/>
              </w:rPr>
              <w:t>Fort Worth,</w:t>
            </w:r>
          </w:p>
        </w:tc>
        <w:tc>
          <w:tcPr>
            <w:tcW w:w="10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8"/>
              </w:rPr>
            </w:pPr>
            <w:r>
              <w:rPr>
                <w:rFonts w:ascii="Arial;sans-serif" w:hAnsi="Arial;sans-serif"/>
                <w:b/>
                <w:color w:val="000000"/>
                <w:sz w:val="18"/>
              </w:rPr>
              <w:t>Texas</w:t>
            </w:r>
          </w:p>
        </w:tc>
        <w:tc>
          <w:tcPr>
            <w:tcW w:w="10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8"/>
              </w:rPr>
            </w:pPr>
            <w:r>
              <w:rPr>
                <w:rFonts w:ascii="Arial;sans-serif" w:hAnsi="Arial;sans-serif"/>
                <w:b/>
                <w:color w:val="000000"/>
                <w:sz w:val="18"/>
              </w:rPr>
              <w:t>76155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(682)</w:t>
            </w:r>
          </w:p>
        </w:tc>
        <w:tc>
          <w:tcPr>
            <w:tcW w:w="129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278-9000</w:t>
            </w:r>
          </w:p>
        </w:tc>
        <w:tc>
          <w:tcPr>
            <w:tcW w:w="6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7"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(Address of principal executive offices, including zip code)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6"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jc w:val="center"/>
        <w:rPr>
          <w:rFonts w:ascii="Arial;sans-serif" w:hAnsi="Arial;sans-serif"/>
          <w:b/>
          <w:color w:val="000000"/>
          <w:sz w:val="18"/>
        </w:rPr>
      </w:pPr>
      <w:r>
        <w:rPr>
          <w:rFonts w:ascii="Arial;sans-serif" w:hAnsi="Arial;sans-serif"/>
          <w:b/>
          <w:color w:val="000000"/>
          <w:sz w:val="18"/>
        </w:rPr>
        <w:t xml:space="preserve">Commission file number 1-2691 </w:t>
      </w:r>
    </w:p>
    <w:tbl>
      <w:tblPr>
        <w:tblW w:w="4300" w:type="dxa"/>
        <w:jc w:val="center"/>
        <w:tblInd w:w="0" w:type="dxa"/>
        <w:tblCellMar>
          <w:top w:w="28" w:type="dxa"/>
          <w:left w:w="28" w:type="dxa"/>
          <w:bottom w:w="28" w:type="dxa"/>
          <w:right w:w="28" w:type="dxa"/>
        </w:tblCellMar>
      </w:tblPr>
      <w:tblGrid>
        <w:gridCol w:w="512"/>
        <w:gridCol w:w="450"/>
        <w:gridCol w:w="450"/>
        <w:gridCol w:w="450"/>
        <w:gridCol w:w="450"/>
        <w:gridCol w:w="450"/>
        <w:gridCol w:w="450"/>
        <w:gridCol w:w="450"/>
        <w:gridCol w:w="638"/>
      </w:tblGrid>
      <w:tr>
        <w:trPr/>
        <w:tc>
          <w:tcPr>
            <w:tcW w:w="512"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r>
      <w:tr>
        <w:trPr/>
        <w:tc>
          <w:tcPr>
            <w:tcW w:w="141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00"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4"/>
              </w:rPr>
            </w:pPr>
            <w:r>
              <w:rPr>
                <w:rFonts w:ascii="Arial;sans-serif" w:hAnsi="Arial;sans-serif"/>
                <w:b/>
                <w:color w:val="000000"/>
                <w:sz w:val="24"/>
              </w:rPr>
              <w:t>American Airlines, Inc.</w:t>
            </w:r>
          </w:p>
        </w:tc>
      </w:tr>
      <w:tr>
        <w:trPr/>
        <w:tc>
          <w:tcPr>
            <w:tcW w:w="43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c>
      </w:tr>
      <w:tr>
        <w:trPr/>
        <w:tc>
          <w:tcPr>
            <w:tcW w:w="141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35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538"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color w:val="000000"/>
        </w:rPr>
      </w:pPr>
      <w:r>
        <w:rPr>
          <w:color w:val="000000"/>
        </w:rPr>
        <w:t> </w:t>
      </w:r>
    </w:p>
    <w:tbl>
      <w:tblPr>
        <w:tblW w:w="9719" w:type="dxa"/>
        <w:jc w:val="center"/>
        <w:tblInd w:w="0" w:type="dxa"/>
        <w:tblCellMar>
          <w:top w:w="28" w:type="dxa"/>
          <w:left w:w="28" w:type="dxa"/>
          <w:bottom w:w="28" w:type="dxa"/>
          <w:right w:w="28" w:type="dxa"/>
        </w:tblCellMar>
      </w:tblPr>
      <w:tblGrid>
        <w:gridCol w:w="560"/>
        <w:gridCol w:w="492"/>
        <w:gridCol w:w="492"/>
        <w:gridCol w:w="357"/>
        <w:gridCol w:w="357"/>
        <w:gridCol w:w="357"/>
        <w:gridCol w:w="357"/>
        <w:gridCol w:w="357"/>
        <w:gridCol w:w="357"/>
        <w:gridCol w:w="357"/>
        <w:gridCol w:w="357"/>
        <w:gridCol w:w="357"/>
        <w:gridCol w:w="109"/>
        <w:gridCol w:w="109"/>
        <w:gridCol w:w="109"/>
        <w:gridCol w:w="109"/>
        <w:gridCol w:w="109"/>
        <w:gridCol w:w="109"/>
        <w:gridCol w:w="208"/>
        <w:gridCol w:w="208"/>
        <w:gridCol w:w="208"/>
        <w:gridCol w:w="208"/>
        <w:gridCol w:w="208"/>
        <w:gridCol w:w="208"/>
        <w:gridCol w:w="257"/>
        <w:gridCol w:w="257"/>
        <w:gridCol w:w="260"/>
        <w:gridCol w:w="215"/>
        <w:gridCol w:w="215"/>
        <w:gridCol w:w="215"/>
        <w:gridCol w:w="215"/>
        <w:gridCol w:w="215"/>
        <w:gridCol w:w="215"/>
        <w:gridCol w:w="208"/>
        <w:gridCol w:w="208"/>
        <w:gridCol w:w="208"/>
        <w:gridCol w:w="109"/>
        <w:gridCol w:w="109"/>
        <w:gridCol w:w="154"/>
      </w:tblGrid>
      <w:tr>
        <w:trPr/>
        <w:tc>
          <w:tcPr>
            <w:tcW w:w="560"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7" w:type="dxa"/>
            <w:gridSpan w:val="12"/>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6" w:type="dxa"/>
            <w:gridSpan w:val="18"/>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13-1502798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7"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6"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No.)</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color w:val="000000"/>
                <w:sz w:val="18"/>
              </w:rPr>
            </w:pPr>
            <w:r>
              <w:rPr>
                <w:rFonts w:ascii="Arial;sans-serif" w:hAnsi="Arial;sans-serif"/>
                <w:b/>
                <w:color w:val="000000"/>
                <w:sz w:val="18"/>
              </w:rPr>
              <w:t>1 Skyview Drive,</w:t>
            </w:r>
          </w:p>
        </w:tc>
        <w:tc>
          <w:tcPr>
            <w:tcW w:w="10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Fort Worth,</w:t>
            </w:r>
          </w:p>
        </w:tc>
        <w:tc>
          <w:tcPr>
            <w:tcW w:w="10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Texas</w:t>
            </w:r>
          </w:p>
        </w:tc>
        <w:tc>
          <w:tcPr>
            <w:tcW w:w="10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76155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(682)</w:t>
            </w:r>
          </w:p>
        </w:tc>
        <w:tc>
          <w:tcPr>
            <w:tcW w:w="129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278-9000</w:t>
            </w:r>
          </w:p>
        </w:tc>
        <w:tc>
          <w:tcPr>
            <w:tcW w:w="6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7"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(Address of principal executive offices, including zip code)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6"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ind w:left="0" w:right="0" w:firstLine="180"/>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9967" w:type="dxa"/>
        <w:jc w:val="center"/>
        <w:tblInd w:w="0" w:type="dxa"/>
        <w:tblCellMar>
          <w:top w:w="28" w:type="dxa"/>
          <w:left w:w="28" w:type="dxa"/>
          <w:bottom w:w="28" w:type="dxa"/>
          <w:right w:w="28" w:type="dxa"/>
        </w:tblCellMar>
      </w:tblPr>
      <w:tblGrid>
        <w:gridCol w:w="1340"/>
        <w:gridCol w:w="1175"/>
        <w:gridCol w:w="1189"/>
        <w:gridCol w:w="109"/>
        <w:gridCol w:w="109"/>
        <w:gridCol w:w="109"/>
        <w:gridCol w:w="554"/>
        <w:gridCol w:w="554"/>
        <w:gridCol w:w="556"/>
        <w:gridCol w:w="109"/>
        <w:gridCol w:w="109"/>
        <w:gridCol w:w="109"/>
        <w:gridCol w:w="1154"/>
        <w:gridCol w:w="1154"/>
        <w:gridCol w:w="1637"/>
      </w:tblGrid>
      <w:tr>
        <w:trPr/>
        <w:tc>
          <w:tcPr>
            <w:tcW w:w="1340"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c>
          <w:tcPr>
            <w:tcW w:w="1637"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Trading Symbol(s)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7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Common Stock, $0.01 par value per share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AAL</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The Nasdaq Global Select Market</w:t>
            </w:r>
          </w:p>
        </w:tc>
      </w:tr>
      <w:tr>
        <w:trPr/>
        <w:tc>
          <w:tcPr>
            <w:tcW w:w="37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Preferred Stock Purchase Rights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2"/>
              </w:rPr>
            </w:pPr>
            <w:r>
              <w:rPr>
                <w:rFonts w:ascii="Arial;sans-serif" w:hAnsi="Arial;sans-serif"/>
                <w:b/>
                <w:color w:val="000000"/>
                <w:sz w:val="12"/>
              </w:rPr>
              <w:t>(1)</w:t>
            </w:r>
          </w:p>
        </w:tc>
      </w:tr>
    </w:tbl>
    <w:p>
      <w:pPr>
        <w:pStyle w:val="TextBody"/>
        <w:spacing w:lineRule="auto" w:line="288" w:before="90" w:after="283"/>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Attached to the Common Stock</w:t>
      </w:r>
    </w:p>
    <w:p>
      <w:pPr>
        <w:pStyle w:val="TextBody"/>
        <w:spacing w:lineRule="auto" w:line="288" w:before="100" w:after="283"/>
        <w:ind w:left="0" w:right="0" w:firstLine="180"/>
        <w:jc w:val="both"/>
        <w:rPr>
          <w:rFonts w:ascii="Arial;sans-serif" w:hAnsi="Arial;sans-serif"/>
          <w:b w:val="false"/>
          <w:color w:val="000000"/>
          <w:sz w:val="18"/>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tbl>
      <w:tblPr>
        <w:tblW w:w="4238" w:type="dxa"/>
        <w:jc w:val="left"/>
        <w:tblInd w:w="0" w:type="dxa"/>
        <w:tblCellMar>
          <w:top w:w="28" w:type="dxa"/>
          <w:left w:w="28" w:type="dxa"/>
          <w:bottom w:w="28" w:type="dxa"/>
          <w:right w:w="28" w:type="dxa"/>
        </w:tblCellMar>
      </w:tblPr>
      <w:tblGrid>
        <w:gridCol w:w="885"/>
        <w:gridCol w:w="779"/>
        <w:gridCol w:w="781"/>
        <w:gridCol w:w="109"/>
        <w:gridCol w:w="109"/>
        <w:gridCol w:w="109"/>
        <w:gridCol w:w="140"/>
        <w:gridCol w:w="140"/>
        <w:gridCol w:w="141"/>
        <w:gridCol w:w="109"/>
        <w:gridCol w:w="109"/>
        <w:gridCol w:w="109"/>
        <w:gridCol w:w="109"/>
        <w:gridCol w:w="109"/>
        <w:gridCol w:w="109"/>
        <w:gridCol w:w="114"/>
        <w:gridCol w:w="114"/>
        <w:gridCol w:w="163"/>
      </w:tblGrid>
      <w:tr>
        <w:trPr/>
        <w:tc>
          <w:tcPr>
            <w:tcW w:w="885"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American Airlines Group Inc.</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18"/>
              </w:rPr>
            </w:pPr>
            <w:r>
              <w:rPr>
                <w:rFonts w:ascii="Arial;sans-serif" w:hAnsi="Arial;sans-serif"/>
                <w:b w:val="false"/>
                <w:color w:val="000000"/>
                <w:sz w:val="18"/>
              </w:rPr>
              <w:t>Yes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No</w:t>
            </w:r>
          </w:p>
        </w:tc>
      </w:tr>
      <w:tr>
        <w:trPr/>
        <w:tc>
          <w:tcPr>
            <w:tcW w:w="24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American Airlines, Inc.</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18"/>
              </w:rPr>
            </w:pPr>
            <w:r>
              <w:rPr>
                <w:rFonts w:ascii="Arial;sans-serif" w:hAnsi="Arial;sans-serif"/>
                <w:b w:val="false"/>
                <w:color w:val="000000"/>
                <w:sz w:val="18"/>
              </w:rPr>
              <w:t>Yes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No</w:t>
            </w:r>
          </w:p>
        </w:tc>
      </w:tr>
    </w:tbl>
    <w:p>
      <w:pPr>
        <w:pStyle w:val="TextBody"/>
        <w:spacing w:lineRule="auto" w:line="288" w:before="80" w:after="283"/>
        <w:ind w:left="0" w:right="0" w:firstLine="180"/>
        <w:jc w:val="both"/>
        <w:rPr>
          <w:rFonts w:ascii="Arial;sans-serif" w:hAnsi="Arial;sans-serif"/>
          <w:b w:val="false"/>
          <w:color w:val="000000"/>
          <w:sz w:val="18"/>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tbl>
      <w:tblPr>
        <w:tblW w:w="4238" w:type="dxa"/>
        <w:jc w:val="left"/>
        <w:tblInd w:w="0" w:type="dxa"/>
        <w:tblCellMar>
          <w:top w:w="28" w:type="dxa"/>
          <w:left w:w="28" w:type="dxa"/>
          <w:bottom w:w="28" w:type="dxa"/>
          <w:right w:w="28" w:type="dxa"/>
        </w:tblCellMar>
      </w:tblPr>
      <w:tblGrid>
        <w:gridCol w:w="885"/>
        <w:gridCol w:w="779"/>
        <w:gridCol w:w="781"/>
        <w:gridCol w:w="109"/>
        <w:gridCol w:w="109"/>
        <w:gridCol w:w="109"/>
        <w:gridCol w:w="140"/>
        <w:gridCol w:w="140"/>
        <w:gridCol w:w="141"/>
        <w:gridCol w:w="109"/>
        <w:gridCol w:w="109"/>
        <w:gridCol w:w="109"/>
        <w:gridCol w:w="109"/>
        <w:gridCol w:w="109"/>
        <w:gridCol w:w="109"/>
        <w:gridCol w:w="114"/>
        <w:gridCol w:w="114"/>
        <w:gridCol w:w="163"/>
      </w:tblGrid>
      <w:tr>
        <w:trPr/>
        <w:tc>
          <w:tcPr>
            <w:tcW w:w="885"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American Airlines Group Inc.</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18"/>
              </w:rPr>
            </w:pPr>
            <w:r>
              <w:rPr>
                <w:rFonts w:ascii="Arial;sans-serif" w:hAnsi="Arial;sans-serif"/>
                <w:b w:val="false"/>
                <w:color w:val="000000"/>
                <w:sz w:val="18"/>
              </w:rPr>
              <w:t>Yes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No</w:t>
            </w:r>
          </w:p>
        </w:tc>
      </w:tr>
      <w:tr>
        <w:trPr/>
        <w:tc>
          <w:tcPr>
            <w:tcW w:w="24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American Airlines, Inc.</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18"/>
              </w:rPr>
            </w:pPr>
            <w:r>
              <w:rPr>
                <w:rFonts w:ascii="Arial;sans-serif" w:hAnsi="Arial;sans-serif"/>
                <w:b w:val="false"/>
                <w:color w:val="000000"/>
                <w:sz w:val="18"/>
              </w:rPr>
              <w:t>Yes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No</w:t>
            </w:r>
          </w:p>
        </w:tc>
      </w:tr>
    </w:tbl>
    <w:p>
      <w:pPr>
        <w:pStyle w:val="TextBody"/>
        <w:spacing w:lineRule="auto" w:line="288" w:before="80" w:after="283"/>
        <w:ind w:left="0" w:right="0" w:firstLine="180"/>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center"/>
        <w:tblInd w:w="0" w:type="dxa"/>
        <w:tblCellMar>
          <w:top w:w="28" w:type="dxa"/>
          <w:left w:w="28" w:type="dxa"/>
          <w:bottom w:w="28" w:type="dxa"/>
          <w:right w:w="28" w:type="dxa"/>
        </w:tblCellMar>
      </w:tblPr>
      <w:tblGrid>
        <w:gridCol w:w="541"/>
        <w:gridCol w:w="476"/>
        <w:gridCol w:w="478"/>
        <w:gridCol w:w="109"/>
        <w:gridCol w:w="109"/>
        <w:gridCol w:w="109"/>
        <w:gridCol w:w="422"/>
        <w:gridCol w:w="422"/>
        <w:gridCol w:w="423"/>
        <w:gridCol w:w="109"/>
        <w:gridCol w:w="109"/>
        <w:gridCol w:w="109"/>
        <w:gridCol w:w="370"/>
        <w:gridCol w:w="370"/>
        <w:gridCol w:w="371"/>
        <w:gridCol w:w="109"/>
        <w:gridCol w:w="109"/>
        <w:gridCol w:w="109"/>
        <w:gridCol w:w="460"/>
        <w:gridCol w:w="460"/>
        <w:gridCol w:w="461"/>
        <w:gridCol w:w="109"/>
        <w:gridCol w:w="109"/>
        <w:gridCol w:w="109"/>
        <w:gridCol w:w="580"/>
        <w:gridCol w:w="580"/>
        <w:gridCol w:w="581"/>
        <w:gridCol w:w="109"/>
        <w:gridCol w:w="109"/>
        <w:gridCol w:w="109"/>
        <w:gridCol w:w="460"/>
        <w:gridCol w:w="460"/>
        <w:gridCol w:w="655"/>
      </w:tblGrid>
      <w:tr>
        <w:trPr/>
        <w:tc>
          <w:tcPr>
            <w:tcW w:w="541"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r>
      <w:tr>
        <w:trPr/>
        <w:tc>
          <w:tcPr>
            <w:tcW w:w="14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American Airlines Group Inc.</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4"/>
              </w:rPr>
            </w:pPr>
            <w:r>
              <w:rPr>
                <w:rFonts w:ascii="Arial;sans-serif" w:hAnsi="Arial;sans-serif"/>
                <w:b w:val="false"/>
                <w:color w:val="000000"/>
                <w:sz w:val="14"/>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3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7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Emerging growth company</w:t>
            </w:r>
          </w:p>
        </w:tc>
      </w:tr>
      <w:tr>
        <w:trPr/>
        <w:tc>
          <w:tcPr>
            <w:tcW w:w="14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American Airlines, Inc.</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2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w:t>
            </w:r>
          </w:p>
          <w:p>
            <w:pPr>
              <w:pStyle w:val="TableContents"/>
              <w:spacing w:before="0" w:after="0"/>
              <w:rPr/>
            </w:pPr>
            <w:r>
              <w:rPr/>
            </w:r>
          </w:p>
        </w:tc>
        <w:tc>
          <w:tcPr>
            <w:tcW w:w="13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4"/>
              </w:rPr>
            </w:pPr>
            <w:r>
              <w:rPr>
                <w:rFonts w:ascii="Arial;sans-serif" w:hAnsi="Arial;sans-serif"/>
                <w:b w:val="false"/>
                <w:color w:val="000000"/>
                <w:sz w:val="14"/>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7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Emerging growth company</w:t>
            </w:r>
          </w:p>
        </w:tc>
      </w:tr>
    </w:tbl>
    <w:p>
      <w:pPr>
        <w:pStyle w:val="TextBody"/>
        <w:spacing w:lineRule="auto" w:line="288" w:before="80" w:after="283"/>
        <w:ind w:left="0" w:right="0" w:firstLine="180"/>
        <w:jc w:val="both"/>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bl>
      <w:tblPr>
        <w:tblW w:w="3144" w:type="dxa"/>
        <w:jc w:val="left"/>
        <w:tblInd w:w="0" w:type="dxa"/>
        <w:tblCellMar>
          <w:top w:w="28" w:type="dxa"/>
          <w:left w:w="28" w:type="dxa"/>
          <w:bottom w:w="28" w:type="dxa"/>
          <w:right w:w="28" w:type="dxa"/>
        </w:tblCellMar>
      </w:tblPr>
      <w:tblGrid>
        <w:gridCol w:w="885"/>
        <w:gridCol w:w="779"/>
        <w:gridCol w:w="781"/>
        <w:gridCol w:w="109"/>
        <w:gridCol w:w="109"/>
        <w:gridCol w:w="109"/>
        <w:gridCol w:w="109"/>
        <w:gridCol w:w="109"/>
        <w:gridCol w:w="154"/>
      </w:tblGrid>
      <w:tr>
        <w:trPr/>
        <w:tc>
          <w:tcPr>
            <w:tcW w:w="885"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American Airlines Group Inc.</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American Airlines, Inc.</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ind w:left="0" w:right="0" w:firstLine="180"/>
        <w:jc w:val="both"/>
        <w:rPr>
          <w:rFonts w:ascii="Arial;sans-serif" w:hAnsi="Arial;sans-serif"/>
          <w:b w:val="false"/>
          <w:color w:val="000000"/>
          <w:sz w:val="18"/>
        </w:rPr>
      </w:pPr>
      <w:r>
        <w:rPr>
          <w:rFonts w:ascii="Arial;sans-serif" w:hAnsi="Arial;sans-serif"/>
          <w:b w:val="false"/>
          <w:color w:val="000000"/>
          <w:sz w:val="18"/>
        </w:rPr>
        <w:t>Indicate by check mark whether the registrant is a shell company (as defined in Rule 12b-2 of the Exchange Act).</w:t>
      </w:r>
    </w:p>
    <w:tbl>
      <w:tblPr>
        <w:tblW w:w="4238" w:type="dxa"/>
        <w:jc w:val="left"/>
        <w:tblInd w:w="0" w:type="dxa"/>
        <w:tblCellMar>
          <w:top w:w="28" w:type="dxa"/>
          <w:left w:w="28" w:type="dxa"/>
          <w:bottom w:w="28" w:type="dxa"/>
          <w:right w:w="28" w:type="dxa"/>
        </w:tblCellMar>
      </w:tblPr>
      <w:tblGrid>
        <w:gridCol w:w="885"/>
        <w:gridCol w:w="779"/>
        <w:gridCol w:w="781"/>
        <w:gridCol w:w="109"/>
        <w:gridCol w:w="109"/>
        <w:gridCol w:w="109"/>
        <w:gridCol w:w="140"/>
        <w:gridCol w:w="140"/>
        <w:gridCol w:w="141"/>
        <w:gridCol w:w="109"/>
        <w:gridCol w:w="109"/>
        <w:gridCol w:w="109"/>
        <w:gridCol w:w="109"/>
        <w:gridCol w:w="109"/>
        <w:gridCol w:w="109"/>
        <w:gridCol w:w="114"/>
        <w:gridCol w:w="114"/>
        <w:gridCol w:w="163"/>
      </w:tblGrid>
      <w:tr>
        <w:trPr/>
        <w:tc>
          <w:tcPr>
            <w:tcW w:w="885"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American Airlines Group Inc.</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Yes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No</w:t>
            </w:r>
          </w:p>
        </w:tc>
      </w:tr>
      <w:tr>
        <w:trPr/>
        <w:tc>
          <w:tcPr>
            <w:tcW w:w="24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American Airlines, Inc.</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Yes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No</w:t>
            </w:r>
          </w:p>
        </w:tc>
      </w:tr>
    </w:tbl>
    <w:p>
      <w:pPr>
        <w:pStyle w:val="TextBody"/>
        <w:spacing w:lineRule="auto" w:line="288" w:before="0" w:after="0"/>
        <w:ind w:left="0" w:right="0" w:firstLine="180"/>
        <w:jc w:val="both"/>
        <w:rPr>
          <w:rFonts w:ascii="Arial;sans-serif" w:hAnsi="Arial;sans-serif"/>
          <w:b w:val="false"/>
          <w:color w:val="000000"/>
          <w:sz w:val="18"/>
        </w:rPr>
      </w:pPr>
      <w:r>
        <w:rPr>
          <w:rFonts w:ascii="Arial;sans-serif" w:hAnsi="Arial;sans-serif"/>
          <w:b w:val="false"/>
          <w:color w:val="000000"/>
          <w:sz w:val="18"/>
        </w:rPr>
        <w:t>As of April 21, 2023, there were 652,862,508 shares of American Airlines Group Inc. common stock outstanding.</w:t>
      </w:r>
    </w:p>
    <w:p>
      <w:pPr>
        <w:pStyle w:val="TextBody"/>
        <w:spacing w:lineRule="auto" w:line="288" w:before="120" w:after="283"/>
        <w:ind w:left="0" w:right="0" w:firstLine="180"/>
        <w:jc w:val="both"/>
        <w:rPr>
          <w:rFonts w:ascii="Arial;sans-serif" w:hAnsi="Arial;sans-serif"/>
          <w:b w:val="false"/>
          <w:color w:val="000000"/>
          <w:sz w:val="18"/>
        </w:rPr>
      </w:pPr>
      <w:r>
        <w:rPr>
          <w:rFonts w:ascii="Arial;sans-serif" w:hAnsi="Arial;sans-serif"/>
          <w:b w:val="false"/>
          <w:color w:val="000000"/>
          <w:sz w:val="18"/>
        </w:rPr>
        <w:t xml:space="preserve">As of April 21, 2023, there were 1,000 shares of American Airlines, Inc. common stock outstanding, all of which were held by American Airlines Group Inc.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txbxContent>
                </v:textbox>
              </v:rect>
            </w:pict>
          </mc:Fallback>
        </mc:AlternateContent>
      </w:r>
    </w:p>
    <w:p>
      <w:pPr>
        <w:pStyle w:val="TextBody"/>
        <w:spacing w:before="0" w:after="0"/>
        <w:jc w:val="both"/>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American Airlines Group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American Airlines,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Form 10-Q</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Quarterly Period Ended March 31, 2023 </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CellMar>
          <w:top w:w="28" w:type="dxa"/>
          <w:left w:w="28" w:type="dxa"/>
          <w:bottom w:w="28" w:type="dxa"/>
          <w:right w:w="28" w:type="dxa"/>
        </w:tblCellMar>
      </w:tblPr>
      <w:tblGrid>
        <w:gridCol w:w="345"/>
        <w:gridCol w:w="303"/>
        <w:gridCol w:w="301"/>
        <w:gridCol w:w="2581"/>
        <w:gridCol w:w="2577"/>
        <w:gridCol w:w="2583"/>
        <w:gridCol w:w="436"/>
        <w:gridCol w:w="436"/>
        <w:gridCol w:w="643"/>
      </w:tblGrid>
      <w:tr>
        <w:trPr/>
        <w:tc>
          <w:tcPr>
            <w:tcW w:w="345"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2581" w:type="dxa"/>
            <w:tcBorders/>
            <w:shd w:fill="auto" w:val="clear"/>
            <w:vAlign w:val="center"/>
          </w:tcPr>
          <w:p>
            <w:pPr>
              <w:pStyle w:val="TableContents"/>
              <w:spacing w:before="0" w:after="283"/>
              <w:rPr>
                <w:sz w:val="4"/>
                <w:szCs w:val="4"/>
              </w:rPr>
            </w:pPr>
            <w:r>
              <w:rPr>
                <w:sz w:val="4"/>
                <w:szCs w:val="4"/>
              </w:rPr>
            </w:r>
          </w:p>
        </w:tc>
        <w:tc>
          <w:tcPr>
            <w:tcW w:w="2577" w:type="dxa"/>
            <w:tcBorders/>
            <w:shd w:fill="auto" w:val="clear"/>
            <w:vAlign w:val="center"/>
          </w:tcPr>
          <w:p>
            <w:pPr>
              <w:pStyle w:val="TableContents"/>
              <w:spacing w:before="0" w:after="283"/>
              <w:rPr>
                <w:sz w:val="4"/>
                <w:szCs w:val="4"/>
              </w:rPr>
            </w:pPr>
            <w:r>
              <w:rPr>
                <w:sz w:val="4"/>
                <w:szCs w:val="4"/>
              </w:rPr>
            </w:r>
          </w:p>
        </w:tc>
        <w:tc>
          <w:tcPr>
            <w:tcW w:w="2583"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r>
      <w:tr>
        <w:trPr/>
        <w:tc>
          <w:tcPr>
            <w:tcW w:w="9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7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1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Page</w:t>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PART I: FINANCIAL INFORMATION</w:t>
            </w:r>
          </w:p>
        </w:tc>
      </w:tr>
      <w:tr>
        <w:trPr/>
        <w:tc>
          <w:tcPr>
            <w:tcW w:w="9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77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fbc2c07ce748d68317b3440587c97f_19">
              <w:r>
                <w:rPr>
                  <w:rStyle w:val="InternetLink"/>
                  <w:rFonts w:ascii="Arial;sans-serif" w:hAnsi="Arial;sans-serif"/>
                  <w:b w:val="false"/>
                  <w:color w:val="0000FF"/>
                  <w:sz w:val="20"/>
                  <w:u w:val="single"/>
                </w:rPr>
                <w:t>Condensed Consolidated Financial Statements of American Airlines Group Inc.</w:t>
              </w:r>
            </w:hyperlink>
          </w:p>
        </w:tc>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6fbc2c07ce748d68317b3440587c97f_19">
              <w:r>
                <w:rPr>
                  <w:rStyle w:val="InternetLink"/>
                  <w:rFonts w:ascii="Arial;sans-serif" w:hAnsi="Arial;sans-serif"/>
                  <w:b w:val="false"/>
                  <w:color w:val="0000FF"/>
                  <w:sz w:val="20"/>
                  <w:u w:val="single"/>
                </w:rPr>
                <w:t>6</w:t>
              </w:r>
            </w:hyperlink>
          </w:p>
        </w:tc>
      </w:tr>
      <w:tr>
        <w:trPr/>
        <w:tc>
          <w:tcPr>
            <w:tcW w:w="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fbc2c07ce748d68317b3440587c97f_22">
              <w:r>
                <w:rPr>
                  <w:rStyle w:val="InternetLink"/>
                  <w:rFonts w:ascii="Arial;sans-serif" w:hAnsi="Arial;sans-serif"/>
                  <w:b w:val="false"/>
                  <w:color w:val="0000FF"/>
                  <w:sz w:val="20"/>
                  <w:u w:val="single"/>
                </w:rPr>
                <w:t>Condensed Consolidated Statements of Operations</w:t>
              </w:r>
            </w:hyperlink>
          </w:p>
        </w:tc>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6fbc2c07ce748d68317b3440587c97f_22">
              <w:r>
                <w:rPr>
                  <w:rStyle w:val="InternetLink"/>
                  <w:rFonts w:ascii="Arial;sans-serif" w:hAnsi="Arial;sans-serif"/>
                  <w:b w:val="false"/>
                  <w:color w:val="0000FF"/>
                  <w:sz w:val="20"/>
                  <w:u w:val="single"/>
                </w:rPr>
                <w:t>6</w:t>
              </w:r>
            </w:hyperlink>
          </w:p>
        </w:tc>
      </w:tr>
      <w:tr>
        <w:trPr/>
        <w:tc>
          <w:tcPr>
            <w:tcW w:w="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fbc2c07ce748d68317b3440587c97f_25">
              <w:r>
                <w:rPr>
                  <w:rStyle w:val="InternetLink"/>
                  <w:rFonts w:ascii="Arial;sans-serif" w:hAnsi="Arial;sans-serif"/>
                  <w:b w:val="false"/>
                  <w:color w:val="0000FF"/>
                  <w:sz w:val="20"/>
                  <w:u w:val="single"/>
                </w:rPr>
                <w:t>Condensed Consolidated Statements of Comprehensive Income (Loss)</w:t>
              </w:r>
            </w:hyperlink>
          </w:p>
        </w:tc>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6fbc2c07ce748d68317b3440587c97f_25">
              <w:r>
                <w:rPr>
                  <w:rStyle w:val="InternetLink"/>
                  <w:rFonts w:ascii="Arial;sans-serif" w:hAnsi="Arial;sans-serif"/>
                  <w:b w:val="false"/>
                  <w:color w:val="0000FF"/>
                  <w:sz w:val="20"/>
                  <w:u w:val="single"/>
                </w:rPr>
                <w:t>7</w:t>
              </w:r>
            </w:hyperlink>
          </w:p>
        </w:tc>
      </w:tr>
      <w:tr>
        <w:trPr/>
        <w:tc>
          <w:tcPr>
            <w:tcW w:w="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fbc2c07ce748d68317b3440587c97f_28">
              <w:r>
                <w:rPr>
                  <w:rStyle w:val="InternetLink"/>
                  <w:rFonts w:ascii="Arial;sans-serif" w:hAnsi="Arial;sans-serif"/>
                  <w:b w:val="false"/>
                  <w:color w:val="0000FF"/>
                  <w:sz w:val="20"/>
                  <w:u w:val="single"/>
                </w:rPr>
                <w:t>Condensed Consolidated Balance Sheets</w:t>
              </w:r>
            </w:hyperlink>
          </w:p>
        </w:tc>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6fbc2c07ce748d68317b3440587c97f_28">
              <w:r>
                <w:rPr>
                  <w:rStyle w:val="InternetLink"/>
                  <w:rFonts w:ascii="Arial;sans-serif" w:hAnsi="Arial;sans-serif"/>
                  <w:b w:val="false"/>
                  <w:color w:val="0000FF"/>
                  <w:sz w:val="20"/>
                  <w:u w:val="single"/>
                </w:rPr>
                <w:t>8</w:t>
              </w:r>
            </w:hyperlink>
          </w:p>
        </w:tc>
      </w:tr>
      <w:tr>
        <w:trPr/>
        <w:tc>
          <w:tcPr>
            <w:tcW w:w="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fbc2c07ce748d68317b3440587c97f_31">
              <w:r>
                <w:rPr>
                  <w:rStyle w:val="InternetLink"/>
                  <w:rFonts w:ascii="Arial;sans-serif" w:hAnsi="Arial;sans-serif"/>
                  <w:b w:val="false"/>
                  <w:color w:val="0000FF"/>
                  <w:sz w:val="20"/>
                  <w:u w:val="single"/>
                </w:rPr>
                <w:t>Condensed Consolidated Statements of Cash Flows</w:t>
              </w:r>
            </w:hyperlink>
          </w:p>
        </w:tc>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6fbc2c07ce748d68317b3440587c97f_31">
              <w:r>
                <w:rPr>
                  <w:rStyle w:val="InternetLink"/>
                  <w:rFonts w:ascii="Arial;sans-serif" w:hAnsi="Arial;sans-serif"/>
                  <w:b w:val="false"/>
                  <w:color w:val="0000FF"/>
                  <w:sz w:val="20"/>
                  <w:u w:val="single"/>
                </w:rPr>
                <w:t>9</w:t>
              </w:r>
            </w:hyperlink>
          </w:p>
        </w:tc>
      </w:tr>
      <w:tr>
        <w:trPr/>
        <w:tc>
          <w:tcPr>
            <w:tcW w:w="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fbc2c07ce748d68317b3440587c97f_34">
              <w:r>
                <w:rPr>
                  <w:rStyle w:val="InternetLink"/>
                </w:rPr>
                <w:t>Condensed Consolidated Statements of Stockholders</w:t>
              </w:r>
            </w:hyperlink>
            <w:hyperlink w:anchor="i46fbc2c07ce748d68317b3440587c97f_34">
              <w:r>
                <w:rPr>
                  <w:rStyle w:val="InternetLink"/>
                </w:rPr>
                <w:t>’</w:t>
              </w:r>
            </w:hyperlink>
            <w:hyperlink w:anchor="i46fbc2c07ce748d68317b3440587c97f_34">
              <w:r>
                <w:rPr>
                  <w:rStyle w:val="InternetLink"/>
                </w:rPr>
                <w:t xml:space="preserve"> Deficit</w:t>
              </w:r>
            </w:hyperlink>
          </w:p>
        </w:tc>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6fbc2c07ce748d68317b3440587c97f_34">
              <w:r>
                <w:rPr>
                  <w:rStyle w:val="InternetLink"/>
                  <w:rFonts w:ascii="Arial;sans-serif" w:hAnsi="Arial;sans-serif"/>
                  <w:b w:val="false"/>
                  <w:color w:val="0000FF"/>
                  <w:sz w:val="20"/>
                  <w:u w:val="single"/>
                </w:rPr>
                <w:t>10</w:t>
              </w:r>
            </w:hyperlink>
          </w:p>
        </w:tc>
      </w:tr>
      <w:tr>
        <w:trPr/>
        <w:tc>
          <w:tcPr>
            <w:tcW w:w="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fbc2c07ce748d68317b3440587c97f_37">
              <w:r>
                <w:rPr>
                  <w:rStyle w:val="InternetLink"/>
                  <w:rFonts w:ascii="Arial;sans-serif" w:hAnsi="Arial;sans-serif"/>
                  <w:b w:val="false"/>
                  <w:color w:val="0000FF"/>
                  <w:sz w:val="20"/>
                  <w:u w:val="single"/>
                </w:rPr>
                <w:t>Notes to the Condensed Consolidated Financial Statements</w:t>
              </w:r>
            </w:hyperlink>
          </w:p>
        </w:tc>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6fbc2c07ce748d68317b3440587c97f_37">
              <w:r>
                <w:rPr>
                  <w:rStyle w:val="InternetLink"/>
                  <w:rFonts w:ascii="Arial;sans-serif" w:hAnsi="Arial;sans-serif"/>
                  <w:b w:val="false"/>
                  <w:color w:val="0000FF"/>
                  <w:sz w:val="20"/>
                  <w:u w:val="single"/>
                </w:rPr>
                <w:t>11</w:t>
              </w:r>
            </w:hyperlink>
          </w:p>
        </w:tc>
      </w:tr>
      <w:tr>
        <w:trPr/>
        <w:tc>
          <w:tcPr>
            <w:tcW w:w="9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1B.</w:t>
            </w:r>
          </w:p>
        </w:tc>
        <w:tc>
          <w:tcPr>
            <w:tcW w:w="77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fbc2c07ce748d68317b3440587c97f_91">
              <w:r>
                <w:rPr>
                  <w:rStyle w:val="InternetLink"/>
                  <w:rFonts w:ascii="Arial;sans-serif" w:hAnsi="Arial;sans-serif"/>
                  <w:b w:val="false"/>
                  <w:color w:val="0000FF"/>
                  <w:sz w:val="20"/>
                  <w:u w:val="single"/>
                </w:rPr>
                <w:t>Condensed Consolidated Financial Statements of American Airlines, Inc.</w:t>
              </w:r>
            </w:hyperlink>
          </w:p>
        </w:tc>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6fbc2c07ce748d68317b3440587c97f_91">
              <w:r>
                <w:rPr>
                  <w:rStyle w:val="InternetLink"/>
                  <w:rFonts w:ascii="Arial;sans-serif" w:hAnsi="Arial;sans-serif"/>
                  <w:b w:val="false"/>
                  <w:color w:val="0000FF"/>
                  <w:sz w:val="20"/>
                  <w:u w:val="single"/>
                </w:rPr>
                <w:t>23</w:t>
              </w:r>
            </w:hyperlink>
          </w:p>
        </w:tc>
      </w:tr>
      <w:tr>
        <w:trPr/>
        <w:tc>
          <w:tcPr>
            <w:tcW w:w="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fbc2c07ce748d68317b3440587c97f_94">
              <w:r>
                <w:rPr>
                  <w:rStyle w:val="InternetLink"/>
                  <w:rFonts w:ascii="Arial;sans-serif" w:hAnsi="Arial;sans-serif"/>
                  <w:b w:val="false"/>
                  <w:color w:val="0000FF"/>
                  <w:sz w:val="20"/>
                  <w:u w:val="single"/>
                </w:rPr>
                <w:t>Condensed Consolidated Statements of Operations</w:t>
              </w:r>
            </w:hyperlink>
          </w:p>
        </w:tc>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6fbc2c07ce748d68317b3440587c97f_94">
              <w:r>
                <w:rPr>
                  <w:rStyle w:val="InternetLink"/>
                  <w:rFonts w:ascii="Arial;sans-serif" w:hAnsi="Arial;sans-serif"/>
                  <w:b w:val="false"/>
                  <w:color w:val="0000FF"/>
                  <w:sz w:val="20"/>
                  <w:u w:val="single"/>
                </w:rPr>
                <w:t>23</w:t>
              </w:r>
            </w:hyperlink>
          </w:p>
        </w:tc>
      </w:tr>
      <w:tr>
        <w:trPr/>
        <w:tc>
          <w:tcPr>
            <w:tcW w:w="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fbc2c07ce748d68317b3440587c97f_97">
              <w:r>
                <w:rPr>
                  <w:rStyle w:val="InternetLink"/>
                  <w:rFonts w:ascii="Arial;sans-serif" w:hAnsi="Arial;sans-serif"/>
                  <w:b w:val="false"/>
                  <w:color w:val="0000FF"/>
                  <w:sz w:val="20"/>
                  <w:u w:val="single"/>
                </w:rPr>
                <w:t>Condensed Consolidated Statements of Comprehensive Income (Loss)</w:t>
              </w:r>
            </w:hyperlink>
          </w:p>
        </w:tc>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6fbc2c07ce748d68317b3440587c97f_97">
              <w:r>
                <w:rPr>
                  <w:rStyle w:val="InternetLink"/>
                  <w:rFonts w:ascii="Arial;sans-serif" w:hAnsi="Arial;sans-serif"/>
                  <w:b w:val="false"/>
                  <w:color w:val="0000FF"/>
                  <w:sz w:val="20"/>
                  <w:u w:val="single"/>
                </w:rPr>
                <w:t>24</w:t>
              </w:r>
            </w:hyperlink>
          </w:p>
        </w:tc>
      </w:tr>
      <w:tr>
        <w:trPr/>
        <w:tc>
          <w:tcPr>
            <w:tcW w:w="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fbc2c07ce748d68317b3440587c97f_100">
              <w:r>
                <w:rPr>
                  <w:rStyle w:val="InternetLink"/>
                  <w:rFonts w:ascii="Arial;sans-serif" w:hAnsi="Arial;sans-serif"/>
                  <w:b w:val="false"/>
                  <w:color w:val="0000FF"/>
                  <w:sz w:val="20"/>
                  <w:u w:val="single"/>
                </w:rPr>
                <w:t>Condensed Consolidated Balance Sheets</w:t>
              </w:r>
            </w:hyperlink>
          </w:p>
        </w:tc>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6fbc2c07ce748d68317b3440587c97f_100">
              <w:r>
                <w:rPr>
                  <w:rStyle w:val="InternetLink"/>
                  <w:rFonts w:ascii="Arial;sans-serif" w:hAnsi="Arial;sans-serif"/>
                  <w:b w:val="false"/>
                  <w:color w:val="0000FF"/>
                  <w:sz w:val="20"/>
                  <w:u w:val="single"/>
                </w:rPr>
                <w:t>25</w:t>
              </w:r>
            </w:hyperlink>
          </w:p>
        </w:tc>
      </w:tr>
      <w:tr>
        <w:trPr/>
        <w:tc>
          <w:tcPr>
            <w:tcW w:w="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fbc2c07ce748d68317b3440587c97f_103">
              <w:r>
                <w:rPr>
                  <w:rStyle w:val="InternetLink"/>
                  <w:rFonts w:ascii="Arial;sans-serif" w:hAnsi="Arial;sans-serif"/>
                  <w:b w:val="false"/>
                  <w:color w:val="0000FF"/>
                  <w:sz w:val="20"/>
                  <w:u w:val="single"/>
                </w:rPr>
                <w:t>Condensed Consolidated Statements of Cash Flows</w:t>
              </w:r>
            </w:hyperlink>
          </w:p>
        </w:tc>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6fbc2c07ce748d68317b3440587c97f_103">
              <w:r>
                <w:rPr>
                  <w:rStyle w:val="InternetLink"/>
                  <w:rFonts w:ascii="Arial;sans-serif" w:hAnsi="Arial;sans-serif"/>
                  <w:b w:val="false"/>
                  <w:color w:val="0000FF"/>
                  <w:sz w:val="20"/>
                  <w:u w:val="single"/>
                </w:rPr>
                <w:t>26</w:t>
              </w:r>
            </w:hyperlink>
          </w:p>
        </w:tc>
      </w:tr>
      <w:tr>
        <w:trPr/>
        <w:tc>
          <w:tcPr>
            <w:tcW w:w="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fbc2c07ce748d68317b3440587c97f_106">
              <w:r>
                <w:rPr>
                  <w:rStyle w:val="InternetLink"/>
                </w:rPr>
                <w:t>Condensed Consolidated Statements of Stockholder</w:t>
              </w:r>
            </w:hyperlink>
            <w:hyperlink w:anchor="i46fbc2c07ce748d68317b3440587c97f_106">
              <w:r>
                <w:rPr>
                  <w:rStyle w:val="InternetLink"/>
                </w:rPr>
                <w:t>’</w:t>
              </w:r>
            </w:hyperlink>
            <w:hyperlink w:anchor="i46fbc2c07ce748d68317b3440587c97f_106">
              <w:r>
                <w:rPr>
                  <w:rStyle w:val="InternetLink"/>
                </w:rPr>
                <w:t>s Equity</w:t>
              </w:r>
            </w:hyperlink>
          </w:p>
        </w:tc>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6fbc2c07ce748d68317b3440587c97f_106">
              <w:r>
                <w:rPr>
                  <w:rStyle w:val="InternetLink"/>
                  <w:rFonts w:ascii="Arial;sans-serif" w:hAnsi="Arial;sans-serif"/>
                  <w:b w:val="false"/>
                  <w:color w:val="0000FF"/>
                  <w:sz w:val="20"/>
                  <w:u w:val="single"/>
                </w:rPr>
                <w:t>27</w:t>
              </w:r>
            </w:hyperlink>
          </w:p>
        </w:tc>
      </w:tr>
      <w:tr>
        <w:trPr/>
        <w:tc>
          <w:tcPr>
            <w:tcW w:w="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fbc2c07ce748d68317b3440587c97f_109">
              <w:r>
                <w:rPr>
                  <w:rStyle w:val="InternetLink"/>
                  <w:rFonts w:ascii="Arial;sans-serif" w:hAnsi="Arial;sans-serif"/>
                  <w:b w:val="false"/>
                  <w:color w:val="0000FF"/>
                  <w:sz w:val="20"/>
                  <w:u w:val="single"/>
                </w:rPr>
                <w:t>Notes to the Condensed Consolidated Financial Statements</w:t>
              </w:r>
            </w:hyperlink>
          </w:p>
        </w:tc>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6fbc2c07ce748d68317b3440587c97f_109">
              <w:r>
                <w:rPr>
                  <w:rStyle w:val="InternetLink"/>
                  <w:rFonts w:ascii="Arial;sans-serif" w:hAnsi="Arial;sans-serif"/>
                  <w:b w:val="false"/>
                  <w:color w:val="0000FF"/>
                  <w:sz w:val="20"/>
                  <w:u w:val="single"/>
                </w:rPr>
                <w:t>28</w:t>
              </w:r>
            </w:hyperlink>
          </w:p>
        </w:tc>
      </w:tr>
      <w:tr>
        <w:trPr/>
        <w:tc>
          <w:tcPr>
            <w:tcW w:w="9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7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fbc2c07ce748d68317b3440587c97f_160">
              <w:r>
                <w:rPr>
                  <w:rStyle w:val="InternetLink"/>
                  <w:rFonts w:ascii="Arial;sans-serif" w:hAnsi="Arial;sans-serif"/>
                  <w:b w:val="false"/>
                  <w:color w:val="0000FF"/>
                  <w:sz w:val="20"/>
                  <w:u w:val="single"/>
                </w:rPr>
                <w:t>Management’s Discussion and Analysis of Financial Condition and Results of Operations</w:t>
              </w:r>
            </w:hyperlink>
          </w:p>
        </w:tc>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6fbc2c07ce748d68317b3440587c97f_160">
              <w:r>
                <w:rPr>
                  <w:rStyle w:val="InternetLink"/>
                  <w:rFonts w:ascii="Arial;sans-serif" w:hAnsi="Arial;sans-serif"/>
                  <w:b w:val="false"/>
                  <w:color w:val="0000FF"/>
                  <w:sz w:val="20"/>
                  <w:u w:val="single"/>
                </w:rPr>
                <w:t>38</w:t>
              </w:r>
            </w:hyperlink>
          </w:p>
        </w:tc>
      </w:tr>
      <w:tr>
        <w:trPr/>
        <w:tc>
          <w:tcPr>
            <w:tcW w:w="9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77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fbc2c07ce748d68317b3440587c97f_217">
              <w:r>
                <w:rPr>
                  <w:rStyle w:val="InternetLink"/>
                  <w:rFonts w:ascii="Arial;sans-serif" w:hAnsi="Arial;sans-serif"/>
                  <w:b w:val="false"/>
                  <w:color w:val="0000FF"/>
                  <w:sz w:val="20"/>
                  <w:u w:val="single"/>
                </w:rPr>
                <w:t>Quantitative and Qualitative Disclosures About Market Risk</w:t>
              </w:r>
            </w:hyperlink>
          </w:p>
        </w:tc>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6fbc2c07ce748d68317b3440587c97f_217">
              <w:r>
                <w:rPr>
                  <w:rStyle w:val="InternetLink"/>
                  <w:rFonts w:ascii="Arial;sans-serif" w:hAnsi="Arial;sans-serif"/>
                  <w:b w:val="false"/>
                  <w:color w:val="0000FF"/>
                  <w:sz w:val="20"/>
                  <w:u w:val="single"/>
                </w:rPr>
                <w:t>51</w:t>
              </w:r>
            </w:hyperlink>
          </w:p>
        </w:tc>
      </w:tr>
      <w:tr>
        <w:trPr/>
        <w:tc>
          <w:tcPr>
            <w:tcW w:w="9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77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fbc2c07ce748d68317b3440587c97f_220">
              <w:r>
                <w:rPr>
                  <w:rStyle w:val="InternetLink"/>
                  <w:rFonts w:ascii="Arial;sans-serif" w:hAnsi="Arial;sans-serif"/>
                  <w:b w:val="false"/>
                  <w:color w:val="0000FF"/>
                  <w:sz w:val="20"/>
                  <w:u w:val="single"/>
                </w:rPr>
                <w:t>Controls and Procedures</w:t>
              </w:r>
            </w:hyperlink>
          </w:p>
        </w:tc>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6fbc2c07ce748d68317b3440587c97f_220">
              <w:r>
                <w:rPr>
                  <w:rStyle w:val="InternetLink"/>
                  <w:rFonts w:ascii="Arial;sans-serif" w:hAnsi="Arial;sans-serif"/>
                  <w:b w:val="false"/>
                  <w:color w:val="0000FF"/>
                  <w:sz w:val="20"/>
                  <w:u w:val="single"/>
                </w:rPr>
                <w:t>52</w:t>
              </w:r>
            </w:hyperlink>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PART II: OTHER INFORMATION</w:t>
            </w:r>
          </w:p>
        </w:tc>
      </w:tr>
      <w:tr>
        <w:trPr/>
        <w:tc>
          <w:tcPr>
            <w:tcW w:w="9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7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fbc2c07ce748d68317b3440587c97f_226">
              <w:r>
                <w:rPr>
                  <w:rStyle w:val="InternetLink"/>
                  <w:rFonts w:ascii="Arial;sans-serif" w:hAnsi="Arial;sans-serif"/>
                  <w:b w:val="false"/>
                  <w:color w:val="0000FF"/>
                  <w:sz w:val="20"/>
                  <w:u w:val="single"/>
                </w:rPr>
                <w:t>Legal Proceedings</w:t>
              </w:r>
            </w:hyperlink>
          </w:p>
        </w:tc>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6fbc2c07ce748d68317b3440587c97f_226">
              <w:r>
                <w:rPr>
                  <w:rStyle w:val="InternetLink"/>
                  <w:rFonts w:ascii="Arial;sans-serif" w:hAnsi="Arial;sans-serif"/>
                  <w:b w:val="false"/>
                  <w:color w:val="0000FF"/>
                  <w:sz w:val="20"/>
                  <w:u w:val="single"/>
                </w:rPr>
                <w:t>54</w:t>
              </w:r>
            </w:hyperlink>
          </w:p>
        </w:tc>
      </w:tr>
      <w:tr>
        <w:trPr/>
        <w:tc>
          <w:tcPr>
            <w:tcW w:w="9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77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fbc2c07ce748d68317b3440587c97f_229">
              <w:r>
                <w:rPr>
                  <w:rStyle w:val="InternetLink"/>
                  <w:rFonts w:ascii="Arial;sans-serif" w:hAnsi="Arial;sans-serif"/>
                  <w:b w:val="false"/>
                  <w:color w:val="0000FF"/>
                  <w:sz w:val="20"/>
                  <w:u w:val="single"/>
                </w:rPr>
                <w:t>Risk Factors</w:t>
              </w:r>
            </w:hyperlink>
          </w:p>
        </w:tc>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6fbc2c07ce748d68317b3440587c97f_229">
              <w:r>
                <w:rPr>
                  <w:rStyle w:val="InternetLink"/>
                  <w:rFonts w:ascii="Arial;sans-serif" w:hAnsi="Arial;sans-serif"/>
                  <w:b w:val="false"/>
                  <w:color w:val="0000FF"/>
                  <w:sz w:val="20"/>
                  <w:u w:val="single"/>
                </w:rPr>
                <w:t>54</w:t>
              </w:r>
            </w:hyperlink>
          </w:p>
        </w:tc>
      </w:tr>
      <w:tr>
        <w:trPr/>
        <w:tc>
          <w:tcPr>
            <w:tcW w:w="949" w:type="dxa"/>
            <w:gridSpan w:val="3"/>
            <w:tcBorders/>
            <w:shd w:fill="auto" w:val="clear"/>
            <w:vAlign w:val="center"/>
          </w:tcPr>
          <w:p>
            <w:pPr>
              <w:pStyle w:val="TableContents"/>
              <w:spacing w:before="0" w:after="283"/>
              <w:rPr>
                <w:sz w:val="4"/>
                <w:szCs w:val="4"/>
              </w:rPr>
            </w:pPr>
            <w:r>
              <w:rPr>
                <w:sz w:val="4"/>
                <w:szCs w:val="4"/>
              </w:rPr>
            </w:r>
          </w:p>
        </w:tc>
        <w:tc>
          <w:tcPr>
            <w:tcW w:w="7741" w:type="dxa"/>
            <w:gridSpan w:val="3"/>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r>
      <w:tr>
        <w:trPr/>
        <w:tc>
          <w:tcPr>
            <w:tcW w:w="949" w:type="dxa"/>
            <w:gridSpan w:val="3"/>
            <w:tcBorders/>
            <w:shd w:fill="auto" w:val="clear"/>
            <w:vAlign w:val="center"/>
          </w:tcPr>
          <w:p>
            <w:pPr>
              <w:pStyle w:val="TableContents"/>
              <w:spacing w:before="0" w:after="283"/>
              <w:rPr>
                <w:sz w:val="4"/>
                <w:szCs w:val="4"/>
              </w:rPr>
            </w:pPr>
            <w:r>
              <w:rPr>
                <w:sz w:val="4"/>
                <w:szCs w:val="4"/>
              </w:rPr>
            </w:r>
          </w:p>
        </w:tc>
        <w:tc>
          <w:tcPr>
            <w:tcW w:w="7741" w:type="dxa"/>
            <w:gridSpan w:val="3"/>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r>
      <w:tr>
        <w:trPr/>
        <w:tc>
          <w:tcPr>
            <w:tcW w:w="9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77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fbc2c07ce748d68317b3440587c97f_238">
              <w:r>
                <w:rPr>
                  <w:rStyle w:val="InternetLink"/>
                  <w:rFonts w:ascii="Arial;sans-serif" w:hAnsi="Arial;sans-serif"/>
                  <w:b w:val="false"/>
                  <w:color w:val="0000FF"/>
                  <w:sz w:val="20"/>
                  <w:u w:val="single"/>
                </w:rPr>
                <w:t>Exhibits</w:t>
              </w:r>
            </w:hyperlink>
          </w:p>
        </w:tc>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6fbc2c07ce748d68317b3440587c97f_238">
              <w:r>
                <w:rPr>
                  <w:rStyle w:val="InternetLink"/>
                  <w:rFonts w:ascii="Arial;sans-serif" w:hAnsi="Arial;sans-serif"/>
                  <w:b w:val="false"/>
                  <w:color w:val="0000FF"/>
                  <w:sz w:val="20"/>
                  <w:u w:val="single"/>
                </w:rPr>
                <w:t>83</w:t>
              </w:r>
            </w:hyperlink>
          </w:p>
        </w:tc>
      </w:tr>
      <w:tr>
        <w:trPr/>
        <w:tc>
          <w:tcPr>
            <w:tcW w:w="8690"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fbc2c07ce748d68317b3440587c97f_244">
              <w:r>
                <w:rPr>
                  <w:rStyle w:val="InternetLink"/>
                  <w:rFonts w:ascii="Arial;sans-serif" w:hAnsi="Arial;sans-serif"/>
                  <w:b w:val="false"/>
                  <w:color w:val="0000FF"/>
                  <w:sz w:val="20"/>
                  <w:u w:val="single"/>
                </w:rPr>
                <w:t>SIGNATURES</w:t>
              </w:r>
            </w:hyperlink>
          </w:p>
        </w:tc>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6fbc2c07ce748d68317b3440587c97f_244">
              <w:r>
                <w:rPr>
                  <w:rStyle w:val="InternetLink"/>
                  <w:rFonts w:ascii="Arial;sans-serif" w:hAnsi="Arial;sans-serif"/>
                  <w:b w:val="false"/>
                  <w:color w:val="0000FF"/>
                  <w:sz w:val="20"/>
                  <w:u w:val="single"/>
                </w:rPr>
                <w:t>84</w:t>
              </w:r>
            </w:hyperlink>
          </w:p>
        </w:tc>
      </w:tr>
    </w:tbl>
    <w:p>
      <w:pPr>
        <w:pStyle w:val="TextBody"/>
        <w:spacing w:before="0" w:after="0"/>
        <w:ind w:left="0" w:right="0" w:firstLine="225"/>
        <w:jc w:val="both"/>
        <w:rPr/>
      </w:pPr>
      <w:r>
        <w:rPr/>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General</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This report is filed by American Airlines Group Inc. (AAG) and its wholly-owned subsidiary American Airlines, Inc. (American). References in this report to “we,” “us,” “our,” the “Company” and similar terms refer to AAG and its consolidated subsidiaries. References in this report to “mainline” refer to the operations of American only and exclude regional operations.</w:t>
      </w:r>
    </w:p>
    <w:p>
      <w:pPr>
        <w:pStyle w:val="TextBody"/>
        <w:spacing w:lineRule="auto" w:line="288" w:before="270" w:after="283"/>
        <w:jc w:val="both"/>
        <w:rPr>
          <w:rFonts w:ascii="Arial;sans-serif" w:hAnsi="Arial;sans-serif"/>
          <w:b/>
          <w:color w:val="000000"/>
          <w:sz w:val="20"/>
        </w:rPr>
      </w:pPr>
      <w:r>
        <w:rPr>
          <w:rFonts w:ascii="Arial;sans-serif" w:hAnsi="Arial;sans-serif"/>
          <w:b/>
          <w:color w:val="000000"/>
          <w:sz w:val="20"/>
        </w:rPr>
        <w:t>Note Concerning Forward-Looking Statements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Certain of the statements contained in this report should be considered forward-looking statements within the meaning of the Securities Act of 1933, as amended (the Securities Act), the Securities Exchange Act of 1934, as amended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our plans, objectives, expectations, intentions, estimates and strategies for the future, and other statements that are not historical facts.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described below under Part I, Item 2. Management’s Discussion and Analysis of Financial Condition and Results of Operations, Part II, Item 1A. Risk Factors and other risks and uncertainties listed from time to time in our filings with the Securities and Exchange Commission (the SEC).</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All of the forward-looking statements are qualified in their entirety by reference to the factors discussed in Part II, Item 1A. Risk Factors and elsewhere in this report. There may be other factors of which we are not currently aware that may affect matters discussed in the forward-looking statements and may also cause actual results to differ materially from those discussed. We do not assume any obligation to publicly update or supplement any forward-looking statement to reflect actual results, changes in assumptions or changes in other factors affecting such statements other than as required by law. Any forward-looking statements speak only as of the date of this report or as of the dates indicated in the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v:rect>
            </w:pict>
          </mc:Fallback>
        </mc:AlternateContent>
      </w:r>
    </w:p>
    <w:p>
      <w:pPr>
        <w:pStyle w:val="TextBody"/>
        <w:spacing w:lineRule="auto" w:line="288" w:before="0" w:after="0"/>
        <w:jc w:val="both"/>
        <w:rPr/>
      </w:pPr>
      <w:hyperlink w:anchor="i46fbc2c07ce748d68317b3440587c97f_7">
        <w:r>
          <w:rPr>
            <w:rStyle w:val="InternetLink"/>
            <w:rFonts w:ascii="Arial;sans-serif" w:hAnsi="Arial;sans-serif"/>
            <w:b/>
            <w:color w:val="0000FF"/>
            <w:sz w:val="20"/>
            <w:u w:val="single"/>
          </w:rPr>
          <w:t>Table of Contents</w:t>
        </w:r>
      </w:hyperlink>
    </w:p>
    <w:p>
      <w:pPr>
        <w:pStyle w:val="TextBody"/>
        <w:spacing w:lineRule="auto" w:line="288" w:before="270" w:after="283"/>
        <w:jc w:val="both"/>
        <w:rPr>
          <w:rFonts w:ascii="Arial;sans-serif" w:hAnsi="Arial;sans-serif"/>
          <w:b/>
          <w:color w:val="000000"/>
          <w:sz w:val="20"/>
        </w:rPr>
      </w:pPr>
      <w:r>
        <w:rPr>
          <w:rFonts w:ascii="Arial;sans-serif" w:hAnsi="Arial;sans-serif"/>
          <w:b/>
          <w:color w:val="000000"/>
          <w:sz w:val="20"/>
        </w:rPr>
        <w:t>Summary of Risk Factors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Our business is subject to a number of risks and uncertainties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 These risks are more fully described in Part II, Item 1A. Risk Factors. These risks include, among others, the following:</w:t>
      </w:r>
    </w:p>
    <w:p>
      <w:pPr>
        <w:pStyle w:val="TextBody"/>
        <w:spacing w:lineRule="auto" w:line="288" w:before="270" w:after="283"/>
        <w:ind w:left="0" w:right="0" w:firstLine="270"/>
        <w:jc w:val="both"/>
        <w:rPr>
          <w:rFonts w:ascii="Arial;sans-serif" w:hAnsi="Arial;sans-serif"/>
          <w:b/>
          <w:i/>
          <w:color w:val="000000"/>
          <w:sz w:val="20"/>
        </w:rPr>
      </w:pPr>
      <w:r>
        <w:rPr>
          <w:rFonts w:ascii="Arial;sans-serif" w:hAnsi="Arial;sans-serif"/>
          <w:b/>
          <w:i/>
          <w:color w:val="000000"/>
          <w:sz w:val="20"/>
        </w:rPr>
        <w:t>Risks Related to our Business and Industry</w:t>
      </w:r>
    </w:p>
    <w:p>
      <w:pPr>
        <w:pStyle w:val="TextBody"/>
        <w:spacing w:lineRule="auto" w:line="288" w:before="90" w:after="283"/>
        <w:ind w:left="0" w:right="0" w:hanging="360"/>
        <w:jc w:val="both"/>
        <w:rPr/>
      </w:pPr>
      <w:r>
        <w:rPr>
          <w:color w:val="000000"/>
        </w:rPr>
        <w:t>•</w:t>
      </w:r>
      <w:r>
        <w:rPr>
          <w:rFonts w:ascii="Arial;sans-serif" w:hAnsi="Arial;sans-serif"/>
          <w:b w:val="false"/>
          <w:color w:val="000000"/>
          <w:sz w:val="20"/>
        </w:rPr>
        <w:t xml:space="preserve">Downturns in economic conditions could adversely affect our business. </w:t>
      </w:r>
    </w:p>
    <w:p>
      <w:pPr>
        <w:pStyle w:val="TextBody"/>
        <w:spacing w:lineRule="auto" w:line="288" w:before="180" w:after="283"/>
        <w:ind w:left="0" w:right="0" w:hanging="360"/>
        <w:jc w:val="both"/>
        <w:rPr/>
      </w:pPr>
      <w:r>
        <w:rPr>
          <w:color w:val="000000"/>
        </w:rPr>
        <w:t>•</w:t>
      </w:r>
      <w:r>
        <w:rPr>
          <w:rFonts w:ascii="Arial;sans-serif" w:hAnsi="Arial;sans-serif"/>
          <w:b w:val="false"/>
          <w:color w:val="000000"/>
          <w:sz w:val="20"/>
        </w:rPr>
        <w:t>We will need to obtain sufficient financing or other capital to operate successfully.</w:t>
      </w:r>
    </w:p>
    <w:p>
      <w:pPr>
        <w:pStyle w:val="TextBody"/>
        <w:spacing w:lineRule="auto" w:line="288" w:before="180" w:after="283"/>
        <w:ind w:left="0" w:right="0" w:hanging="360"/>
        <w:jc w:val="both"/>
        <w:rPr/>
      </w:pPr>
      <w:r>
        <w:rPr>
          <w:color w:val="000000"/>
        </w:rPr>
        <w:t>•</w:t>
      </w:r>
      <w:r>
        <w:rPr>
          <w:rFonts w:ascii="Arial;sans-serif" w:hAnsi="Arial;sans-serif"/>
          <w:b w:val="false"/>
          <w:color w:val="000000"/>
          <w:sz w:val="20"/>
        </w:rPr>
        <w:t>Our high level of debt and other obligations may limit our ability to fund general corporate requirements and obtain additional financing, may limit our flexibility in responding to competitive developments and may cause our business to be vulnerable to adverse economic and industry conditions.</w:t>
      </w:r>
    </w:p>
    <w:p>
      <w:pPr>
        <w:pStyle w:val="TextBody"/>
        <w:spacing w:lineRule="auto" w:line="288" w:before="180" w:after="283"/>
        <w:ind w:left="0" w:right="0" w:hanging="360"/>
        <w:jc w:val="both"/>
        <w:rPr/>
      </w:pPr>
      <w:r>
        <w:rPr>
          <w:color w:val="000000"/>
        </w:rPr>
        <w:t>•</w:t>
      </w:r>
      <w:r>
        <w:rPr>
          <w:rFonts w:ascii="Arial;sans-serif" w:hAnsi="Arial;sans-serif"/>
          <w:b w:val="false"/>
          <w:color w:val="000000"/>
          <w:sz w:val="20"/>
        </w:rPr>
        <w:t>We have significant pension and other postretirement benefit funding obligations, which may adversely affect our liquidity, results of operations and financial condition.</w:t>
      </w:r>
    </w:p>
    <w:p>
      <w:pPr>
        <w:pStyle w:val="TextBody"/>
        <w:spacing w:lineRule="auto" w:line="288" w:before="180" w:after="283"/>
        <w:ind w:left="0" w:right="0" w:hanging="360"/>
        <w:jc w:val="both"/>
        <w:rPr/>
      </w:pPr>
      <w:r>
        <w:rPr>
          <w:color w:val="000000"/>
        </w:rPr>
        <w:t>•</w:t>
      </w:r>
      <w:r>
        <w:rPr>
          <w:rFonts w:ascii="Arial;sans-serif" w:hAnsi="Arial;sans-serif"/>
          <w:b w:val="false"/>
          <w:color w:val="000000"/>
          <w:sz w:val="20"/>
        </w:rPr>
        <w:t>If our financial condition worsens, provisions in our credit card processing and other commercial agreements may adversely affect our liquidity.</w:t>
      </w:r>
    </w:p>
    <w:p>
      <w:pPr>
        <w:pStyle w:val="TextBody"/>
        <w:spacing w:lineRule="auto" w:line="288" w:before="180" w:after="283"/>
        <w:ind w:left="0" w:right="0" w:hanging="360"/>
        <w:jc w:val="both"/>
        <w:rPr/>
      </w:pPr>
      <w:r>
        <w:rPr>
          <w:color w:val="000000"/>
        </w:rPr>
        <w:t>•</w:t>
      </w:r>
      <w:r>
        <w:rPr>
          <w:rFonts w:ascii="Arial;sans-serif" w:hAnsi="Arial;sans-serif"/>
          <w:b w:val="false"/>
          <w:color w:val="000000"/>
          <w:sz w:val="20"/>
        </w:rPr>
        <w:t>The loss of key personnel upon whom we depend to operate our business or the inability to attract and develop additional qualified personnel could adversely affect our business.</w:t>
      </w:r>
    </w:p>
    <w:p>
      <w:pPr>
        <w:pStyle w:val="TextBody"/>
        <w:spacing w:lineRule="auto" w:line="288" w:before="180" w:after="283"/>
        <w:ind w:left="0" w:right="0" w:hanging="360"/>
        <w:jc w:val="both"/>
        <w:rPr/>
      </w:pPr>
      <w:r>
        <w:rPr>
          <w:color w:val="000000"/>
        </w:rPr>
        <w:t>•</w:t>
      </w:r>
      <w:r>
        <w:rPr>
          <w:rFonts w:ascii="Arial;sans-serif" w:hAnsi="Arial;sans-serif"/>
          <w:b w:val="false"/>
          <w:color w:val="000000"/>
          <w:sz w:val="20"/>
        </w:rPr>
        <w:t xml:space="preserve">Our business has been and will continue to be affected by many changing economic and other conditions beyond our control, including global events that affect travel behavior, and our results of operations could be volatile and fluctuate due to seasonality. </w:t>
      </w:r>
    </w:p>
    <w:p>
      <w:pPr>
        <w:pStyle w:val="TextBody"/>
        <w:spacing w:lineRule="auto" w:line="288" w:before="180" w:after="283"/>
        <w:ind w:left="0" w:right="0" w:hanging="360"/>
        <w:jc w:val="both"/>
        <w:rPr/>
      </w:pPr>
      <w:r>
        <w:rPr>
          <w:color w:val="000000"/>
        </w:rPr>
        <w:t>•</w:t>
      </w:r>
      <w:r>
        <w:rPr>
          <w:rFonts w:ascii="Arial;sans-serif" w:hAnsi="Arial;sans-serif"/>
          <w:b w:val="false"/>
          <w:color w:val="000000"/>
          <w:sz w:val="20"/>
        </w:rPr>
        <w:t>Union disputes, employee strikes and other labor-related disruptions, or our inability to otherwise maintain labor costs at competitive levels and hire and retain a sufficient number of employees may adversely affect our operations and financial performance.</w:t>
      </w:r>
    </w:p>
    <w:p>
      <w:pPr>
        <w:pStyle w:val="TextBody"/>
        <w:spacing w:lineRule="auto" w:line="288" w:before="180" w:after="283"/>
        <w:ind w:left="0" w:right="0" w:hanging="360"/>
        <w:jc w:val="both"/>
        <w:rPr/>
      </w:pPr>
      <w:r>
        <w:rPr>
          <w:color w:val="000000"/>
        </w:rPr>
        <w:t>•</w:t>
      </w:r>
      <w:r>
        <w:rPr>
          <w:rFonts w:ascii="Arial;sans-serif" w:hAnsi="Arial;sans-serif"/>
          <w:b w:val="false"/>
          <w:color w:val="000000"/>
          <w:sz w:val="20"/>
        </w:rPr>
        <w:t>If we encounter problems with any of our third-party regional operators or third-party service providers, our operations could be adversely affected by a resulting decline in revenue or negative public perception about our services.</w:t>
      </w:r>
    </w:p>
    <w:p>
      <w:pPr>
        <w:pStyle w:val="TextBody"/>
        <w:spacing w:lineRule="auto" w:line="288" w:before="180" w:after="283"/>
        <w:ind w:left="0" w:right="0" w:hanging="360"/>
        <w:jc w:val="both"/>
        <w:rPr/>
      </w:pPr>
      <w:r>
        <w:rPr>
          <w:color w:val="000000"/>
        </w:rPr>
        <w:t>•</w:t>
      </w:r>
      <w:r>
        <w:rPr>
          <w:rFonts w:ascii="Arial;sans-serif" w:hAnsi="Arial;sans-serif"/>
          <w:b w:val="false"/>
          <w:color w:val="000000"/>
          <w:sz w:val="20"/>
        </w:rPr>
        <w:t>Any damage to our reputation or brand image could adversely affect our business or financial results.</w:t>
      </w:r>
    </w:p>
    <w:p>
      <w:pPr>
        <w:pStyle w:val="TextBody"/>
        <w:spacing w:lineRule="auto" w:line="288" w:before="180" w:after="283"/>
        <w:ind w:left="0" w:right="0" w:hanging="360"/>
        <w:jc w:val="both"/>
        <w:rPr/>
      </w:pPr>
      <w:r>
        <w:rPr>
          <w:color w:val="000000"/>
        </w:rPr>
        <w:t>•</w:t>
      </w:r>
      <w:r>
        <w:rPr>
          <w:rFonts w:ascii="Arial;sans-serif" w:hAnsi="Arial;sans-serif"/>
          <w:b w:val="false"/>
          <w:color w:val="000000"/>
          <w:sz w:val="20"/>
        </w:rPr>
        <w:t>Changes to our business model that are designed to increase revenues may not be successful and may cause operational difficulties or decreased demand.</w:t>
      </w:r>
    </w:p>
    <w:p>
      <w:pPr>
        <w:pStyle w:val="TextBody"/>
        <w:spacing w:lineRule="auto" w:line="288" w:before="180" w:after="283"/>
        <w:ind w:left="0" w:right="0" w:hanging="360"/>
        <w:jc w:val="both"/>
        <w:rPr/>
      </w:pPr>
      <w:r>
        <w:rPr>
          <w:color w:val="000000"/>
        </w:rPr>
        <w:t>•</w:t>
      </w:r>
      <w:r>
        <w:rPr>
          <w:rFonts w:ascii="Arial;sans-serif" w:hAnsi="Arial;sans-serif"/>
          <w:b w:val="false"/>
          <w:color w:val="000000"/>
          <w:sz w:val="20"/>
        </w:rPr>
        <w:t>Our intellectual property rights, particularly our branding rights, are valuable, and any inability to protect them may adversely affect our business and financial results.</w:t>
      </w:r>
    </w:p>
    <w:p>
      <w:pPr>
        <w:pStyle w:val="TextBody"/>
        <w:spacing w:lineRule="auto" w:line="288" w:before="180" w:after="283"/>
        <w:ind w:left="0" w:right="0" w:hanging="360"/>
        <w:jc w:val="both"/>
        <w:rPr/>
      </w:pPr>
      <w:r>
        <w:rPr>
          <w:color w:val="000000"/>
        </w:rPr>
        <w:t>•</w:t>
      </w:r>
      <w:r>
        <w:rPr>
          <w:rFonts w:ascii="Arial;sans-serif" w:hAnsi="Arial;sans-serif"/>
          <w:b w:val="false"/>
          <w:color w:val="000000"/>
          <w:sz w:val="20"/>
        </w:rPr>
        <w:t>We may be a party to litigation in the normal course of business or otherwise, which could affect our financial position and liquidity.</w:t>
      </w:r>
    </w:p>
    <w:p>
      <w:pPr>
        <w:pStyle w:val="TextBody"/>
        <w:spacing w:lineRule="auto" w:line="288" w:before="180" w:after="283"/>
        <w:ind w:left="0" w:right="0" w:hanging="360"/>
        <w:jc w:val="both"/>
        <w:rPr/>
      </w:pPr>
      <w:r>
        <w:rPr>
          <w:color w:val="000000"/>
        </w:rPr>
        <w:t>•</w:t>
      </w:r>
      <w:r>
        <w:rPr>
          <w:rFonts w:ascii="Arial;sans-serif" w:hAnsi="Arial;sans-serif"/>
          <w:b w:val="false"/>
          <w:color w:val="000000"/>
          <w:sz w:val="20"/>
        </w:rPr>
        <w:t>Our ability to utilize our NOLs and other carryforwards may be limited.</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v:rect>
            </w:pict>
          </mc:Fallback>
        </mc:AlternateContent>
      </w:r>
    </w:p>
    <w:p>
      <w:pPr>
        <w:pStyle w:val="TextBody"/>
        <w:spacing w:lineRule="auto" w:line="288" w:before="0" w:after="0"/>
        <w:jc w:val="both"/>
        <w:rPr/>
      </w:pPr>
      <w:hyperlink w:anchor="i46fbc2c07ce748d68317b3440587c97f_7">
        <w:r>
          <w:rPr>
            <w:rStyle w:val="InternetLink"/>
            <w:rFonts w:ascii="Arial;sans-serif" w:hAnsi="Arial;sans-serif"/>
            <w:b/>
            <w:color w:val="0000FF"/>
            <w:sz w:val="20"/>
            <w:u w:val="single"/>
          </w:rPr>
          <w:t>Table of Contents</w:t>
        </w:r>
      </w:hyperlink>
    </w:p>
    <w:p>
      <w:pPr>
        <w:pStyle w:val="TextBody"/>
        <w:spacing w:lineRule="auto" w:line="288" w:before="180" w:after="283"/>
        <w:ind w:left="0" w:right="0" w:hanging="360"/>
        <w:jc w:val="both"/>
        <w:rPr/>
      </w:pPr>
      <w:r>
        <w:rPr>
          <w:color w:val="000000"/>
        </w:rPr>
        <w:t>•</w:t>
      </w:r>
      <w:r>
        <w:rPr>
          <w:rFonts w:ascii="Arial;sans-serif" w:hAnsi="Arial;sans-serif"/>
          <w:b w:val="false"/>
          <w:color w:val="000000"/>
          <w:sz w:val="20"/>
        </w:rPr>
        <w:t>We have a significant amount of goodwill, which is assessed for impairment at least annually. In addition, we may never realize the full value of our intangible assets or long-lived assets, causing us to record material impairment charges.</w:t>
      </w:r>
    </w:p>
    <w:p>
      <w:pPr>
        <w:pStyle w:val="TextBody"/>
        <w:spacing w:lineRule="auto" w:line="288" w:before="180" w:after="283"/>
        <w:ind w:left="0" w:right="0" w:hanging="360"/>
        <w:jc w:val="both"/>
        <w:rPr/>
      </w:pPr>
      <w:r>
        <w:rPr>
          <w:color w:val="000000"/>
        </w:rPr>
        <w:t>•</w:t>
      </w:r>
      <w:r>
        <w:rPr>
          <w:rFonts w:ascii="Arial;sans-serif" w:hAnsi="Arial;sans-serif"/>
          <w:b w:val="false"/>
          <w:color w:val="000000"/>
          <w:sz w:val="20"/>
        </w:rPr>
        <w:t>The airline industry is intensely competitive and dynamic.</w:t>
      </w:r>
    </w:p>
    <w:p>
      <w:pPr>
        <w:pStyle w:val="TextBody"/>
        <w:spacing w:lineRule="auto" w:line="288" w:before="180" w:after="283"/>
        <w:ind w:left="0" w:right="0" w:hanging="360"/>
        <w:jc w:val="both"/>
        <w:rPr/>
      </w:pPr>
      <w:r>
        <w:rPr>
          <w:color w:val="000000"/>
        </w:rPr>
        <w:t>•</w:t>
      </w:r>
      <w:r>
        <w:rPr>
          <w:rFonts w:ascii="Arial;sans-serif" w:hAnsi="Arial;sans-serif"/>
          <w:b w:val="false"/>
          <w:color w:val="000000"/>
          <w:sz w:val="20"/>
        </w:rPr>
        <w:t>The commercial relationships that we have with other companies, including any related equity investments, may not produce the returns or results we expect.</w:t>
      </w:r>
    </w:p>
    <w:p>
      <w:pPr>
        <w:pStyle w:val="TextBody"/>
        <w:spacing w:lineRule="auto" w:line="288" w:before="180" w:after="283"/>
        <w:ind w:left="0" w:right="0" w:hanging="360"/>
        <w:jc w:val="both"/>
        <w:rPr/>
      </w:pPr>
      <w:r>
        <w:rPr>
          <w:color w:val="000000"/>
        </w:rPr>
        <w:t>•</w:t>
      </w:r>
      <w:r>
        <w:rPr>
          <w:rFonts w:ascii="Arial;sans-serif" w:hAnsi="Arial;sans-serif"/>
          <w:b w:val="false"/>
          <w:color w:val="000000"/>
          <w:sz w:val="20"/>
        </w:rPr>
        <w:t>Our 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w:t>
      </w:r>
    </w:p>
    <w:p>
      <w:pPr>
        <w:pStyle w:val="TextBody"/>
        <w:spacing w:lineRule="auto" w:line="288" w:before="180" w:after="283"/>
        <w:ind w:left="0" w:right="0" w:hanging="360"/>
        <w:jc w:val="both"/>
        <w:rPr/>
      </w:pPr>
      <w:r>
        <w:rPr>
          <w:color w:val="000000"/>
        </w:rPr>
        <w:t>•</w:t>
      </w:r>
      <w:r>
        <w:rPr>
          <w:rFonts w:ascii="Arial;sans-serif" w:hAnsi="Arial;sans-serif"/>
          <w:b w:val="false"/>
          <w:color w:val="000000"/>
          <w:sz w:val="20"/>
        </w:rPr>
        <w:t>Our business is subject to extensive government regulation, which may result in increases in our costs, disruptions to our operations, limits on our operating flexibility, reductions in the demand for air travel, and competitive disadvantages.</w:t>
      </w:r>
    </w:p>
    <w:p>
      <w:pPr>
        <w:pStyle w:val="TextBody"/>
        <w:spacing w:lineRule="auto" w:line="288" w:before="180" w:after="283"/>
        <w:ind w:left="0" w:right="0" w:hanging="360"/>
        <w:jc w:val="both"/>
        <w:rPr/>
      </w:pPr>
      <w:r>
        <w:rPr>
          <w:color w:val="000000"/>
        </w:rPr>
        <w:t>•</w:t>
      </w:r>
      <w:r>
        <w:rPr>
          <w:rFonts w:ascii="Arial;sans-serif" w:hAnsi="Arial;sans-serif"/>
          <w:b w:val="false"/>
          <w:color w:val="000000"/>
          <w:sz w:val="20"/>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pStyle w:val="TextBody"/>
        <w:spacing w:lineRule="auto" w:line="288" w:before="180" w:after="283"/>
        <w:ind w:left="0" w:right="0" w:hanging="360"/>
        <w:jc w:val="both"/>
        <w:rPr/>
      </w:pPr>
      <w:r>
        <w:rPr>
          <w:color w:val="000000"/>
        </w:rPr>
        <w:t>•</w:t>
      </w:r>
      <w:r>
        <w:rPr>
          <w:rFonts w:ascii="Arial;sans-serif" w:hAnsi="Arial;sans-serif"/>
          <w:b w:val="false"/>
          <w:color w:val="000000"/>
          <w:sz w:val="20"/>
        </w:rPr>
        <w:t>We may be adversely affected by conflicts overseas or terrorist attacks; the travel industry continues to face ongoing security concerns.</w:t>
      </w:r>
    </w:p>
    <w:p>
      <w:pPr>
        <w:pStyle w:val="TextBody"/>
        <w:spacing w:lineRule="auto" w:line="288" w:before="180" w:after="283"/>
        <w:ind w:left="0" w:right="0" w:hanging="360"/>
        <w:jc w:val="both"/>
        <w:rPr/>
      </w:pPr>
      <w:r>
        <w:rPr>
          <w:color w:val="000000"/>
        </w:rPr>
        <w:t>•</w:t>
      </w:r>
      <w:r>
        <w:rPr>
          <w:rFonts w:ascii="Arial;sans-serif" w:hAnsi="Arial;sans-serif"/>
          <w:b w:val="false"/>
          <w:color w:val="000000"/>
          <w:sz w:val="20"/>
        </w:rPr>
        <w:t>We are subject to risks associated with climate change, including increased regulation of our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emissions, changing consumer preferences and the potential increased impacts of severe weather events on our operations and infrastructure.</w:t>
      </w:r>
    </w:p>
    <w:p>
      <w:pPr>
        <w:pStyle w:val="TextBody"/>
        <w:spacing w:lineRule="auto" w:line="288" w:before="180" w:after="283"/>
        <w:ind w:left="0" w:right="0" w:hanging="360"/>
        <w:jc w:val="both"/>
        <w:rPr/>
      </w:pPr>
      <w:r>
        <w:rPr>
          <w:color w:val="000000"/>
        </w:rPr>
        <w:t>•</w:t>
      </w:r>
      <w:r>
        <w:rPr>
          <w:rFonts w:ascii="Arial;sans-serif" w:hAnsi="Arial;sans-serif"/>
          <w:b w:val="false"/>
          <w:color w:val="000000"/>
          <w:sz w:val="20"/>
        </w:rPr>
        <w:t>A shortage of pilots or other personnel has in the past and could continue to materially adversely affect our business.</w:t>
      </w:r>
    </w:p>
    <w:p>
      <w:pPr>
        <w:pStyle w:val="TextBody"/>
        <w:spacing w:lineRule="auto" w:line="288" w:before="180" w:after="283"/>
        <w:ind w:left="0" w:right="0" w:hanging="360"/>
        <w:jc w:val="both"/>
        <w:rPr/>
      </w:pPr>
      <w:r>
        <w:rPr>
          <w:color w:val="000000"/>
        </w:rPr>
        <w:t>•</w:t>
      </w:r>
      <w:r>
        <w:rPr>
          <w:rFonts w:ascii="Arial;sans-serif" w:hAnsi="Arial;sans-serif"/>
          <w:b w:val="false"/>
          <w:color w:val="000000"/>
          <w:sz w:val="20"/>
        </w:rPr>
        <w:t>We depend on a limited number of suppliers for aircraft, aircraft engines and parts.</w:t>
      </w:r>
    </w:p>
    <w:p>
      <w:pPr>
        <w:pStyle w:val="TextBody"/>
        <w:spacing w:lineRule="auto" w:line="288" w:before="180" w:after="283"/>
        <w:ind w:left="0" w:right="0" w:hanging="360"/>
        <w:jc w:val="both"/>
        <w:rPr/>
      </w:pPr>
      <w:r>
        <w:rPr>
          <w:color w:val="000000"/>
        </w:rPr>
        <w:t>•</w:t>
      </w:r>
      <w:r>
        <w:rPr>
          <w:rFonts w:ascii="Arial;sans-serif" w:hAnsi="Arial;sans-serif"/>
          <w:b w:val="false"/>
          <w:color w:val="000000"/>
          <w:sz w:val="20"/>
        </w:rPr>
        <w:t>Delays in scheduled aircraft deliveries or other loss of anticipated fleet capacity, and failure of new aircraft to perform as expected, may adversely impact our business, results of operations and financial condition.</w:t>
      </w:r>
    </w:p>
    <w:p>
      <w:pPr>
        <w:pStyle w:val="TextBody"/>
        <w:spacing w:lineRule="auto" w:line="288" w:before="180" w:after="283"/>
        <w:ind w:left="0" w:right="0" w:hanging="360"/>
        <w:jc w:val="both"/>
        <w:rPr/>
      </w:pPr>
      <w:r>
        <w:rPr>
          <w:color w:val="000000"/>
        </w:rPr>
        <w:t>•</w:t>
      </w:r>
      <w:r>
        <w:rPr>
          <w:rFonts w:ascii="Arial;sans-serif" w:hAnsi="Arial;sans-serif"/>
          <w:b w:val="false"/>
          <w:color w:val="000000"/>
          <w:sz w:val="20"/>
        </w:rPr>
        <w:t>We rely heavily on technology and automated systems to operate our business, and any failure of these technologies or systems could harm our business, results of operations and financial condition.</w:t>
      </w:r>
    </w:p>
    <w:p>
      <w:pPr>
        <w:pStyle w:val="TextBody"/>
        <w:spacing w:lineRule="auto" w:line="288" w:before="180" w:after="283"/>
        <w:ind w:left="0" w:right="0" w:hanging="360"/>
        <w:jc w:val="both"/>
        <w:rPr/>
      </w:pPr>
      <w:r>
        <w:rPr>
          <w:color w:val="000000"/>
        </w:rPr>
        <w:t>•</w:t>
      </w:r>
      <w:r>
        <w:rPr>
          <w:rFonts w:ascii="Arial;sans-serif" w:hAnsi="Arial;sans-serif"/>
          <w:b w:val="false"/>
          <w:color w:val="000000"/>
          <w:sz w:val="20"/>
        </w:rPr>
        <w:t>Evolving data security and privacy requirements (in particular, compliance with applicable federal, state and foreign laws relating to handling of personal information about individuals) could increase our costs, and any significant data security or privacy incident could disrupt our operations, harm our reputation, expose us to legal risks and otherwise materially adversely affect our business, results of operations and financial condition.</w:t>
      </w:r>
    </w:p>
    <w:p>
      <w:pPr>
        <w:pStyle w:val="TextBody"/>
        <w:spacing w:lineRule="auto" w:line="288" w:before="180" w:after="283"/>
        <w:ind w:left="0" w:right="0" w:hanging="360"/>
        <w:jc w:val="both"/>
        <w:rPr/>
      </w:pPr>
      <w:r>
        <w:rPr>
          <w:color w:val="000000"/>
        </w:rPr>
        <w:t>•</w:t>
      </w:r>
      <w:r>
        <w:rPr>
          <w:rFonts w:ascii="Arial;sans-serif" w:hAnsi="Arial;sans-serif"/>
          <w:b w:val="false"/>
          <w:color w:val="000000"/>
          <w:sz w:val="20"/>
        </w:rPr>
        <w:t>We rely on third-party distribution channels and must manage effectively the costs, rights and functionality of these channels.</w:t>
      </w:r>
    </w:p>
    <w:p>
      <w:pPr>
        <w:pStyle w:val="TextBody"/>
        <w:spacing w:lineRule="auto" w:line="288" w:before="180" w:after="283"/>
        <w:ind w:left="0" w:right="0" w:hanging="360"/>
        <w:jc w:val="both"/>
        <w:rPr/>
      </w:pPr>
      <w:r>
        <w:rPr>
          <w:color w:val="000000"/>
        </w:rPr>
        <w:t>•</w:t>
      </w:r>
      <w:r>
        <w:rPr>
          <w:rFonts w:ascii="Arial;sans-serif" w:hAnsi="Arial;sans-serif"/>
          <w:b w:val="false"/>
          <w:color w:val="000000"/>
          <w:sz w:val="20"/>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v:rect>
            </w:pict>
          </mc:Fallback>
        </mc:AlternateContent>
      </w:r>
    </w:p>
    <w:p>
      <w:pPr>
        <w:pStyle w:val="TextBody"/>
        <w:spacing w:lineRule="auto" w:line="288" w:before="0" w:after="0"/>
        <w:jc w:val="both"/>
        <w:rPr/>
      </w:pPr>
      <w:hyperlink w:anchor="i46fbc2c07ce748d68317b3440587c97f_7">
        <w:r>
          <w:rPr>
            <w:rStyle w:val="InternetLink"/>
            <w:rFonts w:ascii="Arial;sans-serif" w:hAnsi="Arial;sans-serif"/>
            <w:b/>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PART I: FINANCIAL INFORMATION</w:t>
      </w:r>
    </w:p>
    <w:p>
      <w:pPr>
        <w:pStyle w:val="TextBody"/>
        <w:spacing w:lineRule="auto" w:line="288" w:before="90" w:after="120"/>
        <w:ind w:left="0" w:right="0" w:firstLine="270"/>
        <w:jc w:val="both"/>
        <w:rPr>
          <w:rFonts w:ascii="Arial;sans-serif" w:hAnsi="Arial;sans-serif"/>
          <w:b w:val="false"/>
          <w:color w:val="000000"/>
          <w:sz w:val="20"/>
        </w:rPr>
      </w:pPr>
      <w:r>
        <w:rPr>
          <w:rFonts w:ascii="Arial;sans-serif" w:hAnsi="Arial;sans-serif"/>
          <w:b w:val="false"/>
          <w:color w:val="000000"/>
          <w:sz w:val="20"/>
        </w:rPr>
        <w:t>This report on Form 10-Q is filed by both AAG and American and includes the Condensed Consolidated Financial Statements of each company in Item 1A and Item 1B,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v:rect>
            </w:pict>
          </mc:Fallback>
        </mc:AlternateContent>
      </w:r>
    </w:p>
    <w:p>
      <w:pPr>
        <w:pStyle w:val="TextBody"/>
        <w:spacing w:lineRule="auto" w:line="288" w:before="0" w:after="0"/>
        <w:jc w:val="both"/>
        <w:rPr/>
      </w:pPr>
      <w:hyperlink w:anchor="i46fbc2c07ce748d68317b3440587c97f_7">
        <w:r>
          <w:rPr>
            <w:rStyle w:val="InternetLink"/>
            <w:rFonts w:ascii="Arial;sans-serif" w:hAnsi="Arial;sans-serif"/>
            <w:b/>
            <w:color w:val="0000FF"/>
            <w:sz w:val="20"/>
            <w:u w:val="single"/>
          </w:rPr>
          <w:t>Table of Contents</w:t>
        </w:r>
      </w:hyperlink>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ITEM 1A. CONDENSED CONSOLIDATED FINANCIAL STATEMENTS OF AMERICAN AIRLINES GROUP INC.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70" w:after="283"/>
        <w:jc w:val="center"/>
        <w:rPr>
          <w:rFonts w:ascii="Arial;sans-serif" w:hAnsi="Arial;sans-serif"/>
          <w:b/>
          <w:color w:val="000000"/>
          <w:sz w:val="20"/>
        </w:rPr>
      </w:pPr>
      <w:r>
        <w:rPr>
          <w:rFonts w:ascii="Arial;sans-serif" w:hAnsi="Arial;sans-serif"/>
          <w:b/>
          <w:color w:val="000000"/>
          <w:sz w:val="20"/>
        </w:rPr>
        <w:t>AMERICAN AIRLINES GROUP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spacing w:lineRule="auto" w:line="288" w:before="0" w:after="180"/>
        <w:jc w:val="center"/>
        <w:rPr>
          <w:rFonts w:ascii="Arial;sans-serif" w:hAnsi="Arial;sans-serif"/>
          <w:b/>
          <w:color w:val="000000"/>
          <w:sz w:val="20"/>
        </w:rPr>
      </w:pPr>
      <w:r>
        <w:rPr>
          <w:rFonts w:ascii="Arial;sans-serif" w:hAnsi="Arial;sans-serif"/>
          <w:b/>
          <w:color w:val="000000"/>
          <w:sz w:val="20"/>
        </w:rPr>
        <w:t>(In millions, except share and per share amounts)(Unaudited)</w:t>
      </w:r>
    </w:p>
    <w:tbl>
      <w:tblPr>
        <w:tblW w:w="8096" w:type="dxa"/>
        <w:jc w:val="left"/>
        <w:tblInd w:w="0" w:type="dxa"/>
        <w:tblCellMar>
          <w:top w:w="28" w:type="dxa"/>
          <w:left w:w="28" w:type="dxa"/>
          <w:bottom w:w="28" w:type="dxa"/>
          <w:right w:w="28" w:type="dxa"/>
        </w:tblCellMar>
      </w:tblPr>
      <w:tblGrid>
        <w:gridCol w:w="1836"/>
        <w:gridCol w:w="1614"/>
        <w:gridCol w:w="1619"/>
        <w:gridCol w:w="222"/>
        <w:gridCol w:w="790"/>
        <w:gridCol w:w="114"/>
        <w:gridCol w:w="114"/>
        <w:gridCol w:w="114"/>
        <w:gridCol w:w="114"/>
        <w:gridCol w:w="222"/>
        <w:gridCol w:w="742"/>
        <w:gridCol w:w="114"/>
        <w:gridCol w:w="109"/>
        <w:gridCol w:w="109"/>
        <w:gridCol w:w="109"/>
        <w:gridCol w:w="154"/>
      </w:tblGrid>
      <w:tr>
        <w:trPr/>
        <w:tc>
          <w:tcPr>
            <w:tcW w:w="1836" w:type="dxa"/>
            <w:tcBorders/>
            <w:shd w:fill="auto" w:val="clear"/>
            <w:vAlign w:val="center"/>
          </w:tcPr>
          <w:p>
            <w:pPr>
              <w:pStyle w:val="TableContents"/>
              <w:spacing w:before="0" w:after="283"/>
              <w:rPr>
                <w:sz w:val="4"/>
                <w:szCs w:val="4"/>
              </w:rPr>
            </w:pPr>
            <w:r>
              <w:rPr>
                <w:sz w:val="4"/>
                <w:szCs w:val="4"/>
              </w:rPr>
            </w:r>
          </w:p>
        </w:tc>
        <w:tc>
          <w:tcPr>
            <w:tcW w:w="1614" w:type="dxa"/>
            <w:tcBorders/>
            <w:shd w:fill="auto" w:val="clear"/>
            <w:vAlign w:val="center"/>
          </w:tcPr>
          <w:p>
            <w:pPr>
              <w:pStyle w:val="TableContents"/>
              <w:spacing w:before="0" w:after="283"/>
              <w:rPr>
                <w:sz w:val="4"/>
                <w:szCs w:val="4"/>
              </w:rPr>
            </w:pPr>
            <w:r>
              <w:rPr>
                <w:sz w:val="4"/>
                <w:szCs w:val="4"/>
              </w:rPr>
            </w:r>
          </w:p>
        </w:tc>
        <w:tc>
          <w:tcPr>
            <w:tcW w:w="161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Operating revenues:</w:t>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top w:val="single" w:sz="8"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w:t>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11,103 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7,818 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1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 and related taxes</w:t>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Salaries, wages and benefits</w:t>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Regional expenses</w:t>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Maintenance, materials and repairs</w:t>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rent and landing fees</w:t>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rent</w:t>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expenses</w:t>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Special items, net</w:t>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11,751 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Operating income (loss)</w:t>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(1,723)</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Nonoperating income (expense):</w:t>
            </w:r>
          </w:p>
        </w:tc>
        <w:tc>
          <w:tcPr>
            <w:tcW w:w="11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nonoperating expense, net</w:t>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Income (loss) before income taxes</w:t>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(2,086)</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 (benefit)</w:t>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(1,635)</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Earnings (loss) per common share:</w:t>
            </w:r>
          </w:p>
        </w:tc>
        <w:tc>
          <w:tcPr>
            <w:tcW w:w="11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Weighted average shares outstanding (in thousands):</w:t>
            </w:r>
          </w:p>
        </w:tc>
        <w:tc>
          <w:tcPr>
            <w:tcW w:w="11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652,000 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649,503 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656,707 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649,503 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100" w:after="283"/>
        <w:jc w:val="both"/>
        <w:rPr/>
      </w:pPr>
      <w:r>
        <w:rPr/>
      </w:r>
    </w:p>
    <w:p>
      <w:pPr>
        <w:pStyle w:val="TextBody"/>
        <w:spacing w:lineRule="auto" w:line="288" w:before="17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v:rect>
            </w:pict>
          </mc:Fallback>
        </mc:AlternateContent>
      </w:r>
    </w:p>
    <w:p>
      <w:pPr>
        <w:pStyle w:val="TextBody"/>
        <w:spacing w:lineRule="auto" w:line="288" w:before="0" w:after="0"/>
        <w:jc w:val="both"/>
        <w:rPr/>
      </w:pPr>
      <w:hyperlink w:anchor="i46fbc2c07ce748d68317b3440587c97f_7">
        <w:r>
          <w:rPr>
            <w:rStyle w:val="InternetLink"/>
            <w:rFonts w:ascii="Arial;sans-serif" w:hAnsi="Arial;sans-serif"/>
            <w:b/>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AMERICAN AIRLINES GROUP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COMPREHENSIVE INCOME (LOSS)</w:t>
      </w:r>
    </w:p>
    <w:p>
      <w:pPr>
        <w:pStyle w:val="TextBody"/>
        <w:spacing w:lineRule="auto" w:line="288" w:before="0" w:after="180"/>
        <w:jc w:val="center"/>
        <w:rPr>
          <w:rFonts w:ascii="Arial;sans-serif" w:hAnsi="Arial;sans-serif"/>
          <w:b/>
          <w:color w:val="000000"/>
          <w:sz w:val="20"/>
        </w:rPr>
      </w:pPr>
      <w:r>
        <w:rPr>
          <w:rFonts w:ascii="Arial;sans-serif" w:hAnsi="Arial;sans-serif"/>
          <w:b/>
          <w:color w:val="000000"/>
          <w:sz w:val="20"/>
        </w:rPr>
        <w:t>(In millions)(Unaudited)</w:t>
      </w:r>
    </w:p>
    <w:tbl>
      <w:tblPr>
        <w:tblW w:w="8171" w:type="dxa"/>
        <w:jc w:val="left"/>
        <w:tblInd w:w="0" w:type="dxa"/>
        <w:tblCellMar>
          <w:top w:w="28" w:type="dxa"/>
          <w:left w:w="28" w:type="dxa"/>
          <w:bottom w:w="28" w:type="dxa"/>
          <w:right w:w="28" w:type="dxa"/>
        </w:tblCellMar>
      </w:tblPr>
      <w:tblGrid>
        <w:gridCol w:w="1866"/>
        <w:gridCol w:w="1635"/>
        <w:gridCol w:w="1644"/>
        <w:gridCol w:w="262"/>
        <w:gridCol w:w="468"/>
        <w:gridCol w:w="135"/>
        <w:gridCol w:w="135"/>
        <w:gridCol w:w="135"/>
        <w:gridCol w:w="135"/>
        <w:gridCol w:w="262"/>
        <w:gridCol w:w="878"/>
        <w:gridCol w:w="135"/>
        <w:gridCol w:w="109"/>
        <w:gridCol w:w="109"/>
        <w:gridCol w:w="109"/>
        <w:gridCol w:w="154"/>
      </w:tblGrid>
      <w:tr>
        <w:trPr/>
        <w:tc>
          <w:tcPr>
            <w:tcW w:w="1866" w:type="dxa"/>
            <w:tcBorders/>
            <w:shd w:fill="auto" w:val="clear"/>
            <w:vAlign w:val="center"/>
          </w:tcPr>
          <w:p>
            <w:pPr>
              <w:pStyle w:val="TableContents"/>
              <w:spacing w:before="0" w:after="283"/>
              <w:rPr>
                <w:sz w:val="4"/>
                <w:szCs w:val="4"/>
              </w:rPr>
            </w:pPr>
            <w:r>
              <w:rPr>
                <w:sz w:val="4"/>
                <w:szCs w:val="4"/>
              </w:rPr>
            </w:r>
          </w:p>
        </w:tc>
        <w:tc>
          <w:tcPr>
            <w:tcW w:w="1635" w:type="dxa"/>
            <w:tcBorders/>
            <w:shd w:fill="auto" w:val="clear"/>
            <w:vAlign w:val="center"/>
          </w:tcPr>
          <w:p>
            <w:pPr>
              <w:pStyle w:val="TableContents"/>
              <w:spacing w:before="0" w:after="283"/>
              <w:rPr>
                <w:sz w:val="4"/>
                <w:szCs w:val="4"/>
              </w:rPr>
            </w:pPr>
            <w:r>
              <w:rPr>
                <w:sz w:val="4"/>
                <w:szCs w:val="4"/>
              </w:rPr>
            </w:r>
          </w:p>
        </w:tc>
        <w:tc>
          <w:tcPr>
            <w:tcW w:w="1644"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4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(1,635)</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Other comprehensive income (loss), net of tax:</w:t>
            </w:r>
          </w:p>
        </w:tc>
        <w:tc>
          <w:tcPr>
            <w:tcW w:w="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retiree medical and other postretirement benefits</w:t>
            </w:r>
          </w:p>
        </w:tc>
        <w:tc>
          <w:tcPr>
            <w:tcW w:w="7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w:t>
            </w:r>
          </w:p>
        </w:tc>
        <w:tc>
          <w:tcPr>
            <w:tcW w:w="7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other comprehensive income, net of tax</w:t>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comprehensive income (loss)</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(1,609)</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7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v:rect>
            </w:pict>
          </mc:Fallback>
        </mc:AlternateContent>
      </w:r>
    </w:p>
    <w:p>
      <w:pPr>
        <w:pStyle w:val="TextBody"/>
        <w:spacing w:lineRule="auto" w:line="288" w:before="0" w:after="0"/>
        <w:jc w:val="both"/>
        <w:rPr/>
      </w:pPr>
      <w:hyperlink w:anchor="i46fbc2c07ce748d68317b3440587c97f_7">
        <w:r>
          <w:rPr>
            <w:rStyle w:val="InternetLink"/>
            <w:rFonts w:ascii="Arial;sans-serif" w:hAnsi="Arial;sans-serif"/>
            <w:b/>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AMERICAN AIRLINES GROUP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spacing w:lineRule="auto" w:line="288" w:before="0" w:after="180"/>
        <w:jc w:val="center"/>
        <w:rPr>
          <w:rFonts w:ascii="Arial;sans-serif" w:hAnsi="Arial;sans-serif"/>
          <w:b/>
          <w:color w:val="000000"/>
          <w:sz w:val="20"/>
        </w:rPr>
      </w:pPr>
      <w:r>
        <w:rPr>
          <w:rFonts w:ascii="Arial;sans-serif" w:hAnsi="Arial;sans-serif"/>
          <w:b/>
          <w:color w:val="000000"/>
          <w:sz w:val="20"/>
        </w:rPr>
        <w:t>(In millions, except share and par value amounts)</w:t>
      </w:r>
    </w:p>
    <w:tbl>
      <w:tblPr>
        <w:tblW w:w="10205" w:type="dxa"/>
        <w:jc w:val="left"/>
        <w:tblInd w:w="0" w:type="dxa"/>
        <w:tblCellMar>
          <w:top w:w="28" w:type="dxa"/>
          <w:left w:w="28" w:type="dxa"/>
          <w:bottom w:w="28" w:type="dxa"/>
          <w:right w:w="28" w:type="dxa"/>
        </w:tblCellMar>
      </w:tblPr>
      <w:tblGrid>
        <w:gridCol w:w="2951"/>
        <w:gridCol w:w="2277"/>
        <w:gridCol w:w="2253"/>
        <w:gridCol w:w="246"/>
        <w:gridCol w:w="742"/>
        <w:gridCol w:w="125"/>
        <w:gridCol w:w="109"/>
        <w:gridCol w:w="109"/>
        <w:gridCol w:w="109"/>
        <w:gridCol w:w="251"/>
        <w:gridCol w:w="831"/>
        <w:gridCol w:w="202"/>
      </w:tblGrid>
      <w:tr>
        <w:trPr/>
        <w:tc>
          <w:tcPr>
            <w:tcW w:w="2951" w:type="dxa"/>
            <w:tcBorders/>
            <w:shd w:fill="auto" w:val="clear"/>
            <w:vAlign w:val="center"/>
          </w:tcPr>
          <w:p>
            <w:pPr>
              <w:pStyle w:val="TableContents"/>
              <w:spacing w:before="0" w:after="283"/>
              <w:rPr>
                <w:sz w:val="4"/>
                <w:szCs w:val="4"/>
              </w:rPr>
            </w:pPr>
            <w:r>
              <w:rPr>
                <w:sz w:val="4"/>
                <w:szCs w:val="4"/>
              </w:rPr>
            </w:r>
          </w:p>
        </w:tc>
        <w:tc>
          <w:tcPr>
            <w:tcW w:w="2277" w:type="dxa"/>
            <w:tcBorders/>
            <w:shd w:fill="auto" w:val="clear"/>
            <w:vAlign w:val="center"/>
          </w:tcPr>
          <w:p>
            <w:pPr>
              <w:pStyle w:val="TableContents"/>
              <w:spacing w:before="0" w:after="283"/>
              <w:rPr>
                <w:sz w:val="4"/>
                <w:szCs w:val="4"/>
              </w:rPr>
            </w:pPr>
            <w:r>
              <w:rPr>
                <w:sz w:val="4"/>
                <w:szCs w:val="4"/>
              </w:rPr>
            </w:r>
          </w:p>
        </w:tc>
        <w:tc>
          <w:tcPr>
            <w:tcW w:w="2253"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r>
      <w:tr>
        <w:trPr/>
        <w:tc>
          <w:tcPr>
            <w:tcW w:w="7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74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7"/>
              </w:rPr>
            </w:pPr>
            <w:r>
              <w:rPr>
                <w:rFonts w:ascii="Arial;sans-serif" w:hAnsi="Arial;sans-serif"/>
                <w:b/>
                <w:color w:val="000000"/>
                <w:sz w:val="17"/>
              </w:rPr>
              <w:t>ASSETS</w:t>
            </w:r>
          </w:p>
        </w:tc>
        <w:tc>
          <w:tcPr>
            <w:tcW w:w="2724" w:type="dxa"/>
            <w:gridSpan w:val="9"/>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7"/>
              </w:rPr>
            </w:pPr>
            <w:r>
              <w:rPr>
                <w:rFonts w:ascii="Arial;sans-serif" w:hAnsi="Arial;sans-serif"/>
                <w:b/>
                <w:color w:val="000000"/>
                <w:sz w:val="17"/>
              </w:rPr>
              <w:t>Current assets</w:t>
            </w:r>
          </w:p>
        </w:tc>
        <w:tc>
          <w:tcPr>
            <w:tcW w:w="11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Cash</w:t>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452 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440 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Short-term investments</w:t>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11,041 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8,525 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Restricted cash and short-term investments</w:t>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955 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995 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Accounts receivable, net</w:t>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1,989 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2,138 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Aircraft fuel, spare parts and supplies, net</w:t>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2,308 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2,279 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Prepaid expenses and other</w:t>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907 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892 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current assets</w:t>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17,652 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15,269 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7"/>
              </w:rPr>
            </w:pPr>
            <w:r>
              <w:rPr>
                <w:rFonts w:ascii="Arial;sans-serif" w:hAnsi="Arial;sans-serif"/>
                <w:b/>
                <w:color w:val="000000"/>
                <w:sz w:val="17"/>
              </w:rPr>
              <w:t>Operating property and equipment</w:t>
            </w:r>
          </w:p>
        </w:tc>
        <w:tc>
          <w:tcPr>
            <w:tcW w:w="11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Flight equipment</w:t>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40,020 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39,703 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Ground property and equipment</w:t>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10,030 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9,913 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Equipment purchase deposits</w:t>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640 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613 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property and equipment, at cost</w:t>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50,690 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50,229 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accumulated depreciation and amortization</w:t>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(20,546)</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(20,029)</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property and equipment, net</w:t>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30,144 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30,200 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7"/>
              </w:rPr>
            </w:pPr>
            <w:r>
              <w:rPr>
                <w:rFonts w:ascii="Arial;sans-serif" w:hAnsi="Arial;sans-serif"/>
                <w:b/>
                <w:color w:val="000000"/>
                <w:sz w:val="17"/>
              </w:rPr>
              <w:t>Operating lease right-of-use assets</w:t>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7,838 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8,094 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7"/>
              </w:rPr>
            </w:pPr>
            <w:r>
              <w:rPr>
                <w:rFonts w:ascii="Arial;sans-serif" w:hAnsi="Arial;sans-serif"/>
                <w:b/>
                <w:color w:val="000000"/>
                <w:sz w:val="17"/>
              </w:rPr>
              <w:t>Other assets</w:t>
            </w:r>
          </w:p>
        </w:tc>
        <w:tc>
          <w:tcPr>
            <w:tcW w:w="11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Goodwill</w:t>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4,091 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4,091 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7"/>
              </w:rPr>
            </w:pPr>
            <w:r>
              <w:rPr>
                <w:rFonts w:ascii="Arial;sans-serif" w:hAnsi="Arial;sans-serif"/>
                <w:b w:val="false"/>
                <w:color w:val="000000"/>
                <w:sz w:val="17"/>
              </w:rPr>
              <w:t>Intangibles, net of accumulated amortization of $828 and $827, respectively</w:t>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2,057 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2,059 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Deferred tax asset</w:t>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3,088 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3,099 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assets</w:t>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1,916 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1,904 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other assets</w:t>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11,152 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11,153 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7"/>
              </w:rPr>
            </w:pPr>
            <w:r>
              <w:rPr>
                <w:rFonts w:ascii="Arial;sans-serif" w:hAnsi="Arial;sans-serif"/>
                <w:b/>
                <w:color w:val="000000"/>
                <w:sz w:val="17"/>
              </w:rPr>
              <w:t>Total assets</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66,786 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64,716 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7"/>
              </w:rPr>
            </w:pPr>
            <w:r>
              <w:rPr>
                <w:rFonts w:ascii="Arial;sans-serif" w:hAnsi="Arial;sans-serif"/>
                <w:b/>
                <w:color w:val="000000"/>
                <w:sz w:val="17"/>
              </w:rPr>
              <w:t>LIABILITIES AND STOCKHOLDERS’ EQUITY (DEFICIT)</w:t>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7"/>
              </w:rPr>
            </w:pPr>
            <w:r>
              <w:rPr>
                <w:rFonts w:ascii="Arial;sans-serif" w:hAnsi="Arial;sans-serif"/>
                <w:b/>
                <w:color w:val="000000"/>
                <w:sz w:val="17"/>
              </w:rPr>
              <w:t>Current liabilities</w:t>
            </w:r>
          </w:p>
        </w:tc>
        <w:tc>
          <w:tcPr>
            <w:tcW w:w="11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Current maturities of long-term debt and finance leases</w:t>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3,579 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3,274 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Accounts payable</w:t>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2,455 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2,149 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Accrued salaries and wages</w:t>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1,809 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1,713 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Air traffic liability</w:t>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9,053 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6,745 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Loyalty program liability</w:t>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3,486 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3,169 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Operating lease liabilities</w:t>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1,439 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1,465 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accrued liabilities</w:t>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2,769 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2,981 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current liabilities</w:t>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24,590 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21,496 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7"/>
              </w:rPr>
            </w:pPr>
            <w:r>
              <w:rPr>
                <w:rFonts w:ascii="Arial;sans-serif" w:hAnsi="Arial;sans-serif"/>
                <w:b/>
                <w:color w:val="000000"/>
                <w:sz w:val="17"/>
              </w:rPr>
              <w:t>Noncurrent liabilities</w:t>
            </w:r>
          </w:p>
        </w:tc>
        <w:tc>
          <w:tcPr>
            <w:tcW w:w="11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Long-term debt and finance leases, net of current maturities</w:t>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31,586 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32,389 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Pension and postretirement benefits</w:t>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2,737 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2,837 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Loyalty program liability</w:t>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5,881 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5,976 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Operating lease liabilities</w:t>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6,325 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6,559 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liabilities</w:t>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1,438 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1,258 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noncurrent liabilities</w:t>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47,967 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49,019 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7"/>
              </w:rPr>
            </w:pPr>
            <w:r>
              <w:rPr>
                <w:rFonts w:ascii="Arial;sans-serif" w:hAnsi="Arial;sans-serif"/>
                <w:b/>
                <w:color w:val="000000"/>
                <w:sz w:val="17"/>
              </w:rPr>
              <w:t>Commitments and contingencies</w:t>
            </w:r>
          </w:p>
        </w:tc>
        <w:tc>
          <w:tcPr>
            <w:tcW w:w="11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7"/>
              </w:rPr>
            </w:pPr>
            <w:r>
              <w:rPr>
                <w:rFonts w:ascii="Arial;sans-serif" w:hAnsi="Arial;sans-serif"/>
                <w:b/>
                <w:color w:val="000000"/>
                <w:sz w:val="17"/>
              </w:rPr>
              <w:t>Stockholders’ equity (deficit)</w:t>
            </w:r>
          </w:p>
        </w:tc>
        <w:tc>
          <w:tcPr>
            <w:tcW w:w="11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7"/>
              </w:rPr>
            </w:pPr>
            <w:r>
              <w:rPr>
                <w:rFonts w:ascii="Arial;sans-serif" w:hAnsi="Arial;sans-serif"/>
                <w:b w:val="false"/>
                <w:color w:val="000000"/>
                <w:sz w:val="17"/>
              </w:rPr>
              <w:t>Common stock, $0.01 par value; 1,750,000,000 shares authorized, 652,817,674 shares issued and outstanding at March 31, 2023; 650,642,461 shares issued and outstanding at December 31, 2022</w:t>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Additional paid-in capital</w:t>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7,290 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7,291 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Accumulated other comprehensive loss</w:t>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(4,567)</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(4,585)</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Retained deficit</w:t>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(8,501)</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(8,511)</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stockholders’ deficit</w:t>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(5,771)</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(5,799)</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7"/>
              </w:rPr>
            </w:pPr>
            <w:r>
              <w:rPr>
                <w:rFonts w:ascii="Arial;sans-serif" w:hAnsi="Arial;sans-serif"/>
                <w:b/>
                <w:color w:val="000000"/>
                <w:sz w:val="17"/>
              </w:rPr>
              <w:t>Total liabilities and stockholders’ equity (deficit)</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66,786 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64,716 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v:rect>
            </w:pict>
          </mc:Fallback>
        </mc:AlternateContent>
      </w:r>
    </w:p>
    <w:p>
      <w:pPr>
        <w:pStyle w:val="TextBody"/>
        <w:spacing w:lineRule="auto" w:line="288" w:before="0" w:after="0"/>
        <w:jc w:val="both"/>
        <w:rPr/>
      </w:pPr>
      <w:hyperlink w:anchor="i46fbc2c07ce748d68317b3440587c97f_7">
        <w:r>
          <w:rPr>
            <w:rStyle w:val="InternetLink"/>
            <w:rFonts w:ascii="Arial;sans-serif" w:hAnsi="Arial;sans-serif"/>
            <w:b/>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AMERICAN AIRLINES GROUP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spacing w:lineRule="auto" w:line="288" w:before="0" w:after="180"/>
        <w:jc w:val="center"/>
        <w:rPr>
          <w:rFonts w:ascii="Arial;sans-serif" w:hAnsi="Arial;sans-serif"/>
          <w:b/>
          <w:color w:val="000000"/>
          <w:sz w:val="20"/>
        </w:rPr>
      </w:pPr>
      <w:r>
        <w:rPr>
          <w:rFonts w:ascii="Arial;sans-serif" w:hAnsi="Arial;sans-serif"/>
          <w:b/>
          <w:color w:val="000000"/>
          <w:sz w:val="20"/>
        </w:rPr>
        <w:t>(In millions)(Unaudited)</w:t>
      </w:r>
    </w:p>
    <w:tbl>
      <w:tblPr>
        <w:tblW w:w="7988" w:type="dxa"/>
        <w:jc w:val="left"/>
        <w:tblInd w:w="0" w:type="dxa"/>
        <w:tblCellMar>
          <w:top w:w="28" w:type="dxa"/>
          <w:left w:w="28" w:type="dxa"/>
          <w:bottom w:w="28" w:type="dxa"/>
          <w:right w:w="28" w:type="dxa"/>
        </w:tblCellMar>
      </w:tblPr>
      <w:tblGrid>
        <w:gridCol w:w="1954"/>
        <w:gridCol w:w="1717"/>
        <w:gridCol w:w="1728"/>
        <w:gridCol w:w="237"/>
        <w:gridCol w:w="727"/>
        <w:gridCol w:w="122"/>
        <w:gridCol w:w="122"/>
        <w:gridCol w:w="122"/>
        <w:gridCol w:w="122"/>
        <w:gridCol w:w="237"/>
        <w:gridCol w:w="727"/>
        <w:gridCol w:w="173"/>
      </w:tblGrid>
      <w:tr>
        <w:trPr/>
        <w:tc>
          <w:tcPr>
            <w:tcW w:w="1954" w:type="dxa"/>
            <w:tcBorders/>
            <w:shd w:fill="auto" w:val="clear"/>
            <w:vAlign w:val="center"/>
          </w:tcPr>
          <w:p>
            <w:pPr>
              <w:pStyle w:val="TableContents"/>
              <w:spacing w:before="0" w:after="283"/>
              <w:rPr>
                <w:sz w:val="4"/>
                <w:szCs w:val="4"/>
              </w:rPr>
            </w:pPr>
            <w:r>
              <w:rPr>
                <w:sz w:val="4"/>
                <w:szCs w:val="4"/>
              </w:rPr>
            </w:r>
          </w:p>
        </w:tc>
        <w:tc>
          <w:tcPr>
            <w:tcW w:w="1717" w:type="dxa"/>
            <w:tcBorders/>
            <w:shd w:fill="auto" w:val="clear"/>
            <w:vAlign w:val="center"/>
          </w:tcPr>
          <w:p>
            <w:pPr>
              <w:pStyle w:val="TableContents"/>
              <w:spacing w:before="0" w:after="283"/>
              <w:rPr>
                <w:sz w:val="4"/>
                <w:szCs w:val="4"/>
              </w:rPr>
            </w:pPr>
            <w:r>
              <w:rPr>
                <w:sz w:val="4"/>
                <w:szCs w:val="4"/>
              </w:rPr>
            </w:r>
          </w:p>
        </w:tc>
        <w:tc>
          <w:tcPr>
            <w:tcW w:w="1728"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53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53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operating activities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 net of aircraft purchase deposit returns</w:t>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5399"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short-term investments</w:t>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(5,131)</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(7,035)</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of short-term investments</w:t>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2,666 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7,089 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 restricted short-term investments</w:t>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5399"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5399"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investing activities</w:t>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(2,796)</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(771)</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long-term debt and finance leases</w:t>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(2,326)</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issuance of long-term debt</w:t>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1,824 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5399"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5399"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5399"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financing activities</w:t>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increase (decrease) in cash and restricted cash</w:t>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restricted cash at beginning of period</w:t>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Cash and restricted cash at end of period </w:t>
            </w:r>
            <w:r>
              <w:rPr>
                <w:rFonts w:ascii="Arial;sans-serif" w:hAnsi="Arial;sans-serif"/>
                <w:b w:val="false"/>
                <w:color w:val="000000"/>
                <w:sz w:val="13"/>
              </w:rPr>
              <w:t>(1)</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transactions:</w:t>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(ROU) assets acquired through operating leases</w:t>
            </w:r>
          </w:p>
        </w:tc>
        <w:tc>
          <w:tcPr>
            <w:tcW w:w="2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leases converted to operating leases</w:t>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acquired through finance leases</w:t>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5399"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5399"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5399"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Supplemental information:</w:t>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paid, net</w:t>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paid</w:t>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 xml:space="preserve">The following table provides a reconciliation of cash and restricted cash to amounts reported within the condensed consolidated balance sheets: </w:t>
      </w:r>
    </w:p>
    <w:tbl>
      <w:tblPr>
        <w:tblW w:w="8243" w:type="dxa"/>
        <w:jc w:val="center"/>
        <w:tblInd w:w="0" w:type="dxa"/>
        <w:tblCellMar>
          <w:top w:w="28" w:type="dxa"/>
          <w:left w:w="28" w:type="dxa"/>
          <w:bottom w:w="28" w:type="dxa"/>
          <w:right w:w="28" w:type="dxa"/>
        </w:tblCellMar>
      </w:tblPr>
      <w:tblGrid>
        <w:gridCol w:w="2268"/>
        <w:gridCol w:w="1982"/>
        <w:gridCol w:w="2019"/>
        <w:gridCol w:w="211"/>
        <w:gridCol w:w="481"/>
        <w:gridCol w:w="109"/>
        <w:gridCol w:w="109"/>
        <w:gridCol w:w="109"/>
        <w:gridCol w:w="109"/>
        <w:gridCol w:w="211"/>
        <w:gridCol w:w="481"/>
        <w:gridCol w:w="154"/>
      </w:tblGrid>
      <w:tr>
        <w:trPr/>
        <w:tc>
          <w:tcPr>
            <w:tcW w:w="2268" w:type="dxa"/>
            <w:tcBorders/>
            <w:shd w:fill="auto" w:val="clear"/>
            <w:vAlign w:val="center"/>
          </w:tcPr>
          <w:p>
            <w:pPr>
              <w:pStyle w:val="TableContents"/>
              <w:spacing w:before="0" w:after="283"/>
              <w:rPr>
                <w:sz w:val="4"/>
                <w:szCs w:val="4"/>
              </w:rPr>
            </w:pPr>
            <w:r>
              <w:rPr>
                <w:sz w:val="4"/>
                <w:szCs w:val="4"/>
              </w:rPr>
            </w:r>
          </w:p>
        </w:tc>
        <w:tc>
          <w:tcPr>
            <w:tcW w:w="1982" w:type="dxa"/>
            <w:tcBorders/>
            <w:shd w:fill="auto" w:val="clear"/>
            <w:vAlign w:val="center"/>
          </w:tcPr>
          <w:p>
            <w:pPr>
              <w:pStyle w:val="TableContents"/>
              <w:spacing w:before="0" w:after="283"/>
              <w:rPr>
                <w:sz w:val="4"/>
                <w:szCs w:val="4"/>
              </w:rPr>
            </w:pPr>
            <w:r>
              <w:rPr>
                <w:sz w:val="4"/>
                <w:szCs w:val="4"/>
              </w:rPr>
            </w:r>
          </w:p>
        </w:tc>
        <w:tc>
          <w:tcPr>
            <w:tcW w:w="201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 included in restricted cash and short-term investments</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7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v:rect>
            </w:pict>
          </mc:Fallback>
        </mc:AlternateContent>
      </w:r>
    </w:p>
    <w:p>
      <w:pPr>
        <w:pStyle w:val="TextBody"/>
        <w:spacing w:lineRule="auto" w:line="288" w:before="0" w:after="0"/>
        <w:jc w:val="both"/>
        <w:rPr/>
      </w:pPr>
      <w:hyperlink w:anchor="i46fbc2c07ce748d68317b3440587c97f_7">
        <w:r>
          <w:rPr>
            <w:rStyle w:val="InternetLink"/>
            <w:rFonts w:ascii="Arial;sans-serif" w:hAnsi="Arial;sans-serif"/>
            <w:b/>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AMERICAN AIRLINES GROUP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DEFICIT</w:t>
      </w:r>
    </w:p>
    <w:p>
      <w:pPr>
        <w:pStyle w:val="TextBody"/>
        <w:spacing w:lineRule="auto" w:line="288" w:before="0" w:after="180"/>
        <w:jc w:val="center"/>
        <w:rPr>
          <w:rFonts w:ascii="Arial;sans-serif" w:hAnsi="Arial;sans-serif"/>
          <w:b/>
          <w:color w:val="000000"/>
          <w:sz w:val="20"/>
        </w:rPr>
      </w:pPr>
      <w:r>
        <w:rPr>
          <w:rFonts w:ascii="Arial;sans-serif" w:hAnsi="Arial;sans-serif"/>
          <w:b/>
          <w:color w:val="000000"/>
          <w:sz w:val="20"/>
        </w:rPr>
        <w:t>(In millions, except share amounts)(Unaudited)</w:t>
      </w:r>
    </w:p>
    <w:tbl>
      <w:tblPr>
        <w:tblW w:w="10205" w:type="dxa"/>
        <w:jc w:val="center"/>
        <w:tblInd w:w="0" w:type="dxa"/>
        <w:tblCellMar>
          <w:top w:w="28" w:type="dxa"/>
          <w:left w:w="28" w:type="dxa"/>
          <w:bottom w:w="28" w:type="dxa"/>
          <w:right w:w="28" w:type="dxa"/>
        </w:tblCellMar>
      </w:tblPr>
      <w:tblGrid>
        <w:gridCol w:w="1542"/>
        <w:gridCol w:w="1091"/>
        <w:gridCol w:w="1098"/>
        <w:gridCol w:w="300"/>
        <w:gridCol w:w="385"/>
        <w:gridCol w:w="156"/>
        <w:gridCol w:w="109"/>
        <w:gridCol w:w="109"/>
        <w:gridCol w:w="109"/>
        <w:gridCol w:w="211"/>
        <w:gridCol w:w="646"/>
        <w:gridCol w:w="109"/>
        <w:gridCol w:w="109"/>
        <w:gridCol w:w="109"/>
        <w:gridCol w:w="109"/>
        <w:gridCol w:w="295"/>
        <w:gridCol w:w="903"/>
        <w:gridCol w:w="153"/>
        <w:gridCol w:w="109"/>
        <w:gridCol w:w="109"/>
        <w:gridCol w:w="109"/>
        <w:gridCol w:w="211"/>
        <w:gridCol w:w="660"/>
        <w:gridCol w:w="109"/>
        <w:gridCol w:w="109"/>
        <w:gridCol w:w="109"/>
        <w:gridCol w:w="109"/>
        <w:gridCol w:w="211"/>
        <w:gridCol w:w="660"/>
        <w:gridCol w:w="157"/>
      </w:tblGrid>
      <w:tr>
        <w:trPr/>
        <w:tc>
          <w:tcPr>
            <w:tcW w:w="1542"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37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Common</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Additional</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Paid-in</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Accumulated</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Other</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Comprehensive</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Retained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7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2022</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(4,585)</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6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w:t>
            </w:r>
          </w:p>
        </w:tc>
        <w:tc>
          <w:tcPr>
            <w:tcW w:w="6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Issuance of 2,175,213 shares of AAG common stock pursuant to employee stock plans net of shares withheld for cash taxes</w:t>
            </w:r>
          </w:p>
        </w:tc>
        <w:tc>
          <w:tcPr>
            <w:tcW w:w="6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Share-based compensation expense</w:t>
            </w:r>
          </w:p>
        </w:tc>
        <w:tc>
          <w:tcPr>
            <w:tcW w:w="6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2023</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(4,567)</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(5,771)</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731"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r>
      <w:tr>
        <w:trPr/>
        <w:tc>
          <w:tcPr>
            <w:tcW w:w="3731"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r>
      <w:tr>
        <w:trPr/>
        <w:tc>
          <w:tcPr>
            <w:tcW w:w="3731"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r>
      <w:tr>
        <w:trPr/>
        <w:tc>
          <w:tcPr>
            <w:tcW w:w="3731"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r>
      <w:tr>
        <w:trPr/>
        <w:tc>
          <w:tcPr>
            <w:tcW w:w="3731"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r>
      <w:tr>
        <w:trPr/>
        <w:tc>
          <w:tcPr>
            <w:tcW w:w="3731"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r>
      <w:tr>
        <w:trPr/>
        <w:tc>
          <w:tcPr>
            <w:tcW w:w="3731"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r>
      <w:tr>
        <w:trPr/>
        <w:tc>
          <w:tcPr>
            <w:tcW w:w="3731"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r>
      <w:tr>
        <w:trPr/>
        <w:tc>
          <w:tcPr>
            <w:tcW w:w="3731"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r>
      <w:tr>
        <w:trPr/>
        <w:tc>
          <w:tcPr>
            <w:tcW w:w="3731"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r>
      <w:tr>
        <w:trPr/>
        <w:tc>
          <w:tcPr>
            <w:tcW w:w="3731"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100" w:after="283"/>
        <w:jc w:val="center"/>
        <w:rPr/>
      </w:pPr>
      <w:r>
        <w:rPr/>
      </w:r>
    </w:p>
    <w:tbl>
      <w:tblPr>
        <w:tblW w:w="10205" w:type="dxa"/>
        <w:jc w:val="center"/>
        <w:tblInd w:w="0" w:type="dxa"/>
        <w:tblCellMar>
          <w:top w:w="28" w:type="dxa"/>
          <w:left w:w="28" w:type="dxa"/>
          <w:bottom w:w="28" w:type="dxa"/>
          <w:right w:w="28" w:type="dxa"/>
        </w:tblCellMar>
      </w:tblPr>
      <w:tblGrid>
        <w:gridCol w:w="1507"/>
        <w:gridCol w:w="1057"/>
        <w:gridCol w:w="1064"/>
        <w:gridCol w:w="300"/>
        <w:gridCol w:w="385"/>
        <w:gridCol w:w="156"/>
        <w:gridCol w:w="109"/>
        <w:gridCol w:w="109"/>
        <w:gridCol w:w="109"/>
        <w:gridCol w:w="211"/>
        <w:gridCol w:w="646"/>
        <w:gridCol w:w="109"/>
        <w:gridCol w:w="109"/>
        <w:gridCol w:w="109"/>
        <w:gridCol w:w="109"/>
        <w:gridCol w:w="295"/>
        <w:gridCol w:w="903"/>
        <w:gridCol w:w="153"/>
        <w:gridCol w:w="109"/>
        <w:gridCol w:w="109"/>
        <w:gridCol w:w="109"/>
        <w:gridCol w:w="211"/>
        <w:gridCol w:w="764"/>
        <w:gridCol w:w="109"/>
        <w:gridCol w:w="109"/>
        <w:gridCol w:w="109"/>
        <w:gridCol w:w="109"/>
        <w:gridCol w:w="211"/>
        <w:gridCol w:w="659"/>
        <w:gridCol w:w="157"/>
      </w:tblGrid>
      <w:tr>
        <w:trPr/>
        <w:tc>
          <w:tcPr>
            <w:tcW w:w="1507"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36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Common</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Additional</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Paid-in</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Accumulated</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Other</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Comprehensive</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Retained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6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2021</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(5,942)</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6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(1,635)</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w:t>
            </w:r>
          </w:p>
        </w:tc>
        <w:tc>
          <w:tcPr>
            <w:tcW w:w="6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Issuance of 1,770,173 shares of AAG common stock pursuant to employee stock plans net of shares withheld for cash taxes</w:t>
            </w:r>
          </w:p>
        </w:tc>
        <w:tc>
          <w:tcPr>
            <w:tcW w:w="6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Share-based compensation expense</w:t>
            </w:r>
          </w:p>
        </w:tc>
        <w:tc>
          <w:tcPr>
            <w:tcW w:w="6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2022</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(5,916)</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(8,940)</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628"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7" w:type="dxa"/>
            <w:gridSpan w:val="3"/>
            <w:tcBorders/>
            <w:shd w:fill="auto" w:val="clear"/>
            <w:vAlign w:val="center"/>
          </w:tcPr>
          <w:p>
            <w:pPr>
              <w:pStyle w:val="TableContents"/>
              <w:spacing w:before="0" w:after="283"/>
              <w:rPr>
                <w:sz w:val="4"/>
                <w:szCs w:val="4"/>
              </w:rPr>
            </w:pPr>
            <w:r>
              <w:rPr>
                <w:sz w:val="4"/>
                <w:szCs w:val="4"/>
              </w:rPr>
            </w:r>
          </w:p>
        </w:tc>
      </w:tr>
      <w:tr>
        <w:trPr/>
        <w:tc>
          <w:tcPr>
            <w:tcW w:w="3628"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7" w:type="dxa"/>
            <w:gridSpan w:val="3"/>
            <w:tcBorders/>
            <w:shd w:fill="auto" w:val="clear"/>
            <w:vAlign w:val="center"/>
          </w:tcPr>
          <w:p>
            <w:pPr>
              <w:pStyle w:val="TableContents"/>
              <w:spacing w:before="0" w:after="283"/>
              <w:rPr>
                <w:sz w:val="4"/>
                <w:szCs w:val="4"/>
              </w:rPr>
            </w:pPr>
            <w:r>
              <w:rPr>
                <w:sz w:val="4"/>
                <w:szCs w:val="4"/>
              </w:rPr>
            </w:r>
          </w:p>
        </w:tc>
      </w:tr>
      <w:tr>
        <w:trPr/>
        <w:tc>
          <w:tcPr>
            <w:tcW w:w="3628"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7" w:type="dxa"/>
            <w:gridSpan w:val="3"/>
            <w:tcBorders/>
            <w:shd w:fill="auto" w:val="clear"/>
            <w:vAlign w:val="center"/>
          </w:tcPr>
          <w:p>
            <w:pPr>
              <w:pStyle w:val="TableContents"/>
              <w:spacing w:before="0" w:after="283"/>
              <w:rPr>
                <w:sz w:val="4"/>
                <w:szCs w:val="4"/>
              </w:rPr>
            </w:pPr>
            <w:r>
              <w:rPr>
                <w:sz w:val="4"/>
                <w:szCs w:val="4"/>
              </w:rPr>
            </w:r>
          </w:p>
        </w:tc>
      </w:tr>
      <w:tr>
        <w:trPr/>
        <w:tc>
          <w:tcPr>
            <w:tcW w:w="3628"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7" w:type="dxa"/>
            <w:gridSpan w:val="3"/>
            <w:tcBorders/>
            <w:shd w:fill="auto" w:val="clear"/>
            <w:vAlign w:val="center"/>
          </w:tcPr>
          <w:p>
            <w:pPr>
              <w:pStyle w:val="TableContents"/>
              <w:spacing w:before="0" w:after="283"/>
              <w:rPr>
                <w:sz w:val="4"/>
                <w:szCs w:val="4"/>
              </w:rPr>
            </w:pPr>
            <w:r>
              <w:rPr>
                <w:sz w:val="4"/>
                <w:szCs w:val="4"/>
              </w:rPr>
            </w:r>
          </w:p>
        </w:tc>
      </w:tr>
      <w:tr>
        <w:trPr/>
        <w:tc>
          <w:tcPr>
            <w:tcW w:w="3628"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7" w:type="dxa"/>
            <w:gridSpan w:val="3"/>
            <w:tcBorders/>
            <w:shd w:fill="auto" w:val="clear"/>
            <w:vAlign w:val="center"/>
          </w:tcPr>
          <w:p>
            <w:pPr>
              <w:pStyle w:val="TableContents"/>
              <w:spacing w:before="0" w:after="283"/>
              <w:rPr>
                <w:sz w:val="4"/>
                <w:szCs w:val="4"/>
              </w:rPr>
            </w:pPr>
            <w:r>
              <w:rPr>
                <w:sz w:val="4"/>
                <w:szCs w:val="4"/>
              </w:rPr>
            </w:r>
          </w:p>
        </w:tc>
      </w:tr>
      <w:tr>
        <w:trPr/>
        <w:tc>
          <w:tcPr>
            <w:tcW w:w="3628"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7" w:type="dxa"/>
            <w:gridSpan w:val="3"/>
            <w:tcBorders/>
            <w:shd w:fill="auto" w:val="clear"/>
            <w:vAlign w:val="center"/>
          </w:tcPr>
          <w:p>
            <w:pPr>
              <w:pStyle w:val="TableContents"/>
              <w:spacing w:before="0" w:after="283"/>
              <w:rPr>
                <w:sz w:val="4"/>
                <w:szCs w:val="4"/>
              </w:rPr>
            </w:pPr>
            <w:r>
              <w:rPr>
                <w:sz w:val="4"/>
                <w:szCs w:val="4"/>
              </w:rPr>
            </w:r>
          </w:p>
        </w:tc>
      </w:tr>
      <w:tr>
        <w:trPr/>
        <w:tc>
          <w:tcPr>
            <w:tcW w:w="3628"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7" w:type="dxa"/>
            <w:gridSpan w:val="3"/>
            <w:tcBorders/>
            <w:shd w:fill="auto" w:val="clear"/>
            <w:vAlign w:val="center"/>
          </w:tcPr>
          <w:p>
            <w:pPr>
              <w:pStyle w:val="TableContents"/>
              <w:spacing w:before="0" w:after="283"/>
              <w:rPr>
                <w:sz w:val="4"/>
                <w:szCs w:val="4"/>
              </w:rPr>
            </w:pPr>
            <w:r>
              <w:rPr>
                <w:sz w:val="4"/>
                <w:szCs w:val="4"/>
              </w:rPr>
            </w:r>
          </w:p>
        </w:tc>
      </w:tr>
      <w:tr>
        <w:trPr/>
        <w:tc>
          <w:tcPr>
            <w:tcW w:w="3628"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7" w:type="dxa"/>
            <w:gridSpan w:val="3"/>
            <w:tcBorders/>
            <w:shd w:fill="auto" w:val="clear"/>
            <w:vAlign w:val="center"/>
          </w:tcPr>
          <w:p>
            <w:pPr>
              <w:pStyle w:val="TableContents"/>
              <w:spacing w:before="0" w:after="283"/>
              <w:rPr>
                <w:sz w:val="4"/>
                <w:szCs w:val="4"/>
              </w:rPr>
            </w:pPr>
            <w:r>
              <w:rPr>
                <w:sz w:val="4"/>
                <w:szCs w:val="4"/>
              </w:rPr>
            </w:r>
          </w:p>
        </w:tc>
      </w:tr>
      <w:tr>
        <w:trPr/>
        <w:tc>
          <w:tcPr>
            <w:tcW w:w="3628"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7" w:type="dxa"/>
            <w:gridSpan w:val="3"/>
            <w:tcBorders/>
            <w:shd w:fill="auto" w:val="clear"/>
            <w:vAlign w:val="center"/>
          </w:tcPr>
          <w:p>
            <w:pPr>
              <w:pStyle w:val="TableContents"/>
              <w:spacing w:before="0" w:after="283"/>
              <w:rPr>
                <w:sz w:val="4"/>
                <w:szCs w:val="4"/>
              </w:rPr>
            </w:pPr>
            <w:r>
              <w:rPr>
                <w:sz w:val="4"/>
                <w:szCs w:val="4"/>
              </w:rPr>
            </w:r>
          </w:p>
        </w:tc>
      </w:tr>
      <w:tr>
        <w:trPr/>
        <w:tc>
          <w:tcPr>
            <w:tcW w:w="3628"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7" w:type="dxa"/>
            <w:gridSpan w:val="3"/>
            <w:tcBorders/>
            <w:shd w:fill="auto" w:val="clear"/>
            <w:vAlign w:val="center"/>
          </w:tcPr>
          <w:p>
            <w:pPr>
              <w:pStyle w:val="TableContents"/>
              <w:spacing w:before="0" w:after="283"/>
              <w:rPr>
                <w:sz w:val="4"/>
                <w:szCs w:val="4"/>
              </w:rPr>
            </w:pPr>
            <w:r>
              <w:rPr>
                <w:sz w:val="4"/>
                <w:szCs w:val="4"/>
              </w:rPr>
            </w:r>
          </w:p>
        </w:tc>
      </w:tr>
      <w:tr>
        <w:trPr/>
        <w:tc>
          <w:tcPr>
            <w:tcW w:w="3628"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7" w:type="dxa"/>
            <w:gridSpan w:val="3"/>
            <w:tcBorders/>
            <w:shd w:fill="auto" w:val="clear"/>
            <w:vAlign w:val="center"/>
          </w:tcPr>
          <w:p>
            <w:pPr>
              <w:pStyle w:val="TableContents"/>
              <w:spacing w:before="0" w:after="283"/>
              <w:rPr>
                <w:sz w:val="4"/>
                <w:szCs w:val="4"/>
              </w:rPr>
            </w:pPr>
            <w:r>
              <w:rPr>
                <w:sz w:val="4"/>
                <w:szCs w:val="4"/>
              </w:rPr>
            </w:r>
          </w:p>
        </w:tc>
      </w:tr>
      <w:tr>
        <w:trPr/>
        <w:tc>
          <w:tcPr>
            <w:tcW w:w="3628"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7" w:type="dxa"/>
            <w:gridSpan w:val="3"/>
            <w:tcBorders/>
            <w:shd w:fill="auto" w:val="clear"/>
            <w:vAlign w:val="center"/>
          </w:tcPr>
          <w:p>
            <w:pPr>
              <w:pStyle w:val="TableContents"/>
              <w:spacing w:before="0" w:after="283"/>
              <w:rPr>
                <w:sz w:val="4"/>
                <w:szCs w:val="4"/>
              </w:rPr>
            </w:pPr>
            <w:r>
              <w:rPr>
                <w:sz w:val="4"/>
                <w:szCs w:val="4"/>
              </w:rPr>
            </w:r>
          </w:p>
        </w:tc>
      </w:tr>
      <w:tr>
        <w:trPr/>
        <w:tc>
          <w:tcPr>
            <w:tcW w:w="3628"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7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v:rect>
            </w:pict>
          </mc:Fallback>
        </mc:AlternateContent>
      </w:r>
    </w:p>
    <w:p>
      <w:pPr>
        <w:pStyle w:val="TextBody"/>
        <w:spacing w:lineRule="auto" w:line="288" w:before="0" w:after="0"/>
        <w:jc w:val="both"/>
        <w:rPr/>
      </w:pPr>
      <w:hyperlink w:anchor="i46fbc2c07ce748d68317b3440587c97f_7">
        <w:r>
          <w:rPr>
            <w:rStyle w:val="InternetLink"/>
            <w:rFonts w:ascii="Arial;sans-serif" w:hAnsi="Arial;sans-serif"/>
            <w:b/>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GROUP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70" w:after="283"/>
        <w:jc w:val="both"/>
        <w:rPr>
          <w:rFonts w:ascii="Arial;sans-serif" w:hAnsi="Arial;sans-serif"/>
          <w:b/>
          <w:color w:val="000000"/>
          <w:sz w:val="20"/>
        </w:rPr>
      </w:pPr>
      <w:r>
        <w:rPr>
          <w:rFonts w:ascii="Arial;sans-serif" w:hAnsi="Arial;sans-serif"/>
          <w:b/>
          <w:color w:val="000000"/>
          <w:sz w:val="20"/>
        </w:rPr>
        <w:t>1. Basis of Presentation</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of American Airlines Group Inc. (we, us, our and similar terms, or AAG) should be read in conjunction with the consolidated financial statements contained in our Annual Report on Form 10-K for the year ended December 31, 2022. The accompanying unaudited condensed consolidated financial statements include the accounts of AAG and its wholly-owned subsidiaries. AAG’s principal subsidiary is American Airlines, Inc. (American). All significant intercompany transactions have been eliminated.</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the loyalty program, deferred tax assets, as well as pension and retiree medical and other postretirement benefits.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70" w:after="283"/>
        <w:jc w:val="both"/>
        <w:rPr>
          <w:rFonts w:ascii="Arial;sans-serif" w:hAnsi="Arial;sans-serif"/>
          <w:b/>
          <w:color w:val="000000"/>
          <w:sz w:val="20"/>
        </w:rPr>
      </w:pPr>
      <w:r>
        <w:rPr>
          <w:rFonts w:ascii="Arial;sans-serif" w:hAnsi="Arial;sans-serif"/>
          <w:b/>
          <w:color w:val="000000"/>
          <w:sz w:val="20"/>
        </w:rPr>
        <w:t>2. Special Items, Net</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Special items, net in the condensed consolidated statements of operations consisted of the following (in millions):</w:t>
      </w:r>
    </w:p>
    <w:tbl>
      <w:tblPr>
        <w:tblW w:w="6324" w:type="dxa"/>
        <w:jc w:val="left"/>
        <w:tblInd w:w="0" w:type="dxa"/>
        <w:tblCellMar>
          <w:top w:w="28" w:type="dxa"/>
          <w:left w:w="28" w:type="dxa"/>
          <w:bottom w:w="28" w:type="dxa"/>
          <w:right w:w="28" w:type="dxa"/>
        </w:tblCellMar>
      </w:tblPr>
      <w:tblGrid>
        <w:gridCol w:w="1196"/>
        <w:gridCol w:w="1048"/>
        <w:gridCol w:w="1055"/>
        <w:gridCol w:w="307"/>
        <w:gridCol w:w="548"/>
        <w:gridCol w:w="158"/>
        <w:gridCol w:w="158"/>
        <w:gridCol w:w="158"/>
        <w:gridCol w:w="158"/>
        <w:gridCol w:w="307"/>
        <w:gridCol w:w="592"/>
        <w:gridCol w:w="158"/>
        <w:gridCol w:w="109"/>
        <w:gridCol w:w="109"/>
        <w:gridCol w:w="109"/>
        <w:gridCol w:w="154"/>
      </w:tblGrid>
      <w:tr>
        <w:trPr/>
        <w:tc>
          <w:tcPr>
            <w:tcW w:w="1196"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Severance expenses </w:t>
            </w:r>
            <w:r>
              <w:rPr>
                <w:rFonts w:ascii="Arial;sans-serif" w:hAnsi="Arial;sans-serif"/>
                <w:b w:val="false"/>
                <w:color w:val="000000"/>
                <w:sz w:val="13"/>
              </w:rPr>
              <w:t>(1)</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Fleet impairment </w:t>
            </w:r>
            <w:r>
              <w:rPr>
                <w:rFonts w:ascii="Arial;sans-serif" w:hAnsi="Arial;sans-serif"/>
                <w:b w:val="false"/>
                <w:color w:val="000000"/>
                <w:sz w:val="13"/>
              </w:rPr>
              <w:t>(2)</w:t>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0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0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special items, net</w:t>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Mainline operating special items, net</w:t>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0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0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0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0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0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0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0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0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0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0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0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Nonoperating special items, net </w:t>
            </w:r>
            <w:r>
              <w:rPr>
                <w:rFonts w:ascii="Arial;sans-serif" w:hAnsi="Arial;sans-serif"/>
                <w:b w:val="false"/>
                <w:color w:val="000000"/>
                <w:sz w:val="13"/>
              </w:rPr>
              <w:t>(3)</w:t>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0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0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Severance expenses in the first quarter of 2023 primarily included costs associated with headcount reductions in certain corporate functions.</w:t>
      </w:r>
    </w:p>
    <w:p>
      <w:pPr>
        <w:pStyle w:val="TextBody"/>
        <w:spacing w:lineRule="auto" w:line="288" w:before="180" w:after="283"/>
        <w:ind w:left="0" w:right="0" w:hanging="360"/>
        <w:jc w:val="both"/>
        <w:rPr/>
      </w:pPr>
      <w:r>
        <w:rPr>
          <w:rFonts w:ascii="Arial;sans-serif" w:hAnsi="Arial;sans-serif"/>
          <w:b w:val="false"/>
          <w:color w:val="000000"/>
          <w:sz w:val="13"/>
        </w:rPr>
        <w:t>(2)</w:t>
      </w:r>
      <w:r>
        <w:rPr>
          <w:rFonts w:ascii="Arial;sans-serif" w:hAnsi="Arial;sans-serif"/>
          <w:b w:val="false"/>
          <w:color w:val="000000"/>
          <w:sz w:val="20"/>
        </w:rPr>
        <w:t>Fleet impairment in the first quarter of 2022 included a non-cash impairment charge to write down the carrying value of our retired Airbus A330 fleet to the estimated fair value due to the market conditions for certain used aircraft. We retired our Airbus A330 fleet in 2020 as a result of the decline in demand for air travel due to the COVID-19 pandemic.</w:t>
      </w:r>
    </w:p>
    <w:p>
      <w:pPr>
        <w:pStyle w:val="TextBody"/>
        <w:spacing w:lineRule="auto" w:line="288" w:before="180" w:after="283"/>
        <w:ind w:left="0" w:right="0" w:hanging="360"/>
        <w:jc w:val="both"/>
        <w:rPr/>
      </w:pPr>
      <w:r>
        <w:rPr>
          <w:rFonts w:ascii="Arial;sans-serif" w:hAnsi="Arial;sans-serif"/>
          <w:b w:val="false"/>
          <w:color w:val="000000"/>
          <w:sz w:val="13"/>
        </w:rPr>
        <w:t>(3)</w:t>
      </w:r>
      <w:r>
        <w:rPr>
          <w:rFonts w:ascii="Arial;sans-serif" w:hAnsi="Arial;sans-serif"/>
          <w:b w:val="false"/>
          <w:color w:val="000000"/>
          <w:sz w:val="20"/>
        </w:rPr>
        <w:t>Nonoperating special items, net principally included charges associated with debt refinancings and extinguishments.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v:rect>
            </w:pict>
          </mc:Fallback>
        </mc:AlternateContent>
      </w:r>
    </w:p>
    <w:p>
      <w:pPr>
        <w:pStyle w:val="TextBody"/>
        <w:spacing w:lineRule="auto" w:line="288" w:before="0" w:after="0"/>
        <w:rPr/>
      </w:pPr>
      <w:hyperlink w:anchor="i46fbc2c07ce748d68317b3440587c97f_7">
        <w:r>
          <w:rPr>
            <w:rStyle w:val="InternetLink"/>
            <w:rFonts w:ascii="Arial;sans-serif" w:hAnsi="Arial;sans-serif"/>
            <w:b/>
            <w:color w:val="0000FF"/>
            <w:sz w:val="20"/>
            <w:u w:val="single"/>
          </w:rPr>
          <w:t>Table of Contents</w:t>
        </w:r>
      </w:hyperlink>
    </w:p>
    <w:p>
      <w:pPr>
        <w:pStyle w:val="TextBody"/>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GROUP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lineRule="auto" w:line="288" w:before="270" w:after="283"/>
        <w:jc w:val="both"/>
        <w:rPr>
          <w:rFonts w:ascii="Arial;sans-serif" w:hAnsi="Arial;sans-serif"/>
          <w:b/>
          <w:color w:val="000000"/>
          <w:sz w:val="20"/>
        </w:rPr>
      </w:pPr>
      <w:r>
        <w:rPr>
          <w:rFonts w:ascii="Arial;sans-serif" w:hAnsi="Arial;sans-serif"/>
          <w:b/>
          <w:color w:val="000000"/>
          <w:sz w:val="20"/>
        </w:rPr>
        <w:t>3. Earnings (Loss) Per Common Share</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table provides the computation of basic and diluted earnings (loss) per common share (EPS) (in millions, except share and per share amounts):</w:t>
      </w:r>
    </w:p>
    <w:tbl>
      <w:tblPr>
        <w:tblW w:w="9042" w:type="dxa"/>
        <w:jc w:val="left"/>
        <w:tblInd w:w="0" w:type="dxa"/>
        <w:tblCellMar>
          <w:top w:w="28" w:type="dxa"/>
          <w:left w:w="28" w:type="dxa"/>
          <w:bottom w:w="28" w:type="dxa"/>
          <w:right w:w="28" w:type="dxa"/>
        </w:tblCellMar>
      </w:tblPr>
      <w:tblGrid>
        <w:gridCol w:w="2172"/>
        <w:gridCol w:w="1917"/>
        <w:gridCol w:w="1925"/>
        <w:gridCol w:w="243"/>
        <w:gridCol w:w="623"/>
        <w:gridCol w:w="125"/>
        <w:gridCol w:w="125"/>
        <w:gridCol w:w="125"/>
        <w:gridCol w:w="125"/>
        <w:gridCol w:w="243"/>
        <w:gridCol w:w="813"/>
        <w:gridCol w:w="125"/>
        <w:gridCol w:w="109"/>
        <w:gridCol w:w="109"/>
        <w:gridCol w:w="109"/>
        <w:gridCol w:w="154"/>
      </w:tblGrid>
      <w:tr>
        <w:trPr/>
        <w:tc>
          <w:tcPr>
            <w:tcW w:w="2172" w:type="dxa"/>
            <w:tcBorders/>
            <w:shd w:fill="auto" w:val="clear"/>
            <w:vAlign w:val="center"/>
          </w:tcPr>
          <w:p>
            <w:pPr>
              <w:pStyle w:val="TableContents"/>
              <w:spacing w:before="0" w:after="283"/>
              <w:rPr>
                <w:sz w:val="4"/>
                <w:szCs w:val="4"/>
              </w:rPr>
            </w:pPr>
            <w:r>
              <w:rPr>
                <w:sz w:val="4"/>
                <w:szCs w:val="4"/>
              </w:rPr>
            </w:r>
          </w:p>
        </w:tc>
        <w:tc>
          <w:tcPr>
            <w:tcW w:w="1917" w:type="dxa"/>
            <w:tcBorders/>
            <w:shd w:fill="auto" w:val="clear"/>
            <w:vAlign w:val="center"/>
          </w:tcPr>
          <w:p>
            <w:pPr>
              <w:pStyle w:val="TableContents"/>
              <w:spacing w:before="0" w:after="283"/>
              <w:rPr>
                <w:sz w:val="4"/>
                <w:szCs w:val="4"/>
              </w:rPr>
            </w:pPr>
            <w:r>
              <w:rPr>
                <w:sz w:val="4"/>
                <w:szCs w:val="4"/>
              </w:rPr>
            </w:r>
          </w:p>
        </w:tc>
        <w:tc>
          <w:tcPr>
            <w:tcW w:w="1925"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4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0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Basic EPS:</w:t>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(1,635)</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(in thousands)</w:t>
            </w:r>
          </w:p>
        </w:tc>
        <w:tc>
          <w:tcPr>
            <w:tcW w:w="8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652,000 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649,503 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EPS</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Diluted EPS:</w:t>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14"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14"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for purposes of computing diluted EPS</w:t>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(1,635)</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 computation for diluted EPS (in thousands):</w:t>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weighted average common shares outstanding</w:t>
            </w:r>
          </w:p>
        </w:tc>
        <w:tc>
          <w:tcPr>
            <w:tcW w:w="8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652,000 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649,503 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restricted stock unit awards</w:t>
            </w:r>
          </w:p>
        </w:tc>
        <w:tc>
          <w:tcPr>
            <w:tcW w:w="8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1,064 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certain PSP Warrants and Treasury Loan Warrants</w:t>
            </w:r>
          </w:p>
        </w:tc>
        <w:tc>
          <w:tcPr>
            <w:tcW w:w="8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3,643 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14"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weighted average common shares outstanding</w:t>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656,707 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649,503 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EPS</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were excluded from the calculation of diluted EPS because inclusion of such shares would be antidilutive (in thousands):</w:t>
      </w:r>
    </w:p>
    <w:tbl>
      <w:tblPr>
        <w:tblW w:w="6308" w:type="dxa"/>
        <w:jc w:val="center"/>
        <w:tblInd w:w="0" w:type="dxa"/>
        <w:tblCellMar>
          <w:top w:w="28" w:type="dxa"/>
          <w:left w:w="28" w:type="dxa"/>
          <w:bottom w:w="28" w:type="dxa"/>
          <w:right w:w="28" w:type="dxa"/>
        </w:tblCellMar>
      </w:tblPr>
      <w:tblGrid>
        <w:gridCol w:w="1016"/>
        <w:gridCol w:w="892"/>
        <w:gridCol w:w="896"/>
        <w:gridCol w:w="521"/>
        <w:gridCol w:w="283"/>
        <w:gridCol w:w="283"/>
        <w:gridCol w:w="283"/>
        <w:gridCol w:w="283"/>
        <w:gridCol w:w="283"/>
        <w:gridCol w:w="521"/>
        <w:gridCol w:w="283"/>
        <w:gridCol w:w="283"/>
        <w:gridCol w:w="109"/>
        <w:gridCol w:w="109"/>
        <w:gridCol w:w="109"/>
        <w:gridCol w:w="154"/>
      </w:tblGrid>
      <w:tr>
        <w:trPr/>
        <w:tc>
          <w:tcPr>
            <w:tcW w:w="1016"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84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6.50% convertible senior notes</w:t>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61,728 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61,728 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 unit awards</w:t>
            </w:r>
          </w:p>
        </w:tc>
        <w:tc>
          <w:tcPr>
            <w:tcW w:w="8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4,099 </w:t>
            </w:r>
          </w:p>
        </w:tc>
        <w:tc>
          <w:tcPr>
            <w:tcW w:w="2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3,933 </w:t>
            </w:r>
          </w:p>
        </w:tc>
        <w:tc>
          <w:tcPr>
            <w:tcW w:w="2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04"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c>
          <w:tcPr>
            <w:tcW w:w="849"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04"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c>
          <w:tcPr>
            <w:tcW w:w="849"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04"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c>
          <w:tcPr>
            <w:tcW w:w="849"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04"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c>
          <w:tcPr>
            <w:tcW w:w="849"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addition, for the three months ended March 31, 2023 and 2022, excluded from the calculation of diluted EPS because inclusion of such shares would be antidilutive are certain shares underlying the warrants we issued to the U.S. Department of Treasury (Treasury) pursuant to (i) the payroll support program established under the Coronavirus Aid, Relief, and Economic Security Act (PSP1), (ii) the payroll support program established under the Subtitle A of Title IV of Division N of the Consolidated Appropriations Act, 2021 (PSP2), (iii) the payroll support program established under the American Rescue Plan Act of 2021 (PSP3) (collectively, the PSP Warrants) and (iv) the Loan and Guarantee Agreement with Treasury (Treasury Loan Warrants).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table below provides a summary of the PSP Warrants and the Treasury Loan Warrants:</w:t>
      </w:r>
    </w:p>
    <w:tbl>
      <w:tblPr>
        <w:tblW w:w="10205" w:type="dxa"/>
        <w:jc w:val="left"/>
        <w:tblInd w:w="0" w:type="dxa"/>
        <w:tblCellMar>
          <w:top w:w="28" w:type="dxa"/>
          <w:left w:w="28" w:type="dxa"/>
          <w:bottom w:w="28" w:type="dxa"/>
          <w:right w:w="28" w:type="dxa"/>
        </w:tblCellMar>
      </w:tblPr>
      <w:tblGrid>
        <w:gridCol w:w="787"/>
        <w:gridCol w:w="689"/>
        <w:gridCol w:w="697"/>
        <w:gridCol w:w="109"/>
        <w:gridCol w:w="109"/>
        <w:gridCol w:w="109"/>
        <w:gridCol w:w="1052"/>
        <w:gridCol w:w="1052"/>
        <w:gridCol w:w="1055"/>
        <w:gridCol w:w="109"/>
        <w:gridCol w:w="109"/>
        <w:gridCol w:w="109"/>
        <w:gridCol w:w="260"/>
        <w:gridCol w:w="799"/>
        <w:gridCol w:w="134"/>
        <w:gridCol w:w="109"/>
        <w:gridCol w:w="109"/>
        <w:gridCol w:w="109"/>
        <w:gridCol w:w="786"/>
        <w:gridCol w:w="786"/>
        <w:gridCol w:w="1127"/>
      </w:tblGrid>
      <w:tr>
        <w:trPr/>
        <w:tc>
          <w:tcPr>
            <w:tcW w:w="787"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r>
      <w:tr>
        <w:trPr/>
        <w:tc>
          <w:tcPr>
            <w:tcW w:w="217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Warrants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Warrants Issued (shares,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Expiration</w:t>
            </w:r>
          </w:p>
        </w:tc>
      </w:tr>
      <w:tr>
        <w:trPr/>
        <w:tc>
          <w:tcPr>
            <w:tcW w:w="217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PSP1 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14,048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April 2025 to September 2025</w:t>
            </w:r>
          </w:p>
        </w:tc>
      </w:tr>
      <w:tr>
        <w:trPr/>
        <w:tc>
          <w:tcPr>
            <w:tcW w:w="21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PSP2 Warrants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15.66 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January 2026 to April 2026</w:t>
            </w:r>
          </w:p>
        </w:tc>
      </w:tr>
      <w:tr>
        <w:trPr/>
        <w:tc>
          <w:tcPr>
            <w:tcW w:w="21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PSP3 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21.75 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April 2026 to June 2026</w:t>
            </w:r>
          </w:p>
        </w:tc>
      </w:tr>
      <w:tr>
        <w:trPr/>
        <w:tc>
          <w:tcPr>
            <w:tcW w:w="21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Treasury Loan Warrants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12.51 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2025</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v:rect>
            </w:pict>
          </mc:Fallback>
        </mc:AlternateContent>
      </w:r>
    </w:p>
    <w:p>
      <w:pPr>
        <w:pStyle w:val="TextBody"/>
        <w:spacing w:lineRule="auto" w:line="288" w:before="0" w:after="0"/>
        <w:rPr/>
      </w:pPr>
      <w:hyperlink w:anchor="i46fbc2c07ce748d68317b3440587c97f_7">
        <w:r>
          <w:rPr>
            <w:rStyle w:val="InternetLink"/>
            <w:rFonts w:ascii="Arial;sans-serif" w:hAnsi="Arial;sans-serif"/>
            <w:b/>
            <w:color w:val="0000FF"/>
            <w:sz w:val="20"/>
            <w:u w:val="single"/>
          </w:rPr>
          <w:t>Table of Contents</w:t>
        </w:r>
      </w:hyperlink>
    </w:p>
    <w:p>
      <w:pPr>
        <w:pStyle w:val="TextBody"/>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GROUP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lineRule="auto" w:line="288" w:before="270" w:after="283"/>
        <w:jc w:val="both"/>
        <w:rPr>
          <w:rFonts w:ascii="Arial;sans-serif" w:hAnsi="Arial;sans-serif"/>
          <w:b/>
          <w:color w:val="000000"/>
          <w:sz w:val="20"/>
        </w:rPr>
      </w:pPr>
      <w:r>
        <w:rPr>
          <w:rFonts w:ascii="Arial;sans-serif" w:hAnsi="Arial;sans-serif"/>
          <w:b/>
          <w:color w:val="000000"/>
          <w:sz w:val="20"/>
        </w:rPr>
        <w:t>4. Revenue Recognition</w:t>
      </w:r>
    </w:p>
    <w:p>
      <w:pPr>
        <w:pStyle w:val="TextBody"/>
        <w:spacing w:lineRule="auto" w:line="288" w:before="90" w:after="283"/>
        <w:ind w:left="0" w:right="0" w:firstLine="270"/>
        <w:rPr>
          <w:rFonts w:ascii="Arial;sans-serif" w:hAnsi="Arial;sans-serif"/>
          <w:b/>
          <w:i/>
          <w:color w:val="000000"/>
          <w:sz w:val="20"/>
          <w:u w:val="single"/>
        </w:rPr>
      </w:pPr>
      <w:r>
        <w:rPr>
          <w:rFonts w:ascii="Arial;sans-serif" w:hAnsi="Arial;sans-serif"/>
          <w:b/>
          <w:i/>
          <w:color w:val="000000"/>
          <w:sz w:val="20"/>
          <w:u w:val="single"/>
        </w:rPr>
        <w:t>Revenue</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are the significant categories comprising our operating revenues (in millions):</w:t>
      </w:r>
    </w:p>
    <w:tbl>
      <w:tblPr>
        <w:tblW w:w="6416" w:type="dxa"/>
        <w:jc w:val="center"/>
        <w:tblInd w:w="0" w:type="dxa"/>
        <w:tblCellMar>
          <w:top w:w="28" w:type="dxa"/>
          <w:left w:w="28" w:type="dxa"/>
          <w:bottom w:w="28" w:type="dxa"/>
          <w:right w:w="28" w:type="dxa"/>
        </w:tblCellMar>
      </w:tblPr>
      <w:tblGrid>
        <w:gridCol w:w="1229"/>
        <w:gridCol w:w="1077"/>
        <w:gridCol w:w="1083"/>
        <w:gridCol w:w="227"/>
        <w:gridCol w:w="810"/>
        <w:gridCol w:w="117"/>
        <w:gridCol w:w="117"/>
        <w:gridCol w:w="117"/>
        <w:gridCol w:w="117"/>
        <w:gridCol w:w="227"/>
        <w:gridCol w:w="697"/>
        <w:gridCol w:w="117"/>
        <w:gridCol w:w="109"/>
        <w:gridCol w:w="109"/>
        <w:gridCol w:w="109"/>
        <w:gridCol w:w="154"/>
      </w:tblGrid>
      <w:tr>
        <w:trPr/>
        <w:tc>
          <w:tcPr>
            <w:tcW w:w="1229"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 revenue:</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 travel</w:t>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10,291 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7,213 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70"/>
              <w:jc w:val="left"/>
              <w:rPr/>
            </w:pPr>
            <w:r>
              <w:rPr>
                <w:rFonts w:ascii="Arial;sans-serif" w:hAnsi="Arial;sans-serif"/>
                <w:b w:val="false"/>
                <w:color w:val="000000"/>
                <w:sz w:val="20"/>
              </w:rPr>
              <w:t xml:space="preserve">Loyalty revenue - travel </w:t>
            </w:r>
            <w:r>
              <w:rPr>
                <w:rFonts w:ascii="Arial;sans-serif" w:hAnsi="Arial;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passenger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11,103 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7,818 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1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Loyalty revenue - marketing services </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revenue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12,189 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8,899 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Loyalty revenue included in passenger revenue is principally comprised of mileage credit redemptions, which were earned from travel or co-branded credit card and other partners.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is our total passenger revenue by geographic region (in millions):</w:t>
      </w:r>
    </w:p>
    <w:tbl>
      <w:tblPr>
        <w:tblW w:w="5292" w:type="dxa"/>
        <w:jc w:val="center"/>
        <w:tblInd w:w="0" w:type="dxa"/>
        <w:tblCellMar>
          <w:top w:w="28" w:type="dxa"/>
          <w:left w:w="28" w:type="dxa"/>
          <w:bottom w:w="28" w:type="dxa"/>
          <w:right w:w="28" w:type="dxa"/>
        </w:tblCellMar>
      </w:tblPr>
      <w:tblGrid>
        <w:gridCol w:w="818"/>
        <w:gridCol w:w="721"/>
        <w:gridCol w:w="726"/>
        <w:gridCol w:w="227"/>
        <w:gridCol w:w="810"/>
        <w:gridCol w:w="117"/>
        <w:gridCol w:w="117"/>
        <w:gridCol w:w="117"/>
        <w:gridCol w:w="117"/>
        <w:gridCol w:w="227"/>
        <w:gridCol w:w="697"/>
        <w:gridCol w:w="117"/>
        <w:gridCol w:w="109"/>
        <w:gridCol w:w="109"/>
        <w:gridCol w:w="109"/>
        <w:gridCol w:w="154"/>
      </w:tblGrid>
      <w:tr>
        <w:trPr/>
        <w:tc>
          <w:tcPr>
            <w:tcW w:w="818"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Domestic</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8,037 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1,915 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1,227 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Atlantic</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Pacific</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passenger revenue</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11,103 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7,818 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We attribute passenger revenue by geographic region based upon the origin and destination of each flight segment.</w:t>
      </w:r>
    </w:p>
    <w:p>
      <w:pPr>
        <w:pStyle w:val="TextBody"/>
        <w:spacing w:lineRule="auto" w:line="288" w:before="270" w:after="283"/>
        <w:ind w:left="0" w:right="0" w:firstLine="270"/>
        <w:rPr>
          <w:rFonts w:ascii="Arial;sans-serif" w:hAnsi="Arial;sans-serif"/>
          <w:b/>
          <w:i/>
          <w:color w:val="000000"/>
          <w:sz w:val="20"/>
          <w:u w:val="single"/>
        </w:rPr>
      </w:pPr>
      <w:r>
        <w:rPr>
          <w:rFonts w:ascii="Arial;sans-serif" w:hAnsi="Arial;sans-serif"/>
          <w:b/>
          <w:i/>
          <w:color w:val="000000"/>
          <w:sz w:val="20"/>
          <w:u w:val="single"/>
        </w:rPr>
        <w:t>Contract Balances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Our significant contract liabilities are comprised of (1) outstanding loyalty program mileage credits that may be redeemed for future travel and other non-air travel awards, reported as loyalty program liability on the condensed consolidated balance sheets and (2) ticket sales for transportation that has not yet been provided, reported as air traffic liability on the condensed consolidated balance sheets.</w:t>
      </w:r>
    </w:p>
    <w:tbl>
      <w:tblPr>
        <w:tblW w:w="5380" w:type="dxa"/>
        <w:jc w:val="center"/>
        <w:tblInd w:w="0" w:type="dxa"/>
        <w:tblCellMar>
          <w:top w:w="28" w:type="dxa"/>
          <w:left w:w="28" w:type="dxa"/>
          <w:bottom w:w="28" w:type="dxa"/>
          <w:right w:w="28" w:type="dxa"/>
        </w:tblCellMar>
      </w:tblPr>
      <w:tblGrid>
        <w:gridCol w:w="787"/>
        <w:gridCol w:w="692"/>
        <w:gridCol w:w="695"/>
        <w:gridCol w:w="248"/>
        <w:gridCol w:w="884"/>
        <w:gridCol w:w="128"/>
        <w:gridCol w:w="109"/>
        <w:gridCol w:w="109"/>
        <w:gridCol w:w="109"/>
        <w:gridCol w:w="306"/>
        <w:gridCol w:w="1090"/>
        <w:gridCol w:w="223"/>
      </w:tblGrid>
      <w:tr>
        <w:trPr/>
        <w:tc>
          <w:tcPr>
            <w:tcW w:w="787"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bottom w:val="single" w:sz="8" w:space="0" w:color="FFFFFF"/>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61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2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Loyalty program liability</w:t>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9,367 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9,145 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 traffic liability</w:t>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9,053 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6,745 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18,420 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15,890 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v:rect>
            </w:pict>
          </mc:Fallback>
        </mc:AlternateContent>
      </w:r>
    </w:p>
    <w:p>
      <w:pPr>
        <w:pStyle w:val="TextBody"/>
        <w:spacing w:lineRule="auto" w:line="288" w:before="0" w:after="0"/>
        <w:rPr/>
      </w:pPr>
      <w:hyperlink w:anchor="i46fbc2c07ce748d68317b3440587c97f_7">
        <w:r>
          <w:rPr>
            <w:rStyle w:val="InternetLink"/>
            <w:rFonts w:ascii="Arial;sans-serif" w:hAnsi="Arial;sans-serif"/>
            <w:b/>
            <w:color w:val="0000FF"/>
            <w:sz w:val="20"/>
            <w:u w:val="single"/>
          </w:rPr>
          <w:t>Table of Contents</w:t>
        </w:r>
      </w:hyperlink>
    </w:p>
    <w:p>
      <w:pPr>
        <w:pStyle w:val="TextBody"/>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GROUP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tbl>
      <w:tblPr>
        <w:tblW w:w="3816" w:type="dxa"/>
        <w:jc w:val="left"/>
        <w:tblInd w:w="0" w:type="dxa"/>
        <w:tblCellMar>
          <w:top w:w="28" w:type="dxa"/>
          <w:left w:w="28" w:type="dxa"/>
          <w:bottom w:w="28" w:type="dxa"/>
          <w:right w:w="28" w:type="dxa"/>
        </w:tblCellMar>
      </w:tblPr>
      <w:tblGrid>
        <w:gridCol w:w="1015"/>
        <w:gridCol w:w="892"/>
        <w:gridCol w:w="898"/>
        <w:gridCol w:w="211"/>
        <w:gridCol w:w="646"/>
        <w:gridCol w:w="154"/>
      </w:tblGrid>
      <w:tr>
        <w:trPr/>
        <w:tc>
          <w:tcPr>
            <w:tcW w:w="1015"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December 31, 2022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9,145 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Deferral of revenue</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Recognition of revenue </w:t>
            </w:r>
            <w:r>
              <w:rPr>
                <w:rFonts w:ascii="Arial;sans-serif" w:hAnsi="Arial;sans-serif"/>
                <w:b w:val="false"/>
                <w:color w:val="000000"/>
                <w:sz w:val="13"/>
              </w:rPr>
              <w:t>(1)</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Balance at March 31, 2023 </w:t>
            </w:r>
            <w:r>
              <w:rPr>
                <w:rFonts w:ascii="Arial;sans-serif" w:hAnsi="Arial;sans-serif"/>
                <w:b w:val="false"/>
                <w:color w:val="000000"/>
                <w:sz w:val="13"/>
              </w:rPr>
              <w:t>(2)</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Principally relates to revenue recognized from the redemption of mileage credits for both air and non-air travel awards. Mileage credits are combined in one homogenous pool and are not separately identifiable. As such, the revenue is comprised of mileage credits that were part of the loyalty program deferred revenue balance at the beginning of the period, as well as mileage credits that were issued during the period.</w:t>
      </w:r>
    </w:p>
    <w:p>
      <w:pPr>
        <w:pStyle w:val="TextBody"/>
        <w:spacing w:lineRule="auto" w:line="288" w:before="180" w:after="283"/>
        <w:ind w:left="0" w:right="0" w:hanging="360"/>
        <w:jc w:val="both"/>
        <w:rPr/>
      </w:pPr>
      <w:r>
        <w:rPr>
          <w:rFonts w:ascii="Arial;sans-serif" w:hAnsi="Arial;sans-serif"/>
          <w:b w:val="false"/>
          <w:color w:val="000000"/>
          <w:sz w:val="13"/>
        </w:rPr>
        <w:t>(2)</w:t>
      </w:r>
      <w:r>
        <w:rPr>
          <w:rFonts w:ascii="Arial;sans-serif" w:hAnsi="Arial;sans-serif"/>
          <w:b w:val="false"/>
          <w:color w:val="000000"/>
          <w:sz w:val="20"/>
        </w:rPr>
        <w:t xml:space="preserve">Mileage credits can be redeemed at any time and generally do not expire as long as that AAdvantage member has any type of qualifying activity at least every 24 months or if the AAdvantage member is the primary holder of a co-branded credit card. As of March 31, 2023, our current loyalty program liability was $3.5 billion and represents our current estimate of revenue expected to be recognized in the next 12 months based on historical as well as projected trends, with the balance reflected in long-term loyalty program liability expected to be recognized as revenue in periods thereafter. </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air traffic liability principally represents tickets sold for future travel on American and partner airlines. The balance in our air traffic liability also fluctuates with seasonal travel patterns. The contract duration of passenger tickets is generally one year. Accordingly, any revenue associated with tickets sold for future travel will be recognized within 12 months. For the three months ended March 31, 2023, $3.8 billion of revenue was recognized in passenger revenue that was included in our air traffic liability at December 31, 2022. Tickets issued in 2022 and thereafter are no longer subject to change fees which provides more flexibility for customers to change travel plans. Given this new flexibility offered to our customers, our estimate of revenue that will be recognized from the air traffic liability for future flown or unused tickets may be subject to variability and differ from historical experience.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v:rect>
            </w:pict>
          </mc:Fallback>
        </mc:AlternateContent>
      </w:r>
    </w:p>
    <w:p>
      <w:pPr>
        <w:pStyle w:val="TextBody"/>
        <w:spacing w:lineRule="auto" w:line="288" w:before="0" w:after="0"/>
        <w:rPr/>
      </w:pPr>
      <w:hyperlink w:anchor="i46fbc2c07ce748d68317b3440587c97f_7">
        <w:r>
          <w:rPr>
            <w:rStyle w:val="InternetLink"/>
            <w:rFonts w:ascii="Arial;sans-serif" w:hAnsi="Arial;sans-serif"/>
            <w:b/>
            <w:color w:val="0000FF"/>
            <w:sz w:val="20"/>
            <w:u w:val="single"/>
          </w:rPr>
          <w:t>Table of Contents</w:t>
        </w:r>
      </w:hyperlink>
    </w:p>
    <w:p>
      <w:pPr>
        <w:pStyle w:val="TextBody"/>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GROUP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lineRule="auto" w:line="288" w:before="270" w:after="283"/>
        <w:jc w:val="both"/>
        <w:rPr>
          <w:rFonts w:ascii="Arial;sans-serif" w:hAnsi="Arial;sans-serif"/>
          <w:b/>
          <w:color w:val="000000"/>
          <w:sz w:val="20"/>
        </w:rPr>
      </w:pPr>
      <w:r>
        <w:rPr>
          <w:rFonts w:ascii="Arial;sans-serif" w:hAnsi="Arial;sans-serif"/>
          <w:b/>
          <w:color w:val="000000"/>
          <w:sz w:val="20"/>
        </w:rPr>
        <w:t>5. Debt</w:t>
      </w:r>
    </w:p>
    <w:p>
      <w:pPr>
        <w:pStyle w:val="TextBody"/>
        <w:spacing w:lineRule="auto" w:line="288" w:before="90" w:after="180"/>
        <w:ind w:left="0" w:right="0" w:firstLine="270"/>
        <w:jc w:val="both"/>
        <w:rPr>
          <w:rFonts w:ascii="Arial;sans-serif" w:hAnsi="Arial;sans-serif"/>
          <w:b w:val="false"/>
          <w:color w:val="000000"/>
          <w:sz w:val="20"/>
        </w:rPr>
      </w:pPr>
      <w:r>
        <w:rPr>
          <w:rFonts w:ascii="Arial;sans-serif" w:hAnsi="Arial;sans-serif"/>
          <w:b w:val="false"/>
          <w:color w:val="000000"/>
          <w:sz w:val="20"/>
        </w:rPr>
        <w:t>Long-term debt included in the condensed consolidated balance sheets consisted of (in millions):</w:t>
      </w:r>
    </w:p>
    <w:tbl>
      <w:tblPr>
        <w:tblW w:w="10205" w:type="dxa"/>
        <w:jc w:val="left"/>
        <w:tblInd w:w="0" w:type="dxa"/>
        <w:tblCellMar>
          <w:top w:w="28" w:type="dxa"/>
          <w:left w:w="28" w:type="dxa"/>
          <w:bottom w:w="28" w:type="dxa"/>
          <w:right w:w="28" w:type="dxa"/>
        </w:tblCellMar>
      </w:tblPr>
      <w:tblGrid>
        <w:gridCol w:w="2672"/>
        <w:gridCol w:w="2325"/>
        <w:gridCol w:w="2339"/>
        <w:gridCol w:w="229"/>
        <w:gridCol w:w="818"/>
        <w:gridCol w:w="118"/>
        <w:gridCol w:w="109"/>
        <w:gridCol w:w="109"/>
        <w:gridCol w:w="109"/>
        <w:gridCol w:w="259"/>
        <w:gridCol w:w="923"/>
        <w:gridCol w:w="195"/>
      </w:tblGrid>
      <w:tr>
        <w:trPr/>
        <w:tc>
          <w:tcPr>
            <w:tcW w:w="2672" w:type="dxa"/>
            <w:tcBorders/>
            <w:shd w:fill="auto" w:val="clear"/>
            <w:vAlign w:val="center"/>
          </w:tcPr>
          <w:p>
            <w:pPr>
              <w:pStyle w:val="TableContents"/>
              <w:spacing w:before="0" w:after="283"/>
              <w:rPr>
                <w:sz w:val="4"/>
                <w:szCs w:val="4"/>
              </w:rPr>
            </w:pPr>
            <w:r>
              <w:rPr>
                <w:sz w:val="4"/>
                <w:szCs w:val="4"/>
              </w:rPr>
            </w:r>
          </w:p>
        </w:tc>
        <w:tc>
          <w:tcPr>
            <w:tcW w:w="2325" w:type="dxa"/>
            <w:tcBorders/>
            <w:shd w:fill="auto" w:val="clear"/>
            <w:vAlign w:val="center"/>
          </w:tcPr>
          <w:p>
            <w:pPr>
              <w:pStyle w:val="TableContents"/>
              <w:spacing w:before="0" w:after="283"/>
              <w:rPr>
                <w:sz w:val="4"/>
                <w:szCs w:val="4"/>
              </w:rPr>
            </w:pPr>
            <w:r>
              <w:rPr>
                <w:sz w:val="4"/>
                <w:szCs w:val="4"/>
              </w:rPr>
            </w:r>
          </w:p>
        </w:tc>
        <w:tc>
          <w:tcPr>
            <w:tcW w:w="233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r>
      <w:tr>
        <w:trPr/>
        <w:tc>
          <w:tcPr>
            <w:tcW w:w="7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7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Secured</w:t>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3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2013 Term Loan Facility, variable interest rate of 8.15%, installments through 2028</w:t>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1,752 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2014 Term Loan Facility, variable interest rate of 6.51%, installments through 2027</w:t>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1,183 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1,196 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6" w:type="dxa"/>
            <w:gridSpan w:val="3"/>
            <w:tcBorders/>
            <w:shd w:fill="auto" w:val="clear"/>
            <w:vAlign w:val="center"/>
          </w:tcPr>
          <w:p>
            <w:pPr>
              <w:pStyle w:val="TableContents"/>
              <w:spacing w:before="0" w:after="283"/>
              <w:rPr>
                <w:sz w:val="4"/>
                <w:szCs w:val="4"/>
              </w:rPr>
            </w:pPr>
            <w:r>
              <w:rPr>
                <w:sz w:val="4"/>
                <w:szCs w:val="4"/>
              </w:rPr>
            </w:r>
          </w:p>
        </w:tc>
        <w:tc>
          <w:tcPr>
            <w:tcW w:w="11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7" w:type="dxa"/>
            <w:gridSpan w:val="3"/>
            <w:tcBorders/>
            <w:shd w:fill="auto" w:val="clear"/>
            <w:vAlign w:val="center"/>
          </w:tcPr>
          <w:p>
            <w:pPr>
              <w:pStyle w:val="TableContents"/>
              <w:spacing w:before="0" w:after="283"/>
              <w:rPr>
                <w:sz w:val="4"/>
                <w:szCs w:val="4"/>
              </w:rPr>
            </w:pPr>
            <w:r>
              <w:rPr>
                <w:sz w:val="4"/>
                <w:szCs w:val="4"/>
              </w:rPr>
            </w:r>
          </w:p>
        </w:tc>
      </w:tr>
      <w:tr>
        <w:trPr/>
        <w:tc>
          <w:tcPr>
            <w:tcW w:w="733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11.75% senior secured notes, interest only payments until due in July 2025</w:t>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10.75% senior secured IP notes, interest only payments until due in February 2026</w:t>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10.75% senior secured LGA/DCA notes, interest only payments until due in February 2026</w:t>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7.25% senior secured notes, interest only payments until due in February 2028</w:t>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20"/>
              </w:rPr>
              <w:t xml:space="preserve">5.50% senior secured notes, installments beginning in July 2023 until due in April 2026 </w:t>
            </w:r>
            <w:r>
              <w:rPr>
                <w:rFonts w:ascii="Arial;sans-serif" w:hAnsi="Arial;sans-serif"/>
                <w:b w:val="false"/>
                <w:color w:val="000000"/>
                <w:sz w:val="13"/>
              </w:rPr>
              <w:t>(1)</w:t>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20"/>
              </w:rPr>
              <w:t xml:space="preserve">5.75% senior secured notes, installments beginning in July 2026 until due in April 2029 </w:t>
            </w:r>
            <w:r>
              <w:rPr>
                <w:rFonts w:ascii="Arial;sans-serif" w:hAnsi="Arial;sans-serif"/>
                <w:b w:val="false"/>
                <w:color w:val="000000"/>
                <w:sz w:val="13"/>
              </w:rPr>
              <w:t>(1)</w:t>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20"/>
              </w:rPr>
              <w:t xml:space="preserve">AAdvantage Term Loan Facility, variable interest rate of 9.56%, installments beginning in July 2023 through April 2028 </w:t>
            </w:r>
            <w:r>
              <w:rPr>
                <w:rFonts w:ascii="Arial;sans-serif" w:hAnsi="Arial;sans-serif"/>
                <w:b w:val="false"/>
                <w:color w:val="000000"/>
                <w:sz w:val="13"/>
              </w:rPr>
              <w:t>(1)</w:t>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Enhanced equipment trust certificates (EETCs), fixed interest rates ranging from 2.88% to 7.13%, averaging 3.70%, maturing from 2023 to 2034</w:t>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8,776 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9,175 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Equipment loans and other notes payable, fixed and variable interest rates ranging from 3.32% to 8.20%, averaging 6.37%, maturing from 2023 to 2035</w:t>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3,170 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Special facility revenue bonds, fixed interest rates ranging from 2.25% to 5.38%, maturing from 2026 to 2036</w:t>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1,050 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29,609 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30,043 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Unsecured</w:t>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PSP1 Promissory Note, interest only payments until due in April 2030</w:t>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1,757 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1,757 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PSP2 Promissory Note, interest only payments until due in January 2031</w:t>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1,030 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PSP3 Promissory Note, interest only payments until due in April 2031</w:t>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959 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959 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6.50% convertible senior notes, interest only payments until due in July 2025</w:t>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3.75% senior notes, interest only payments until due in March 2025</w:t>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6" w:type="dxa"/>
            <w:gridSpan w:val="3"/>
            <w:tcBorders/>
            <w:shd w:fill="auto" w:val="clear"/>
            <w:vAlign w:val="center"/>
          </w:tcPr>
          <w:p>
            <w:pPr>
              <w:pStyle w:val="TableContents"/>
              <w:spacing w:before="0" w:after="283"/>
              <w:rPr>
                <w:sz w:val="4"/>
                <w:szCs w:val="4"/>
              </w:rPr>
            </w:pPr>
            <w:r>
              <w:rPr>
                <w:sz w:val="4"/>
                <w:szCs w:val="4"/>
              </w:rPr>
            </w:r>
          </w:p>
        </w:tc>
        <w:tc>
          <w:tcPr>
            <w:tcW w:w="11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7" w:type="dxa"/>
            <w:gridSpan w:val="3"/>
            <w:tcBorders/>
            <w:shd w:fill="auto" w:val="clear"/>
            <w:vAlign w:val="center"/>
          </w:tcPr>
          <w:p>
            <w:pPr>
              <w:pStyle w:val="TableContents"/>
              <w:spacing w:before="0" w:after="283"/>
              <w:rPr>
                <w:sz w:val="4"/>
                <w:szCs w:val="4"/>
              </w:rPr>
            </w:pPr>
            <w:r>
              <w:rPr>
                <w:sz w:val="4"/>
                <w:szCs w:val="4"/>
              </w:rPr>
            </w:r>
          </w:p>
        </w:tc>
      </w:tr>
      <w:tr>
        <w:trPr/>
        <w:tc>
          <w:tcPr>
            <w:tcW w:w="7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5,246 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long-term debt</w:t>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34,855 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35,289 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Total unamortized debt discount, premium and issuance costs</w:t>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Current maturities</w:t>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3,059 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 of current maturities</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31,089 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31,844 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80"/>
        <w:ind w:left="0" w:right="0" w:hanging="360"/>
        <w:jc w:val="both"/>
        <w:rPr/>
      </w:pPr>
      <w:r>
        <w:rPr>
          <w:rFonts w:ascii="Arial;sans-serif" w:hAnsi="Arial;sans-serif"/>
          <w:b w:val="false"/>
          <w:color w:val="000000"/>
          <w:sz w:val="13"/>
        </w:rPr>
        <w:t>(1)</w:t>
      </w:r>
      <w:r>
        <w:rPr>
          <w:rFonts w:ascii="Arial;sans-serif" w:hAnsi="Arial;sans-serif"/>
          <w:b w:val="false"/>
          <w:color w:val="000000"/>
          <w:sz w:val="20"/>
        </w:rPr>
        <w:t>Collectively referred to as the AAdvantage Financing.</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As of March 31, 2023, the maximum availability under our revolving credit and other facilities is as follows (in millions):</w:t>
      </w:r>
    </w:p>
    <w:tbl>
      <w:tblPr>
        <w:tblW w:w="3606" w:type="dxa"/>
        <w:jc w:val="left"/>
        <w:tblInd w:w="0" w:type="dxa"/>
        <w:tblCellMar>
          <w:top w:w="28" w:type="dxa"/>
          <w:left w:w="28" w:type="dxa"/>
          <w:bottom w:w="28" w:type="dxa"/>
          <w:right w:w="28" w:type="dxa"/>
        </w:tblCellMar>
      </w:tblPr>
      <w:tblGrid>
        <w:gridCol w:w="939"/>
        <w:gridCol w:w="826"/>
        <w:gridCol w:w="830"/>
        <w:gridCol w:w="211"/>
        <w:gridCol w:w="646"/>
        <w:gridCol w:w="154"/>
      </w:tblGrid>
      <w:tr>
        <w:trPr/>
        <w:tc>
          <w:tcPr>
            <w:tcW w:w="939"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2013 Revolving Facility</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2014 Revolving Facility</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2016 Revolving Facility</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short-term facilities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v:rect>
            </w:pict>
          </mc:Fallback>
        </mc:AlternateContent>
      </w:r>
    </w:p>
    <w:p>
      <w:pPr>
        <w:pStyle w:val="TextBody"/>
        <w:spacing w:lineRule="auto" w:line="288" w:before="0" w:after="0"/>
        <w:rPr/>
      </w:pPr>
      <w:hyperlink w:anchor="i46fbc2c07ce748d68317b3440587c97f_7">
        <w:r>
          <w:rPr>
            <w:rStyle w:val="InternetLink"/>
            <w:rFonts w:ascii="Arial;sans-serif" w:hAnsi="Arial;sans-serif"/>
            <w:b/>
            <w:color w:val="0000FF"/>
            <w:sz w:val="20"/>
            <w:u w:val="single"/>
          </w:rPr>
          <w:t>Table of Contents</w:t>
        </w:r>
      </w:hyperlink>
    </w:p>
    <w:p>
      <w:pPr>
        <w:pStyle w:val="TextBody"/>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GROUP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 currently has $64 million of available borrowing base under a cargo receivables facility that is set to expire in December 2023. As a result of the below amendments to the 2013, 2014 and April 2016 Revolving Facilities, the aggregate commitments under these facilities will be $2.8 billion through October 11, 2024, and thereafter through October 13, 2026, such aggregate commitments will decrease to $2.2 billion.</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Secured financings, including revolving credit and other facilities, are collateralized by assets, consisting primarily of aircraft, engines, simulators, aircraft spare parts, airport gate leasehold rights, route authorities, airport slots, certain receivables, certain intellectual property and certain loyalty program assets.</w:t>
      </w:r>
    </w:p>
    <w:p>
      <w:pPr>
        <w:pStyle w:val="TextBody"/>
        <w:spacing w:lineRule="auto" w:line="288" w:before="270" w:after="283"/>
        <w:ind w:left="0" w:right="0" w:firstLine="270"/>
        <w:jc w:val="both"/>
        <w:rPr>
          <w:rFonts w:ascii="Arial;sans-serif" w:hAnsi="Arial;sans-serif"/>
          <w:b/>
          <w:i/>
          <w:color w:val="000000"/>
          <w:sz w:val="20"/>
          <w:u w:val="single"/>
        </w:rPr>
      </w:pPr>
      <w:r>
        <w:rPr>
          <w:rFonts w:ascii="Arial;sans-serif" w:hAnsi="Arial;sans-serif"/>
          <w:b/>
          <w:i/>
          <w:color w:val="000000"/>
          <w:sz w:val="20"/>
          <w:u w:val="single"/>
        </w:rPr>
        <w:t>6.50% Convertible Senior Notes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At March 31, 2023, the if-converted value of the 6.50% convertible senior notes due 2025 (the Convertible Notes) did not exceed the principal amount. The last reported sale price per share of our common stock (as defined in the indenture governing our Convertible Notes, the Convertible Notes Indenture) did not exceed 130% of the conversion price of the Convertible Notes for at least 20 of the 30 consecutive trading days ending on March 31, 2023. Accordingly, pursuant to the terms of the Convertible Notes Indenture, the holders of the Convertible Notes cannot convert at their option at any time during the quarter ending June 30, 2023. Each $1,000 principal amount of Convertible Notes is convertible at a rate of 61.7284 shares of our common stock, subject to adjustment as provided in the Convertible Notes Indenture. We may settle conversions by paying or delivering, as applicable, cash, shares of our common stock or a combination of cash and shares of our common stock, at our election.</w:t>
      </w:r>
    </w:p>
    <w:p>
      <w:pPr>
        <w:pStyle w:val="TextBody"/>
        <w:spacing w:lineRule="auto" w:line="288" w:before="270" w:after="283"/>
        <w:ind w:left="0" w:right="0" w:firstLine="270"/>
        <w:jc w:val="both"/>
        <w:rPr>
          <w:rFonts w:ascii="Arial;sans-serif" w:hAnsi="Arial;sans-serif"/>
          <w:b/>
          <w:i/>
          <w:color w:val="000000"/>
          <w:sz w:val="20"/>
          <w:u w:val="single"/>
        </w:rPr>
      </w:pPr>
      <w:r>
        <w:rPr>
          <w:rFonts w:ascii="Arial;sans-serif" w:hAnsi="Arial;sans-serif"/>
          <w:b/>
          <w:i/>
          <w:color w:val="000000"/>
          <w:sz w:val="20"/>
          <w:u w:val="single"/>
        </w:rPr>
        <w:t>2023 Financing Activities</w:t>
      </w:r>
    </w:p>
    <w:p>
      <w:pPr>
        <w:pStyle w:val="TextBody"/>
        <w:spacing w:lineRule="auto" w:line="288" w:before="90" w:after="283"/>
        <w:ind w:left="0" w:right="0" w:firstLine="270"/>
        <w:jc w:val="both"/>
        <w:rPr>
          <w:rFonts w:ascii="Arial;sans-serif" w:hAnsi="Arial;sans-serif"/>
          <w:b w:val="false"/>
          <w:i/>
          <w:color w:val="000000"/>
          <w:sz w:val="20"/>
        </w:rPr>
      </w:pPr>
      <w:r>
        <w:rPr>
          <w:rFonts w:ascii="Arial;sans-serif" w:hAnsi="Arial;sans-serif"/>
          <w:b w:val="false"/>
          <w:i/>
          <w:color w:val="000000"/>
          <w:sz w:val="20"/>
        </w:rPr>
        <w:t>2013 Credit Facilities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February 2023, American and AAG refinanced approximately $1.8 billion in aggregate principal amount of term loans outstanding under the 2013 Term Loan Facility (the 2013 Term Loan Facility Refinancing) through the combination of (i) the issuance of $750 million in aggregate principal amount of 7.25% senior secured notes due 2028 and (ii) the entry into the Seventh Amendment to the 2013 Credit Agreement, pursuant to which the maturity of $1.0 billion in term loans under the 2013 Term Loan Facility was extended to February 2028 from June 2025. The Seventh Amendment also amended certain other terms of the 2013 Credit Agreement, including the interest rate and amortization schedule for the 2013 Term Loan Facility, the requirements for delivery of appraisals and certain covenants relating to dispositions of collateral. Additionally, the Seventh Amendment transitioned the benchmark interest rate from LIBOR to the Secured Overnight Financing Rate (SOFR). As a result, the 2013 Term Loan Facility bears interest at a base rate (subject to a floor of 1.00%) plus an applicable margin of 1.75% or, at American’s option, the SOFR rate for a tenor of one, three or six months, depending on the interest period selected by American (subject to a floor of 0.00%), plus the SOFR adjustment applicable to such interest period and an applicable margin of 2.75%.</w:t>
      </w:r>
    </w:p>
    <w:p>
      <w:pPr>
        <w:pStyle w:val="TextBody"/>
        <w:spacing w:lineRule="auto" w:line="288" w:before="180" w:after="283"/>
        <w:ind w:left="0" w:right="0" w:firstLine="270"/>
        <w:jc w:val="both"/>
        <w:rPr/>
      </w:pPr>
      <w:r>
        <w:rPr>
          <w:rFonts w:ascii="Arial;sans-serif" w:hAnsi="Arial;sans-serif"/>
          <w:b w:val="false"/>
          <w:color w:val="000000"/>
          <w:sz w:val="20"/>
        </w:rPr>
        <w:t xml:space="preserve">In March 2023, American and AAG </w:t>
      </w:r>
      <w:r>
        <w:rPr>
          <w:rFonts w:ascii="Arial;sans-serif" w:hAnsi="Arial;sans-serif"/>
          <w:b w:val="false"/>
          <w:color w:val="000000"/>
          <w:sz w:val="20"/>
          <w:highlight w:val="white"/>
        </w:rPr>
        <w:t>entered into the Eighth Amendment to the 2013 Credit Agreement, pursuant to which American extended the maturity of certain commitments under the 2013 Revolving Facility. The Eighth Amendment also amended certain other terms of the 2013 Credit Agreement, including certain covenants and transitioned the benchmark interest rate from LIBOR to SOFR. T</w:t>
      </w:r>
      <w:r>
        <w:rPr>
          <w:rFonts w:ascii="Arial;sans-serif" w:hAnsi="Arial;sans-serif"/>
          <w:b w:val="false"/>
          <w:color w:val="000000"/>
          <w:sz w:val="20"/>
        </w:rPr>
        <w:t>he 2013 Revolving Facility bears interest at a base rate (subject to a floor of 1.00%) plus an applicable margin of 2.25%, 2.50% or 2.75%, depending on AAG’s public corporate rating, or, at American’s option, the SOFR rate for a tenor of one, three or six months, depending on the interest period selected by American (subject to a floor of 0.00%), plus the SOFR adjustment applicable to such interest period plus an applicable margin of 3.25%, 3.50% or 3.75%, depending on AAG’s public corporate rating. Additionally, as a result of the Eighth Amendment, through October 11, 2024, the aggregate commitments under the 2013 Revolving Facility will be $736 million, and thereafter through October 13, 2026, such aggregate commitments will decrease to $563 million.</w:t>
      </w:r>
    </w:p>
    <w:p>
      <w:pPr>
        <w:pStyle w:val="TextBody"/>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7.25% Senior Secured Notes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On February 15, 2023, as part of the 2013 Term Loan Facility Refinancing, American issued $750 million aggregate principal amount of 7.25% senior secured notes due 2028 (the 7.25% Senior Secured Notes) in a private offering. The 7.25% Senior Secured Notes were issued at par and bear interest at a rate of 7.25% per annum (subject to increase if the collateral coverage ratio described below is not met). Interest on the 7.25% Senior Secured Notes is payable semiannually in arrears on February 15 and August 15 of each year, beginning on August 15, 2023. The 7.25% Senior Secured Notes will mature on February 15, 2028. The obligations of American under the 7.25% Senior Secured Notes are fully and unconditionally guaranteed on a senior unsecured basis by AAG. American used the proceeds from the offering of the 7.25% Senior Secured Notes, together with cash on hand, to repay a portion of the term loans then outstanding under the 2013 Term Loan Facility and to pay related fees and expenses.</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v:rect>
            </w:pict>
          </mc:Fallback>
        </mc:AlternateContent>
      </w:r>
    </w:p>
    <w:p>
      <w:pPr>
        <w:pStyle w:val="TextBody"/>
        <w:spacing w:lineRule="auto" w:line="288" w:before="0" w:after="0"/>
        <w:rPr/>
      </w:pPr>
      <w:hyperlink w:anchor="i46fbc2c07ce748d68317b3440587c97f_7">
        <w:r>
          <w:rPr>
            <w:rStyle w:val="InternetLink"/>
            <w:rFonts w:ascii="Arial;sans-serif" w:hAnsi="Arial;sans-serif"/>
            <w:b/>
            <w:color w:val="0000FF"/>
            <w:sz w:val="20"/>
            <w:u w:val="single"/>
          </w:rPr>
          <w:t>Table of Contents</w:t>
        </w:r>
      </w:hyperlink>
    </w:p>
    <w:p>
      <w:pPr>
        <w:pStyle w:val="TextBody"/>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GROUP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7.25% Senior Secured Notes were issued pursuant to an indenture, dated as of February 15, 2023 (the 7.25% Senior Secured Notes Indenture), by and among American, AAG and Wilmington Trust, National Association, as trustee and collateral agent. The 7.25% Senior Secured Notes are American’s senior secured obligations and are secured on a first lien basis by security interests in certain assets, rights and properties that American uses to provide non-stop scheduled air carrier services between (a) certain airports in the United States and (b) airports in countries in South America (which comprises Argentina, Bolivia, Brazil, Chile, Colombia, Ecuador, Guyana, Paraguay, Peru, Suriname, Uruguay and Venezuela but does not include territories subject to the sovereignty, control or jurisdiction of a country not otherwise listed herein) and New Zealand (collectively, the 7.25% Senior Secured Notes Collateral). The 7.25% Senior Secured Notes Collateral also secures, on a first lien, pari passu basis with the 7.25% Senior Secured Notes, the 2013 Credit Facilities under the 2013 Credit Agreement.</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 may redeem the 7.25% Senior Secured Notes, in whole at any time or in part from time to time prior to February 15, 2025, at a redemption price equal to 100% of the principal amount of the 7.25% Senior Secured Notes to be redeemed, plus a “make-whole” premium, plus any accrued and unpaid interest thereon to but excluding the date of redemption. At any time on or after February 15, 2025, American may redeem all or any of the 7.25% Senior Secured Notes in whole at any time, or in part from time to time, at the redemption prices described in the 7.25% Senior Secured Notes Indenture, plus any accrued and unpaid interest thereon to but excluding the date of redemption. In addition, at any time prior to February 15, 2025, American may redeem up to 40% of the original aggregate principal amount of the 7.25% Senior Secured Notes (calculated after giving effect to any issuance of additional notes) with the net cash proceeds of certain equity offerings, at a redemption price equal to 107.250% of the aggregate principal amount of the 7.25% Senior Secured Notes to be redeemed, plus any accrued and unpaid interest thereon to but excluding the date of redemption.</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Further, if certain change of control transactions occur, each holder of 7.25% Senior Secured Notes may require American to repurchase the 7.25% Senior Secured Notes in whole or in part at a repurchase price of 101% of the aggregate principal amount thereof, plus accrued and unpaid interest, if any, to but not including the repurchase date.</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Twice per year, American is required to deliver an appraisal of the 7.25% Senior Secured Notes Collateral and an officer’s certificate demonstrating the calculation of a collateral coverage ratio in relation to the 7.25% Senior Secured Notes Collateral (the 7.25% Senior Secured Notes Collateral Coverage Ratio) as of the date of delivery of the appraisal for the applicable period. If the 7.25% Senior Secured Notes Collateral Coverage Ratio is less than 1.6 to 1.0 as of the date of delivery of the appraisal for the applicable period, then, subject to a cure period in which additional collateral can be provided or debt repaid such that American meets the required 7.25% Senior Secured Notes Collateral Coverage Ratio, American will be required to pay special interest in an additional amount equal to 2.0% per annum of the principal amount of the 7.25% Senior Secured Notes until the 7.25% Senior Secured Notes Collateral Coverage Ratio is established to be at least 1.6 to 1.0.</w:t>
      </w:r>
    </w:p>
    <w:p>
      <w:pPr>
        <w:pStyle w:val="TextBody"/>
        <w:spacing w:lineRule="auto" w:line="288" w:before="270" w:after="283"/>
        <w:ind w:left="0" w:right="0" w:firstLine="274"/>
        <w:jc w:val="both"/>
        <w:rPr>
          <w:rFonts w:ascii="Arial;sans-serif" w:hAnsi="Arial;sans-serif"/>
          <w:b w:val="false"/>
          <w:i/>
          <w:color w:val="000000"/>
          <w:sz w:val="20"/>
        </w:rPr>
      </w:pPr>
      <w:r>
        <w:rPr>
          <w:rFonts w:ascii="Arial;sans-serif" w:hAnsi="Arial;sans-serif"/>
          <w:b w:val="false"/>
          <w:i/>
          <w:color w:val="000000"/>
          <w:sz w:val="20"/>
        </w:rPr>
        <w:t>2014 Credit Facilities</w:t>
      </w:r>
    </w:p>
    <w:p>
      <w:pPr>
        <w:pStyle w:val="TextBody"/>
        <w:spacing w:lineRule="auto" w:line="288" w:before="90" w:after="283"/>
        <w:ind w:left="0" w:right="0" w:firstLine="270"/>
        <w:jc w:val="both"/>
        <w:rPr/>
      </w:pPr>
      <w:r>
        <w:rPr>
          <w:rFonts w:ascii="Arial;sans-serif" w:hAnsi="Arial;sans-serif"/>
          <w:b w:val="false"/>
          <w:color w:val="000000"/>
          <w:sz w:val="20"/>
        </w:rPr>
        <w:t xml:space="preserve">In March 2023, American and AAG entered </w:t>
      </w:r>
      <w:r>
        <w:rPr>
          <w:rFonts w:ascii="Arial;sans-serif" w:hAnsi="Arial;sans-serif"/>
          <w:b w:val="false"/>
          <w:color w:val="000000"/>
          <w:sz w:val="20"/>
          <w:highlight w:val="white"/>
        </w:rPr>
        <w:t>into the Ninth Amendment to the 2014 Credit Agreement, pursuant to which American extended the maturity of certain commitments under the 2014 Revolving Facility. The Ninth Amendment also amended certain other terms of the 2014 Credit Agreement including the requirements for delivery of appraisals and certain other covenants and transitioned the benchmark interest rate for the 2014 Revolving Facility and the 2014 Term Loan Facility from LIBOR to SOFR. T</w:t>
      </w:r>
      <w:r>
        <w:rPr>
          <w:rFonts w:ascii="Arial;sans-serif" w:hAnsi="Arial;sans-serif"/>
          <w:b w:val="false"/>
          <w:color w:val="000000"/>
          <w:sz w:val="20"/>
        </w:rPr>
        <w:t>he 2014 Revolving Facility bears interest at the same base rate and applicable margin as the 2013 Revolving Facility, as noted above in “</w:t>
      </w:r>
      <w:r>
        <w:rPr>
          <w:rFonts w:ascii="Arial;sans-serif" w:hAnsi="Arial;sans-serif"/>
          <w:b w:val="false"/>
          <w:i/>
          <w:color w:val="000000"/>
          <w:sz w:val="20"/>
        </w:rPr>
        <w:t>2013 Credit Facilities.”</w:t>
      </w:r>
      <w:r>
        <w:rPr>
          <w:color w:val="000000"/>
        </w:rPr>
        <w:t xml:space="preserve"> </w:t>
      </w:r>
      <w:r>
        <w:rPr>
          <w:rFonts w:ascii="Arial;sans-serif" w:hAnsi="Arial;sans-serif"/>
          <w:b w:val="false"/>
          <w:color w:val="000000"/>
          <w:sz w:val="20"/>
          <w:highlight w:val="white"/>
        </w:rPr>
        <w:t>The 2014 Term Loan Facility bears interest at a base rate (subject to a floor of 1.00%) plus an applicable margin of 1.75% or, at American’s option, the SOFR rate for a tenor of one, three or six months, depending on the interest period selected by American (subject to a floor of 0.00%), plus the SOFR adjustment applicable to such interest period plus an applicable margin of 0.75%. Additionally, a</w:t>
      </w:r>
      <w:r>
        <w:rPr>
          <w:rFonts w:ascii="Arial;sans-serif" w:hAnsi="Arial;sans-serif"/>
          <w:b w:val="false"/>
          <w:color w:val="000000"/>
          <w:sz w:val="20"/>
        </w:rPr>
        <w:t>s a result of the Ninth Amendment, through October 11, 2024, the aggregate commitments under the 2014 Revolving Facility will be $1.6 billion, and thereafter through October 13, 2026, such aggregate commitments will decrease to $1.2 billion.</w:t>
      </w:r>
    </w:p>
    <w:p>
      <w:pPr>
        <w:pStyle w:val="TextBody"/>
        <w:spacing w:lineRule="auto" w:line="288" w:before="270" w:after="283"/>
        <w:ind w:left="0" w:right="0" w:firstLine="274"/>
        <w:jc w:val="both"/>
        <w:rPr>
          <w:rFonts w:ascii="Arial;sans-serif" w:hAnsi="Arial;sans-serif"/>
          <w:b w:val="false"/>
          <w:i/>
          <w:color w:val="000000"/>
          <w:sz w:val="20"/>
        </w:rPr>
      </w:pPr>
      <w:r>
        <w:rPr>
          <w:rFonts w:ascii="Arial;sans-serif" w:hAnsi="Arial;sans-serif"/>
          <w:b w:val="false"/>
          <w:i/>
          <w:color w:val="000000"/>
          <w:sz w:val="20"/>
        </w:rPr>
        <w:t>April 2016 Revolving Facility</w:t>
      </w:r>
    </w:p>
    <w:p>
      <w:pPr>
        <w:pStyle w:val="TextBody"/>
        <w:spacing w:lineRule="auto" w:line="288" w:before="90" w:after="283"/>
        <w:ind w:left="0" w:right="0" w:firstLine="270"/>
        <w:jc w:val="both"/>
        <w:rPr/>
      </w:pPr>
      <w:r>
        <w:rPr>
          <w:rFonts w:ascii="Arial;sans-serif" w:hAnsi="Arial;sans-serif"/>
          <w:b w:val="false"/>
          <w:color w:val="000000"/>
          <w:sz w:val="20"/>
        </w:rPr>
        <w:t>In March 2023, American and AAG entered into the Sixth Amendment to the April 2016 Credit Agreement, pursuant to which American extended the maturity of certain commitments under the April 2016 Revolving Facility. The Sixth Amendment also amended certain other terms under the April 2016 Credit Agreement including the requirements for delivery of appraisals and certain other covenants and</w:t>
      </w:r>
      <w:r>
        <w:rPr>
          <w:color w:val="000000"/>
          <w:highlight w:val="white"/>
        </w:rPr>
        <w:t xml:space="preserve"> </w:t>
      </w:r>
      <w:r>
        <w:rPr>
          <w:rFonts w:ascii="Arial;sans-serif" w:hAnsi="Arial;sans-serif"/>
          <w:b w:val="false"/>
          <w:color w:val="000000"/>
          <w:sz w:val="20"/>
          <w:highlight w:val="white"/>
        </w:rPr>
        <w:t>transitioned the benchmark interest rate for the April 2016 Revolving Facility from LIBOR to SOFR. The April 2016 Revolving Facility bears interest at the same base rate and applicable margin as the 2013 Revolving Facility, as noted above in “</w:t>
      </w:r>
      <w:r>
        <w:rPr>
          <w:rFonts w:ascii="Arial;sans-serif" w:hAnsi="Arial;sans-serif"/>
          <w:b w:val="false"/>
          <w:i/>
          <w:color w:val="000000"/>
          <w:sz w:val="20"/>
          <w:highlight w:val="white"/>
        </w:rPr>
        <w:t>2013 Credit Facilities.”</w:t>
      </w:r>
      <w:r>
        <w:rPr>
          <w:color w:val="000000"/>
          <w:highlight w:val="white"/>
        </w:rPr>
        <w:t xml:space="preserve"> </w:t>
      </w:r>
      <w:r>
        <w:rPr>
          <w:rFonts w:ascii="Arial;sans-serif" w:hAnsi="Arial;sans-serif"/>
          <w:b w:val="false"/>
          <w:color w:val="000000"/>
          <w:sz w:val="20"/>
          <w:highlight w:val="white"/>
        </w:rPr>
        <w:t>Additionally, a</w:t>
      </w:r>
      <w:r>
        <w:rPr>
          <w:rFonts w:ascii="Arial;sans-serif" w:hAnsi="Arial;sans-serif"/>
          <w:b w:val="false"/>
          <w:color w:val="000000"/>
          <w:sz w:val="20"/>
        </w:rPr>
        <w:t xml:space="preserve">s a result of the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v:rect>
            </w:pict>
          </mc:Fallback>
        </mc:AlternateContent>
      </w:r>
    </w:p>
    <w:p>
      <w:pPr>
        <w:pStyle w:val="TextBody"/>
        <w:spacing w:lineRule="auto" w:line="288" w:before="0" w:after="0"/>
        <w:rPr/>
      </w:pPr>
      <w:hyperlink w:anchor="i46fbc2c07ce748d68317b3440587c97f_7">
        <w:r>
          <w:rPr>
            <w:rStyle w:val="InternetLink"/>
            <w:rFonts w:ascii="Arial;sans-serif" w:hAnsi="Arial;sans-serif"/>
            <w:b/>
            <w:color w:val="0000FF"/>
            <w:sz w:val="20"/>
            <w:u w:val="single"/>
          </w:rPr>
          <w:t>Table of Contents</w:t>
        </w:r>
      </w:hyperlink>
    </w:p>
    <w:p>
      <w:pPr>
        <w:pStyle w:val="TextBody"/>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GROUP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lineRule="auto" w:line="288" w:before="90" w:after="283"/>
        <w:jc w:val="both"/>
        <w:rPr>
          <w:rFonts w:ascii="Arial;sans-serif" w:hAnsi="Arial;sans-serif"/>
          <w:b w:val="false"/>
          <w:color w:val="000000"/>
          <w:sz w:val="20"/>
        </w:rPr>
      </w:pPr>
      <w:r>
        <w:rPr>
          <w:rFonts w:ascii="Arial;sans-serif" w:hAnsi="Arial;sans-serif"/>
          <w:b w:val="false"/>
          <w:color w:val="000000"/>
          <w:sz w:val="20"/>
        </w:rPr>
        <w:t>Sixth Amendment, through October 11, 2024, the aggregate commitments under the April 2016 Revolving Facility will be $446 million, and thereafter through October 13, 2026, such aggregate commitments will decrease to $342 million.</w:t>
      </w:r>
    </w:p>
    <w:p>
      <w:pPr>
        <w:pStyle w:val="TextBody"/>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Equipment Loans and Other Notes Payable Issued in 2023</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During the first three months of 2023, American entered into agreements under which it borrowed $94 million in connection with the financing of certain aircraft. Debt incurred under these agreements matures in 2035 and bears interest at variable rates (comprised of SOFR plus an applicable margin) averaging 7.04% as of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70" w:after="283"/>
        <w:jc w:val="both"/>
        <w:rPr>
          <w:rFonts w:ascii="Arial;sans-serif" w:hAnsi="Arial;sans-serif"/>
          <w:b/>
          <w:color w:val="000000"/>
          <w:sz w:val="20"/>
        </w:rPr>
      </w:pPr>
      <w:r>
        <w:rPr>
          <w:rFonts w:ascii="Arial;sans-serif" w:hAnsi="Arial;sans-serif"/>
          <w:b/>
          <w:color w:val="000000"/>
          <w:sz w:val="20"/>
        </w:rPr>
        <w:t>6. Income Taxes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At December 31, 2022, we had approximately $16.2 billion of gross federal net operating losses (NOLs) and $4.3 billion of other carryforwards available to reduce future federal taxable income, of which $5.9 billion will expire beginning in 2024 if unused and $14.6 billion can be carried forward indefinitely. We also had approximately $6.0 billion of NOL carryforwards to reduce future state taxable income at December 31, 2022, which will expire in taxable years 2022 through 2042 if unused.</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Our ability to use our NOLs and other carryforwards depends on the amount of taxable income generated in future periods. We provide a valuation allowance for our deferred tax assets, which include our NOLs, when it is more likely than not that some portion, or all of our deferred tax assets, will not be realized. We consider all available positive and negative evidence and make certain assumptions in evaluating the realizability of our deferred tax assets. Many factors are considered that impact our assessment of future profitability, including conditions which are beyond our control, such as the health of the economy, the availability and price volatility of aircraft fuel and travel demand. We have determined that positive factors outweigh negative factors in the determination of the realizability of our deferred tax assets. There can be no assurance that an additional valuation allowance on our net deferred tax assets will not be required. Such valuation allowance could be material.</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During the three months ended March 31, 2023 and 2022, we recorded an income tax provision of $7 million and an income tax benefit of $451 million,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70" w:after="283"/>
        <w:jc w:val="both"/>
        <w:rPr>
          <w:rFonts w:ascii="Arial;sans-serif" w:hAnsi="Arial;sans-serif"/>
          <w:b/>
          <w:color w:val="000000"/>
          <w:sz w:val="20"/>
        </w:rPr>
      </w:pPr>
      <w:r>
        <w:rPr>
          <w:rFonts w:ascii="Arial;sans-serif" w:hAnsi="Arial;sans-serif"/>
          <w:b/>
          <w:color w:val="000000"/>
          <w:sz w:val="20"/>
        </w:rPr>
        <w:t>7. Fair Value Measurements</w:t>
      </w:r>
    </w:p>
    <w:p>
      <w:pPr>
        <w:pStyle w:val="TextBody"/>
        <w:spacing w:lineRule="auto" w:line="288" w:before="90" w:after="283"/>
        <w:ind w:left="0" w:right="0" w:firstLine="270"/>
        <w:jc w:val="both"/>
        <w:rPr>
          <w:rFonts w:ascii="Arial;sans-serif" w:hAnsi="Arial;sans-serif"/>
          <w:b/>
          <w:i/>
          <w:color w:val="000000"/>
          <w:sz w:val="20"/>
          <w:u w:val="single"/>
        </w:rPr>
      </w:pPr>
      <w:r>
        <w:rPr>
          <w:rFonts w:ascii="Arial;sans-serif" w:hAnsi="Arial;sans-serif"/>
          <w:b/>
          <w:i/>
          <w:color w:val="000000"/>
          <w:sz w:val="20"/>
          <w:u w:val="single"/>
        </w:rPr>
        <w:t>Assets Measured at Fair Value on a Recurring Basis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We utilize the market approach to measure the fair value of our financial assets. The market approach uses prices and other relevant information generated by market transactions involving identical or comparable assets. Our short-term investments, restricted cash and restricted short-term investments classified as Level 2 primarily utilize broker quotes in a non-active market for valuation of these securities. No changes in valuation techniques or inputs occurred during the three months ended March 31, 2023. </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Assets measured at fair value on a recurring basis are summarized below (in millions):</w:t>
      </w:r>
    </w:p>
    <w:tbl>
      <w:tblPr>
        <w:tblW w:w="9164" w:type="dxa"/>
        <w:jc w:val="left"/>
        <w:tblInd w:w="0" w:type="dxa"/>
        <w:tblCellMar>
          <w:top w:w="28" w:type="dxa"/>
          <w:left w:w="28" w:type="dxa"/>
          <w:bottom w:w="28" w:type="dxa"/>
          <w:right w:w="28" w:type="dxa"/>
        </w:tblCellMar>
      </w:tblPr>
      <w:tblGrid>
        <w:gridCol w:w="1599"/>
        <w:gridCol w:w="1401"/>
        <w:gridCol w:w="1409"/>
        <w:gridCol w:w="211"/>
        <w:gridCol w:w="751"/>
        <w:gridCol w:w="109"/>
        <w:gridCol w:w="109"/>
        <w:gridCol w:w="109"/>
        <w:gridCol w:w="109"/>
        <w:gridCol w:w="211"/>
        <w:gridCol w:w="646"/>
        <w:gridCol w:w="109"/>
        <w:gridCol w:w="109"/>
        <w:gridCol w:w="109"/>
        <w:gridCol w:w="109"/>
        <w:gridCol w:w="211"/>
        <w:gridCol w:w="646"/>
        <w:gridCol w:w="109"/>
        <w:gridCol w:w="109"/>
        <w:gridCol w:w="109"/>
        <w:gridCol w:w="109"/>
        <w:gridCol w:w="211"/>
        <w:gridCol w:w="406"/>
        <w:gridCol w:w="154"/>
      </w:tblGrid>
      <w:tr>
        <w:trPr/>
        <w:tc>
          <w:tcPr>
            <w:tcW w:w="1599" w:type="dxa"/>
            <w:tcBorders/>
            <w:shd w:fill="auto" w:val="clear"/>
            <w:vAlign w:val="center"/>
          </w:tcPr>
          <w:p>
            <w:pPr>
              <w:pStyle w:val="TableContents"/>
              <w:spacing w:before="0" w:after="283"/>
              <w:rPr>
                <w:sz w:val="4"/>
                <w:szCs w:val="4"/>
              </w:rPr>
            </w:pPr>
            <w:r>
              <w:rPr>
                <w:sz w:val="4"/>
                <w:szCs w:val="4"/>
              </w:rPr>
            </w:r>
          </w:p>
        </w:tc>
        <w:tc>
          <w:tcPr>
            <w:tcW w:w="1401" w:type="dxa"/>
            <w:tcBorders/>
            <w:shd w:fill="auto" w:val="clear"/>
            <w:vAlign w:val="center"/>
          </w:tcPr>
          <w:p>
            <w:pPr>
              <w:pStyle w:val="TableContents"/>
              <w:spacing w:before="0" w:after="283"/>
              <w:rPr>
                <w:sz w:val="4"/>
                <w:szCs w:val="4"/>
              </w:rPr>
            </w:pPr>
            <w:r>
              <w:rPr>
                <w:sz w:val="4"/>
                <w:szCs w:val="4"/>
              </w:rPr>
            </w:r>
          </w:p>
        </w:tc>
        <w:tc>
          <w:tcPr>
            <w:tcW w:w="14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5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Fair Value Measurements as of March 31, 2023</w:t>
            </w:r>
          </w:p>
        </w:tc>
      </w:tr>
      <w:tr>
        <w:trPr/>
        <w:tc>
          <w:tcPr>
            <w:tcW w:w="44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Short-term investments </w:t>
            </w:r>
            <w:r>
              <w:rPr>
                <w:rFonts w:ascii="Arial;sans-serif" w:hAnsi="Arial;sans-serif"/>
                <w:b w:val="false"/>
                <w:color w:val="000000"/>
                <w:sz w:val="13"/>
              </w:rPr>
              <w:t>(1), (2)</w:t>
            </w:r>
            <w:r>
              <w:rPr>
                <w:rFonts w:ascii="Arial;sans-serif" w:hAnsi="Arial;sans-serif"/>
                <w:b w:val="false"/>
                <w:color w:val="000000"/>
                <w:sz w:val="20"/>
              </w:rPr>
              <w:t>:</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obligations</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Bank notes/certificates of deposit/time deposits</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agreements</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and agency obligations</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Restricted cash and short-term investments </w:t>
            </w:r>
            <w:r>
              <w:rPr>
                <w:rFonts w:ascii="Arial;sans-serif" w:hAnsi="Arial;sans-serif"/>
                <w:b w:val="false"/>
                <w:color w:val="000000"/>
                <w:sz w:val="13"/>
              </w:rPr>
              <w:t>(1), (3)</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Long-term investments </w:t>
            </w:r>
            <w:r>
              <w:rPr>
                <w:rFonts w:ascii="Arial;sans-serif" w:hAnsi="Arial;sans-serif"/>
                <w:b w:val="false"/>
                <w:color w:val="000000"/>
                <w:sz w:val="13"/>
              </w:rPr>
              <w:t>(4)</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All short-term investments are classified as available-for-sale and stated at fair value. Unrealized gains and losses are recorded in accumulated other comprehensive loss at each reporting period. There were no credit losses.</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v:rect>
            </w:pict>
          </mc:Fallback>
        </mc:AlternateContent>
      </w:r>
    </w:p>
    <w:p>
      <w:pPr>
        <w:pStyle w:val="TextBody"/>
        <w:spacing w:lineRule="auto" w:line="288" w:before="0" w:after="0"/>
        <w:rPr/>
      </w:pPr>
      <w:hyperlink w:anchor="i46fbc2c07ce748d68317b3440587c97f_7">
        <w:r>
          <w:rPr>
            <w:rStyle w:val="InternetLink"/>
            <w:rFonts w:ascii="Arial;sans-serif" w:hAnsi="Arial;sans-serif"/>
            <w:b/>
            <w:color w:val="0000FF"/>
            <w:sz w:val="20"/>
            <w:u w:val="single"/>
          </w:rPr>
          <w:t>Table of Contents</w:t>
        </w:r>
      </w:hyperlink>
    </w:p>
    <w:p>
      <w:pPr>
        <w:pStyle w:val="TextBody"/>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GROUP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lineRule="auto" w:line="288" w:before="180" w:after="283"/>
        <w:ind w:left="0" w:right="0" w:hanging="360"/>
        <w:jc w:val="both"/>
        <w:rPr/>
      </w:pPr>
      <w:r>
        <w:rPr>
          <w:rFonts w:ascii="Arial;sans-serif" w:hAnsi="Arial;sans-serif"/>
          <w:b w:val="false"/>
          <w:color w:val="000000"/>
          <w:sz w:val="13"/>
        </w:rPr>
        <w:t>(2)</w:t>
      </w:r>
      <w:r>
        <w:rPr>
          <w:rFonts w:ascii="Arial;sans-serif" w:hAnsi="Arial;sans-serif"/>
          <w:b w:val="false"/>
          <w:color w:val="000000"/>
          <w:sz w:val="20"/>
        </w:rPr>
        <w:t>Our short-term investments mature in one year or less.</w:t>
      </w:r>
    </w:p>
    <w:p>
      <w:pPr>
        <w:pStyle w:val="TextBody"/>
        <w:spacing w:lineRule="auto" w:line="288" w:before="180" w:after="283"/>
        <w:ind w:left="0" w:right="0" w:hanging="360"/>
        <w:jc w:val="both"/>
        <w:rPr/>
      </w:pPr>
      <w:r>
        <w:rPr>
          <w:rFonts w:ascii="Arial;sans-serif" w:hAnsi="Arial;sans-serif"/>
          <w:b w:val="false"/>
          <w:color w:val="000000"/>
          <w:sz w:val="13"/>
        </w:rPr>
        <w:t>(3)</w:t>
      </w:r>
      <w:r>
        <w:rPr>
          <w:rFonts w:ascii="Arial;sans-serif" w:hAnsi="Arial;sans-serif"/>
          <w:b w:val="false"/>
          <w:color w:val="000000"/>
          <w:sz w:val="20"/>
        </w:rPr>
        <w:t>Restricted cash and short-term investments primarily include collateral held to support workers’ compensation obligations and collateral associated with the payment of interest for the AAdvantage Financing.</w:t>
      </w:r>
    </w:p>
    <w:p>
      <w:pPr>
        <w:pStyle w:val="TextBody"/>
        <w:spacing w:lineRule="auto" w:line="288" w:before="180" w:after="283"/>
        <w:ind w:left="0" w:right="0" w:hanging="360"/>
        <w:jc w:val="both"/>
        <w:rPr/>
      </w:pPr>
      <w:r>
        <w:rPr>
          <w:rFonts w:ascii="Arial;sans-serif" w:hAnsi="Arial;sans-serif"/>
          <w:b w:val="false"/>
          <w:color w:val="000000"/>
          <w:sz w:val="13"/>
        </w:rPr>
        <w:t>(4)</w:t>
      </w:r>
      <w:r>
        <w:rPr>
          <w:rFonts w:ascii="Arial;sans-serif" w:hAnsi="Arial;sans-serif"/>
          <w:b w:val="false"/>
          <w:color w:val="000000"/>
          <w:sz w:val="20"/>
        </w:rPr>
        <w:t>Long-term investments include our equity investments in China Southern Airlines Company Limited (China Southern Airlines), GOL Linhas Aéreas Inteligentes S.A. (GOL) and Vertical Aerospace Ltd. (Vertical). See Note 8 for further information on our equity investments.</w:t>
      </w:r>
    </w:p>
    <w:p>
      <w:pPr>
        <w:pStyle w:val="TextBody"/>
        <w:spacing w:lineRule="auto" w:line="288" w:before="270" w:after="283"/>
        <w:ind w:left="0" w:right="0" w:firstLine="270"/>
        <w:jc w:val="both"/>
        <w:rPr>
          <w:rFonts w:ascii="Arial;sans-serif" w:hAnsi="Arial;sans-serif"/>
          <w:b/>
          <w:i/>
          <w:color w:val="000000"/>
          <w:sz w:val="20"/>
          <w:u w:val="single"/>
        </w:rPr>
      </w:pPr>
      <w:r>
        <w:rPr>
          <w:rFonts w:ascii="Arial;sans-serif" w:hAnsi="Arial;sans-serif"/>
          <w:b/>
          <w:i/>
          <w:color w:val="000000"/>
          <w:sz w:val="20"/>
          <w:u w:val="single"/>
        </w:rPr>
        <w:t>Fair Value of Debt</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fair value of our long-term debt was estimated using quoted market prices or discounted cash flow analyses based on our current estimated incremental borrowing rates for similar types of borrowing arrangements. If our long-term debt was measured at fair value, it would have been classified as Level 2 except for $3.7 billion as of March 31, 2023 and December 31, 2022, which would have been classified as Level 3 in the fair value hierarchy. The fair value of the Convertible Notes, which would have been classified as Level 2, was $1.1 billion as of March 31, 2023 and December 31, 2022.</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carrying value and estimated fair value of our long-term debt, including current maturities, were as follows (in millions):</w:t>
      </w:r>
    </w:p>
    <w:tbl>
      <w:tblPr>
        <w:tblW w:w="9195" w:type="dxa"/>
        <w:jc w:val="left"/>
        <w:tblInd w:w="0" w:type="dxa"/>
        <w:tblCellMar>
          <w:top w:w="28" w:type="dxa"/>
          <w:left w:w="28" w:type="dxa"/>
          <w:bottom w:w="28" w:type="dxa"/>
          <w:right w:w="28" w:type="dxa"/>
        </w:tblCellMar>
      </w:tblPr>
      <w:tblGrid>
        <w:gridCol w:w="1407"/>
        <w:gridCol w:w="1235"/>
        <w:gridCol w:w="1243"/>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1407"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124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38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Carrying</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Fair</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Carrying</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Fair</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Value</w:t>
            </w:r>
          </w:p>
        </w:tc>
      </w:tr>
      <w:tr>
        <w:trPr/>
        <w:tc>
          <w:tcPr>
            <w:tcW w:w="3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including current maturities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70" w:after="283"/>
        <w:jc w:val="both"/>
        <w:rPr>
          <w:rFonts w:ascii="Arial;sans-serif" w:hAnsi="Arial;sans-serif"/>
          <w:b/>
          <w:color w:val="000000"/>
          <w:sz w:val="20"/>
        </w:rPr>
      </w:pPr>
      <w:r>
        <w:rPr>
          <w:rFonts w:ascii="Arial;sans-serif" w:hAnsi="Arial;sans-serif"/>
          <w:b/>
          <w:color w:val="000000"/>
          <w:sz w:val="20"/>
        </w:rPr>
        <w:t>8. Investments</w:t>
      </w:r>
    </w:p>
    <w:p>
      <w:pPr>
        <w:pStyle w:val="TextBody"/>
        <w:spacing w:lineRule="auto" w:line="288" w:before="90" w:after="283"/>
        <w:ind w:left="0" w:right="0" w:firstLine="270"/>
        <w:jc w:val="both"/>
        <w:rPr/>
      </w:pPr>
      <w:r>
        <w:rPr>
          <w:rFonts w:ascii="Arial;sans-serif" w:hAnsi="Arial;sans-serif"/>
          <w:b w:val="false"/>
          <w:color w:val="000000"/>
          <w:sz w:val="20"/>
        </w:rPr>
        <w:t xml:space="preserve">To help expand our network and as part of our ongoing commitment to sustainability, we enter into various commercial relationships or other strategic partnerships, including equity investments, with other airlines and companies. </w:t>
      </w:r>
      <w:r>
        <w:rPr>
          <w:rFonts w:ascii="Arial;sans-serif" w:hAnsi="Arial;sans-serif"/>
          <w:b w:val="false"/>
          <w:color w:val="000000"/>
          <w:sz w:val="20"/>
          <w:highlight w:val="white"/>
        </w:rPr>
        <w:t>Our equity investments are reflected in other assets on our condensed consolidated balance sheets. Our share of equity method investees’ financial results and changes in fair value are recorded in nonoperating other income, net on the condensed consolidated statements of operations.</w:t>
      </w:r>
    </w:p>
    <w:p>
      <w:pPr>
        <w:pStyle w:val="TextBody"/>
        <w:spacing w:lineRule="auto" w:line="288" w:before="180" w:after="283"/>
        <w:ind w:left="0" w:right="0" w:firstLine="180"/>
        <w:jc w:val="both"/>
        <w:rPr>
          <w:rFonts w:ascii="Arial;sans-serif" w:hAnsi="Arial;sans-serif"/>
          <w:b w:val="false"/>
          <w:color w:val="000000"/>
          <w:sz w:val="20"/>
        </w:rPr>
      </w:pPr>
      <w:r>
        <w:rPr>
          <w:rFonts w:ascii="Arial;sans-serif" w:hAnsi="Arial;sans-serif"/>
          <w:b w:val="false"/>
          <w:color w:val="000000"/>
          <w:sz w:val="20"/>
        </w:rPr>
        <w:t>Our equity investment ownership interests and carrying values were:</w:t>
      </w:r>
    </w:p>
    <w:tbl>
      <w:tblPr>
        <w:tblW w:w="10205" w:type="dxa"/>
        <w:jc w:val="left"/>
        <w:tblInd w:w="0" w:type="dxa"/>
        <w:tblCellMar>
          <w:top w:w="28" w:type="dxa"/>
          <w:left w:w="28" w:type="dxa"/>
          <w:bottom w:w="28" w:type="dxa"/>
          <w:right w:w="28" w:type="dxa"/>
        </w:tblCellMar>
      </w:tblPr>
      <w:tblGrid>
        <w:gridCol w:w="884"/>
        <w:gridCol w:w="682"/>
        <w:gridCol w:w="686"/>
        <w:gridCol w:w="530"/>
        <w:gridCol w:w="530"/>
        <w:gridCol w:w="532"/>
        <w:gridCol w:w="109"/>
        <w:gridCol w:w="109"/>
        <w:gridCol w:w="109"/>
        <w:gridCol w:w="272"/>
        <w:gridCol w:w="270"/>
        <w:gridCol w:w="579"/>
        <w:gridCol w:w="124"/>
        <w:gridCol w:w="124"/>
        <w:gridCol w:w="124"/>
        <w:gridCol w:w="339"/>
        <w:gridCol w:w="291"/>
        <w:gridCol w:w="763"/>
        <w:gridCol w:w="109"/>
        <w:gridCol w:w="109"/>
        <w:gridCol w:w="109"/>
        <w:gridCol w:w="290"/>
        <w:gridCol w:w="661"/>
        <w:gridCol w:w="148"/>
        <w:gridCol w:w="120"/>
        <w:gridCol w:w="120"/>
        <w:gridCol w:w="120"/>
        <w:gridCol w:w="340"/>
        <w:gridCol w:w="768"/>
        <w:gridCol w:w="254"/>
      </w:tblGrid>
      <w:tr>
        <w:trPr/>
        <w:tc>
          <w:tcPr>
            <w:tcW w:w="884"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r>
      <w:tr>
        <w:trPr/>
        <w:tc>
          <w:tcPr>
            <w:tcW w:w="22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6" w:type="dxa"/>
            <w:gridSpan w:val="9"/>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16"/>
              </w:rPr>
            </w:pPr>
            <w:r>
              <w:rPr>
                <w:rFonts w:ascii="Arial;sans-serif" w:hAnsi="Arial;sans-serif"/>
                <w:b/>
                <w:color w:val="000000"/>
                <w:sz w:val="16"/>
              </w:rPr>
              <w:t>Ownership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1" w:type="dxa"/>
            <w:gridSpan w:val="9"/>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16"/>
              </w:rPr>
            </w:pPr>
            <w:r>
              <w:rPr>
                <w:rFonts w:ascii="Arial;sans-serif" w:hAnsi="Arial;sans-serif"/>
                <w:b/>
                <w:color w:val="000000"/>
                <w:sz w:val="16"/>
              </w:rPr>
              <w:t>Carrying Value (in millions)</w:t>
            </w:r>
          </w:p>
        </w:tc>
      </w:tr>
      <w:tr>
        <w:trPr/>
        <w:tc>
          <w:tcPr>
            <w:tcW w:w="22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2"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16"/>
              </w:rPr>
            </w:pPr>
            <w:r>
              <w:rPr>
                <w:rFonts w:ascii="Arial;sans-serif" w:hAnsi="Arial;sans-serif"/>
                <w:b/>
                <w:color w:val="000000"/>
                <w:sz w:val="16"/>
              </w:rPr>
              <w:t>Accounting Treatment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90"/>
              <w:jc w:val="center"/>
              <w:rPr>
                <w:rFonts w:ascii="Arial;sans-serif" w:hAnsi="Arial;sans-serif"/>
                <w:b/>
                <w:color w:val="000000"/>
                <w:sz w:val="16"/>
              </w:rPr>
            </w:pPr>
            <w:r>
              <w:rPr>
                <w:rFonts w:ascii="Arial;sans-serif" w:hAnsi="Arial;sans-serif"/>
                <w:b/>
                <w:color w:val="000000"/>
                <w:sz w:val="16"/>
              </w:rPr>
              <w:t>December 31, 2022</w:t>
            </w:r>
          </w:p>
        </w:tc>
      </w:tr>
      <w:tr>
        <w:trPr/>
        <w:tc>
          <w:tcPr>
            <w:tcW w:w="22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Republic Airways Holdings Inc.</w:t>
            </w:r>
          </w:p>
        </w:tc>
        <w:tc>
          <w:tcPr>
            <w:tcW w:w="159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Equity Method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 Southern Airlines</w:t>
            </w:r>
          </w:p>
        </w:tc>
        <w:tc>
          <w:tcPr>
            <w:tcW w:w="159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5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76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2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Other investments</w:t>
            </w:r>
            <w:r>
              <w:rPr>
                <w:color w:val="000000"/>
              </w:rPr>
              <w:t xml:space="preserve"> </w:t>
            </w:r>
            <w:r>
              <w:rPr>
                <w:rFonts w:ascii="Arial;sans-serif" w:hAnsi="Arial;sans-serif"/>
                <w:b w:val="false"/>
                <w:color w:val="000000"/>
                <w:sz w:val="13"/>
              </w:rPr>
              <w:t>(1)</w:t>
            </w:r>
          </w:p>
        </w:tc>
        <w:tc>
          <w:tcPr>
            <w:tcW w:w="159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2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5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Primarily includes our investment in JetSmart Airlines SpA, which is accounted for under the equity method, and our investments in GOL and Vertical, which are each accounted for at fair value.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v:rect>
            </w:pict>
          </mc:Fallback>
        </mc:AlternateContent>
      </w:r>
    </w:p>
    <w:p>
      <w:pPr>
        <w:pStyle w:val="TextBody"/>
        <w:spacing w:lineRule="auto" w:line="288" w:before="0" w:after="0"/>
        <w:rPr/>
      </w:pPr>
      <w:hyperlink w:anchor="i46fbc2c07ce748d68317b3440587c97f_7">
        <w:r>
          <w:rPr>
            <w:rStyle w:val="InternetLink"/>
            <w:rFonts w:ascii="Arial;sans-serif" w:hAnsi="Arial;sans-serif"/>
            <w:b/>
            <w:color w:val="0000FF"/>
            <w:sz w:val="20"/>
            <w:u w:val="single"/>
          </w:rPr>
          <w:t>Table of Contents</w:t>
        </w:r>
      </w:hyperlink>
    </w:p>
    <w:p>
      <w:pPr>
        <w:pStyle w:val="TextBody"/>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GROUP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lineRule="auto" w:line="288" w:before="270" w:after="283"/>
        <w:jc w:val="both"/>
        <w:rPr>
          <w:rFonts w:ascii="Arial;sans-serif" w:hAnsi="Arial;sans-serif"/>
          <w:b/>
          <w:color w:val="000000"/>
          <w:sz w:val="20"/>
        </w:rPr>
      </w:pPr>
      <w:r>
        <w:rPr>
          <w:rFonts w:ascii="Arial;sans-serif" w:hAnsi="Arial;sans-serif"/>
          <w:b/>
          <w:color w:val="000000"/>
          <w:sz w:val="20"/>
        </w:rPr>
        <w:t>9. Employee Benefit Plans</w:t>
      </w:r>
    </w:p>
    <w:p>
      <w:pPr>
        <w:pStyle w:val="TextBody"/>
        <w:spacing w:lineRule="auto" w:line="288" w:before="90" w:after="180"/>
        <w:ind w:left="0" w:right="0" w:firstLine="270"/>
        <w:jc w:val="both"/>
        <w:rPr>
          <w:rFonts w:ascii="Arial;sans-serif" w:hAnsi="Arial;sans-serif"/>
          <w:b w:val="false"/>
          <w:color w:val="000000"/>
          <w:sz w:val="20"/>
        </w:rPr>
      </w:pPr>
      <w:r>
        <w:rPr>
          <w:rFonts w:ascii="Arial;sans-serif" w:hAnsi="Arial;sans-serif"/>
          <w:b w:val="false"/>
          <w:color w:val="000000"/>
          <w:sz w:val="20"/>
        </w:rPr>
        <w:t>The following table provides the components of net periodic benefit income (in millions):</w:t>
      </w:r>
    </w:p>
    <w:tbl>
      <w:tblPr>
        <w:tblW w:w="7354" w:type="dxa"/>
        <w:jc w:val="left"/>
        <w:tblInd w:w="0" w:type="dxa"/>
        <w:tblCellMar>
          <w:top w:w="28" w:type="dxa"/>
          <w:left w:w="28" w:type="dxa"/>
          <w:bottom w:w="28" w:type="dxa"/>
          <w:right w:w="28" w:type="dxa"/>
        </w:tblCellMar>
      </w:tblPr>
      <w:tblGrid>
        <w:gridCol w:w="939"/>
        <w:gridCol w:w="824"/>
        <w:gridCol w:w="832"/>
        <w:gridCol w:w="109"/>
        <w:gridCol w:w="109"/>
        <w:gridCol w:w="109"/>
        <w:gridCol w:w="211"/>
        <w:gridCol w:w="406"/>
        <w:gridCol w:w="109"/>
        <w:gridCol w:w="109"/>
        <w:gridCol w:w="109"/>
        <w:gridCol w:w="109"/>
        <w:gridCol w:w="211"/>
        <w:gridCol w:w="541"/>
        <w:gridCol w:w="109"/>
        <w:gridCol w:w="109"/>
        <w:gridCol w:w="109"/>
        <w:gridCol w:w="109"/>
        <w:gridCol w:w="273"/>
        <w:gridCol w:w="526"/>
        <w:gridCol w:w="141"/>
        <w:gridCol w:w="141"/>
        <w:gridCol w:w="141"/>
        <w:gridCol w:w="141"/>
        <w:gridCol w:w="273"/>
        <w:gridCol w:w="351"/>
        <w:gridCol w:w="204"/>
      </w:tblGrid>
      <w:tr>
        <w:trPr/>
        <w:tc>
          <w:tcPr>
            <w:tcW w:w="939"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Pension Benefits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Retiree Medical and Other</w:t>
              <w:br/>
              <w:t>Postretirement Benefits</w:t>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5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0"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28" w:type="dxa"/>
            <w:gridSpan w:val="3"/>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0"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28" w:type="dxa"/>
            <w:gridSpan w:val="3"/>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Prior service cost (benefit)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Unrecognized net loss (gain)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0"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28" w:type="dxa"/>
            <w:gridSpan w:val="3"/>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2518" w:type="dxa"/>
            <w:gridSpan w:val="12"/>
            <w:tcBorders/>
            <w:shd w:fill="auto" w:val="clea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0"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28" w:type="dxa"/>
            <w:gridSpan w:val="3"/>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0"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28" w:type="dxa"/>
            <w:gridSpan w:val="3"/>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0"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28" w:type="dxa"/>
            <w:gridSpan w:val="3"/>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0"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28" w:type="dxa"/>
            <w:gridSpan w:val="3"/>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0"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28" w:type="dxa"/>
            <w:gridSpan w:val="3"/>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0"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28" w:type="dxa"/>
            <w:gridSpan w:val="3"/>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0"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28" w:type="dxa"/>
            <w:gridSpan w:val="3"/>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0"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28" w:type="dxa"/>
            <w:gridSpan w:val="3"/>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0"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28" w:type="dxa"/>
            <w:gridSpan w:val="3"/>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0"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2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Effective November 1, 2012, substantially all of our defined benefit pension plans were frozen.</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service cost component of net periodic benefit income is included in operating expenses and the other components of net periodic benefit income are included in nonoperating other income (expense), net in the condensed consolidated statements of operations.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During the three months ended March 31, 2023, we made required contributions of $67 million to our defined benefit pension plans.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70" w:after="283"/>
        <w:jc w:val="both"/>
        <w:rPr>
          <w:rFonts w:ascii="Arial;sans-serif" w:hAnsi="Arial;sans-serif"/>
          <w:b/>
          <w:color w:val="000000"/>
          <w:sz w:val="20"/>
        </w:rPr>
      </w:pPr>
      <w:r>
        <w:rPr>
          <w:rFonts w:ascii="Arial;sans-serif" w:hAnsi="Arial;sans-serif"/>
          <w:b/>
          <w:color w:val="000000"/>
          <w:sz w:val="20"/>
        </w:rPr>
        <w:t>10. Accumulated Other Comprehensive Loss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components of accumulated other comprehensive loss (AOCI) are as follows (in millions):</w:t>
      </w:r>
    </w:p>
    <w:tbl>
      <w:tblPr>
        <w:tblW w:w="10205" w:type="dxa"/>
        <w:jc w:val="left"/>
        <w:tblInd w:w="0" w:type="dxa"/>
        <w:tblCellMar>
          <w:top w:w="28" w:type="dxa"/>
          <w:left w:w="28" w:type="dxa"/>
          <w:bottom w:w="28" w:type="dxa"/>
          <w:right w:w="28" w:type="dxa"/>
        </w:tblCellMar>
      </w:tblPr>
      <w:tblGrid>
        <w:gridCol w:w="1458"/>
        <w:gridCol w:w="1077"/>
        <w:gridCol w:w="1084"/>
        <w:gridCol w:w="278"/>
        <w:gridCol w:w="853"/>
        <w:gridCol w:w="145"/>
        <w:gridCol w:w="109"/>
        <w:gridCol w:w="109"/>
        <w:gridCol w:w="109"/>
        <w:gridCol w:w="804"/>
        <w:gridCol w:w="1034"/>
        <w:gridCol w:w="420"/>
        <w:gridCol w:w="109"/>
        <w:gridCol w:w="109"/>
        <w:gridCol w:w="109"/>
        <w:gridCol w:w="211"/>
        <w:gridCol w:w="703"/>
        <w:gridCol w:w="109"/>
        <w:gridCol w:w="109"/>
        <w:gridCol w:w="109"/>
        <w:gridCol w:w="109"/>
        <w:gridCol w:w="211"/>
        <w:gridCol w:w="679"/>
        <w:gridCol w:w="158"/>
      </w:tblGrid>
      <w:tr>
        <w:trPr/>
        <w:tc>
          <w:tcPr>
            <w:tcW w:w="1458"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6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Pension,</w:t>
              <w:br/>
              <w:t>Retiree</w:t>
              <w:br/>
              <w:t>Medical and</w:t>
              <w:br/>
              <w:t>Other</w:t>
              <w:br/>
              <w:t>Postretirement</w:t>
              <w:br/>
              <w:t>Benefits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Unrealized Gain (Loss) on Investments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6"/>
              </w:rPr>
              <w:t>Income Tax</w:t>
              <w:br/>
              <w:t>Provision </w:t>
            </w:r>
            <w:r>
              <w:rPr>
                <w:rFonts w:ascii="Arial;sans-serif" w:hAnsi="Arial;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619"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Balance at December 31, 2022</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(2,978)</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before reclassifications</w:t>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Amounts reclassified from AOCI</w:t>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(2)</w:t>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current-period other comprehensive income (loss)</w:t>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March 31, 2023</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(2,956)</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(4,567)</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Relates principally to pension, retiree medical and other postretirement benefits obligations that will not be recognized in net income (loss) until the obligations are fully extinguished.</w:t>
      </w:r>
    </w:p>
    <w:p>
      <w:pPr>
        <w:pStyle w:val="TextBody"/>
        <w:spacing w:lineRule="auto" w:line="288" w:before="180" w:after="283"/>
        <w:ind w:left="0" w:right="0" w:hanging="360"/>
        <w:jc w:val="both"/>
        <w:rPr/>
      </w:pPr>
      <w:r>
        <w:rPr>
          <w:rFonts w:ascii="Arial;sans-serif" w:hAnsi="Arial;sans-serif"/>
          <w:b w:val="false"/>
          <w:color w:val="000000"/>
          <w:sz w:val="13"/>
        </w:rPr>
        <w:t>(2)</w:t>
      </w:r>
      <w:r>
        <w:rPr>
          <w:rFonts w:ascii="Arial;sans-serif" w:hAnsi="Arial;sans-serif"/>
          <w:b w:val="false"/>
          <w:color w:val="000000"/>
          <w:sz w:val="20"/>
        </w:rPr>
        <w:t>Relates to pension, retiree medical and other postretirement benefits obligations and is recognized within the income tax provision (benefit) on the condensed consolidated statements of operations.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Reclassifications out of AOCI are as follows (in millions):</w:t>
      </w:r>
    </w:p>
    <w:tbl>
      <w:tblPr>
        <w:tblW w:w="10205" w:type="dxa"/>
        <w:jc w:val="left"/>
        <w:tblInd w:w="0" w:type="dxa"/>
        <w:tblCellMar>
          <w:top w:w="28" w:type="dxa"/>
          <w:left w:w="28" w:type="dxa"/>
          <w:bottom w:w="28" w:type="dxa"/>
          <w:right w:w="28" w:type="dxa"/>
        </w:tblCellMar>
      </w:tblPr>
      <w:tblGrid>
        <w:gridCol w:w="1238"/>
        <w:gridCol w:w="913"/>
        <w:gridCol w:w="885"/>
        <w:gridCol w:w="109"/>
        <w:gridCol w:w="109"/>
        <w:gridCol w:w="109"/>
        <w:gridCol w:w="245"/>
        <w:gridCol w:w="438"/>
        <w:gridCol w:w="126"/>
        <w:gridCol w:w="126"/>
        <w:gridCol w:w="126"/>
        <w:gridCol w:w="126"/>
        <w:gridCol w:w="245"/>
        <w:gridCol w:w="438"/>
        <w:gridCol w:w="126"/>
        <w:gridCol w:w="109"/>
        <w:gridCol w:w="2146"/>
        <w:gridCol w:w="109"/>
        <w:gridCol w:w="109"/>
        <w:gridCol w:w="109"/>
        <w:gridCol w:w="109"/>
        <w:gridCol w:w="109"/>
        <w:gridCol w:w="596"/>
        <w:gridCol w:w="596"/>
        <w:gridCol w:w="854"/>
      </w:tblGrid>
      <w:tr>
        <w:trPr/>
        <w:tc>
          <w:tcPr>
            <w:tcW w:w="1238"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r>
      <w:tr>
        <w:trPr/>
        <w:tc>
          <w:tcPr>
            <w:tcW w:w="30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Amounts reclassified from AOCI</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6" w:type="dxa"/>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Affected line items on the</w:t>
              <w:br/>
              <w:t>condensed consolidated</w:t>
              <w:br/>
              <w:t>statements of operations</w:t>
            </w:r>
          </w:p>
        </w:tc>
        <w:tc>
          <w:tcPr>
            <w:tcW w:w="2591" w:type="dxa"/>
            <w:gridSpan w:val="8"/>
            <w:tcBorders/>
            <w:shd w:fill="auto" w:val="clear"/>
          </w:tcPr>
          <w:p>
            <w:pPr>
              <w:pStyle w:val="TableContents"/>
              <w:spacing w:before="0" w:after="283"/>
              <w:rPr>
                <w:sz w:val="4"/>
                <w:szCs w:val="4"/>
              </w:rPr>
            </w:pPr>
            <w:r>
              <w:rPr>
                <w:sz w:val="4"/>
                <w:szCs w:val="4"/>
              </w:rPr>
            </w:r>
          </w:p>
        </w:tc>
      </w:tr>
      <w:tr>
        <w:trPr/>
        <w:tc>
          <w:tcPr>
            <w:tcW w:w="303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AOCI Components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2146" w:type="dxa"/>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3" w:type="dxa"/>
            <w:gridSpan w:val="6"/>
            <w:tcBorders/>
            <w:shd w:fill="auto" w:val="clear"/>
          </w:tcPr>
          <w:p>
            <w:pPr>
              <w:pStyle w:val="TableContents"/>
              <w:spacing w:before="0" w:after="283"/>
              <w:rPr>
                <w:sz w:val="4"/>
                <w:szCs w:val="4"/>
              </w:rPr>
            </w:pPr>
            <w:r>
              <w:rPr>
                <w:sz w:val="4"/>
                <w:szCs w:val="4"/>
              </w:rPr>
            </w:r>
          </w:p>
        </w:tc>
      </w:tr>
      <w:tr>
        <w:trPr/>
        <w:tc>
          <w:tcPr>
            <w:tcW w:w="303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8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2146" w:type="dxa"/>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46"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pension, retiree medical and other postretirement benefits: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Prior service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20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other income (expense), net</w:t>
            </w:r>
          </w:p>
        </w:tc>
      </w:tr>
      <w:tr>
        <w:trPr/>
        <w:tc>
          <w:tcPr>
            <w:tcW w:w="3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Actuarial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2046"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left"/>
              <w:rPr>
                <w:rFonts w:ascii="Arial;sans-serif" w:hAnsi="Arial;sans-serif"/>
                <w:b w:val="false"/>
                <w:color w:val="000000"/>
                <w:sz w:val="20"/>
              </w:rPr>
            </w:pPr>
            <w:r>
              <w:rPr>
                <w:rFonts w:ascii="Arial;sans-serif" w:hAnsi="Arial;sans-serif"/>
                <w:b w:val="false"/>
                <w:color w:val="000000"/>
                <w:sz w:val="20"/>
              </w:rPr>
              <w:t>Nonoperating other income (expense), net</w:t>
            </w:r>
          </w:p>
        </w:tc>
      </w:tr>
      <w:tr>
        <w:trPr/>
        <w:tc>
          <w:tcPr>
            <w:tcW w:w="3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reclassifications for the period, net of tax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v:rect>
            </w:pict>
          </mc:Fallback>
        </mc:AlternateContent>
      </w:r>
    </w:p>
    <w:p>
      <w:pPr>
        <w:pStyle w:val="TextBody"/>
        <w:spacing w:lineRule="auto" w:line="288" w:before="0" w:after="0"/>
        <w:rPr/>
      </w:pPr>
      <w:hyperlink w:anchor="i46fbc2c07ce748d68317b3440587c97f_7">
        <w:r>
          <w:rPr>
            <w:rStyle w:val="InternetLink"/>
            <w:rFonts w:ascii="Arial;sans-serif" w:hAnsi="Arial;sans-serif"/>
            <w:b/>
            <w:color w:val="0000FF"/>
            <w:sz w:val="20"/>
            <w:u w:val="single"/>
          </w:rPr>
          <w:t>Table of Contents</w:t>
        </w:r>
      </w:hyperlink>
    </w:p>
    <w:p>
      <w:pPr>
        <w:pStyle w:val="TextBody"/>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GROUP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lineRule="auto" w:line="288" w:before="270" w:after="283"/>
        <w:jc w:val="both"/>
        <w:rPr>
          <w:rFonts w:ascii="Arial;sans-serif" w:hAnsi="Arial;sans-serif"/>
          <w:b/>
          <w:color w:val="000000"/>
          <w:sz w:val="20"/>
        </w:rPr>
      </w:pPr>
      <w:r>
        <w:rPr>
          <w:rFonts w:ascii="Arial;sans-serif" w:hAnsi="Arial;sans-serif"/>
          <w:b/>
          <w:color w:val="000000"/>
          <w:sz w:val="20"/>
        </w:rPr>
        <w:t>11. Regional Expenses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Our regional carriers provide scheduled air transportation under the brand name “American Eagle.” The American Eagle carriers include our wholly-owned regional carriers as well as third-party regional carriers. Our regional carrier arrangements are in the form of capacity purchase agreements. Expenses associated with American Eagle operations are classified as regional expenses on the condensed consolidated statements of operations.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Regional expenses for each of the three months ended March 31, 2023 and 2022 include $80 million of depreciation and amortization and $1 million of aircraft rent. </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During the three months ended March 31, 2023 and 2022, we recognized $168 million and $150 million, respectively, of expense under our capacity purchase agreement with Republic Airways Inc. (Republic). We hold a 25% equity interest in Republic Airways Holdings Inc., the parent company of Republic.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70" w:after="283"/>
        <w:jc w:val="both"/>
        <w:rPr>
          <w:rFonts w:ascii="Arial;sans-serif" w:hAnsi="Arial;sans-serif"/>
          <w:b/>
          <w:color w:val="000000"/>
          <w:sz w:val="20"/>
        </w:rPr>
      </w:pPr>
      <w:r>
        <w:rPr>
          <w:rFonts w:ascii="Arial;sans-serif" w:hAnsi="Arial;sans-serif"/>
          <w:b/>
          <w:color w:val="000000"/>
          <w:sz w:val="20"/>
        </w:rPr>
        <w:t>12. Legal Proceedings</w:t>
      </w:r>
    </w:p>
    <w:p>
      <w:pPr>
        <w:pStyle w:val="TextBody"/>
        <w:spacing w:lineRule="auto" w:line="288" w:before="90" w:after="283"/>
        <w:ind w:left="0" w:right="0" w:firstLine="270"/>
        <w:jc w:val="both"/>
        <w:rPr/>
      </w:pPr>
      <w:r>
        <w:rPr>
          <w:rFonts w:ascii="Arial;sans-serif" w:hAnsi="Arial;sans-serif"/>
          <w:b w:val="false"/>
          <w:i/>
          <w:color w:val="000000"/>
          <w:sz w:val="20"/>
        </w:rPr>
        <w:t>Private Party Antitrust Action Related to the Merger.</w:t>
      </w:r>
      <w:r>
        <w:rPr>
          <w:color w:val="000000"/>
        </w:rPr>
        <w:t xml:space="preserve"> </w:t>
      </w:r>
      <w:r>
        <w:rPr>
          <w:rFonts w:ascii="Arial;sans-serif" w:hAnsi="Arial;sans-serif"/>
          <w:b w:val="false"/>
          <w:color w:val="000000"/>
          <w:sz w:val="20"/>
        </w:rPr>
        <w:t>On August 6, 2013, a lawsuit captioned Carolyn Fjord, et al., v. AMR Corporation, et al., was filed in the U.S. Bankruptcy Court for the Southern District of New York (Bankruptcy Court). The complaint named as defendants US Airways Group, US Airways, Inc., AMR Corporation and American, alleged that the effect of the merger of US Airways Group and AMR Corporation (the Merger) may be to create a monopoly in violation of Section 7 of the Clayton Antitrust Act, and sought injunctive relief and/or divestiture. On November 27, 2013, the Bankruptcy Court denied plaintiffs’ motion to preliminarily enjoin the Merger. On August 29, 2018, the Bankruptcy Court denied in part defendants’ motion for summary judgment, and fully denied plaintiffs’ cross-motion for summary judgment. The parties’ evidentiary cases were presented before the Bankruptcy Court in a bench trial in March 2019 and the parties submitted proposed findings of fact and conclusions of law and made closing arguments in April 2019. On January 29, 2021, the Bankruptcy Court published its decision finding in our favor. On March 25, 2022, the U.S. District Court for the Southern District of New York entered judgment affirming the Bankruptcy Court’s decision. On April 21, 2022, plaintiffs appealed that decision to the U.S. Court of Appeals for the Second Circuit. On March 20, 2023, the Second Circuit affirmed in full the District Court’s decision. Plaintiffs did not file a petition for panel rehearing or rehearing en banc with the Second Circuit, and their current deadline to file a petition for writ of certiorari with the U.S. Supreme Court is June 20, 2023. We believe this lawsuit is without merit and intend to continue to vigorously defend against any further appeals by the plaintiffs.</w:t>
      </w:r>
    </w:p>
    <w:p>
      <w:pPr>
        <w:pStyle w:val="TextBody"/>
        <w:spacing w:lineRule="auto" w:line="288" w:before="180" w:after="283"/>
        <w:ind w:left="0" w:right="0" w:firstLine="270"/>
        <w:jc w:val="both"/>
        <w:rPr/>
      </w:pPr>
      <w:r>
        <w:rPr>
          <w:rFonts w:ascii="Arial;sans-serif" w:hAnsi="Arial;sans-serif"/>
          <w:b w:val="false"/>
          <w:i/>
          <w:color w:val="000000"/>
          <w:sz w:val="20"/>
        </w:rPr>
        <w:t>Government Antitrust Action Related to the Northeast Alliance.</w:t>
      </w:r>
      <w:r>
        <w:rPr>
          <w:color w:val="000000"/>
        </w:rPr>
        <w:t xml:space="preserve"> </w:t>
      </w:r>
      <w:r>
        <w:rPr>
          <w:rFonts w:ascii="Arial;sans-serif" w:hAnsi="Arial;sans-serif"/>
          <w:b w:val="false"/>
          <w:color w:val="000000"/>
          <w:sz w:val="20"/>
        </w:rPr>
        <w:t>On September 21, 2021, the United States Department of Justice (the DOJ), joined by Attorneys General from six states and the District of Columbia, filed an antitrust complaint against American and JetBlue Airways Corporation (JetBlue) in the U.S. District Court for the District of Massachusetts alleging that American and JetBlue violated U.S. antitrust law in connection with the previously disclosed Northeast Alliance arrangement (NEA). The parties presented their respective cases in a bench trial that commenced on September 27, 2022. The parties presented closing arguments on November 18, 2022. A decision is expected in the second quarter of 2023.</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Also on September 21, 2021, the United States Department of Transportation (DOT) published a Clarification Notice relating to the agreement that had been reached between the DOT, American, and JetBlue in January 2021, at the conclusion of the DOT’s review of the NEA (DOT Agreement). The DOT Clarification Notice stated, among other things, that the DOT Agreement remains in force during the pendency of the DOJ action against the NEA and, while the DOT retains independent statutory authority to prohibit unfair methods of competition in air transportation, the DOT intends to defer to the DOJ to resolve the antitrust concerns that the DOJ has identified with respect to the NEA. The DOT simultaneously published a Notice Staying Proceeding in relation to a complaint by Spirit Airlines, Inc. regarding the NEA, pending resolution of the DOJ action described above. On September 30, 2022, the DOT issued a further statement referencing the prior Clarification Notice and, among other things, indicating its intention to continue working with the DOJ in its efforts to resolve the ongoing proceedings regarding the NEA.</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v:rect>
            </w:pict>
          </mc:Fallback>
        </mc:AlternateContent>
      </w:r>
    </w:p>
    <w:p>
      <w:pPr>
        <w:pStyle w:val="TextBody"/>
        <w:spacing w:lineRule="auto" w:line="288" w:before="0" w:after="0"/>
        <w:rPr/>
      </w:pPr>
      <w:hyperlink w:anchor="i46fbc2c07ce748d68317b3440587c97f_7">
        <w:r>
          <w:rPr>
            <w:rStyle w:val="InternetLink"/>
            <w:rFonts w:ascii="Arial;sans-serif" w:hAnsi="Arial;sans-serif"/>
            <w:b/>
            <w:color w:val="0000FF"/>
            <w:sz w:val="20"/>
            <w:u w:val="single"/>
          </w:rPr>
          <w:t>Table of Contents</w:t>
        </w:r>
      </w:hyperlink>
    </w:p>
    <w:p>
      <w:pPr>
        <w:pStyle w:val="TextBody"/>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GROUP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lineRule="auto" w:line="288" w:before="180" w:after="283"/>
        <w:ind w:left="0" w:right="0" w:firstLine="270"/>
        <w:jc w:val="both"/>
        <w:rPr/>
      </w:pPr>
      <w:r>
        <w:rPr>
          <w:rFonts w:ascii="Arial;sans-serif" w:hAnsi="Arial;sans-serif"/>
          <w:b w:val="false"/>
          <w:i/>
          <w:color w:val="000000"/>
          <w:sz w:val="20"/>
        </w:rPr>
        <w:t>Private Party Antitrust Actions Related to the Northeast Alliance.</w:t>
      </w:r>
      <w:r>
        <w:rPr>
          <w:color w:val="000000"/>
        </w:rPr>
        <w:t xml:space="preserve"> </w:t>
      </w:r>
      <w:r>
        <w:rPr>
          <w:rFonts w:ascii="Arial;sans-serif" w:hAnsi="Arial;sans-serif"/>
          <w:b w:val="false"/>
          <w:color w:val="000000"/>
          <w:sz w:val="20"/>
        </w:rPr>
        <w:t>On December 5, 2022 and December 7, 2022, two private party plaintiffs filed putative class action antitrust complaints against American and JetBlue in the U.S. District Court for the Eastern District of New York alleging that American and JetBlue violated U.S. antitrust law in connection with the previously disclosed NEA. These actions were consolidated on January 10, 2023. The private party plaintiffs filed an amended consolidated complaint on February 3, 2023. On February 2, 2023 and February 15, 2023, private party plaintiffs filed two additional putative class action antitrust complaints against American and JetBlue in the U.S. District Court for the District of Massachusetts and the U.S. District Court for the Eastern District of New York, respectively. American and JetBlue are currently seeking dismissal or transfer of the complaint filed in the U.S. District Court for the District of Massachusetts to the U.S. District Court for the Eastern District of New York. We believe these lawsuits are without merit and are defending against them vigorously.</w:t>
      </w:r>
    </w:p>
    <w:p>
      <w:pPr>
        <w:pStyle w:val="TextBody"/>
        <w:spacing w:lineRule="auto" w:line="288" w:before="180" w:after="283"/>
        <w:ind w:left="0" w:right="0" w:firstLine="270"/>
        <w:jc w:val="both"/>
        <w:rPr/>
      </w:pPr>
      <w:r>
        <w:rPr>
          <w:rFonts w:ascii="Arial;sans-serif" w:hAnsi="Arial;sans-serif"/>
          <w:b w:val="false"/>
          <w:i/>
          <w:color w:val="000000"/>
          <w:sz w:val="20"/>
        </w:rPr>
        <w:t>General.</w:t>
      </w:r>
      <w:r>
        <w:rPr>
          <w:color w:val="000000"/>
        </w:rPr>
        <w:t xml:space="preserve"> </w:t>
      </w:r>
      <w:r>
        <w:rPr>
          <w:rFonts w:ascii="Arial;sans-serif" w:hAnsi="Arial;sans-serif"/>
          <w:b w:val="false"/>
          <w:color w:val="000000"/>
          <w:sz w:val="20"/>
        </w:rPr>
        <w:t>In addition to the specifically identified legal proceedings, we and our subsidiaries are also engaged in other legal proceedings from time to 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v:rect>
            </w:pict>
          </mc:Fallback>
        </mc:AlternateContent>
      </w:r>
    </w:p>
    <w:p>
      <w:pPr>
        <w:pStyle w:val="TextBody"/>
        <w:spacing w:lineRule="auto" w:line="288" w:before="0" w:after="0"/>
        <w:jc w:val="both"/>
        <w:rPr/>
      </w:pPr>
      <w:hyperlink w:anchor="i46fbc2c07ce748d68317b3440587c97f_7">
        <w:r>
          <w:rPr>
            <w:rStyle w:val="InternetLink"/>
            <w:rFonts w:ascii="Arial;sans-serif" w:hAnsi="Arial;sans-serif"/>
            <w:b/>
            <w:color w:val="0000FF"/>
            <w:sz w:val="20"/>
            <w:u w:val="single"/>
          </w:rPr>
          <w:t>Table of Contents</w:t>
        </w:r>
      </w:hyperlink>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ITEM 1B. CONDENSED CONSOLIDATED FINANCIAL STATEMENTS OF AMERICAN AIRLINES, INC.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70" w:after="283"/>
        <w:jc w:val="center"/>
        <w:rPr>
          <w:rFonts w:ascii="Arial;sans-serif" w:hAnsi="Arial;sans-serif"/>
          <w:b/>
          <w:color w:val="000000"/>
          <w:sz w:val="20"/>
        </w:rPr>
      </w:pPr>
      <w:r>
        <w:rPr>
          <w:rFonts w:ascii="Arial;sans-serif" w:hAnsi="Arial;sans-serif"/>
          <w:b/>
          <w:color w:val="000000"/>
          <w:sz w:val="20"/>
        </w:rPr>
        <w:t>AMERICAN AIRLINES,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spacing w:lineRule="auto" w:line="288" w:before="0" w:after="180"/>
        <w:jc w:val="center"/>
        <w:rPr>
          <w:rFonts w:ascii="Arial;sans-serif" w:hAnsi="Arial;sans-serif"/>
          <w:b/>
          <w:color w:val="000000"/>
          <w:sz w:val="20"/>
        </w:rPr>
      </w:pPr>
      <w:r>
        <w:rPr>
          <w:rFonts w:ascii="Arial;sans-serif" w:hAnsi="Arial;sans-serif"/>
          <w:b/>
          <w:color w:val="000000"/>
          <w:sz w:val="20"/>
        </w:rPr>
        <w:t>(In millions)(Unaudited)</w:t>
      </w:r>
    </w:p>
    <w:tbl>
      <w:tblPr>
        <w:tblW w:w="6342" w:type="dxa"/>
        <w:jc w:val="left"/>
        <w:tblInd w:w="0" w:type="dxa"/>
        <w:tblCellMar>
          <w:top w:w="28" w:type="dxa"/>
          <w:left w:w="28" w:type="dxa"/>
          <w:bottom w:w="28" w:type="dxa"/>
          <w:right w:w="28" w:type="dxa"/>
        </w:tblCellMar>
      </w:tblPr>
      <w:tblGrid>
        <w:gridCol w:w="1201"/>
        <w:gridCol w:w="1056"/>
        <w:gridCol w:w="1058"/>
        <w:gridCol w:w="222"/>
        <w:gridCol w:w="790"/>
        <w:gridCol w:w="114"/>
        <w:gridCol w:w="114"/>
        <w:gridCol w:w="114"/>
        <w:gridCol w:w="114"/>
        <w:gridCol w:w="222"/>
        <w:gridCol w:w="742"/>
        <w:gridCol w:w="114"/>
        <w:gridCol w:w="109"/>
        <w:gridCol w:w="109"/>
        <w:gridCol w:w="109"/>
        <w:gridCol w:w="154"/>
      </w:tblGrid>
      <w:tr>
        <w:trPr/>
        <w:tc>
          <w:tcPr>
            <w:tcW w:w="1201"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3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Operating revenues:</w:t>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w:t>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11,103 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7,818 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1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 and related taxes</w:t>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Salaries, wages and benefits</w:t>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Regional expenses</w:t>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Maintenance, materials and repairs</w:t>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rent and landing fees</w:t>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rent</w:t>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expenses</w:t>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Special items, net</w:t>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1,286 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11,749 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10,592 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Operating income (loss)</w:t>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(1,696)</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Nonoperating income (expense):</w:t>
            </w:r>
          </w:p>
        </w:tc>
        <w:tc>
          <w:tcPr>
            <w:tcW w:w="11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nonoperating expense, net</w:t>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Income (loss) before income taxes</w:t>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(2,014)</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 (benefit)</w:t>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(1,578)</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7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v:rect>
            </w:pict>
          </mc:Fallback>
        </mc:AlternateContent>
      </w:r>
    </w:p>
    <w:p>
      <w:pPr>
        <w:pStyle w:val="TextBody"/>
        <w:spacing w:lineRule="auto" w:line="288" w:before="0" w:after="0"/>
        <w:jc w:val="both"/>
        <w:rPr/>
      </w:pPr>
      <w:hyperlink w:anchor="i46fbc2c07ce748d68317b3440587c97f_7">
        <w:r>
          <w:rPr>
            <w:rStyle w:val="InternetLink"/>
            <w:rFonts w:ascii="Arial;sans-serif" w:hAnsi="Arial;sans-serif"/>
            <w:b/>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AMERICAN AIRLINES,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COMPREHENSIVE INCOME (LOSS)</w:t>
      </w:r>
    </w:p>
    <w:p>
      <w:pPr>
        <w:pStyle w:val="TextBody"/>
        <w:spacing w:lineRule="auto" w:line="288" w:before="0" w:after="180"/>
        <w:jc w:val="center"/>
        <w:rPr>
          <w:rFonts w:ascii="Arial;sans-serif" w:hAnsi="Arial;sans-serif"/>
          <w:b/>
          <w:color w:val="000000"/>
          <w:sz w:val="20"/>
        </w:rPr>
      </w:pPr>
      <w:r>
        <w:rPr>
          <w:rFonts w:ascii="Arial;sans-serif" w:hAnsi="Arial;sans-serif"/>
          <w:b/>
          <w:color w:val="000000"/>
          <w:sz w:val="20"/>
        </w:rPr>
        <w:t>(In millions)(Unaudited)</w:t>
      </w:r>
    </w:p>
    <w:tbl>
      <w:tblPr>
        <w:tblW w:w="8174" w:type="dxa"/>
        <w:jc w:val="left"/>
        <w:tblInd w:w="0" w:type="dxa"/>
        <w:tblCellMar>
          <w:top w:w="28" w:type="dxa"/>
          <w:left w:w="28" w:type="dxa"/>
          <w:bottom w:w="28" w:type="dxa"/>
          <w:right w:w="28" w:type="dxa"/>
        </w:tblCellMar>
      </w:tblPr>
      <w:tblGrid>
        <w:gridCol w:w="1866"/>
        <w:gridCol w:w="1635"/>
        <w:gridCol w:w="1644"/>
        <w:gridCol w:w="249"/>
        <w:gridCol w:w="569"/>
        <w:gridCol w:w="129"/>
        <w:gridCol w:w="129"/>
        <w:gridCol w:w="129"/>
        <w:gridCol w:w="129"/>
        <w:gridCol w:w="249"/>
        <w:gridCol w:w="836"/>
        <w:gridCol w:w="129"/>
        <w:gridCol w:w="109"/>
        <w:gridCol w:w="109"/>
        <w:gridCol w:w="109"/>
        <w:gridCol w:w="154"/>
      </w:tblGrid>
      <w:tr>
        <w:trPr/>
        <w:tc>
          <w:tcPr>
            <w:tcW w:w="1866" w:type="dxa"/>
            <w:tcBorders/>
            <w:shd w:fill="auto" w:val="clear"/>
            <w:vAlign w:val="center"/>
          </w:tcPr>
          <w:p>
            <w:pPr>
              <w:pStyle w:val="TableContents"/>
              <w:spacing w:before="0" w:after="283"/>
              <w:rPr>
                <w:sz w:val="4"/>
                <w:szCs w:val="4"/>
              </w:rPr>
            </w:pPr>
            <w:r>
              <w:rPr>
                <w:sz w:val="4"/>
                <w:szCs w:val="4"/>
              </w:rPr>
            </w:r>
          </w:p>
        </w:tc>
        <w:tc>
          <w:tcPr>
            <w:tcW w:w="1635" w:type="dxa"/>
            <w:tcBorders/>
            <w:shd w:fill="auto" w:val="clear"/>
            <w:vAlign w:val="center"/>
          </w:tcPr>
          <w:p>
            <w:pPr>
              <w:pStyle w:val="TableContents"/>
              <w:spacing w:before="0" w:after="283"/>
              <w:rPr>
                <w:sz w:val="4"/>
                <w:szCs w:val="4"/>
              </w:rPr>
            </w:pPr>
            <w:r>
              <w:rPr>
                <w:sz w:val="4"/>
                <w:szCs w:val="4"/>
              </w:rPr>
            </w:r>
          </w:p>
        </w:tc>
        <w:tc>
          <w:tcPr>
            <w:tcW w:w="1644"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4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(1,578)</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Other comprehensive income (loss), net of tax:</w:t>
            </w:r>
          </w:p>
        </w:tc>
        <w:tc>
          <w:tcPr>
            <w:tcW w:w="9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retiree medical and other postretirement benefits</w:t>
            </w:r>
          </w:p>
        </w:tc>
        <w:tc>
          <w:tcPr>
            <w:tcW w:w="8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w:t>
            </w:r>
          </w:p>
        </w:tc>
        <w:tc>
          <w:tcPr>
            <w:tcW w:w="8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other comprehensive income, net of tax</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comprehensive income (loss)</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(1,552)</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7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v:rect>
            </w:pict>
          </mc:Fallback>
        </mc:AlternateContent>
      </w:r>
    </w:p>
    <w:p>
      <w:pPr>
        <w:pStyle w:val="TextBody"/>
        <w:spacing w:lineRule="auto" w:line="288" w:before="0" w:after="0"/>
        <w:jc w:val="both"/>
        <w:rPr/>
      </w:pPr>
      <w:hyperlink w:anchor="i46fbc2c07ce748d68317b3440587c97f_7">
        <w:r>
          <w:rPr>
            <w:rStyle w:val="InternetLink"/>
            <w:rFonts w:ascii="Arial;sans-serif" w:hAnsi="Arial;sans-serif"/>
            <w:b/>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AMERICAN AIRLINES,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spacing w:lineRule="auto" w:line="288" w:before="0" w:after="180"/>
        <w:jc w:val="center"/>
        <w:rPr>
          <w:rFonts w:ascii="Arial;sans-serif" w:hAnsi="Arial;sans-serif"/>
          <w:b/>
          <w:color w:val="000000"/>
          <w:sz w:val="20"/>
        </w:rPr>
      </w:pPr>
      <w:r>
        <w:rPr>
          <w:rFonts w:ascii="Arial;sans-serif" w:hAnsi="Arial;sans-serif"/>
          <w:b/>
          <w:color w:val="000000"/>
          <w:sz w:val="20"/>
        </w:rPr>
        <w:t>(In millions, except share and par value amounts)</w:t>
      </w:r>
    </w:p>
    <w:tbl>
      <w:tblPr>
        <w:tblW w:w="9279" w:type="dxa"/>
        <w:jc w:val="center"/>
        <w:tblInd w:w="0" w:type="dxa"/>
        <w:tblCellMar>
          <w:top w:w="28" w:type="dxa"/>
          <w:left w:w="28" w:type="dxa"/>
          <w:bottom w:w="28" w:type="dxa"/>
          <w:right w:w="28" w:type="dxa"/>
        </w:tblCellMar>
      </w:tblPr>
      <w:tblGrid>
        <w:gridCol w:w="2197"/>
        <w:gridCol w:w="1936"/>
        <w:gridCol w:w="1941"/>
        <w:gridCol w:w="259"/>
        <w:gridCol w:w="856"/>
        <w:gridCol w:w="144"/>
        <w:gridCol w:w="109"/>
        <w:gridCol w:w="109"/>
        <w:gridCol w:w="109"/>
        <w:gridCol w:w="318"/>
        <w:gridCol w:w="1051"/>
        <w:gridCol w:w="250"/>
      </w:tblGrid>
      <w:tr>
        <w:trPr/>
        <w:tc>
          <w:tcPr>
            <w:tcW w:w="2197" w:type="dxa"/>
            <w:tcBorders/>
            <w:shd w:fill="auto" w:val="clear"/>
            <w:vAlign w:val="center"/>
          </w:tcPr>
          <w:p>
            <w:pPr>
              <w:pStyle w:val="TableContents"/>
              <w:spacing w:before="0" w:after="283"/>
              <w:rPr>
                <w:sz w:val="4"/>
                <w:szCs w:val="4"/>
              </w:rPr>
            </w:pPr>
            <w:r>
              <w:rPr>
                <w:sz w:val="4"/>
                <w:szCs w:val="4"/>
              </w:rPr>
            </w:r>
          </w:p>
        </w:tc>
        <w:tc>
          <w:tcPr>
            <w:tcW w:w="1936" w:type="dxa"/>
            <w:tcBorders/>
            <w:shd w:fill="auto" w:val="clear"/>
            <w:vAlign w:val="center"/>
          </w:tcPr>
          <w:p>
            <w:pPr>
              <w:pStyle w:val="TableContents"/>
              <w:spacing w:before="0" w:after="283"/>
              <w:rPr>
                <w:sz w:val="4"/>
                <w:szCs w:val="4"/>
              </w:rPr>
            </w:pPr>
            <w:r>
              <w:rPr>
                <w:sz w:val="4"/>
                <w:szCs w:val="4"/>
              </w:rPr>
            </w:r>
          </w:p>
        </w:tc>
        <w:tc>
          <w:tcPr>
            <w:tcW w:w="1941"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6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7"/>
              </w:rPr>
            </w:pPr>
            <w:r>
              <w:rPr>
                <w:rFonts w:ascii="Arial;sans-serif" w:hAnsi="Arial;sans-serif"/>
                <w:b/>
                <w:color w:val="000000"/>
                <w:sz w:val="17"/>
              </w:rPr>
              <w:t>ASSETS</w:t>
            </w:r>
          </w:p>
        </w:tc>
        <w:tc>
          <w:tcPr>
            <w:tcW w:w="12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7"/>
              </w:rPr>
            </w:pPr>
            <w:r>
              <w:rPr>
                <w:rFonts w:ascii="Arial;sans-serif" w:hAnsi="Arial;sans-serif"/>
                <w:b/>
                <w:color w:val="000000"/>
                <w:sz w:val="17"/>
              </w:rPr>
              <w:t>Current assets</w:t>
            </w:r>
          </w:p>
        </w:tc>
        <w:tc>
          <w:tcPr>
            <w:tcW w:w="1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Cash</w:t>
            </w:r>
          </w:p>
        </w:tc>
        <w:tc>
          <w:tcPr>
            <w:tcW w:w="2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443 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429 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Short-term investments</w:t>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11,039 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8,523 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Restricted cash and short-term investments</w:t>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955 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995 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Accounts receivable, net</w:t>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1,966 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2,117 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Receivables from related parties, net</w:t>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6,711 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6,588 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Aircraft fuel, spare parts and supplies, net</w:t>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2,185 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2,157 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Prepaid expenses and other</w:t>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812 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798 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current assets</w:t>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24,111 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21,607 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7"/>
              </w:rPr>
            </w:pPr>
            <w:r>
              <w:rPr>
                <w:rFonts w:ascii="Arial;sans-serif" w:hAnsi="Arial;sans-serif"/>
                <w:b/>
                <w:color w:val="000000"/>
                <w:sz w:val="17"/>
              </w:rPr>
              <w:t>Operating property and equipment</w:t>
            </w:r>
          </w:p>
        </w:tc>
        <w:tc>
          <w:tcPr>
            <w:tcW w:w="12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Flight equipment</w:t>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39,672 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39,359 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Ground property and equipment</w:t>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9,594 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9,479 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Equipment purchase deposits</w:t>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640 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613 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property and equipment, at cost</w:t>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49,906 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49,451 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accumulated depreciation and amortization</w:t>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(20,073)</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(19,569)</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property and equipment, net</w:t>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29,833 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29,882 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7"/>
              </w:rPr>
            </w:pPr>
            <w:r>
              <w:rPr>
                <w:rFonts w:ascii="Arial;sans-serif" w:hAnsi="Arial;sans-serif"/>
                <w:b/>
                <w:color w:val="000000"/>
                <w:sz w:val="17"/>
              </w:rPr>
              <w:t>Operating lease right-of-use assets</w:t>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7,776 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8,033 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7"/>
              </w:rPr>
            </w:pPr>
            <w:r>
              <w:rPr>
                <w:rFonts w:ascii="Arial;sans-serif" w:hAnsi="Arial;sans-serif"/>
                <w:b/>
                <w:color w:val="000000"/>
                <w:sz w:val="17"/>
              </w:rPr>
              <w:t>Other assets</w:t>
            </w:r>
          </w:p>
        </w:tc>
        <w:tc>
          <w:tcPr>
            <w:tcW w:w="12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Goodwill</w:t>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4,091 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4,091 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7"/>
              </w:rPr>
            </w:pPr>
            <w:r>
              <w:rPr>
                <w:rFonts w:ascii="Arial;sans-serif" w:hAnsi="Arial;sans-serif"/>
                <w:b w:val="false"/>
                <w:color w:val="000000"/>
                <w:sz w:val="17"/>
              </w:rPr>
              <w:t>Intangibles, net of accumulated amortization of $828 and $827, respectively</w:t>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2,057 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2,059 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Deferred tax asset</w:t>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2,859 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2,893 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assets</w:t>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1,771 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1,759 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other assets</w:t>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10,778 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10,802 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7"/>
              </w:rPr>
            </w:pPr>
            <w:r>
              <w:rPr>
                <w:rFonts w:ascii="Arial;sans-serif" w:hAnsi="Arial;sans-serif"/>
                <w:b/>
                <w:color w:val="000000"/>
                <w:sz w:val="17"/>
              </w:rPr>
              <w:t>Total assets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72,498 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70,324 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7"/>
              </w:rPr>
            </w:pPr>
            <w:r>
              <w:rPr>
                <w:rFonts w:ascii="Arial;sans-serif" w:hAnsi="Arial;sans-serif"/>
                <w:b/>
                <w:color w:val="000000"/>
                <w:sz w:val="17"/>
              </w:rPr>
              <w:t>LIABILITIES AND STOCKHOLDER’S EQUITY</w:t>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7"/>
              </w:rPr>
            </w:pPr>
            <w:r>
              <w:rPr>
                <w:rFonts w:ascii="Arial;sans-serif" w:hAnsi="Arial;sans-serif"/>
                <w:b/>
                <w:color w:val="000000"/>
                <w:sz w:val="17"/>
              </w:rPr>
              <w:t>Current liabilities</w:t>
            </w:r>
          </w:p>
        </w:tc>
        <w:tc>
          <w:tcPr>
            <w:tcW w:w="12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Current maturities of long-term debt and finance leases</w:t>
            </w:r>
          </w:p>
        </w:tc>
        <w:tc>
          <w:tcPr>
            <w:tcW w:w="2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3,572 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3,267 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Accounts payable</w:t>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2,373 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2,071 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Accrued salaries and wages</w:t>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1,619 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1,529 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Air traffic liability</w:t>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9,053 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6,745 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Loyalty program liability</w:t>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3,486 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3,169 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Operating lease liabilities</w:t>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1,422 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1,449 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accrued liabilities</w:t>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2,667 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2,852 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current liabilities</w:t>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24,192 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21,082 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7"/>
              </w:rPr>
            </w:pPr>
            <w:r>
              <w:rPr>
                <w:rFonts w:ascii="Arial;sans-serif" w:hAnsi="Arial;sans-serif"/>
                <w:b/>
                <w:color w:val="000000"/>
                <w:sz w:val="17"/>
              </w:rPr>
              <w:t>Noncurrent liabilities</w:t>
            </w:r>
          </w:p>
        </w:tc>
        <w:tc>
          <w:tcPr>
            <w:tcW w:w="1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Long-term debt and finance leases, net of current maturities</w:t>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26,352 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27,155 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Pension and postretirement benefits</w:t>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2,712 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2,811 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Loyalty program liability</w:t>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5,881 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5,976 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Operating lease liabilities</w:t>
            </w:r>
          </w:p>
        </w:tc>
        <w:tc>
          <w:tcPr>
            <w:tcW w:w="111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6,280 </w:t>
            </w:r>
          </w:p>
        </w:tc>
        <w:tc>
          <w:tcPr>
            <w:tcW w:w="1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6,512 </w:t>
            </w:r>
          </w:p>
        </w:tc>
        <w:tc>
          <w:tcPr>
            <w:tcW w:w="2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liabilities</w:t>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1,371 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1,195 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noncurrent liabilities</w:t>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42,596 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43,649 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7"/>
              </w:rPr>
            </w:pPr>
            <w:r>
              <w:rPr>
                <w:rFonts w:ascii="Arial;sans-serif" w:hAnsi="Arial;sans-serif"/>
                <w:b/>
                <w:color w:val="000000"/>
                <w:sz w:val="17"/>
              </w:rPr>
              <w:t>Commitments and contingencies</w:t>
            </w:r>
          </w:p>
        </w:tc>
        <w:tc>
          <w:tcPr>
            <w:tcW w:w="12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7"/>
              </w:rPr>
            </w:pPr>
            <w:r>
              <w:rPr>
                <w:rFonts w:ascii="Arial;sans-serif" w:hAnsi="Arial;sans-serif"/>
                <w:b/>
                <w:color w:val="000000"/>
                <w:sz w:val="17"/>
              </w:rPr>
              <w:t>Stockholder’s equity</w:t>
            </w:r>
          </w:p>
        </w:tc>
        <w:tc>
          <w:tcPr>
            <w:tcW w:w="1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7"/>
              </w:rPr>
            </w:pPr>
            <w:r>
              <w:rPr>
                <w:rFonts w:ascii="Arial;sans-serif" w:hAnsi="Arial;sans-serif"/>
                <w:b w:val="false"/>
                <w:color w:val="000000"/>
                <w:sz w:val="17"/>
              </w:rPr>
              <w:t>Common stock, $1.00 par value; 1,000 shares authorized, issued and outstanding</w:t>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Additional paid-in capital</w:t>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17,244 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17,230 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Accumulated other comprehensive loss</w:t>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(4,672)</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(4,690)</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Retained deficit</w:t>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(6,862)</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(6,947)</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stockholder’s equity</w:t>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5,710 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5,593 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7"/>
              </w:rPr>
            </w:pPr>
            <w:r>
              <w:rPr>
                <w:rFonts w:ascii="Arial;sans-serif" w:hAnsi="Arial;sans-serif"/>
                <w:b/>
                <w:color w:val="000000"/>
                <w:sz w:val="17"/>
              </w:rPr>
              <w:t>Total liabilities and stockholder’s equity</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72,498 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70,324 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7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v:rect>
            </w:pict>
          </mc:Fallback>
        </mc:AlternateContent>
      </w:r>
    </w:p>
    <w:p>
      <w:pPr>
        <w:pStyle w:val="TextBody"/>
        <w:spacing w:lineRule="auto" w:line="288" w:before="0" w:after="0"/>
        <w:jc w:val="both"/>
        <w:rPr/>
      </w:pPr>
      <w:hyperlink w:anchor="i46fbc2c07ce748d68317b3440587c97f_7">
        <w:r>
          <w:rPr>
            <w:rStyle w:val="InternetLink"/>
            <w:rFonts w:ascii="Arial;sans-serif" w:hAnsi="Arial;sans-serif"/>
            <w:b/>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AMERICAN AIRLINES,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spacing w:lineRule="auto" w:line="288" w:before="0" w:after="180"/>
        <w:jc w:val="center"/>
        <w:rPr>
          <w:rFonts w:ascii="Arial;sans-serif" w:hAnsi="Arial;sans-serif"/>
          <w:b/>
          <w:color w:val="000000"/>
          <w:sz w:val="20"/>
        </w:rPr>
      </w:pPr>
      <w:r>
        <w:rPr>
          <w:rFonts w:ascii="Arial;sans-serif" w:hAnsi="Arial;sans-serif"/>
          <w:b/>
          <w:color w:val="000000"/>
          <w:sz w:val="20"/>
        </w:rPr>
        <w:t>(In millions)(Unaudited)</w:t>
      </w:r>
    </w:p>
    <w:tbl>
      <w:tblPr>
        <w:tblW w:w="7992" w:type="dxa"/>
        <w:jc w:val="left"/>
        <w:tblInd w:w="0" w:type="dxa"/>
        <w:tblCellMar>
          <w:top w:w="28" w:type="dxa"/>
          <w:left w:w="28" w:type="dxa"/>
          <w:bottom w:w="28" w:type="dxa"/>
          <w:right w:w="28" w:type="dxa"/>
        </w:tblCellMar>
      </w:tblPr>
      <w:tblGrid>
        <w:gridCol w:w="1954"/>
        <w:gridCol w:w="1717"/>
        <w:gridCol w:w="1728"/>
        <w:gridCol w:w="256"/>
        <w:gridCol w:w="784"/>
        <w:gridCol w:w="132"/>
        <w:gridCol w:w="132"/>
        <w:gridCol w:w="132"/>
        <w:gridCol w:w="132"/>
        <w:gridCol w:w="256"/>
        <w:gridCol w:w="583"/>
        <w:gridCol w:w="186"/>
      </w:tblGrid>
      <w:tr>
        <w:trPr/>
        <w:tc>
          <w:tcPr>
            <w:tcW w:w="1954" w:type="dxa"/>
            <w:tcBorders/>
            <w:shd w:fill="auto" w:val="clear"/>
            <w:vAlign w:val="center"/>
          </w:tcPr>
          <w:p>
            <w:pPr>
              <w:pStyle w:val="TableContents"/>
              <w:spacing w:before="0" w:after="283"/>
              <w:rPr>
                <w:sz w:val="4"/>
                <w:szCs w:val="4"/>
              </w:rPr>
            </w:pPr>
            <w:r>
              <w:rPr>
                <w:sz w:val="4"/>
                <w:szCs w:val="4"/>
              </w:rPr>
            </w:r>
          </w:p>
        </w:tc>
        <w:tc>
          <w:tcPr>
            <w:tcW w:w="1717" w:type="dxa"/>
            <w:tcBorders/>
            <w:shd w:fill="auto" w:val="clear"/>
            <w:vAlign w:val="center"/>
          </w:tcPr>
          <w:p>
            <w:pPr>
              <w:pStyle w:val="TableContents"/>
              <w:spacing w:before="0" w:after="283"/>
              <w:rPr>
                <w:sz w:val="4"/>
                <w:szCs w:val="4"/>
              </w:rPr>
            </w:pPr>
            <w:r>
              <w:rPr>
                <w:sz w:val="4"/>
                <w:szCs w:val="4"/>
              </w:rPr>
            </w:r>
          </w:p>
        </w:tc>
        <w:tc>
          <w:tcPr>
            <w:tcW w:w="1728"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53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53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operating activities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11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 net of aircraft purchase deposit returns</w:t>
            </w:r>
          </w:p>
        </w:tc>
        <w:tc>
          <w:tcPr>
            <w:tcW w:w="10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r>
      <w:tr>
        <w:trPr/>
        <w:tc>
          <w:tcPr>
            <w:tcW w:w="5399"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short-term investments</w:t>
            </w:r>
          </w:p>
        </w:tc>
        <w:tc>
          <w:tcPr>
            <w:tcW w:w="10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(5,131)</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(7,022)</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of short-term investments</w:t>
            </w:r>
          </w:p>
        </w:tc>
        <w:tc>
          <w:tcPr>
            <w:tcW w:w="10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2,666 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7,089 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 restricted short-term investments</w:t>
            </w:r>
          </w:p>
        </w:tc>
        <w:tc>
          <w:tcPr>
            <w:tcW w:w="10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r>
      <w:tr>
        <w:trPr/>
        <w:tc>
          <w:tcPr>
            <w:tcW w:w="5399"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r>
      <w:tr>
        <w:trPr/>
        <w:tc>
          <w:tcPr>
            <w:tcW w:w="5399"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r>
      <w:tr>
        <w:trPr/>
        <w:tc>
          <w:tcPr>
            <w:tcW w:w="5399"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investing activities</w:t>
            </w:r>
          </w:p>
        </w:tc>
        <w:tc>
          <w:tcPr>
            <w:tcW w:w="10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(2,785)</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(741)</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11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long-term debt and finance leases</w:t>
            </w:r>
          </w:p>
        </w:tc>
        <w:tc>
          <w:tcPr>
            <w:tcW w:w="10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(2,324)</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issuance of long-term debt</w:t>
            </w:r>
          </w:p>
        </w:tc>
        <w:tc>
          <w:tcPr>
            <w:tcW w:w="10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1,824 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financing activities</w:t>
            </w:r>
          </w:p>
        </w:tc>
        <w:tc>
          <w:tcPr>
            <w:tcW w:w="10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financing activities</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increase in cash and restricted cash</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restricted cash at beginning of period</w:t>
            </w:r>
          </w:p>
        </w:tc>
        <w:tc>
          <w:tcPr>
            <w:tcW w:w="10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Cash and restricted cash at end of period </w:t>
            </w:r>
            <w:r>
              <w:rPr>
                <w:rFonts w:ascii="Arial;sans-serif" w:hAnsi="Arial;sans-serif"/>
                <w:b w:val="false"/>
                <w:color w:val="000000"/>
                <w:sz w:val="13"/>
              </w:rPr>
              <w:t>(1)</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transactions:</w:t>
            </w:r>
          </w:p>
        </w:tc>
        <w:tc>
          <w:tcPr>
            <w:tcW w:w="11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(ROU) assets acquired through operating leases</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leases converted to operating leases</w:t>
            </w:r>
          </w:p>
        </w:tc>
        <w:tc>
          <w:tcPr>
            <w:tcW w:w="10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acquired through finance leases</w:t>
            </w:r>
          </w:p>
        </w:tc>
        <w:tc>
          <w:tcPr>
            <w:tcW w:w="10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r>
      <w:tr>
        <w:trPr/>
        <w:tc>
          <w:tcPr>
            <w:tcW w:w="5399"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r>
      <w:tr>
        <w:trPr/>
        <w:tc>
          <w:tcPr>
            <w:tcW w:w="5399"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r>
      <w:tr>
        <w:trPr/>
        <w:tc>
          <w:tcPr>
            <w:tcW w:w="5399"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Supplemental information:</w:t>
            </w:r>
          </w:p>
        </w:tc>
        <w:tc>
          <w:tcPr>
            <w:tcW w:w="11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paid, net</w:t>
            </w:r>
          </w:p>
        </w:tc>
        <w:tc>
          <w:tcPr>
            <w:tcW w:w="10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paid</w:t>
            </w:r>
          </w:p>
        </w:tc>
        <w:tc>
          <w:tcPr>
            <w:tcW w:w="10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The following table provides a reconciliation of cash and restricted cash to amounts reported within the condensed consolidated balance sheets:</w:t>
      </w:r>
    </w:p>
    <w:tbl>
      <w:tblPr>
        <w:tblW w:w="8243" w:type="dxa"/>
        <w:jc w:val="left"/>
        <w:tblInd w:w="0" w:type="dxa"/>
        <w:tblCellMar>
          <w:top w:w="28" w:type="dxa"/>
          <w:left w:w="28" w:type="dxa"/>
          <w:bottom w:w="28" w:type="dxa"/>
          <w:right w:w="28" w:type="dxa"/>
        </w:tblCellMar>
      </w:tblPr>
      <w:tblGrid>
        <w:gridCol w:w="2268"/>
        <w:gridCol w:w="1982"/>
        <w:gridCol w:w="2019"/>
        <w:gridCol w:w="211"/>
        <w:gridCol w:w="481"/>
        <w:gridCol w:w="109"/>
        <w:gridCol w:w="109"/>
        <w:gridCol w:w="109"/>
        <w:gridCol w:w="109"/>
        <w:gridCol w:w="211"/>
        <w:gridCol w:w="481"/>
        <w:gridCol w:w="154"/>
      </w:tblGrid>
      <w:tr>
        <w:trPr/>
        <w:tc>
          <w:tcPr>
            <w:tcW w:w="2268" w:type="dxa"/>
            <w:tcBorders/>
            <w:shd w:fill="auto" w:val="clear"/>
            <w:vAlign w:val="center"/>
          </w:tcPr>
          <w:p>
            <w:pPr>
              <w:pStyle w:val="TableContents"/>
              <w:spacing w:before="0" w:after="283"/>
              <w:rPr>
                <w:sz w:val="4"/>
                <w:szCs w:val="4"/>
              </w:rPr>
            </w:pPr>
            <w:r>
              <w:rPr>
                <w:sz w:val="4"/>
                <w:szCs w:val="4"/>
              </w:rPr>
            </w:r>
          </w:p>
        </w:tc>
        <w:tc>
          <w:tcPr>
            <w:tcW w:w="1982" w:type="dxa"/>
            <w:tcBorders/>
            <w:shd w:fill="auto" w:val="clear"/>
            <w:vAlign w:val="center"/>
          </w:tcPr>
          <w:p>
            <w:pPr>
              <w:pStyle w:val="TableContents"/>
              <w:spacing w:before="0" w:after="283"/>
              <w:rPr>
                <w:sz w:val="4"/>
                <w:szCs w:val="4"/>
              </w:rPr>
            </w:pPr>
            <w:r>
              <w:rPr>
                <w:sz w:val="4"/>
                <w:szCs w:val="4"/>
              </w:rPr>
            </w:r>
          </w:p>
        </w:tc>
        <w:tc>
          <w:tcPr>
            <w:tcW w:w="201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 included in restricted cash and short-term investments</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7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v:rect>
            </w:pict>
          </mc:Fallback>
        </mc:AlternateContent>
      </w:r>
    </w:p>
    <w:p>
      <w:pPr>
        <w:pStyle w:val="TextBody"/>
        <w:spacing w:lineRule="auto" w:line="288" w:before="0" w:after="0"/>
        <w:jc w:val="both"/>
        <w:rPr/>
      </w:pPr>
      <w:hyperlink w:anchor="i46fbc2c07ce748d68317b3440587c97f_7">
        <w:r>
          <w:rPr>
            <w:rStyle w:val="InternetLink"/>
            <w:rFonts w:ascii="Arial;sans-serif" w:hAnsi="Arial;sans-serif"/>
            <w:b/>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AMERICAN AIRLINES,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w:t>
      </w:r>
    </w:p>
    <w:p>
      <w:pPr>
        <w:pStyle w:val="TextBody"/>
        <w:spacing w:lineRule="auto" w:line="288" w:before="0" w:after="180"/>
        <w:jc w:val="center"/>
        <w:rPr>
          <w:rFonts w:ascii="Arial;sans-serif" w:hAnsi="Arial;sans-serif"/>
          <w:b/>
          <w:color w:val="000000"/>
          <w:sz w:val="20"/>
        </w:rPr>
      </w:pPr>
      <w:r>
        <w:rPr>
          <w:rFonts w:ascii="Arial;sans-serif" w:hAnsi="Arial;sans-serif"/>
          <w:b/>
          <w:color w:val="000000"/>
          <w:sz w:val="20"/>
        </w:rPr>
        <w:t>(In millions)(Unaudited)</w:t>
      </w:r>
    </w:p>
    <w:tbl>
      <w:tblPr>
        <w:tblW w:w="9893" w:type="dxa"/>
        <w:jc w:val="center"/>
        <w:tblInd w:w="0" w:type="dxa"/>
        <w:tblCellMar>
          <w:top w:w="28" w:type="dxa"/>
          <w:left w:w="28" w:type="dxa"/>
          <w:bottom w:w="28" w:type="dxa"/>
          <w:right w:w="28" w:type="dxa"/>
        </w:tblCellMar>
      </w:tblPr>
      <w:tblGrid>
        <w:gridCol w:w="1191"/>
        <w:gridCol w:w="1044"/>
        <w:gridCol w:w="1050"/>
        <w:gridCol w:w="244"/>
        <w:gridCol w:w="470"/>
        <w:gridCol w:w="127"/>
        <w:gridCol w:w="109"/>
        <w:gridCol w:w="109"/>
        <w:gridCol w:w="109"/>
        <w:gridCol w:w="211"/>
        <w:gridCol w:w="751"/>
        <w:gridCol w:w="109"/>
        <w:gridCol w:w="109"/>
        <w:gridCol w:w="109"/>
        <w:gridCol w:w="109"/>
        <w:gridCol w:w="295"/>
        <w:gridCol w:w="903"/>
        <w:gridCol w:w="153"/>
        <w:gridCol w:w="109"/>
        <w:gridCol w:w="109"/>
        <w:gridCol w:w="109"/>
        <w:gridCol w:w="211"/>
        <w:gridCol w:w="706"/>
        <w:gridCol w:w="109"/>
        <w:gridCol w:w="109"/>
        <w:gridCol w:w="109"/>
        <w:gridCol w:w="109"/>
        <w:gridCol w:w="211"/>
        <w:gridCol w:w="646"/>
        <w:gridCol w:w="154"/>
      </w:tblGrid>
      <w:tr>
        <w:trPr/>
        <w:tc>
          <w:tcPr>
            <w:tcW w:w="1191"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Common</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br/>
              <w:t>Comprehensive</w:t>
              <w:br/>
              <w:t>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Retained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2022</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(4,690)</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w:t>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 expense</w:t>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2023</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(4,672)</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bl>
    <w:tbl>
      <w:tblPr>
        <w:tblW w:w="9893" w:type="dxa"/>
        <w:jc w:val="center"/>
        <w:tblInd w:w="0" w:type="dxa"/>
        <w:tblCellMar>
          <w:top w:w="28" w:type="dxa"/>
          <w:left w:w="28" w:type="dxa"/>
          <w:bottom w:w="28" w:type="dxa"/>
          <w:right w:w="28" w:type="dxa"/>
        </w:tblCellMar>
      </w:tblPr>
      <w:tblGrid>
        <w:gridCol w:w="1191"/>
        <w:gridCol w:w="1044"/>
        <w:gridCol w:w="1050"/>
        <w:gridCol w:w="244"/>
        <w:gridCol w:w="470"/>
        <w:gridCol w:w="127"/>
        <w:gridCol w:w="109"/>
        <w:gridCol w:w="109"/>
        <w:gridCol w:w="109"/>
        <w:gridCol w:w="211"/>
        <w:gridCol w:w="751"/>
        <w:gridCol w:w="109"/>
        <w:gridCol w:w="109"/>
        <w:gridCol w:w="109"/>
        <w:gridCol w:w="109"/>
        <w:gridCol w:w="295"/>
        <w:gridCol w:w="903"/>
        <w:gridCol w:w="153"/>
        <w:gridCol w:w="109"/>
        <w:gridCol w:w="109"/>
        <w:gridCol w:w="109"/>
        <w:gridCol w:w="211"/>
        <w:gridCol w:w="706"/>
        <w:gridCol w:w="109"/>
        <w:gridCol w:w="109"/>
        <w:gridCol w:w="109"/>
        <w:gridCol w:w="109"/>
        <w:gridCol w:w="211"/>
        <w:gridCol w:w="646"/>
        <w:gridCol w:w="154"/>
      </w:tblGrid>
      <w:tr>
        <w:trPr/>
        <w:tc>
          <w:tcPr>
            <w:tcW w:w="1191"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Common</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br/>
              <w:t>Comprehensive</w:t>
              <w:br/>
              <w:t>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Retained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2021</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(6,041)</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w:t>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 expense</w:t>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2022</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(6,015)</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7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v:rect>
            </w:pict>
          </mc:Fallback>
        </mc:AlternateContent>
      </w:r>
    </w:p>
    <w:p>
      <w:pPr>
        <w:pStyle w:val="TextBody"/>
        <w:spacing w:lineRule="auto" w:line="288" w:before="0" w:after="0"/>
        <w:jc w:val="both"/>
        <w:rPr/>
      </w:pPr>
      <w:hyperlink w:anchor="i46fbc2c07ce748d68317b3440587c97f_7">
        <w:r>
          <w:rPr>
            <w:rStyle w:val="InternetLink"/>
            <w:rFonts w:ascii="Arial;sans-serif" w:hAnsi="Arial;sans-serif"/>
            <w:b/>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70" w:after="283"/>
        <w:jc w:val="both"/>
        <w:rPr>
          <w:rFonts w:ascii="Arial;sans-serif" w:hAnsi="Arial;sans-serif"/>
          <w:b/>
          <w:color w:val="000000"/>
          <w:sz w:val="20"/>
        </w:rPr>
      </w:pPr>
      <w:r>
        <w:rPr>
          <w:rFonts w:ascii="Arial;sans-serif" w:hAnsi="Arial;sans-serif"/>
          <w:b/>
          <w:color w:val="000000"/>
          <w:sz w:val="20"/>
        </w:rPr>
        <w:t>1. Basis of Presentation</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of American Airlines, Inc. (American) should be read in conjunction with the consolidated financial statements contained in American’s Annual Report on Form 10-K for the year ended December 31, 2022. American is the principal wholly-owned subsidiary of American Airlines Group Inc. (AAG). All significant intercompany transactions have been eliminated.</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the loyalty program, deferred tax assets, as well as pension and retiree medical and other postretirement benefits.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70" w:after="283"/>
        <w:jc w:val="both"/>
        <w:rPr>
          <w:rFonts w:ascii="Arial;sans-serif" w:hAnsi="Arial;sans-serif"/>
          <w:b/>
          <w:color w:val="000000"/>
          <w:sz w:val="20"/>
        </w:rPr>
      </w:pPr>
      <w:r>
        <w:rPr>
          <w:rFonts w:ascii="Arial;sans-serif" w:hAnsi="Arial;sans-serif"/>
          <w:b/>
          <w:color w:val="000000"/>
          <w:sz w:val="20"/>
        </w:rPr>
        <w:t>2. Special Items, Net</w:t>
      </w:r>
    </w:p>
    <w:p>
      <w:pPr>
        <w:pStyle w:val="TextBody"/>
        <w:spacing w:lineRule="auto" w:line="288" w:before="90" w:after="180"/>
        <w:ind w:left="0" w:right="0" w:firstLine="270"/>
        <w:jc w:val="both"/>
        <w:rPr>
          <w:rFonts w:ascii="Arial;sans-serif" w:hAnsi="Arial;sans-serif"/>
          <w:b w:val="false"/>
          <w:color w:val="000000"/>
          <w:sz w:val="20"/>
        </w:rPr>
      </w:pPr>
      <w:r>
        <w:rPr>
          <w:rFonts w:ascii="Arial;sans-serif" w:hAnsi="Arial;sans-serif"/>
          <w:b w:val="false"/>
          <w:color w:val="000000"/>
          <w:sz w:val="20"/>
        </w:rPr>
        <w:t>Special items, net in the condensed consolidated statements of operations consisted of the following (in millions):</w:t>
      </w:r>
    </w:p>
    <w:tbl>
      <w:tblPr>
        <w:tblW w:w="6324" w:type="dxa"/>
        <w:jc w:val="left"/>
        <w:tblInd w:w="0" w:type="dxa"/>
        <w:tblCellMar>
          <w:top w:w="28" w:type="dxa"/>
          <w:left w:w="28" w:type="dxa"/>
          <w:bottom w:w="28" w:type="dxa"/>
          <w:right w:w="28" w:type="dxa"/>
        </w:tblCellMar>
      </w:tblPr>
      <w:tblGrid>
        <w:gridCol w:w="1196"/>
        <w:gridCol w:w="1049"/>
        <w:gridCol w:w="1054"/>
        <w:gridCol w:w="307"/>
        <w:gridCol w:w="548"/>
        <w:gridCol w:w="158"/>
        <w:gridCol w:w="158"/>
        <w:gridCol w:w="158"/>
        <w:gridCol w:w="158"/>
        <w:gridCol w:w="307"/>
        <w:gridCol w:w="592"/>
        <w:gridCol w:w="158"/>
        <w:gridCol w:w="109"/>
        <w:gridCol w:w="109"/>
        <w:gridCol w:w="109"/>
        <w:gridCol w:w="154"/>
      </w:tblGrid>
      <w:tr>
        <w:trPr/>
        <w:tc>
          <w:tcPr>
            <w:tcW w:w="1196"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Severance expenses </w:t>
            </w:r>
            <w:r>
              <w:rPr>
                <w:rFonts w:ascii="Arial;sans-serif" w:hAnsi="Arial;sans-serif"/>
                <w:b w:val="false"/>
                <w:color w:val="000000"/>
                <w:sz w:val="13"/>
              </w:rPr>
              <w:t>(1)</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Fleet impairment </w:t>
            </w:r>
            <w:r>
              <w:rPr>
                <w:rFonts w:ascii="Arial;sans-serif" w:hAnsi="Arial;sans-serif"/>
                <w:b w:val="false"/>
                <w:color w:val="000000"/>
                <w:sz w:val="13"/>
              </w:rPr>
              <w:t>(2)</w:t>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0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0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0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Other operating special items, net </w:t>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Mainline operating special items, net</w:t>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0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0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0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0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0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0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0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Nonoperating special items, net </w:t>
            </w:r>
            <w:r>
              <w:rPr>
                <w:rFonts w:ascii="Arial;sans-serif" w:hAnsi="Arial;sans-serif"/>
                <w:b w:val="false"/>
                <w:color w:val="000000"/>
                <w:sz w:val="13"/>
              </w:rPr>
              <w:t>(3)</w:t>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0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0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Severance expenses in the first quarter of 2023 primarily included costs associated with headcount reductions in certain corporate functions.</w:t>
      </w:r>
    </w:p>
    <w:p>
      <w:pPr>
        <w:pStyle w:val="TextBody"/>
        <w:spacing w:lineRule="auto" w:line="288" w:before="180" w:after="283"/>
        <w:ind w:left="0" w:right="0" w:hanging="360"/>
        <w:jc w:val="both"/>
        <w:rPr/>
      </w:pPr>
      <w:r>
        <w:rPr>
          <w:rFonts w:ascii="Arial;sans-serif" w:hAnsi="Arial;sans-serif"/>
          <w:b w:val="false"/>
          <w:color w:val="000000"/>
          <w:sz w:val="13"/>
        </w:rPr>
        <w:t>(2)</w:t>
      </w:r>
      <w:r>
        <w:rPr>
          <w:rFonts w:ascii="Arial;sans-serif" w:hAnsi="Arial;sans-serif"/>
          <w:b w:val="false"/>
          <w:color w:val="000000"/>
          <w:sz w:val="20"/>
        </w:rPr>
        <w:t>Fleet impairment in the first quarter of 2022 included a non-cash impairment charge to write down the carrying value of American’s retired Airbus A330 fleet to the estimated fair value due to the market conditions for certain used aircraft. American retired its Airbus A330 fleet in 2020 as a result of the decline in demand for air travel due to the COVID-19 pandemic.</w:t>
      </w:r>
    </w:p>
    <w:p>
      <w:pPr>
        <w:pStyle w:val="TextBody"/>
        <w:spacing w:lineRule="auto" w:line="288" w:before="180" w:after="283"/>
        <w:ind w:left="0" w:right="0" w:hanging="360"/>
        <w:jc w:val="both"/>
        <w:rPr/>
      </w:pPr>
      <w:r>
        <w:rPr>
          <w:rFonts w:ascii="Arial;sans-serif" w:hAnsi="Arial;sans-serif"/>
          <w:b w:val="false"/>
          <w:color w:val="000000"/>
          <w:sz w:val="13"/>
        </w:rPr>
        <w:t>(3)</w:t>
      </w:r>
      <w:r>
        <w:rPr>
          <w:rFonts w:ascii="Arial;sans-serif" w:hAnsi="Arial;sans-serif"/>
          <w:b w:val="false"/>
          <w:color w:val="000000"/>
          <w:sz w:val="20"/>
        </w:rPr>
        <w:t>Nonoperating special items, net principally included charges associated with debt refinancings and extinguishments.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v:rect>
            </w:pict>
          </mc:Fallback>
        </mc:AlternateContent>
      </w:r>
    </w:p>
    <w:p>
      <w:pPr>
        <w:pStyle w:val="TextBody"/>
        <w:spacing w:lineRule="auto" w:line="288" w:before="0" w:after="0"/>
        <w:rPr/>
      </w:pPr>
      <w:hyperlink w:anchor="i46fbc2c07ce748d68317b3440587c97f_7">
        <w:r>
          <w:rPr>
            <w:rStyle w:val="InternetLink"/>
            <w:rFonts w:ascii="Arial;sans-serif" w:hAnsi="Arial;sans-serif"/>
            <w:b/>
            <w:color w:val="0000FF"/>
            <w:sz w:val="20"/>
            <w:u w:val="single"/>
          </w:rPr>
          <w:t>Table of Contents</w:t>
        </w:r>
      </w:hyperlink>
    </w:p>
    <w:p>
      <w:pPr>
        <w:pStyle w:val="TextBody"/>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lineRule="auto" w:line="288" w:before="270" w:after="283"/>
        <w:jc w:val="both"/>
        <w:rPr>
          <w:rFonts w:ascii="Arial;sans-serif" w:hAnsi="Arial;sans-serif"/>
          <w:b/>
          <w:color w:val="000000"/>
          <w:sz w:val="20"/>
        </w:rPr>
      </w:pPr>
      <w:r>
        <w:rPr>
          <w:rFonts w:ascii="Arial;sans-serif" w:hAnsi="Arial;sans-serif"/>
          <w:b/>
          <w:color w:val="000000"/>
          <w:sz w:val="20"/>
        </w:rPr>
        <w:t>3. Revenue Recognition</w:t>
      </w:r>
    </w:p>
    <w:p>
      <w:pPr>
        <w:pStyle w:val="TextBody"/>
        <w:spacing w:lineRule="auto" w:line="288" w:before="90" w:after="283"/>
        <w:ind w:left="0" w:right="0" w:firstLine="270"/>
        <w:rPr>
          <w:rFonts w:ascii="Arial;sans-serif" w:hAnsi="Arial;sans-serif"/>
          <w:b/>
          <w:i/>
          <w:color w:val="000000"/>
          <w:sz w:val="20"/>
          <w:u w:val="single"/>
        </w:rPr>
      </w:pPr>
      <w:r>
        <w:rPr>
          <w:rFonts w:ascii="Arial;sans-serif" w:hAnsi="Arial;sans-serif"/>
          <w:b/>
          <w:i/>
          <w:color w:val="000000"/>
          <w:sz w:val="20"/>
          <w:u w:val="single"/>
        </w:rPr>
        <w:t>Revenue</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are the significant categories comprising American’s operating revenues (in millions):</w:t>
      </w:r>
    </w:p>
    <w:tbl>
      <w:tblPr>
        <w:tblW w:w="6357" w:type="dxa"/>
        <w:jc w:val="center"/>
        <w:tblInd w:w="0" w:type="dxa"/>
        <w:tblCellMar>
          <w:top w:w="28" w:type="dxa"/>
          <w:left w:w="28" w:type="dxa"/>
          <w:bottom w:w="28" w:type="dxa"/>
          <w:right w:w="28" w:type="dxa"/>
        </w:tblCellMar>
      </w:tblPr>
      <w:tblGrid>
        <w:gridCol w:w="1208"/>
        <w:gridCol w:w="1058"/>
        <w:gridCol w:w="1064"/>
        <w:gridCol w:w="227"/>
        <w:gridCol w:w="810"/>
        <w:gridCol w:w="117"/>
        <w:gridCol w:w="117"/>
        <w:gridCol w:w="117"/>
        <w:gridCol w:w="117"/>
        <w:gridCol w:w="227"/>
        <w:gridCol w:w="697"/>
        <w:gridCol w:w="117"/>
        <w:gridCol w:w="109"/>
        <w:gridCol w:w="109"/>
        <w:gridCol w:w="109"/>
        <w:gridCol w:w="154"/>
      </w:tblGrid>
      <w:tr>
        <w:trPr/>
        <w:tc>
          <w:tcPr>
            <w:tcW w:w="1208"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 revenue:</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 travel</w:t>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10,291 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7,213 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70"/>
              <w:jc w:val="left"/>
              <w:rPr/>
            </w:pPr>
            <w:r>
              <w:rPr>
                <w:rFonts w:ascii="Arial;sans-serif" w:hAnsi="Arial;sans-serif"/>
                <w:b w:val="false"/>
                <w:color w:val="000000"/>
                <w:sz w:val="20"/>
              </w:rPr>
              <w:t xml:space="preserve">Loyalty revenue - travel </w:t>
            </w:r>
            <w:r>
              <w:rPr>
                <w:rFonts w:ascii="Arial;sans-serif" w:hAnsi="Arial;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passenger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11,103 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7,818 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1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Loyalty revenue - marketing services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revenue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12,188 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Loyalty revenue included in passenger revenue is principally comprised of mileage credit redemptions, which were earned from travel or co-branded credit card and other partners.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is American’s total passenger revenue by geographic region (in millions):</w:t>
      </w:r>
    </w:p>
    <w:tbl>
      <w:tblPr>
        <w:tblW w:w="5292" w:type="dxa"/>
        <w:jc w:val="center"/>
        <w:tblInd w:w="0" w:type="dxa"/>
        <w:tblCellMar>
          <w:top w:w="28" w:type="dxa"/>
          <w:left w:w="28" w:type="dxa"/>
          <w:bottom w:w="28" w:type="dxa"/>
          <w:right w:w="28" w:type="dxa"/>
        </w:tblCellMar>
      </w:tblPr>
      <w:tblGrid>
        <w:gridCol w:w="818"/>
        <w:gridCol w:w="721"/>
        <w:gridCol w:w="726"/>
        <w:gridCol w:w="227"/>
        <w:gridCol w:w="810"/>
        <w:gridCol w:w="117"/>
        <w:gridCol w:w="117"/>
        <w:gridCol w:w="117"/>
        <w:gridCol w:w="117"/>
        <w:gridCol w:w="227"/>
        <w:gridCol w:w="697"/>
        <w:gridCol w:w="117"/>
        <w:gridCol w:w="109"/>
        <w:gridCol w:w="109"/>
        <w:gridCol w:w="109"/>
        <w:gridCol w:w="154"/>
      </w:tblGrid>
      <w:tr>
        <w:trPr/>
        <w:tc>
          <w:tcPr>
            <w:tcW w:w="818"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Domestic</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8,037 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1,915 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1,227 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Atlantic</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Pacific</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passenger revenue</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11,103 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7,818 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 attributes passenger revenue by geographic region based upon the origin and destination of each flight segment.</w:t>
      </w:r>
    </w:p>
    <w:p>
      <w:pPr>
        <w:pStyle w:val="TextBody"/>
        <w:spacing w:lineRule="auto" w:line="288" w:before="270" w:after="283"/>
        <w:ind w:left="0" w:right="0" w:firstLine="270"/>
        <w:rPr>
          <w:rFonts w:ascii="Arial;sans-serif" w:hAnsi="Arial;sans-serif"/>
          <w:b/>
          <w:i/>
          <w:color w:val="000000"/>
          <w:sz w:val="20"/>
          <w:u w:val="single"/>
        </w:rPr>
      </w:pPr>
      <w:r>
        <w:rPr>
          <w:rFonts w:ascii="Arial;sans-serif" w:hAnsi="Arial;sans-serif"/>
          <w:b/>
          <w:i/>
          <w:color w:val="000000"/>
          <w:sz w:val="20"/>
          <w:u w:val="single"/>
        </w:rPr>
        <w:t>Contract Balances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American’s significant contract liabilities are comprised of (1) outstanding loyalty program mileage credits that may be redeemed for future travel and other non-air travel awards, reported as loyalty program liability on the condensed consolidated balance sheets and (2) ticket sales for transportation that has not yet been provided, reported as air traffic liability on the condensed consolidated balance sheets.</w:t>
      </w:r>
    </w:p>
    <w:tbl>
      <w:tblPr>
        <w:tblW w:w="5380" w:type="dxa"/>
        <w:jc w:val="center"/>
        <w:tblInd w:w="0" w:type="dxa"/>
        <w:tblCellMar>
          <w:top w:w="28" w:type="dxa"/>
          <w:left w:w="28" w:type="dxa"/>
          <w:bottom w:w="28" w:type="dxa"/>
          <w:right w:w="28" w:type="dxa"/>
        </w:tblCellMar>
      </w:tblPr>
      <w:tblGrid>
        <w:gridCol w:w="787"/>
        <w:gridCol w:w="692"/>
        <w:gridCol w:w="695"/>
        <w:gridCol w:w="248"/>
        <w:gridCol w:w="884"/>
        <w:gridCol w:w="128"/>
        <w:gridCol w:w="109"/>
        <w:gridCol w:w="109"/>
        <w:gridCol w:w="109"/>
        <w:gridCol w:w="306"/>
        <w:gridCol w:w="1090"/>
        <w:gridCol w:w="223"/>
      </w:tblGrid>
      <w:tr>
        <w:trPr/>
        <w:tc>
          <w:tcPr>
            <w:tcW w:w="787"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bottom w:val="single" w:sz="8" w:space="0" w:color="FFFFFF"/>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61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2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Loyalty program liability</w:t>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9,367 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9,145 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 traffic liability</w:t>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9,053 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6,745 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18,420 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15,890 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v:rect>
            </w:pict>
          </mc:Fallback>
        </mc:AlternateContent>
      </w:r>
    </w:p>
    <w:p>
      <w:pPr>
        <w:pStyle w:val="TextBody"/>
        <w:spacing w:lineRule="auto" w:line="288" w:before="0" w:after="0"/>
        <w:rPr/>
      </w:pPr>
      <w:hyperlink w:anchor="i46fbc2c07ce748d68317b3440587c97f_7">
        <w:r>
          <w:rPr>
            <w:rStyle w:val="InternetLink"/>
            <w:rFonts w:ascii="Arial;sans-serif" w:hAnsi="Arial;sans-serif"/>
            <w:b/>
            <w:color w:val="0000FF"/>
            <w:sz w:val="20"/>
            <w:u w:val="single"/>
          </w:rPr>
          <w:t>Table of Contents</w:t>
        </w:r>
      </w:hyperlink>
    </w:p>
    <w:p>
      <w:pPr>
        <w:pStyle w:val="TextBody"/>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tbl>
      <w:tblPr>
        <w:tblW w:w="3816" w:type="dxa"/>
        <w:jc w:val="center"/>
        <w:tblInd w:w="0" w:type="dxa"/>
        <w:tblCellMar>
          <w:top w:w="28" w:type="dxa"/>
          <w:left w:w="28" w:type="dxa"/>
          <w:bottom w:w="28" w:type="dxa"/>
          <w:right w:w="28" w:type="dxa"/>
        </w:tblCellMar>
      </w:tblPr>
      <w:tblGrid>
        <w:gridCol w:w="1015"/>
        <w:gridCol w:w="892"/>
        <w:gridCol w:w="898"/>
        <w:gridCol w:w="211"/>
        <w:gridCol w:w="646"/>
        <w:gridCol w:w="154"/>
      </w:tblGrid>
      <w:tr>
        <w:trPr/>
        <w:tc>
          <w:tcPr>
            <w:tcW w:w="1015"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December 31, 2022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9,145 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Deferral of revenue</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Recognition of revenue </w:t>
            </w:r>
            <w:r>
              <w:rPr>
                <w:rFonts w:ascii="Arial;sans-serif" w:hAnsi="Arial;sans-serif"/>
                <w:b w:val="false"/>
                <w:color w:val="000000"/>
                <w:sz w:val="13"/>
              </w:rPr>
              <w:t>(1)</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Balance at March 31, 2023 </w:t>
            </w:r>
            <w:r>
              <w:rPr>
                <w:rFonts w:ascii="Arial;sans-serif" w:hAnsi="Arial;sans-serif"/>
                <w:b w:val="false"/>
                <w:color w:val="000000"/>
                <w:sz w:val="13"/>
              </w:rPr>
              <w:t>(2)</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Principally relates to revenue recognized from the redemption of mileage credits for both air and non-air travel awards. Mileage credits are combined in one homogenous pool and are not separately identifiable. As such, the revenue is comprised of mileage credits that were part of the loyalty program deferred revenue balance at the beginning of the period, as well as mileage credits that were issued during the period.</w:t>
      </w:r>
    </w:p>
    <w:p>
      <w:pPr>
        <w:pStyle w:val="TextBody"/>
        <w:spacing w:lineRule="auto" w:line="288" w:before="180" w:after="283"/>
        <w:ind w:left="0" w:right="0" w:hanging="360"/>
        <w:jc w:val="both"/>
        <w:rPr/>
      </w:pPr>
      <w:r>
        <w:rPr>
          <w:rFonts w:ascii="Arial;sans-serif" w:hAnsi="Arial;sans-serif"/>
          <w:b w:val="false"/>
          <w:color w:val="000000"/>
          <w:sz w:val="13"/>
        </w:rPr>
        <w:t>(2)</w:t>
      </w:r>
      <w:r>
        <w:rPr>
          <w:rFonts w:ascii="Arial;sans-serif" w:hAnsi="Arial;sans-serif"/>
          <w:b w:val="false"/>
          <w:color w:val="000000"/>
          <w:sz w:val="20"/>
        </w:rPr>
        <w:t xml:space="preserve">Mileage credits can be redeemed at any time and generally do not expire as long as that AAdvantage member has any type of qualifying activity at least every 24 months or if the AAdvantage member is the primary holder of a co-branded credit card. As of March 31, 2023, American’s current loyalty program liability was $3.5 billion and represents American’s current estimate of revenue expected to be recognized in the next 12 months based on historical as well as projected trends, with the balance reflected in long-term loyalty program liability expected to be recognized as revenue in periods thereafter. </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air traffic liability principally represents tickets sold for future travel on American and partner airlines. The balance in American’s air traffic liability also fluctuates with seasonal travel patterns. The contract duration of passenger tickets is generally one year. Accordingly, any revenue associated with tickets sold for future travel will be recognized within 12 months. For the three months ended March 31, 2023, $3.8 billion of revenue was recognized in passenger revenue that was included in American’s air traffic liability at December 31, 2022. Tickets issued in 2022 and thereafter are no longer subject to change fees which provides more flexibility for customers to change travel plans. Given this new flexibility offered to its customers, American’s estimate of revenue that will be recognized from the air traffic liability for future flown or unused tickets may be subject to variability and differ from historical experience.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v:rect>
            </w:pict>
          </mc:Fallback>
        </mc:AlternateContent>
      </w:r>
    </w:p>
    <w:p>
      <w:pPr>
        <w:pStyle w:val="TextBody"/>
        <w:spacing w:lineRule="auto" w:line="288" w:before="0" w:after="0"/>
        <w:rPr/>
      </w:pPr>
      <w:hyperlink w:anchor="i46fbc2c07ce748d68317b3440587c97f_7">
        <w:r>
          <w:rPr>
            <w:rStyle w:val="InternetLink"/>
            <w:rFonts w:ascii="Arial;sans-serif" w:hAnsi="Arial;sans-serif"/>
            <w:b/>
            <w:color w:val="0000FF"/>
            <w:sz w:val="20"/>
            <w:u w:val="single"/>
          </w:rPr>
          <w:t>Table of Contents</w:t>
        </w:r>
      </w:hyperlink>
    </w:p>
    <w:p>
      <w:pPr>
        <w:pStyle w:val="TextBody"/>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lineRule="auto" w:line="288" w:before="270" w:after="283"/>
        <w:jc w:val="both"/>
        <w:rPr>
          <w:rFonts w:ascii="Arial;sans-serif" w:hAnsi="Arial;sans-serif"/>
          <w:b/>
          <w:color w:val="000000"/>
          <w:sz w:val="20"/>
        </w:rPr>
      </w:pPr>
      <w:r>
        <w:rPr>
          <w:rFonts w:ascii="Arial;sans-serif" w:hAnsi="Arial;sans-serif"/>
          <w:b/>
          <w:color w:val="000000"/>
          <w:sz w:val="20"/>
        </w:rPr>
        <w:t>4. Debt</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Long-term debt included in the condensed consolidated balance sheets consisted of (in millions):</w:t>
      </w:r>
    </w:p>
    <w:tbl>
      <w:tblPr>
        <w:tblW w:w="10205" w:type="dxa"/>
        <w:jc w:val="left"/>
        <w:tblInd w:w="0" w:type="dxa"/>
        <w:tblCellMar>
          <w:top w:w="28" w:type="dxa"/>
          <w:left w:w="28" w:type="dxa"/>
          <w:bottom w:w="28" w:type="dxa"/>
          <w:right w:w="28" w:type="dxa"/>
        </w:tblCellMar>
      </w:tblPr>
      <w:tblGrid>
        <w:gridCol w:w="2672"/>
        <w:gridCol w:w="2325"/>
        <w:gridCol w:w="2339"/>
        <w:gridCol w:w="229"/>
        <w:gridCol w:w="818"/>
        <w:gridCol w:w="118"/>
        <w:gridCol w:w="109"/>
        <w:gridCol w:w="109"/>
        <w:gridCol w:w="109"/>
        <w:gridCol w:w="259"/>
        <w:gridCol w:w="923"/>
        <w:gridCol w:w="195"/>
      </w:tblGrid>
      <w:tr>
        <w:trPr/>
        <w:tc>
          <w:tcPr>
            <w:tcW w:w="2672" w:type="dxa"/>
            <w:tcBorders/>
            <w:shd w:fill="auto" w:val="clear"/>
            <w:vAlign w:val="center"/>
          </w:tcPr>
          <w:p>
            <w:pPr>
              <w:pStyle w:val="TableContents"/>
              <w:spacing w:before="0" w:after="283"/>
              <w:rPr>
                <w:sz w:val="4"/>
                <w:szCs w:val="4"/>
              </w:rPr>
            </w:pPr>
            <w:r>
              <w:rPr>
                <w:sz w:val="4"/>
                <w:szCs w:val="4"/>
              </w:rPr>
            </w:r>
          </w:p>
        </w:tc>
        <w:tc>
          <w:tcPr>
            <w:tcW w:w="2325" w:type="dxa"/>
            <w:tcBorders/>
            <w:shd w:fill="auto" w:val="clear"/>
            <w:vAlign w:val="center"/>
          </w:tcPr>
          <w:p>
            <w:pPr>
              <w:pStyle w:val="TableContents"/>
              <w:spacing w:before="0" w:after="283"/>
              <w:rPr>
                <w:sz w:val="4"/>
                <w:szCs w:val="4"/>
              </w:rPr>
            </w:pPr>
            <w:r>
              <w:rPr>
                <w:sz w:val="4"/>
                <w:szCs w:val="4"/>
              </w:rPr>
            </w:r>
          </w:p>
        </w:tc>
        <w:tc>
          <w:tcPr>
            <w:tcW w:w="233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r>
      <w:tr>
        <w:trPr/>
        <w:tc>
          <w:tcPr>
            <w:tcW w:w="7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7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Secured</w:t>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3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2013 Term Loan Facility, variable interest rate of 8.15%, installments through 2028</w:t>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1,752 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2014 Term Loan Facility, variable interest rate of 6.51%, installments through 2027</w:t>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1,183 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1,196 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6" w:type="dxa"/>
            <w:gridSpan w:val="3"/>
            <w:tcBorders/>
            <w:shd w:fill="auto" w:val="clear"/>
            <w:vAlign w:val="center"/>
          </w:tcPr>
          <w:p>
            <w:pPr>
              <w:pStyle w:val="TableContents"/>
              <w:spacing w:before="0" w:after="283"/>
              <w:rPr>
                <w:sz w:val="4"/>
                <w:szCs w:val="4"/>
              </w:rPr>
            </w:pPr>
            <w:r>
              <w:rPr>
                <w:sz w:val="4"/>
                <w:szCs w:val="4"/>
              </w:rPr>
            </w:r>
          </w:p>
        </w:tc>
        <w:tc>
          <w:tcPr>
            <w:tcW w:w="11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7" w:type="dxa"/>
            <w:gridSpan w:val="3"/>
            <w:tcBorders/>
            <w:shd w:fill="auto" w:val="clear"/>
            <w:vAlign w:val="center"/>
          </w:tcPr>
          <w:p>
            <w:pPr>
              <w:pStyle w:val="TableContents"/>
              <w:spacing w:before="0" w:after="283"/>
              <w:rPr>
                <w:sz w:val="4"/>
                <w:szCs w:val="4"/>
              </w:rPr>
            </w:pPr>
            <w:r>
              <w:rPr>
                <w:sz w:val="4"/>
                <w:szCs w:val="4"/>
              </w:rPr>
            </w:r>
          </w:p>
        </w:tc>
      </w:tr>
      <w:tr>
        <w:trPr/>
        <w:tc>
          <w:tcPr>
            <w:tcW w:w="733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11.75% senior secured notes, interest only payments until due in July 2025</w:t>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10.75% senior secured IP notes, interest only payments until due in February 2026</w:t>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10.75% senior secured LGA/DCA notes, interest only payments until due in February 2026</w:t>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7.25% senior secured notes, interest only payments until due in February 2028</w:t>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20"/>
              </w:rPr>
              <w:t xml:space="preserve">5.50% senior secured notes, installments beginning in July 2023 until due in April 2026 </w:t>
            </w:r>
            <w:r>
              <w:rPr>
                <w:rFonts w:ascii="Arial;sans-serif" w:hAnsi="Arial;sans-serif"/>
                <w:b w:val="false"/>
                <w:color w:val="000000"/>
                <w:sz w:val="13"/>
              </w:rPr>
              <w:t>(1)</w:t>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20"/>
              </w:rPr>
              <w:t xml:space="preserve">5.75% senior secured notes, installments beginning in July 2026 until due in April 2029 </w:t>
            </w:r>
            <w:r>
              <w:rPr>
                <w:rFonts w:ascii="Arial;sans-serif" w:hAnsi="Arial;sans-serif"/>
                <w:b w:val="false"/>
                <w:color w:val="000000"/>
                <w:sz w:val="13"/>
              </w:rPr>
              <w:t>(1)</w:t>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20"/>
              </w:rPr>
              <w:t xml:space="preserve">AAdvantage Term Loan Facility, variable interest rate of 9.56%, installments beginning in July 2023 through April 2028 </w:t>
            </w:r>
            <w:r>
              <w:rPr>
                <w:rFonts w:ascii="Arial;sans-serif" w:hAnsi="Arial;sans-serif"/>
                <w:b w:val="false"/>
                <w:color w:val="000000"/>
                <w:sz w:val="13"/>
              </w:rPr>
              <w:t>(1)</w:t>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Enhanced equipment trust certificates (EETCs), fixed interest rates ranging from 2.88% to 7.13%, averaging 3.70%, maturing from 2023 to 2034</w:t>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8,776 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9,175 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Equipment loans and other notes payable, fixed and variable interest rates ranging from 3.32% to 8.20%, averaging 6.37%, maturing from 2023 to 2035</w:t>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3,170 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Special facility revenue bonds, fixed interest rates ranging from 2.25% to 5.38%, maturing from 2026 to 2036</w:t>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1,050 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long-term debt</w:t>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29,609 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30,043 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Total unamortized debt discount, premium and issuance costs</w:t>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Current maturities</w:t>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3,059 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 of current maturities</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25,862 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26,620 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80"/>
        <w:ind w:left="0" w:right="0" w:hanging="360"/>
        <w:jc w:val="both"/>
        <w:rPr/>
      </w:pPr>
      <w:r>
        <w:rPr>
          <w:rFonts w:ascii="Arial;sans-serif" w:hAnsi="Arial;sans-serif"/>
          <w:b w:val="false"/>
          <w:color w:val="000000"/>
          <w:sz w:val="13"/>
        </w:rPr>
        <w:t>(1)</w:t>
      </w:r>
      <w:r>
        <w:rPr>
          <w:rFonts w:ascii="Arial;sans-serif" w:hAnsi="Arial;sans-serif"/>
          <w:b w:val="false"/>
          <w:color w:val="000000"/>
          <w:sz w:val="20"/>
        </w:rPr>
        <w:t>Collectively referred to as the AAdvantage Financing.</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As of March 31, 2023, the maximum availability under American’s revolving credit and other facilities is as follows (in millions):</w:t>
      </w:r>
    </w:p>
    <w:tbl>
      <w:tblPr>
        <w:tblW w:w="3606" w:type="dxa"/>
        <w:jc w:val="left"/>
        <w:tblInd w:w="0" w:type="dxa"/>
        <w:tblCellMar>
          <w:top w:w="28" w:type="dxa"/>
          <w:left w:w="28" w:type="dxa"/>
          <w:bottom w:w="28" w:type="dxa"/>
          <w:right w:w="28" w:type="dxa"/>
        </w:tblCellMar>
      </w:tblPr>
      <w:tblGrid>
        <w:gridCol w:w="939"/>
        <w:gridCol w:w="826"/>
        <w:gridCol w:w="830"/>
        <w:gridCol w:w="211"/>
        <w:gridCol w:w="646"/>
        <w:gridCol w:w="154"/>
      </w:tblGrid>
      <w:tr>
        <w:trPr/>
        <w:tc>
          <w:tcPr>
            <w:tcW w:w="939"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2013 Revolving Facility</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2014 Revolving Facility</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2016 Revolving Facility</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short-term facilities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 currently has $64 million of available borrowing base under a cargo receivables facility that is set to expire in December 2023. As a result of the below amendments to the 2013, 2014 and April 2016 Revolving Facilities, the aggregate commitments under these facilities will be $2.8 billion through October 11, 2024, and thereafter through October 13, 2026, such aggregate commitments will decrease to $2.2 billion.</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Secured financings, including revolving credit and other facilities, are collateralized by assets, consisting primarily of aircraft, engines, simulators, aircraft spare parts, airport gate leasehold rights, route authorities, airport slots, certain receivables, certain intellectual property and certain loyalty program assets.</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v:rect>
            </w:pict>
          </mc:Fallback>
        </mc:AlternateContent>
      </w:r>
    </w:p>
    <w:p>
      <w:pPr>
        <w:pStyle w:val="TextBody"/>
        <w:spacing w:lineRule="auto" w:line="288" w:before="0" w:after="0"/>
        <w:rPr/>
      </w:pPr>
      <w:hyperlink w:anchor="i46fbc2c07ce748d68317b3440587c97f_7">
        <w:r>
          <w:rPr>
            <w:rStyle w:val="InternetLink"/>
            <w:rFonts w:ascii="Arial;sans-serif" w:hAnsi="Arial;sans-serif"/>
            <w:b/>
            <w:color w:val="0000FF"/>
            <w:sz w:val="20"/>
            <w:u w:val="single"/>
          </w:rPr>
          <w:t>Table of Contents</w:t>
        </w:r>
      </w:hyperlink>
    </w:p>
    <w:p>
      <w:pPr>
        <w:pStyle w:val="TextBody"/>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lineRule="auto" w:line="288" w:before="270" w:after="283"/>
        <w:ind w:left="0" w:right="0" w:firstLine="270"/>
        <w:jc w:val="both"/>
        <w:rPr>
          <w:rFonts w:ascii="Arial;sans-serif" w:hAnsi="Arial;sans-serif"/>
          <w:b/>
          <w:i/>
          <w:color w:val="000000"/>
          <w:sz w:val="20"/>
          <w:u w:val="single"/>
        </w:rPr>
      </w:pPr>
      <w:r>
        <w:rPr>
          <w:rFonts w:ascii="Arial;sans-serif" w:hAnsi="Arial;sans-serif"/>
          <w:b/>
          <w:i/>
          <w:color w:val="000000"/>
          <w:sz w:val="20"/>
          <w:u w:val="single"/>
        </w:rPr>
        <w:t>2023 Financing Activities</w:t>
      </w:r>
    </w:p>
    <w:p>
      <w:pPr>
        <w:pStyle w:val="TextBody"/>
        <w:spacing w:lineRule="auto" w:line="288" w:before="90" w:after="283"/>
        <w:ind w:left="0" w:right="0" w:firstLine="270"/>
        <w:jc w:val="both"/>
        <w:rPr>
          <w:rFonts w:ascii="Arial;sans-serif" w:hAnsi="Arial;sans-serif"/>
          <w:b w:val="false"/>
          <w:i/>
          <w:color w:val="000000"/>
          <w:sz w:val="20"/>
        </w:rPr>
      </w:pPr>
      <w:r>
        <w:rPr>
          <w:rFonts w:ascii="Arial;sans-serif" w:hAnsi="Arial;sans-serif"/>
          <w:b w:val="false"/>
          <w:i/>
          <w:color w:val="000000"/>
          <w:sz w:val="20"/>
        </w:rPr>
        <w:t>2013 Credit Facilities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February 2023, American and AAG refinanced approximately $1.8 billion in aggregate principal amount of term loans outstanding under the 2013 Term Loan Facility (the 2013 Term Loan Facility Refinancing) through the combination of (i) the issuance of $750 million in aggregate principal amount of 7.25% senior secured notes due 2028 and (ii) the entry into the Seventh Amendment to the 2013 Credit Agreement, pursuant to which the maturity of $1.0 billion in term loans under the 2013 Term Loan Facility was extended to February 2028 from June 2025. The Seventh Amendment also amended certain other terms of the 2013 Credit Agreement, including the interest rate and amortization schedule for the 2013 Term Loan Facility, the requirements for delivery of appraisals and certain covenants relating to dispositions of collateral. Additionally, the Seventh Amendment transitioned the benchmark interest rate from LIBOR to the Secured Overnight Financing Rate (SOFR). As a result, the 2013 Term Loan Facility bears interest at a base rate (subject to a floor of 1.00%) plus an applicable margin of 1.75% or, at American’s option, the SOFR rate for a tenor of one, three or six months, depending on the interest period selected by American (subject to a floor of 0.00%), plus the SOFR adjustment applicable to such interest period and an applicable margin of 2.75%.</w:t>
      </w:r>
    </w:p>
    <w:p>
      <w:pPr>
        <w:pStyle w:val="TextBody"/>
        <w:spacing w:lineRule="auto" w:line="288" w:before="180" w:after="283"/>
        <w:ind w:left="0" w:right="0" w:firstLine="270"/>
        <w:jc w:val="both"/>
        <w:rPr/>
      </w:pPr>
      <w:r>
        <w:rPr>
          <w:rFonts w:ascii="Arial;sans-serif" w:hAnsi="Arial;sans-serif"/>
          <w:b w:val="false"/>
          <w:color w:val="000000"/>
          <w:sz w:val="20"/>
        </w:rPr>
        <w:t xml:space="preserve">In March 2023, American and AAG </w:t>
      </w:r>
      <w:r>
        <w:rPr>
          <w:rFonts w:ascii="Arial;sans-serif" w:hAnsi="Arial;sans-serif"/>
          <w:b w:val="false"/>
          <w:color w:val="000000"/>
          <w:sz w:val="20"/>
          <w:highlight w:val="white"/>
        </w:rPr>
        <w:t>entered into the Eighth Amendment to the 2013 Credit Agreement, pursuant to which American extended the maturity of certain commitments under the 2013 Revolving Facility. The Eighth Amendment also amended certain other terms of the 2013 Credit Agreement, including certain covenants and transitioned the benchmark interest rate from LIBOR to SOFR. T</w:t>
      </w:r>
      <w:r>
        <w:rPr>
          <w:rFonts w:ascii="Arial;sans-serif" w:hAnsi="Arial;sans-serif"/>
          <w:b w:val="false"/>
          <w:color w:val="000000"/>
          <w:sz w:val="20"/>
        </w:rPr>
        <w:t>he 2013 Revolving Facility bears interest at a base rate (subject to a floor of 1.00%) plus an applicable margin of 2.25%, 2.50% or 2.75%, depending on AAG’s public corporate rating, or, at American’s option, the SOFR rate for a tenor of one, three or six months, depending on the interest period selected by American (subject to a floor of 0.00%), plus the SOFR adjustment applicable to such interest period plus an applicable margin of 3.25%, 3.50% or 3.75%, depending on AAG’s public corporate rating. Additionally, as a result of the Eighth Amendment, through October 11, 2024, the aggregate commitments under the 2013 Revolving Facility will be $736 million, and thereafter through October 13, 2026, such aggregate commitments will decrease to $563 million.</w:t>
      </w:r>
    </w:p>
    <w:p>
      <w:pPr>
        <w:pStyle w:val="TextBody"/>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7.25% Senior Secured Notes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On February 15, 2023, as part of the 2013 Term Loan Facility Refinancing, American issued $750 million aggregate principal amount of 7.25% senior secured notes due 2028 (the 7.25% Senior Secured Notes) in a private offering. The 7.25% Senior Secured Notes were issued at par and bear interest at a rate of 7.25% per annum (subject to increase if the collateral coverage ratio described below is not met). Interest on the 7.25% Senior Secured Notes is payable semiannually in arrears on February 15 and August 15 of each year, beginning on August 15, 2023. The 7.25% Senior Secured Notes will mature on February 15, 2028. The obligations of American under the 7.25% Senior Secured Notes are fully and unconditionally guaranteed on a senior unsecured basis by AAG. American used the proceeds from the offering of the 7.25% Senior Secured Notes, together with cash on hand, to repay a portion of the term loans then outstanding under the 2013 Term Loan Facility and to pay related fees and expenses.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7.25% Senior Secured Notes were issued pursuant to an indenture, dated as of February 15, 2023 (the 7.25% Senior Secured Notes Indenture), by and among American, AAG and Wilmington Trust, National Association, as trustee and collateral agent. The 7.25% Senior Secured Notes are American’s senior secured obligations and are secured on a first lien basis by security interests in certain assets, rights and properties that American uses to provide non-stop scheduled air carrier services between (a) certain airports in the United States and (b) airports in countries in South America (which comprises Argentina, Bolivia, Brazil, Chile, Colombia, Ecuador, Guyana, Paraguay, Peru, Suriname, Uruguay and Venezuela but does not include territories subject to the sovereignty, control or jurisdiction of a country not otherwise listed herein) and New Zealand (collectively, the 7.25% Senior Secured Notes Collateral). The 7.25% Senior Secured Notes Collateral also secures, on a first lien, pari passu basis with the 7.25% Senior Secured Notes, the 2013 Credit Facilities under the 2013 Credit Agreement.</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American may redeem the 7.25% Senior Secured Notes, in whole at any time or in part from time to time prior to February 15, 2025, at a redemption price equal to 100% of the principal amount of the 7.25% Senior Secured Notes to be redeemed, plus a “make-whole” premium, plus any accrued and unpaid interest thereon to but excluding the date of redemption. At any time on or after February 15, 2025, American may redeem all or any of the 7.25% Senior Secured Notes in whole at any time, or in part from time to time, at the redemption prices described in the 7.25% Senior Secured Notes Indenture, plus any accrued and unpaid interest thereon to but excluding the date of redemption. In addition, at any time prior to February 15, 2025, American may redeem up to 40% of the original aggregate principal amount of the 7.25% Senior Secured Notes (calculated after giving effect to any issuance of additional notes) with the net cash proceeds of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v:rect>
            </w:pict>
          </mc:Fallback>
        </mc:AlternateContent>
      </w:r>
    </w:p>
    <w:p>
      <w:pPr>
        <w:pStyle w:val="TextBody"/>
        <w:spacing w:lineRule="auto" w:line="288" w:before="0" w:after="0"/>
        <w:rPr/>
      </w:pPr>
      <w:hyperlink w:anchor="i46fbc2c07ce748d68317b3440587c97f_7">
        <w:r>
          <w:rPr>
            <w:rStyle w:val="InternetLink"/>
            <w:rFonts w:ascii="Arial;sans-serif" w:hAnsi="Arial;sans-serif"/>
            <w:b/>
            <w:color w:val="0000FF"/>
            <w:sz w:val="20"/>
            <w:u w:val="single"/>
          </w:rPr>
          <w:t>Table of Contents</w:t>
        </w:r>
      </w:hyperlink>
    </w:p>
    <w:p>
      <w:pPr>
        <w:pStyle w:val="TextBody"/>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certain equity offerings, at a redemption price equal to 107.250% of the aggregate principal amount of the 7.25% Senior Secured Notes to be redeemed, plus any accrued and unpaid interest thereon to but excluding the date of redemption.</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Further, if certain change of control transactions occur, each holder of 7.25% Senior Secured Notes may require American to repurchase the 7.25% Senior Secured Notes in whole or in part at a repurchase price of 101% of the aggregate principal amount thereof, plus accrued and unpaid interest, if any, to but not including the repurchase date.</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Twice per year, American is required to deliver an appraisal of the 7.25% Senior Secured Notes Collateral and an officer’s certificate demonstrating the calculation of a collateral coverage ratio in relation to the 7.25% Senior Secured Notes Collateral (the 7.25% Senior Secured Notes Collateral Coverage Ratio) as of the date of delivery of the appraisal for the applicable period. If the 7.25% Senior Secured Notes Collateral Coverage Ratio is less than 1.6 to 1.0 as of the date of delivery of the appraisal for the applicable period, then, subject to a cure period in which additional collateral can be provided or debt repaid such that American meets the required 7.25% Senior Secured Notes Collateral Coverage Ratio, American will be required to pay special interest in an additional amount equal to 2.0% per annum of the principal amount of the 7.25% Senior Secured Notes until the 7.25% Senior Secured Notes Collateral Coverage Ratio is established to be at least 1.6 to 1.0.</w:t>
      </w:r>
    </w:p>
    <w:p>
      <w:pPr>
        <w:pStyle w:val="TextBody"/>
        <w:spacing w:lineRule="auto" w:line="288" w:before="270" w:after="283"/>
        <w:ind w:left="0" w:right="0" w:firstLine="274"/>
        <w:jc w:val="both"/>
        <w:rPr>
          <w:rFonts w:ascii="Arial;sans-serif" w:hAnsi="Arial;sans-serif"/>
          <w:b w:val="false"/>
          <w:i/>
          <w:color w:val="000000"/>
          <w:sz w:val="20"/>
        </w:rPr>
      </w:pPr>
      <w:r>
        <w:rPr>
          <w:rFonts w:ascii="Arial;sans-serif" w:hAnsi="Arial;sans-serif"/>
          <w:b w:val="false"/>
          <w:i/>
          <w:color w:val="000000"/>
          <w:sz w:val="20"/>
        </w:rPr>
        <w:t>2014 Credit Facilities</w:t>
      </w:r>
    </w:p>
    <w:p>
      <w:pPr>
        <w:pStyle w:val="TextBody"/>
        <w:spacing w:lineRule="auto" w:line="288" w:before="90" w:after="283"/>
        <w:ind w:left="0" w:right="0" w:firstLine="270"/>
        <w:jc w:val="both"/>
        <w:rPr/>
      </w:pPr>
      <w:r>
        <w:rPr>
          <w:rFonts w:ascii="Arial;sans-serif" w:hAnsi="Arial;sans-serif"/>
          <w:b w:val="false"/>
          <w:color w:val="000000"/>
          <w:sz w:val="20"/>
        </w:rPr>
        <w:t xml:space="preserve">In March 2023, American and AAG entered </w:t>
      </w:r>
      <w:r>
        <w:rPr>
          <w:rFonts w:ascii="Arial;sans-serif" w:hAnsi="Arial;sans-serif"/>
          <w:b w:val="false"/>
          <w:color w:val="000000"/>
          <w:sz w:val="20"/>
          <w:highlight w:val="white"/>
        </w:rPr>
        <w:t>into the Ninth Amendment to the 2014 Credit Agreement, pursuant to which American extended the maturity of certain commitments under the 2014 Revolving Facility. The Ninth Amendment also amended certain other terms of the 2014 Credit Agreement including the requirements for delivery of appraisals and certain other covenants and transitioned the benchmark interest rate for the 2014 Revolving Facility and the 2014 Term Loan Facility from LIBOR to SOFR. T</w:t>
      </w:r>
      <w:r>
        <w:rPr>
          <w:rFonts w:ascii="Arial;sans-serif" w:hAnsi="Arial;sans-serif"/>
          <w:b w:val="false"/>
          <w:color w:val="000000"/>
          <w:sz w:val="20"/>
        </w:rPr>
        <w:t>he 2014 Revolving Facility bears interest at the same base rate and applicable margin as the 2013 Revolving Facility, as noted above in “</w:t>
      </w:r>
      <w:r>
        <w:rPr>
          <w:rFonts w:ascii="Arial;sans-serif" w:hAnsi="Arial;sans-serif"/>
          <w:b w:val="false"/>
          <w:i/>
          <w:color w:val="000000"/>
          <w:sz w:val="20"/>
        </w:rPr>
        <w:t>2013 Credit Facilities.”</w:t>
      </w:r>
      <w:r>
        <w:rPr>
          <w:color w:val="000000"/>
        </w:rPr>
        <w:t xml:space="preserve"> </w:t>
      </w:r>
      <w:r>
        <w:rPr>
          <w:rFonts w:ascii="Arial;sans-serif" w:hAnsi="Arial;sans-serif"/>
          <w:b w:val="false"/>
          <w:color w:val="000000"/>
          <w:sz w:val="20"/>
          <w:highlight w:val="white"/>
        </w:rPr>
        <w:t>The 2014 Term Loan Facility bears interest at a base rate (subject to a floor of 1.00%) plus an applicable margin of 1.75% or, at American’s option, the SOFR rate for a tenor of one, three or six months, depending on the interest period selected by American (subject to a floor of 0.00%), plus the SOFR adjustment applicable to such interest period plus an applicable margin of 0.75%. Additionally, a</w:t>
      </w:r>
      <w:r>
        <w:rPr>
          <w:rFonts w:ascii="Arial;sans-serif" w:hAnsi="Arial;sans-serif"/>
          <w:b w:val="false"/>
          <w:color w:val="000000"/>
          <w:sz w:val="20"/>
        </w:rPr>
        <w:t>s a result of the Ninth Amendment, through October 11, 2024, the aggregate commitments under the 2014 Revolving Facility will be $1.6 billion, and thereafter through October 13, 2026, such aggregate commitments will decrease to $1.2 billion.</w:t>
      </w:r>
    </w:p>
    <w:p>
      <w:pPr>
        <w:pStyle w:val="TextBody"/>
        <w:spacing w:lineRule="auto" w:line="288" w:before="270" w:after="283"/>
        <w:ind w:left="0" w:right="0" w:firstLine="274"/>
        <w:jc w:val="both"/>
        <w:rPr>
          <w:rFonts w:ascii="Arial;sans-serif" w:hAnsi="Arial;sans-serif"/>
          <w:b w:val="false"/>
          <w:i/>
          <w:color w:val="000000"/>
          <w:sz w:val="20"/>
        </w:rPr>
      </w:pPr>
      <w:r>
        <w:rPr>
          <w:rFonts w:ascii="Arial;sans-serif" w:hAnsi="Arial;sans-serif"/>
          <w:b w:val="false"/>
          <w:i/>
          <w:color w:val="000000"/>
          <w:sz w:val="20"/>
        </w:rPr>
        <w:t>April 2016 Revolving Facility</w:t>
      </w:r>
    </w:p>
    <w:p>
      <w:pPr>
        <w:pStyle w:val="TextBody"/>
        <w:spacing w:lineRule="auto" w:line="288" w:before="90" w:after="283"/>
        <w:ind w:left="0" w:right="0" w:firstLine="270"/>
        <w:jc w:val="both"/>
        <w:rPr/>
      </w:pPr>
      <w:r>
        <w:rPr>
          <w:rFonts w:ascii="Arial;sans-serif" w:hAnsi="Arial;sans-serif"/>
          <w:b w:val="false"/>
          <w:color w:val="000000"/>
          <w:sz w:val="20"/>
        </w:rPr>
        <w:t>In March 2023, American and AAG entered into the Sixth Amendment to the April 2016 Credit Agreement, pursuant to which American extended the maturity of certain commitments under the April 2016 Revolving Facility. The Sixth Amendment also amended certain other terms under the April 2016 Credit Agreement including the requirements for delivery of appraisals and certain other covenants and</w:t>
      </w:r>
      <w:r>
        <w:rPr>
          <w:color w:val="000000"/>
          <w:highlight w:val="white"/>
        </w:rPr>
        <w:t xml:space="preserve"> </w:t>
      </w:r>
      <w:r>
        <w:rPr>
          <w:rFonts w:ascii="Arial;sans-serif" w:hAnsi="Arial;sans-serif"/>
          <w:b w:val="false"/>
          <w:color w:val="000000"/>
          <w:sz w:val="20"/>
          <w:highlight w:val="white"/>
        </w:rPr>
        <w:t>transitioned the benchmark interest rate for the April 2016 Revolving Facility from LIBOR to SOFR. The April 2016 Revolving Facility bears interest at the same base rate and applicable margin as the 2013 Revolving Facility, as noted above in “</w:t>
      </w:r>
      <w:r>
        <w:rPr>
          <w:rFonts w:ascii="Arial;sans-serif" w:hAnsi="Arial;sans-serif"/>
          <w:b w:val="false"/>
          <w:i/>
          <w:color w:val="000000"/>
          <w:sz w:val="20"/>
          <w:highlight w:val="white"/>
        </w:rPr>
        <w:t>2013 Credit Facilities.”</w:t>
      </w:r>
      <w:r>
        <w:rPr>
          <w:color w:val="000000"/>
          <w:highlight w:val="white"/>
        </w:rPr>
        <w:t xml:space="preserve"> </w:t>
      </w:r>
      <w:r>
        <w:rPr>
          <w:rFonts w:ascii="Arial;sans-serif" w:hAnsi="Arial;sans-serif"/>
          <w:b w:val="false"/>
          <w:color w:val="000000"/>
          <w:sz w:val="20"/>
          <w:highlight w:val="white"/>
        </w:rPr>
        <w:t>Additionally, a</w:t>
      </w:r>
      <w:r>
        <w:rPr>
          <w:rFonts w:ascii="Arial;sans-serif" w:hAnsi="Arial;sans-serif"/>
          <w:b w:val="false"/>
          <w:color w:val="000000"/>
          <w:sz w:val="20"/>
        </w:rPr>
        <w:t>s a result of the Sixth Amendment, through October 11, 2024, the aggregate commitments under the April 2016 Revolving Facility will be $446 million, and thereafter through October 13, 2026, such aggregate commitments will decrease to $342 million.</w:t>
      </w:r>
    </w:p>
    <w:p>
      <w:pPr>
        <w:pStyle w:val="TextBody"/>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Equipment Loans and Other Notes Payable Issued in 2023</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During the first three months of 2023, American entered into agreements under which it borrowed $94 million in connection with the financing of certain aircraft. Debt incurred under these agreements matures in 2035 and bears interest at variable rates (comprised of SOFR plus an applicable margin) averaging 7.04% as of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70" w:after="283"/>
        <w:jc w:val="both"/>
        <w:rPr>
          <w:rFonts w:ascii="Arial;sans-serif" w:hAnsi="Arial;sans-serif"/>
          <w:b/>
          <w:color w:val="000000"/>
          <w:sz w:val="20"/>
        </w:rPr>
      </w:pPr>
      <w:r>
        <w:rPr>
          <w:rFonts w:ascii="Arial;sans-serif" w:hAnsi="Arial;sans-serif"/>
          <w:b/>
          <w:color w:val="000000"/>
          <w:sz w:val="20"/>
        </w:rPr>
        <w:t>5. Income Taxes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At December 31, 2022, American had approximately $16.1 billion of gross federal net operating losses (NOLs) and $3.5 billion of other carryforwards available to reduce future federal taxable income, of which $6.2 billion will expire beginning in 2024 if unused and $13.4 billion can be carried forward indefinitely. American is a member of AAG’s consolidated federal and certain state income tax returns. American also had approximately $5.9 billion of NOL carryforwards to reduce future state taxable income at December 31, 2022, which will expire in taxable years 2022 through 2042 if unused.</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v:rect>
            </w:pict>
          </mc:Fallback>
        </mc:AlternateContent>
      </w:r>
    </w:p>
    <w:p>
      <w:pPr>
        <w:pStyle w:val="TextBody"/>
        <w:spacing w:lineRule="auto" w:line="288" w:before="0" w:after="0"/>
        <w:rPr/>
      </w:pPr>
      <w:hyperlink w:anchor="i46fbc2c07ce748d68317b3440587c97f_7">
        <w:r>
          <w:rPr>
            <w:rStyle w:val="InternetLink"/>
            <w:rFonts w:ascii="Arial;sans-serif" w:hAnsi="Arial;sans-serif"/>
            <w:b/>
            <w:color w:val="0000FF"/>
            <w:sz w:val="20"/>
            <w:u w:val="single"/>
          </w:rPr>
          <w:t>Table of Contents</w:t>
        </w:r>
      </w:hyperlink>
    </w:p>
    <w:p>
      <w:pPr>
        <w:pStyle w:val="TextBody"/>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American’s ability to use its NOLs and other carryforwards depends on the amount of taxable income generated in future periods. American provides a valuation allowance for its deferred tax assets, which include the NOLs, when it is more likely than not that some portion, or all of its deferred tax assets, will not be realized. American considers all available positive and negative evidence and makes certain assumptions in evaluating the realizability of its deferred tax assets. Many factors are considered that impact American’s assessment of future profitability, including conditions which are beyond its control, such as the health of the economy, the availability and price volatility of aircraft fuel and travel demand. American has determined that positive factors outweigh negative factors in the determination of the realizability of its deferred tax assets. There can be no assurance that an additional valuation allowance on American’s net deferred tax assets will not be required. Such valuation allowance could be material.</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During the three months ended March 31, 2023 and 2022, American recorded an income tax provision of $29 million and an income tax benefit of $436 million,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70" w:after="283"/>
        <w:jc w:val="both"/>
        <w:rPr>
          <w:rFonts w:ascii="Arial;sans-serif" w:hAnsi="Arial;sans-serif"/>
          <w:b/>
          <w:color w:val="000000"/>
          <w:sz w:val="20"/>
        </w:rPr>
      </w:pPr>
      <w:r>
        <w:rPr>
          <w:rFonts w:ascii="Arial;sans-serif" w:hAnsi="Arial;sans-serif"/>
          <w:b/>
          <w:color w:val="000000"/>
          <w:sz w:val="20"/>
        </w:rPr>
        <w:t>6. Fair Value Measurements</w:t>
      </w:r>
    </w:p>
    <w:p>
      <w:pPr>
        <w:pStyle w:val="TextBody"/>
        <w:spacing w:lineRule="auto" w:line="288" w:before="90" w:after="283"/>
        <w:ind w:left="0" w:right="0" w:firstLine="270"/>
        <w:jc w:val="both"/>
        <w:rPr>
          <w:rFonts w:ascii="Arial;sans-serif" w:hAnsi="Arial;sans-serif"/>
          <w:b/>
          <w:i/>
          <w:color w:val="000000"/>
          <w:sz w:val="20"/>
          <w:u w:val="single"/>
        </w:rPr>
      </w:pPr>
      <w:r>
        <w:rPr>
          <w:rFonts w:ascii="Arial;sans-serif" w:hAnsi="Arial;sans-serif"/>
          <w:b/>
          <w:i/>
          <w:color w:val="000000"/>
          <w:sz w:val="20"/>
          <w:u w:val="single"/>
        </w:rPr>
        <w:t>Assets Measured at Fair Value on a Recurring Basis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 utilizes the market approach to measure the fair value of its financial assets. The market approach uses prices and other relevant information generated by market transactions involving identical or comparable assets. American’s short-term investments, restricted cash and restricted short-term investments classified as Level 2 primarily utilize broker quotes in a non-active market for valuation of these securities. No changes in valuation techniques or inputs occurred during the three months ended March 31, 2023.</w:t>
      </w:r>
    </w:p>
    <w:p>
      <w:pPr>
        <w:pStyle w:val="TextBody"/>
        <w:spacing w:lineRule="auto" w:line="288" w:before="180" w:after="180"/>
        <w:ind w:left="0" w:right="0" w:firstLine="270"/>
        <w:jc w:val="both"/>
        <w:rPr>
          <w:rFonts w:ascii="Arial;sans-serif" w:hAnsi="Arial;sans-serif"/>
          <w:b w:val="false"/>
          <w:color w:val="000000"/>
          <w:sz w:val="20"/>
        </w:rPr>
      </w:pPr>
      <w:r>
        <w:rPr>
          <w:rFonts w:ascii="Arial;sans-serif" w:hAnsi="Arial;sans-serif"/>
          <w:b w:val="false"/>
          <w:color w:val="000000"/>
          <w:sz w:val="20"/>
        </w:rPr>
        <w:t>Assets measured at fair value on a recurring basis are summarized below (in millions):</w:t>
      </w:r>
    </w:p>
    <w:tbl>
      <w:tblPr>
        <w:tblW w:w="9164" w:type="dxa"/>
        <w:jc w:val="left"/>
        <w:tblInd w:w="0" w:type="dxa"/>
        <w:tblCellMar>
          <w:top w:w="28" w:type="dxa"/>
          <w:left w:w="28" w:type="dxa"/>
          <w:bottom w:w="28" w:type="dxa"/>
          <w:right w:w="28" w:type="dxa"/>
        </w:tblCellMar>
      </w:tblPr>
      <w:tblGrid>
        <w:gridCol w:w="1599"/>
        <w:gridCol w:w="1401"/>
        <w:gridCol w:w="1409"/>
        <w:gridCol w:w="211"/>
        <w:gridCol w:w="751"/>
        <w:gridCol w:w="109"/>
        <w:gridCol w:w="109"/>
        <w:gridCol w:w="109"/>
        <w:gridCol w:w="109"/>
        <w:gridCol w:w="211"/>
        <w:gridCol w:w="646"/>
        <w:gridCol w:w="109"/>
        <w:gridCol w:w="109"/>
        <w:gridCol w:w="109"/>
        <w:gridCol w:w="109"/>
        <w:gridCol w:w="211"/>
        <w:gridCol w:w="646"/>
        <w:gridCol w:w="109"/>
        <w:gridCol w:w="109"/>
        <w:gridCol w:w="109"/>
        <w:gridCol w:w="109"/>
        <w:gridCol w:w="211"/>
        <w:gridCol w:w="406"/>
        <w:gridCol w:w="154"/>
      </w:tblGrid>
      <w:tr>
        <w:trPr/>
        <w:tc>
          <w:tcPr>
            <w:tcW w:w="1599" w:type="dxa"/>
            <w:tcBorders/>
            <w:shd w:fill="auto" w:val="clear"/>
            <w:vAlign w:val="center"/>
          </w:tcPr>
          <w:p>
            <w:pPr>
              <w:pStyle w:val="TableContents"/>
              <w:spacing w:before="0" w:after="283"/>
              <w:rPr>
                <w:sz w:val="4"/>
                <w:szCs w:val="4"/>
              </w:rPr>
            </w:pPr>
            <w:r>
              <w:rPr>
                <w:sz w:val="4"/>
                <w:szCs w:val="4"/>
              </w:rPr>
            </w:r>
          </w:p>
        </w:tc>
        <w:tc>
          <w:tcPr>
            <w:tcW w:w="1401" w:type="dxa"/>
            <w:tcBorders/>
            <w:shd w:fill="auto" w:val="clear"/>
            <w:vAlign w:val="center"/>
          </w:tcPr>
          <w:p>
            <w:pPr>
              <w:pStyle w:val="TableContents"/>
              <w:spacing w:before="0" w:after="283"/>
              <w:rPr>
                <w:sz w:val="4"/>
                <w:szCs w:val="4"/>
              </w:rPr>
            </w:pPr>
            <w:r>
              <w:rPr>
                <w:sz w:val="4"/>
                <w:szCs w:val="4"/>
              </w:rPr>
            </w:r>
          </w:p>
        </w:tc>
        <w:tc>
          <w:tcPr>
            <w:tcW w:w="14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5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Fair Value Measurements as of March 31, 2023</w:t>
            </w:r>
          </w:p>
        </w:tc>
      </w:tr>
      <w:tr>
        <w:trPr/>
        <w:tc>
          <w:tcPr>
            <w:tcW w:w="44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Short-term investments </w:t>
            </w:r>
            <w:r>
              <w:rPr>
                <w:rFonts w:ascii="Arial;sans-serif" w:hAnsi="Arial;sans-serif"/>
                <w:b w:val="false"/>
                <w:color w:val="000000"/>
                <w:sz w:val="13"/>
              </w:rPr>
              <w:t>(1), (2)</w:t>
            </w:r>
            <w:r>
              <w:rPr>
                <w:rFonts w:ascii="Arial;sans-serif" w:hAnsi="Arial;sans-serif"/>
                <w:b w:val="false"/>
                <w:color w:val="000000"/>
                <w:sz w:val="20"/>
              </w:rPr>
              <w:t>:</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obligations</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Bank notes/certificates of deposit/time deposits</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agreements</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and agency obligations</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Restricted cash and short-term investments </w:t>
            </w:r>
            <w:r>
              <w:rPr>
                <w:rFonts w:ascii="Arial;sans-serif" w:hAnsi="Arial;sans-serif"/>
                <w:b w:val="false"/>
                <w:color w:val="000000"/>
                <w:sz w:val="13"/>
              </w:rPr>
              <w:t>(1), (3)</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Long-term investments </w:t>
            </w:r>
            <w:r>
              <w:rPr>
                <w:rFonts w:ascii="Arial;sans-serif" w:hAnsi="Arial;sans-serif"/>
                <w:b w:val="false"/>
                <w:color w:val="000000"/>
                <w:sz w:val="13"/>
              </w:rPr>
              <w:t>(4)</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All short-term investments are classified as available-for-sale and stated at fair value. Unrealized gains and losses are recorded in accumulated other comprehensive loss at each reporting period. There were no credit losses.</w:t>
      </w:r>
    </w:p>
    <w:p>
      <w:pPr>
        <w:pStyle w:val="TextBody"/>
        <w:spacing w:lineRule="auto" w:line="288" w:before="180" w:after="283"/>
        <w:ind w:left="0" w:right="0" w:hanging="360"/>
        <w:jc w:val="both"/>
        <w:rPr/>
      </w:pPr>
      <w:r>
        <w:rPr>
          <w:rFonts w:ascii="Arial;sans-serif" w:hAnsi="Arial;sans-serif"/>
          <w:b w:val="false"/>
          <w:color w:val="000000"/>
          <w:sz w:val="13"/>
        </w:rPr>
        <w:t>(2)</w:t>
      </w:r>
      <w:r>
        <w:rPr>
          <w:rFonts w:ascii="Arial;sans-serif" w:hAnsi="Arial;sans-serif"/>
          <w:b w:val="false"/>
          <w:color w:val="000000"/>
          <w:sz w:val="20"/>
        </w:rPr>
        <w:t>American’s short-term investments mature in one year or less.</w:t>
      </w:r>
    </w:p>
    <w:p>
      <w:pPr>
        <w:pStyle w:val="TextBody"/>
        <w:spacing w:lineRule="auto" w:line="288" w:before="180" w:after="283"/>
        <w:ind w:left="0" w:right="0" w:hanging="360"/>
        <w:jc w:val="both"/>
        <w:rPr/>
      </w:pPr>
      <w:r>
        <w:rPr>
          <w:rFonts w:ascii="Arial;sans-serif" w:hAnsi="Arial;sans-serif"/>
          <w:b w:val="false"/>
          <w:color w:val="000000"/>
          <w:sz w:val="13"/>
        </w:rPr>
        <w:t>(3)</w:t>
      </w:r>
      <w:r>
        <w:rPr>
          <w:rFonts w:ascii="Arial;sans-serif" w:hAnsi="Arial;sans-serif"/>
          <w:b w:val="false"/>
          <w:color w:val="000000"/>
          <w:sz w:val="20"/>
        </w:rPr>
        <w:t>Restricted cash and short-term investments primarily include collateral held to support workers’ compensation obligations and collateral associated with the payment of interest for the AAdvantage Financing.</w:t>
      </w:r>
    </w:p>
    <w:p>
      <w:pPr>
        <w:pStyle w:val="TextBody"/>
        <w:spacing w:lineRule="auto" w:line="288" w:before="180" w:after="283"/>
        <w:ind w:left="0" w:right="0" w:hanging="360"/>
        <w:jc w:val="both"/>
        <w:rPr/>
      </w:pPr>
      <w:r>
        <w:rPr>
          <w:rFonts w:ascii="Arial;sans-serif" w:hAnsi="Arial;sans-serif"/>
          <w:b w:val="false"/>
          <w:color w:val="000000"/>
          <w:sz w:val="13"/>
        </w:rPr>
        <w:t>(4)</w:t>
      </w:r>
      <w:r>
        <w:rPr>
          <w:rFonts w:ascii="Arial;sans-serif" w:hAnsi="Arial;sans-serif"/>
          <w:b w:val="false"/>
          <w:color w:val="000000"/>
          <w:sz w:val="20"/>
        </w:rPr>
        <w:t>Long-term investments include American’s equity investments in China Southern Airlines Company Limited (China Southern Airlines), GOL Linhas Aéreas Inteligentes S.A. (GOL) and Vertical Aerospace Ltd. (Vertical). See Note 7 for further information on American’s equity investments.</w:t>
      </w:r>
    </w:p>
    <w:p>
      <w:pPr>
        <w:pStyle w:val="TextBody"/>
        <w:spacing w:lineRule="auto" w:line="288" w:before="270" w:after="283"/>
        <w:ind w:left="0" w:right="0" w:firstLine="270"/>
        <w:jc w:val="both"/>
        <w:rPr>
          <w:rFonts w:ascii="Arial;sans-serif" w:hAnsi="Arial;sans-serif"/>
          <w:b/>
          <w:i/>
          <w:color w:val="000000"/>
          <w:sz w:val="20"/>
          <w:u w:val="single"/>
        </w:rPr>
      </w:pPr>
      <w:r>
        <w:rPr>
          <w:rFonts w:ascii="Arial;sans-serif" w:hAnsi="Arial;sans-serif"/>
          <w:b/>
          <w:i/>
          <w:color w:val="000000"/>
          <w:sz w:val="20"/>
          <w:u w:val="single"/>
        </w:rPr>
        <w:t>Fair Value of Debt</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fair value of American’s long-term debt was estimated using quoted market prices or discounted cash flow analyses based on American’s current estimated incremental borrowing rates for similar types of borrowing arrangements. If American’s long-term debt was measured at fair value, it would have been classified as Level 2.</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v:rect>
            </w:pict>
          </mc:Fallback>
        </mc:AlternateContent>
      </w:r>
    </w:p>
    <w:p>
      <w:pPr>
        <w:pStyle w:val="TextBody"/>
        <w:spacing w:lineRule="auto" w:line="288" w:before="0" w:after="0"/>
        <w:rPr/>
      </w:pPr>
      <w:hyperlink w:anchor="i46fbc2c07ce748d68317b3440587c97f_7">
        <w:r>
          <w:rPr>
            <w:rStyle w:val="InternetLink"/>
            <w:rFonts w:ascii="Arial;sans-serif" w:hAnsi="Arial;sans-serif"/>
            <w:b/>
            <w:color w:val="0000FF"/>
            <w:sz w:val="20"/>
            <w:u w:val="single"/>
          </w:rPr>
          <w:t>Table of Contents</w:t>
        </w:r>
      </w:hyperlink>
    </w:p>
    <w:p>
      <w:pPr>
        <w:pStyle w:val="TextBody"/>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carrying value and estimated fair value of American’s long-term debt, including current maturities, were as follows (in millions):</w:t>
      </w:r>
    </w:p>
    <w:tbl>
      <w:tblPr>
        <w:tblW w:w="9195" w:type="dxa"/>
        <w:jc w:val="left"/>
        <w:tblInd w:w="0" w:type="dxa"/>
        <w:tblCellMar>
          <w:top w:w="28" w:type="dxa"/>
          <w:left w:w="28" w:type="dxa"/>
          <w:bottom w:w="28" w:type="dxa"/>
          <w:right w:w="28" w:type="dxa"/>
        </w:tblCellMar>
      </w:tblPr>
      <w:tblGrid>
        <w:gridCol w:w="1407"/>
        <w:gridCol w:w="1235"/>
        <w:gridCol w:w="1243"/>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1407"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124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38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Carrying</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Carrying</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r>
      <w:tr>
        <w:trPr/>
        <w:tc>
          <w:tcPr>
            <w:tcW w:w="3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including current maturities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70" w:after="283"/>
        <w:jc w:val="both"/>
        <w:rPr>
          <w:rFonts w:ascii="Arial;sans-serif" w:hAnsi="Arial;sans-serif"/>
          <w:b/>
          <w:color w:val="000000"/>
          <w:sz w:val="20"/>
        </w:rPr>
      </w:pPr>
      <w:r>
        <w:rPr>
          <w:rFonts w:ascii="Arial;sans-serif" w:hAnsi="Arial;sans-serif"/>
          <w:b/>
          <w:color w:val="000000"/>
          <w:sz w:val="20"/>
        </w:rPr>
        <w:t>7. Investments</w:t>
      </w:r>
    </w:p>
    <w:p>
      <w:pPr>
        <w:pStyle w:val="TextBody"/>
        <w:spacing w:lineRule="auto" w:line="288" w:before="90" w:after="283"/>
        <w:ind w:left="0" w:right="0" w:firstLine="270"/>
        <w:jc w:val="both"/>
        <w:rPr/>
      </w:pPr>
      <w:r>
        <w:rPr>
          <w:rFonts w:ascii="Arial;sans-serif" w:hAnsi="Arial;sans-serif"/>
          <w:b w:val="false"/>
          <w:color w:val="000000"/>
          <w:sz w:val="20"/>
        </w:rPr>
        <w:t xml:space="preserve">To help expand American’s network and as part of its ongoing commitment to sustainability, American enters into various commercial relationships or other strategic partnerships, including equity investments, with other airlines and companies. </w:t>
      </w:r>
      <w:r>
        <w:rPr>
          <w:rFonts w:ascii="Arial;sans-serif" w:hAnsi="Arial;sans-serif"/>
          <w:b w:val="false"/>
          <w:color w:val="000000"/>
          <w:sz w:val="20"/>
          <w:highlight w:val="white"/>
        </w:rPr>
        <w:t>American’s equity investments are reflected in other assets on its condensed consolidated balance sheets. American’s share of equity method investees’ financial results and changes in fair value are recorded in nonoperating other income, net on the condensed consolidated statements of operations.</w:t>
      </w:r>
    </w:p>
    <w:p>
      <w:pPr>
        <w:pStyle w:val="TextBody"/>
        <w:spacing w:lineRule="auto" w:line="288" w:before="180" w:after="283"/>
        <w:ind w:left="0" w:right="0" w:firstLine="180"/>
        <w:jc w:val="both"/>
        <w:rPr>
          <w:rFonts w:ascii="Arial;sans-serif" w:hAnsi="Arial;sans-serif"/>
          <w:b w:val="false"/>
          <w:color w:val="000000"/>
          <w:sz w:val="20"/>
        </w:rPr>
      </w:pPr>
      <w:r>
        <w:rPr>
          <w:rFonts w:ascii="Arial;sans-serif" w:hAnsi="Arial;sans-serif"/>
          <w:b w:val="false"/>
          <w:color w:val="000000"/>
          <w:sz w:val="20"/>
        </w:rPr>
        <w:t>American’s equity investment ownership interests and carrying values were:</w:t>
      </w:r>
    </w:p>
    <w:tbl>
      <w:tblPr>
        <w:tblW w:w="10205" w:type="dxa"/>
        <w:jc w:val="left"/>
        <w:tblInd w:w="0" w:type="dxa"/>
        <w:tblCellMar>
          <w:top w:w="28" w:type="dxa"/>
          <w:left w:w="28" w:type="dxa"/>
          <w:bottom w:w="28" w:type="dxa"/>
          <w:right w:w="28" w:type="dxa"/>
        </w:tblCellMar>
      </w:tblPr>
      <w:tblGrid>
        <w:gridCol w:w="884"/>
        <w:gridCol w:w="682"/>
        <w:gridCol w:w="686"/>
        <w:gridCol w:w="530"/>
        <w:gridCol w:w="530"/>
        <w:gridCol w:w="532"/>
        <w:gridCol w:w="109"/>
        <w:gridCol w:w="109"/>
        <w:gridCol w:w="109"/>
        <w:gridCol w:w="272"/>
        <w:gridCol w:w="270"/>
        <w:gridCol w:w="579"/>
        <w:gridCol w:w="124"/>
        <w:gridCol w:w="124"/>
        <w:gridCol w:w="124"/>
        <w:gridCol w:w="339"/>
        <w:gridCol w:w="291"/>
        <w:gridCol w:w="763"/>
        <w:gridCol w:w="109"/>
        <w:gridCol w:w="109"/>
        <w:gridCol w:w="109"/>
        <w:gridCol w:w="290"/>
        <w:gridCol w:w="661"/>
        <w:gridCol w:w="148"/>
        <w:gridCol w:w="120"/>
        <w:gridCol w:w="120"/>
        <w:gridCol w:w="120"/>
        <w:gridCol w:w="340"/>
        <w:gridCol w:w="768"/>
        <w:gridCol w:w="254"/>
      </w:tblGrid>
      <w:tr>
        <w:trPr/>
        <w:tc>
          <w:tcPr>
            <w:tcW w:w="884"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r>
      <w:tr>
        <w:trPr/>
        <w:tc>
          <w:tcPr>
            <w:tcW w:w="22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6" w:type="dxa"/>
            <w:gridSpan w:val="9"/>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16"/>
              </w:rPr>
            </w:pPr>
            <w:r>
              <w:rPr>
                <w:rFonts w:ascii="Arial;sans-serif" w:hAnsi="Arial;sans-serif"/>
                <w:b/>
                <w:color w:val="000000"/>
                <w:sz w:val="16"/>
              </w:rPr>
              <w:t>Ownership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1" w:type="dxa"/>
            <w:gridSpan w:val="9"/>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16"/>
              </w:rPr>
            </w:pPr>
            <w:r>
              <w:rPr>
                <w:rFonts w:ascii="Arial;sans-serif" w:hAnsi="Arial;sans-serif"/>
                <w:b/>
                <w:color w:val="000000"/>
                <w:sz w:val="16"/>
              </w:rPr>
              <w:t>Carrying Value (in millions)</w:t>
            </w:r>
          </w:p>
        </w:tc>
      </w:tr>
      <w:tr>
        <w:trPr/>
        <w:tc>
          <w:tcPr>
            <w:tcW w:w="22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2"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16"/>
              </w:rPr>
            </w:pPr>
            <w:r>
              <w:rPr>
                <w:rFonts w:ascii="Arial;sans-serif" w:hAnsi="Arial;sans-serif"/>
                <w:b/>
                <w:color w:val="000000"/>
                <w:sz w:val="16"/>
              </w:rPr>
              <w:t>Accounting Treatment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90"/>
              <w:jc w:val="center"/>
              <w:rPr>
                <w:rFonts w:ascii="Arial;sans-serif" w:hAnsi="Arial;sans-serif"/>
                <w:b/>
                <w:color w:val="000000"/>
                <w:sz w:val="16"/>
              </w:rPr>
            </w:pPr>
            <w:r>
              <w:rPr>
                <w:rFonts w:ascii="Arial;sans-serif" w:hAnsi="Arial;sans-serif"/>
                <w:b/>
                <w:color w:val="000000"/>
                <w:sz w:val="16"/>
              </w:rPr>
              <w:t>December 31, 2022</w:t>
            </w:r>
          </w:p>
        </w:tc>
      </w:tr>
      <w:tr>
        <w:trPr/>
        <w:tc>
          <w:tcPr>
            <w:tcW w:w="22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Republic Airways Holdings Inc.</w:t>
            </w:r>
          </w:p>
        </w:tc>
        <w:tc>
          <w:tcPr>
            <w:tcW w:w="159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Equity Method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 Southern Airlines</w:t>
            </w:r>
          </w:p>
        </w:tc>
        <w:tc>
          <w:tcPr>
            <w:tcW w:w="159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5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76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2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Other investments</w:t>
            </w:r>
            <w:r>
              <w:rPr>
                <w:color w:val="000000"/>
              </w:rPr>
              <w:t xml:space="preserve"> </w:t>
            </w:r>
            <w:r>
              <w:rPr>
                <w:rFonts w:ascii="Arial;sans-serif" w:hAnsi="Arial;sans-serif"/>
                <w:b w:val="false"/>
                <w:color w:val="000000"/>
                <w:sz w:val="13"/>
              </w:rPr>
              <w:t>(1)</w:t>
            </w:r>
          </w:p>
        </w:tc>
        <w:tc>
          <w:tcPr>
            <w:tcW w:w="159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2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5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Primarily includes American’s investment in JetSmart Airlines SpA, which is accounted for under the equity method, and American’s investments in GOL and Vertical, which are each accounted for at fair value.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70" w:after="283"/>
        <w:jc w:val="both"/>
        <w:rPr>
          <w:rFonts w:ascii="Arial;sans-serif" w:hAnsi="Arial;sans-serif"/>
          <w:b/>
          <w:color w:val="000000"/>
          <w:sz w:val="20"/>
        </w:rPr>
      </w:pPr>
      <w:r>
        <w:rPr>
          <w:rFonts w:ascii="Arial;sans-serif" w:hAnsi="Arial;sans-serif"/>
          <w:b/>
          <w:color w:val="000000"/>
          <w:sz w:val="20"/>
        </w:rPr>
        <w:t>8. Employee Benefit Plans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table provides the components of net periodic benefit income (in millions):</w:t>
      </w:r>
    </w:p>
    <w:tbl>
      <w:tblPr>
        <w:tblW w:w="7249" w:type="dxa"/>
        <w:jc w:val="left"/>
        <w:tblInd w:w="0" w:type="dxa"/>
        <w:tblCellMar>
          <w:top w:w="28" w:type="dxa"/>
          <w:left w:w="28" w:type="dxa"/>
          <w:bottom w:w="28" w:type="dxa"/>
          <w:right w:w="28" w:type="dxa"/>
        </w:tblCellMar>
      </w:tblPr>
      <w:tblGrid>
        <w:gridCol w:w="939"/>
        <w:gridCol w:w="824"/>
        <w:gridCol w:w="832"/>
        <w:gridCol w:w="109"/>
        <w:gridCol w:w="109"/>
        <w:gridCol w:w="109"/>
        <w:gridCol w:w="211"/>
        <w:gridCol w:w="406"/>
        <w:gridCol w:w="109"/>
        <w:gridCol w:w="109"/>
        <w:gridCol w:w="109"/>
        <w:gridCol w:w="109"/>
        <w:gridCol w:w="211"/>
        <w:gridCol w:w="436"/>
        <w:gridCol w:w="109"/>
        <w:gridCol w:w="109"/>
        <w:gridCol w:w="109"/>
        <w:gridCol w:w="109"/>
        <w:gridCol w:w="273"/>
        <w:gridCol w:w="526"/>
        <w:gridCol w:w="141"/>
        <w:gridCol w:w="141"/>
        <w:gridCol w:w="141"/>
        <w:gridCol w:w="141"/>
        <w:gridCol w:w="273"/>
        <w:gridCol w:w="351"/>
        <w:gridCol w:w="204"/>
      </w:tblGrid>
      <w:tr>
        <w:trPr/>
        <w:tc>
          <w:tcPr>
            <w:tcW w:w="939"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Pension Benefits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Retiree Medical and Other</w:t>
              <w:br/>
              <w:t>Postretirement Benefits</w:t>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5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0"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28" w:type="dxa"/>
            <w:gridSpan w:val="3"/>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0"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28" w:type="dxa"/>
            <w:gridSpan w:val="3"/>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Prior service cost (benefit)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Unrecognized net loss (gain)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0"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28" w:type="dxa"/>
            <w:gridSpan w:val="3"/>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2518" w:type="dxa"/>
            <w:gridSpan w:val="12"/>
            <w:tcBorders/>
            <w:shd w:fill="auto" w:val="clea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0"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28" w:type="dxa"/>
            <w:gridSpan w:val="3"/>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0"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28" w:type="dxa"/>
            <w:gridSpan w:val="3"/>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0"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28" w:type="dxa"/>
            <w:gridSpan w:val="3"/>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0"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28" w:type="dxa"/>
            <w:gridSpan w:val="3"/>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0"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28" w:type="dxa"/>
            <w:gridSpan w:val="3"/>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0"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28" w:type="dxa"/>
            <w:gridSpan w:val="3"/>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0"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28" w:type="dxa"/>
            <w:gridSpan w:val="3"/>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0"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28" w:type="dxa"/>
            <w:gridSpan w:val="3"/>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0"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28" w:type="dxa"/>
            <w:gridSpan w:val="3"/>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0"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2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Effective November 1, 2012, substantially all of American’s defined benefit pension plans were frozen.</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service cost component of net periodic benefit income is included in operating expenses and the other components of net periodic benefit income are included in nonoperating other income (expense), net in the condensed consolidated statements of operations.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During the three months ended March 31, 2023, American made required contributions of $67 million to its defined benefit pension plans.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v:rect>
            </w:pict>
          </mc:Fallback>
        </mc:AlternateContent>
      </w:r>
    </w:p>
    <w:p>
      <w:pPr>
        <w:pStyle w:val="TextBody"/>
        <w:spacing w:lineRule="auto" w:line="288" w:before="0" w:after="0"/>
        <w:rPr/>
      </w:pPr>
      <w:hyperlink w:anchor="i46fbc2c07ce748d68317b3440587c97f_7">
        <w:r>
          <w:rPr>
            <w:rStyle w:val="InternetLink"/>
            <w:rFonts w:ascii="Arial;sans-serif" w:hAnsi="Arial;sans-serif"/>
            <w:b/>
            <w:color w:val="0000FF"/>
            <w:sz w:val="20"/>
            <w:u w:val="single"/>
          </w:rPr>
          <w:t>Table of Contents</w:t>
        </w:r>
      </w:hyperlink>
    </w:p>
    <w:p>
      <w:pPr>
        <w:pStyle w:val="TextBody"/>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lineRule="auto" w:line="288" w:before="270" w:after="283"/>
        <w:jc w:val="both"/>
        <w:rPr>
          <w:rFonts w:ascii="Arial;sans-serif" w:hAnsi="Arial;sans-serif"/>
          <w:b/>
          <w:color w:val="000000"/>
          <w:sz w:val="20"/>
        </w:rPr>
      </w:pPr>
      <w:r>
        <w:rPr>
          <w:rFonts w:ascii="Arial;sans-serif" w:hAnsi="Arial;sans-serif"/>
          <w:b/>
          <w:color w:val="000000"/>
          <w:sz w:val="20"/>
        </w:rPr>
        <w:t>9. Accumulated Other Comprehensive Loss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components of accumulated other comprehensive loss (AOCI) are as follows (in millions):</w:t>
      </w:r>
    </w:p>
    <w:tbl>
      <w:tblPr>
        <w:tblW w:w="10205" w:type="dxa"/>
        <w:jc w:val="left"/>
        <w:tblInd w:w="0" w:type="dxa"/>
        <w:tblCellMar>
          <w:top w:w="28" w:type="dxa"/>
          <w:left w:w="28" w:type="dxa"/>
          <w:bottom w:w="28" w:type="dxa"/>
          <w:right w:w="28" w:type="dxa"/>
        </w:tblCellMar>
      </w:tblPr>
      <w:tblGrid>
        <w:gridCol w:w="1458"/>
        <w:gridCol w:w="1077"/>
        <w:gridCol w:w="1084"/>
        <w:gridCol w:w="278"/>
        <w:gridCol w:w="853"/>
        <w:gridCol w:w="145"/>
        <w:gridCol w:w="109"/>
        <w:gridCol w:w="109"/>
        <w:gridCol w:w="109"/>
        <w:gridCol w:w="804"/>
        <w:gridCol w:w="1034"/>
        <w:gridCol w:w="420"/>
        <w:gridCol w:w="109"/>
        <w:gridCol w:w="109"/>
        <w:gridCol w:w="109"/>
        <w:gridCol w:w="211"/>
        <w:gridCol w:w="703"/>
        <w:gridCol w:w="109"/>
        <w:gridCol w:w="109"/>
        <w:gridCol w:w="109"/>
        <w:gridCol w:w="109"/>
        <w:gridCol w:w="211"/>
        <w:gridCol w:w="679"/>
        <w:gridCol w:w="158"/>
      </w:tblGrid>
      <w:tr>
        <w:trPr/>
        <w:tc>
          <w:tcPr>
            <w:tcW w:w="1458"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6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Pension,</w:t>
              <w:br/>
              <w:t>Retiree</w:t>
              <w:br/>
              <w:t>Medical and</w:t>
              <w:br/>
              <w:t>Other</w:t>
              <w:br/>
              <w:t>Postretirement</w:t>
              <w:br/>
              <w:t>Benefits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Unrealized Gain (Loss) on Investments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6"/>
              </w:rPr>
              <w:t>Income Tax</w:t>
              <w:br/>
              <w:t>Provision </w:t>
            </w:r>
            <w:r>
              <w:rPr>
                <w:rFonts w:ascii="Arial;sans-serif" w:hAnsi="Arial;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6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December 31, 2022</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(2,974)</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before reclassifications</w:t>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Amounts reclassified from AOCI</w:t>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(2)</w:t>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current-period other comprehensive income (loss)</w:t>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March 31, 2023</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(2,952)</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(4,672)</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Relates principally to pension, retiree medical and other postretirement benefits obligations that will not be recognized in net income (loss) until the obligations are fully extinguished.</w:t>
      </w:r>
    </w:p>
    <w:p>
      <w:pPr>
        <w:pStyle w:val="TextBody"/>
        <w:spacing w:lineRule="auto" w:line="288" w:before="180" w:after="283"/>
        <w:ind w:left="0" w:right="0" w:hanging="360"/>
        <w:jc w:val="both"/>
        <w:rPr/>
      </w:pPr>
      <w:r>
        <w:rPr>
          <w:rFonts w:ascii="Arial;sans-serif" w:hAnsi="Arial;sans-serif"/>
          <w:b w:val="false"/>
          <w:color w:val="000000"/>
          <w:sz w:val="13"/>
        </w:rPr>
        <w:t>(2)</w:t>
      </w:r>
      <w:r>
        <w:rPr>
          <w:rFonts w:ascii="Arial;sans-serif" w:hAnsi="Arial;sans-serif"/>
          <w:b w:val="false"/>
          <w:color w:val="000000"/>
          <w:sz w:val="20"/>
        </w:rPr>
        <w:t>Relates to pension, retiree medical and other postretirement benefits obligations and is recognized within the income tax provision (benefit) on the condensed consolidated statements of operations.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Reclassifications out of AOCI are as follows (in millions):</w:t>
      </w:r>
    </w:p>
    <w:tbl>
      <w:tblPr>
        <w:tblW w:w="10205" w:type="dxa"/>
        <w:jc w:val="left"/>
        <w:tblInd w:w="0" w:type="dxa"/>
        <w:tblCellMar>
          <w:top w:w="28" w:type="dxa"/>
          <w:left w:w="28" w:type="dxa"/>
          <w:bottom w:w="28" w:type="dxa"/>
          <w:right w:w="28" w:type="dxa"/>
        </w:tblCellMar>
      </w:tblPr>
      <w:tblGrid>
        <w:gridCol w:w="974"/>
        <w:gridCol w:w="640"/>
        <w:gridCol w:w="605"/>
        <w:gridCol w:w="109"/>
        <w:gridCol w:w="109"/>
        <w:gridCol w:w="109"/>
        <w:gridCol w:w="327"/>
        <w:gridCol w:w="584"/>
        <w:gridCol w:w="169"/>
        <w:gridCol w:w="169"/>
        <w:gridCol w:w="169"/>
        <w:gridCol w:w="169"/>
        <w:gridCol w:w="327"/>
        <w:gridCol w:w="584"/>
        <w:gridCol w:w="173"/>
        <w:gridCol w:w="109"/>
        <w:gridCol w:w="2701"/>
        <w:gridCol w:w="109"/>
        <w:gridCol w:w="109"/>
        <w:gridCol w:w="109"/>
        <w:gridCol w:w="109"/>
        <w:gridCol w:w="109"/>
        <w:gridCol w:w="477"/>
        <w:gridCol w:w="477"/>
        <w:gridCol w:w="679"/>
      </w:tblGrid>
      <w:tr>
        <w:trPr/>
        <w:tc>
          <w:tcPr>
            <w:tcW w:w="974"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1"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Amounts reclassified from AOCI</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1" w:type="dxa"/>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Affected line items on the condensed consolidated statements of operations</w:t>
            </w:r>
          </w:p>
        </w:tc>
        <w:tc>
          <w:tcPr>
            <w:tcW w:w="2178" w:type="dxa"/>
            <w:gridSpan w:val="8"/>
            <w:tcBorders/>
            <w:shd w:fill="auto" w:val="clear"/>
          </w:tcPr>
          <w:p>
            <w:pPr>
              <w:pStyle w:val="TableContents"/>
              <w:spacing w:before="0" w:after="283"/>
              <w:rPr>
                <w:sz w:val="4"/>
                <w:szCs w:val="4"/>
              </w:rPr>
            </w:pPr>
            <w:r>
              <w:rPr>
                <w:sz w:val="4"/>
                <w:szCs w:val="4"/>
              </w:rPr>
            </w:r>
          </w:p>
        </w:tc>
      </w:tr>
      <w:tr>
        <w:trPr/>
        <w:tc>
          <w:tcPr>
            <w:tcW w:w="221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AOCI Components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2701" w:type="dxa"/>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0" w:type="dxa"/>
            <w:gridSpan w:val="6"/>
            <w:tcBorders/>
            <w:shd w:fill="auto" w:val="clear"/>
          </w:tcPr>
          <w:p>
            <w:pPr>
              <w:pStyle w:val="TableContents"/>
              <w:spacing w:before="0" w:after="283"/>
              <w:rPr>
                <w:sz w:val="4"/>
                <w:szCs w:val="4"/>
              </w:rPr>
            </w:pPr>
            <w:r>
              <w:rPr>
                <w:sz w:val="4"/>
                <w:szCs w:val="4"/>
              </w:rPr>
            </w:r>
          </w:p>
        </w:tc>
      </w:tr>
      <w:tr>
        <w:trPr/>
        <w:tc>
          <w:tcPr>
            <w:tcW w:w="221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50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2701" w:type="dxa"/>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3"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2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pension, retiree medical and other postretirement benefits: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Prior service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other income (expense), net</w:t>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Actuarial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1633"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left"/>
              <w:rPr>
                <w:rFonts w:ascii="Arial;sans-serif" w:hAnsi="Arial;sans-serif"/>
                <w:b w:val="false"/>
                <w:color w:val="000000"/>
                <w:sz w:val="20"/>
              </w:rPr>
            </w:pPr>
            <w:r>
              <w:rPr>
                <w:rFonts w:ascii="Arial;sans-serif" w:hAnsi="Arial;sans-serif"/>
                <w:b w:val="false"/>
                <w:color w:val="000000"/>
                <w:sz w:val="20"/>
              </w:rPr>
              <w:t>Nonoperating other income (expense), net</w:t>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reclassifications for the period, net of tax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70" w:after="283"/>
        <w:jc w:val="both"/>
        <w:rPr>
          <w:rFonts w:ascii="Arial;sans-serif" w:hAnsi="Arial;sans-serif"/>
          <w:b/>
          <w:color w:val="000000"/>
          <w:sz w:val="20"/>
        </w:rPr>
      </w:pPr>
      <w:r>
        <w:rPr>
          <w:rFonts w:ascii="Arial;sans-serif" w:hAnsi="Arial;sans-serif"/>
          <w:b/>
          <w:color w:val="000000"/>
          <w:sz w:val="20"/>
        </w:rPr>
        <w:t>10. Regional Expenses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American’s regional carriers provide scheduled air transportation under the brand name “American Eagle.” The American Eagle carriers include AAG’s wholly-owned regional carriers as well as third-party regional carriers. American’s regional carrier arrangements are in the form of capacity purchase agreements. Expenses associated with American Eagle operations are classified as regional expenses on the condensed consolidated statements of operations.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Regional expenses for the three months ended March 31, 2023 and 2022 include $68 million and $66 million of depreciation and amortization, respectively, and $1 million each of aircraft rent.</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During the three months ended March 31, 2023 and 2022, American recognized $168 million and $150 million, respectively, of expense under its capacity purchase agreement with Republic Airways Inc. (Republic). American holds a 25% equity interest in Republic Airways Holdings Inc., the parent company of Republic.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70" w:after="283"/>
        <w:jc w:val="both"/>
        <w:rPr>
          <w:rFonts w:ascii="Arial;sans-serif" w:hAnsi="Arial;sans-serif"/>
          <w:b/>
          <w:color w:val="000000"/>
          <w:sz w:val="20"/>
        </w:rPr>
      </w:pPr>
      <w:r>
        <w:rPr>
          <w:rFonts w:ascii="Arial;sans-serif" w:hAnsi="Arial;sans-serif"/>
          <w:b/>
          <w:color w:val="000000"/>
          <w:sz w:val="20"/>
        </w:rPr>
        <w:t>11. Transactions with Related Parties</w:t>
      </w:r>
    </w:p>
    <w:p>
      <w:pPr>
        <w:pStyle w:val="TextBody"/>
        <w:spacing w:lineRule="auto" w:line="288" w:before="90" w:after="180"/>
        <w:ind w:left="0" w:right="0" w:firstLine="270"/>
        <w:jc w:val="both"/>
        <w:rPr>
          <w:rFonts w:ascii="Arial;sans-serif" w:hAnsi="Arial;sans-serif"/>
          <w:b w:val="false"/>
          <w:color w:val="000000"/>
          <w:sz w:val="20"/>
        </w:rPr>
      </w:pPr>
      <w:r>
        <w:rPr>
          <w:rFonts w:ascii="Arial;sans-serif" w:hAnsi="Arial;sans-serif"/>
          <w:b w:val="false"/>
          <w:color w:val="000000"/>
          <w:sz w:val="20"/>
        </w:rPr>
        <w:t>The following represents the net receivables (payables) to related parties (in millions):</w:t>
      </w:r>
    </w:p>
    <w:tbl>
      <w:tblPr>
        <w:tblW w:w="6431" w:type="dxa"/>
        <w:jc w:val="left"/>
        <w:tblInd w:w="0" w:type="dxa"/>
        <w:tblCellMar>
          <w:top w:w="28" w:type="dxa"/>
          <w:left w:w="28" w:type="dxa"/>
          <w:bottom w:w="28" w:type="dxa"/>
          <w:right w:w="28" w:type="dxa"/>
        </w:tblCellMar>
      </w:tblPr>
      <w:tblGrid>
        <w:gridCol w:w="1168"/>
        <w:gridCol w:w="1023"/>
        <w:gridCol w:w="1034"/>
        <w:gridCol w:w="275"/>
        <w:gridCol w:w="843"/>
        <w:gridCol w:w="142"/>
        <w:gridCol w:w="109"/>
        <w:gridCol w:w="109"/>
        <w:gridCol w:w="109"/>
        <w:gridCol w:w="338"/>
        <w:gridCol w:w="1035"/>
        <w:gridCol w:w="246"/>
      </w:tblGrid>
      <w:tr>
        <w:trPr/>
        <w:tc>
          <w:tcPr>
            <w:tcW w:w="1168"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r>
      <w:tr>
        <w:trPr/>
        <w:tc>
          <w:tcPr>
            <w:tcW w:w="32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AAG</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8,837 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8,692 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AAG’s wholly-owned subsidiaries </w:t>
            </w:r>
            <w:r>
              <w:rPr>
                <w:rFonts w:ascii="Arial;sans-serif" w:hAnsi="Arial;sans-serif"/>
                <w:b w:val="false"/>
                <w:color w:val="000000"/>
                <w:sz w:val="13"/>
              </w:rPr>
              <w:t>(1)</w:t>
            </w:r>
          </w:p>
        </w:tc>
        <w:tc>
          <w:tcPr>
            <w:tcW w:w="11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(2,126)</w:t>
            </w:r>
          </w:p>
        </w:tc>
        <w:tc>
          <w:tcPr>
            <w:tcW w:w="1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(2,104)</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6,711 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6,588 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The net payable to AAG’s wholly-owned subsidiaries consists primarily of amounts due under regional capacity purchase agreements with AAG’s wholly-owned regional airlines operating under the brand name of American Eagle.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v:rect>
            </w:pict>
          </mc:Fallback>
        </mc:AlternateContent>
      </w:r>
    </w:p>
    <w:p>
      <w:pPr>
        <w:pStyle w:val="TextBody"/>
        <w:spacing w:lineRule="auto" w:line="288" w:before="0" w:after="0"/>
        <w:rPr/>
      </w:pPr>
      <w:hyperlink w:anchor="i46fbc2c07ce748d68317b3440587c97f_7">
        <w:r>
          <w:rPr>
            <w:rStyle w:val="InternetLink"/>
            <w:rFonts w:ascii="Arial;sans-serif" w:hAnsi="Arial;sans-serif"/>
            <w:b/>
            <w:color w:val="0000FF"/>
            <w:sz w:val="20"/>
            <w:u w:val="single"/>
          </w:rPr>
          <w:t>Table of Contents</w:t>
        </w:r>
      </w:hyperlink>
    </w:p>
    <w:p>
      <w:pPr>
        <w:pStyle w:val="TextBody"/>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lineRule="auto" w:line="288" w:before="270" w:after="283"/>
        <w:jc w:val="both"/>
        <w:rPr>
          <w:rFonts w:ascii="Arial;sans-serif" w:hAnsi="Arial;sans-serif"/>
          <w:b/>
          <w:color w:val="000000"/>
          <w:sz w:val="20"/>
        </w:rPr>
      </w:pPr>
      <w:r>
        <w:rPr>
          <w:rFonts w:ascii="Arial;sans-serif" w:hAnsi="Arial;sans-serif"/>
          <w:b/>
          <w:color w:val="000000"/>
          <w:sz w:val="20"/>
        </w:rPr>
        <w:t>12. Legal Proceedings</w:t>
      </w:r>
    </w:p>
    <w:p>
      <w:pPr>
        <w:pStyle w:val="TextBody"/>
        <w:spacing w:lineRule="auto" w:line="288" w:before="90" w:after="283"/>
        <w:ind w:left="0" w:right="0" w:firstLine="270"/>
        <w:jc w:val="both"/>
        <w:rPr/>
      </w:pPr>
      <w:r>
        <w:rPr>
          <w:rFonts w:ascii="Arial;sans-serif" w:hAnsi="Arial;sans-serif"/>
          <w:b w:val="false"/>
          <w:i/>
          <w:color w:val="000000"/>
          <w:sz w:val="20"/>
        </w:rPr>
        <w:t>Private Party Antitrust Action Related to the Merger.</w:t>
      </w:r>
      <w:r>
        <w:rPr>
          <w:color w:val="000000"/>
        </w:rPr>
        <w:t xml:space="preserve"> </w:t>
      </w:r>
      <w:r>
        <w:rPr>
          <w:rFonts w:ascii="Arial;sans-serif" w:hAnsi="Arial;sans-serif"/>
          <w:b w:val="false"/>
          <w:color w:val="000000"/>
          <w:sz w:val="20"/>
        </w:rPr>
        <w:t>On August 6, 2013, a lawsuit captioned Carolyn Fjord, et al., v. AMR Corporation, et al., was filed in the U.S. Bankruptcy Court for the Southern District of New York (Bankruptcy Court). The complaint named as defendants US Airways Group, US Airways, Inc., AMR Corporation and American, alleged that the effect of the merger of US Airways Group and AMR Corporation (the Merger) may be to create a monopoly in violation of Section 7 of the Clayton Antitrust Act, and sought injunctive relief and/or divestiture. On November 27, 2013, the Bankruptcy Court denied plaintiffs’ motion to preliminarily enjoin the Merger. On August 29, 2018, the Bankruptcy Court denied in part defendants’ motion for summary judgment, and fully denied plaintiffs’ cross-motion for summary judgment. The parties’ evidentiary cases were presented before the Bankruptcy Court in a bench trial in March 2019 and the parties submitted proposed findings of fact and conclusions of law and made closing arguments in April 2019. On January 29, 2021, the Bankruptcy Court published its decision finding in American’s favor. On March 25, 2022, the U.S. District Court for the Southern District of New York entered judgment affirming the Bankruptcy Court’s decision. On April 21, 2022, plaintiffs appealed that decision to the U.S. Court of Appeals for the Second Circuit. On March 20, 2023, the Second Circuit affirmed in full the District Court’s decision. Plaintiffs did not file a petition for panel rehearing or rehearing en banc with the Second Circuit, and their current deadline to file a petition for writ of certiorari with the U.S. Supreme Court is June 20, 2023. American believes this lawsuit is without merit and intends to continue to vigorously defend against any further appeals by the plaintiffs.</w:t>
      </w:r>
    </w:p>
    <w:p>
      <w:pPr>
        <w:pStyle w:val="TextBody"/>
        <w:spacing w:lineRule="auto" w:line="288" w:before="180" w:after="283"/>
        <w:ind w:left="0" w:right="0" w:firstLine="270"/>
        <w:jc w:val="both"/>
        <w:rPr/>
      </w:pPr>
      <w:r>
        <w:rPr>
          <w:rFonts w:ascii="Arial;sans-serif" w:hAnsi="Arial;sans-serif"/>
          <w:b w:val="false"/>
          <w:i/>
          <w:color w:val="000000"/>
          <w:sz w:val="20"/>
        </w:rPr>
        <w:t>Government Antitrust Action Related to the Northeast Alliance.</w:t>
      </w:r>
      <w:r>
        <w:rPr>
          <w:color w:val="000000"/>
        </w:rPr>
        <w:t xml:space="preserve"> </w:t>
      </w:r>
      <w:r>
        <w:rPr>
          <w:rFonts w:ascii="Arial;sans-serif" w:hAnsi="Arial;sans-serif"/>
          <w:b w:val="false"/>
          <w:color w:val="000000"/>
          <w:sz w:val="20"/>
        </w:rPr>
        <w:t>On September 21, 2021, the United States Department of Justice (the DOJ), joined by Attorneys General from six states and the District of Columbia, filed an antitrust complaint against American and JetBlue Airways Corporation (JetBlue) in the U.S. District Court for the District of Massachusetts alleging that American and JetBlue violated U.S. antitrust law in connection with the previously disclosed Northeast Alliance arrangement (NEA). The parties presented their respective cases in a bench trial that commenced on September 27, 2022. The parties presented closing arguments on November 18, 2022. A decision is expected in the second quarter of 2023.</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Also on September 21, 2021, the United States Department of Transportation (DOT) published a Clarification Notice relating to the agreement that had been reached between the DOT, American, and JetBlue in January 2021, at the conclusion of the DOT’s review of the NEA (DOT Agreement). The DOT Clarification Notice stated, among other things, that the DOT Agreement remains in force during the pendency of the DOJ action against the NEA and, while the DOT retains independent statutory authority to prohibit unfair methods of competition in air transportation, the DOT intends to defer to the DOJ to resolve the antitrust concerns that the DOJ has identified with respect to the NEA. The DOT simultaneously published a Notice Staying Proceeding in relation to a complaint by Spirit Airlines, Inc. regarding the NEA, pending resolution of the DOJ action described above. On September 30, 2022, the DOT issued a further statement referencing the prior Clarification Notice and, among other things, indicating its intention to continue working with the DOJ in its efforts to resolve the ongoing proceedings regarding the NEA.</w:t>
      </w:r>
    </w:p>
    <w:p>
      <w:pPr>
        <w:pStyle w:val="TextBody"/>
        <w:spacing w:lineRule="auto" w:line="288" w:before="180" w:after="283"/>
        <w:ind w:left="0" w:right="0" w:firstLine="270"/>
        <w:jc w:val="both"/>
        <w:rPr/>
      </w:pPr>
      <w:r>
        <w:rPr>
          <w:rFonts w:ascii="Arial;sans-serif" w:hAnsi="Arial;sans-serif"/>
          <w:b w:val="false"/>
          <w:i/>
          <w:color w:val="000000"/>
          <w:sz w:val="20"/>
        </w:rPr>
        <w:t>Private Party Antitrust Actions Related to the Northeast Alliance.</w:t>
      </w:r>
      <w:r>
        <w:rPr>
          <w:color w:val="000000"/>
        </w:rPr>
        <w:t xml:space="preserve"> </w:t>
      </w:r>
      <w:r>
        <w:rPr>
          <w:rFonts w:ascii="Arial;sans-serif" w:hAnsi="Arial;sans-serif"/>
          <w:b w:val="false"/>
          <w:color w:val="000000"/>
          <w:sz w:val="20"/>
        </w:rPr>
        <w:t>On December 5, 2022 and December 7, 2022, two private party plaintiffs filed putative class action antitrust complaints against American and JetBlue in the U.S. District Court for the Eastern District of New York alleging that American and JetBlue violated U.S. antitrust law in connection with the previously disclosed NEA. These actions were consolidated on January 10, 2023. The private party plaintiffs filed an amended consolidated complaint on February 3, 2023. On February 2, 2023 and February 15, 2023, private party plaintiffs filed two additional putative class action antitrust complaints against American and JetBlue in the U.S. District Court for the District of Massachusetts and the U.S. District Court for the Eastern District of New York, respectively. American and JetBlue are currently seeking dismissal or transfer of the complaint filed in the U.S. District Court for the District of Massachusetts to the U.S. District Court for the Eastern District of New York. American believes these lawsuits are without merit and is defending against them vigorously.</w:t>
      </w:r>
    </w:p>
    <w:p>
      <w:pPr>
        <w:pStyle w:val="TextBody"/>
        <w:spacing w:lineRule="auto" w:line="288" w:before="180" w:after="283"/>
        <w:ind w:left="0" w:right="0" w:firstLine="270"/>
        <w:jc w:val="both"/>
        <w:rPr/>
      </w:pPr>
      <w:r>
        <w:rPr>
          <w:rFonts w:ascii="Arial;sans-serif" w:hAnsi="Arial;sans-serif"/>
          <w:b w:val="false"/>
          <w:i/>
          <w:color w:val="000000"/>
          <w:sz w:val="20"/>
        </w:rPr>
        <w:t>General.</w:t>
      </w:r>
      <w:r>
        <w:rPr>
          <w:color w:val="000000"/>
        </w:rPr>
        <w:t xml:space="preserve"> </w:t>
      </w:r>
      <w:r>
        <w:rPr>
          <w:rFonts w:ascii="Arial;sans-serif" w:hAnsi="Arial;sans-serif"/>
          <w:b w:val="false"/>
          <w:color w:val="000000"/>
          <w:sz w:val="20"/>
        </w:rPr>
        <w:t>In addition to the specifically identified legal proceedings, American and its subsidiaries are also engaged in other legal proceedings from time to time. Legal proceedings can be complex and take many months, or even years, to reach resolution, with the final outcome depending on a number of variables, some of which are not within American’s control. Therefore, although American will vigorously defend itself in each of the actions described above and such other legal proceedings, their ultimate resolution and potential financial and other impacts on American are uncertain but could be material.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270" w:after="283"/>
        <w:jc w:val="both"/>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Part I, Item 2 of this report should be read in conjunction with Part II, Item 7 of AAG’s and American’s Annual Report on Form 10-K for the year ended December 31, 2022 (the 2022 Form 10-K). The information contained herein is not a comprehensive discussion and analysis of the financial condition and results of operations of AAG and American, but rather updates disclosures made in the 2022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70" w:after="283"/>
        <w:jc w:val="both"/>
        <w:rPr>
          <w:rFonts w:ascii="Arial;sans-serif" w:hAnsi="Arial;sans-serif"/>
          <w:b/>
          <w:color w:val="000000"/>
          <w:sz w:val="20"/>
        </w:rPr>
      </w:pPr>
      <w:r>
        <w:rPr>
          <w:rFonts w:ascii="Arial;sans-serif" w:hAnsi="Arial;sans-serif"/>
          <w:b/>
          <w:color w:val="000000"/>
          <w:sz w:val="20"/>
        </w:rPr>
        <w:t>Financial Overview</w:t>
      </w:r>
    </w:p>
    <w:p>
      <w:pPr>
        <w:pStyle w:val="TextBody"/>
        <w:spacing w:lineRule="auto" w:line="288" w:before="90" w:after="283"/>
        <w:jc w:val="both"/>
        <w:rPr>
          <w:rFonts w:ascii="Arial;sans-serif" w:hAnsi="Arial;sans-serif"/>
          <w:b/>
          <w:i/>
          <w:color w:val="000000"/>
          <w:sz w:val="20"/>
        </w:rPr>
      </w:pPr>
      <w:r>
        <w:rPr>
          <w:rFonts w:ascii="Arial;sans-serif" w:hAnsi="Arial;sans-serif"/>
          <w:b/>
          <w:i/>
          <w:color w:val="000000"/>
          <w:sz w:val="20"/>
        </w:rPr>
        <w:t>AAG’s First Quarter 2023 Results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selected financial data presented below is derived from AAG’s unaudited condensed consolidated financial statements included in Part I, Item 1A of this report and should be read in conjunction with those financial statements and the related notes thereto.</w:t>
      </w:r>
    </w:p>
    <w:tbl>
      <w:tblPr>
        <w:tblW w:w="10205" w:type="dxa"/>
        <w:jc w:val="left"/>
        <w:tblInd w:w="0" w:type="dxa"/>
        <w:tblCellMar>
          <w:top w:w="28" w:type="dxa"/>
          <w:left w:w="28" w:type="dxa"/>
          <w:bottom w:w="28" w:type="dxa"/>
          <w:right w:w="28" w:type="dxa"/>
        </w:tblCellMar>
      </w:tblPr>
      <w:tblGrid>
        <w:gridCol w:w="1581"/>
        <w:gridCol w:w="1384"/>
        <w:gridCol w:w="1392"/>
        <w:gridCol w:w="221"/>
        <w:gridCol w:w="789"/>
        <w:gridCol w:w="113"/>
        <w:gridCol w:w="113"/>
        <w:gridCol w:w="113"/>
        <w:gridCol w:w="113"/>
        <w:gridCol w:w="221"/>
        <w:gridCol w:w="740"/>
        <w:gridCol w:w="113"/>
        <w:gridCol w:w="109"/>
        <w:gridCol w:w="109"/>
        <w:gridCol w:w="109"/>
        <w:gridCol w:w="211"/>
        <w:gridCol w:w="646"/>
        <w:gridCol w:w="109"/>
        <w:gridCol w:w="109"/>
        <w:gridCol w:w="109"/>
        <w:gridCol w:w="109"/>
        <w:gridCol w:w="491"/>
        <w:gridCol w:w="491"/>
        <w:gridCol w:w="710"/>
      </w:tblGrid>
      <w:tr>
        <w:trPr/>
        <w:tc>
          <w:tcPr>
            <w:tcW w:w="1581" w:type="dxa"/>
            <w:tcBorders/>
            <w:shd w:fill="auto" w:val="clear"/>
            <w:vAlign w:val="center"/>
          </w:tcPr>
          <w:p>
            <w:pPr>
              <w:pStyle w:val="TableContents"/>
              <w:spacing w:before="0" w:after="283"/>
              <w:rPr>
                <w:sz w:val="4"/>
                <w:szCs w:val="4"/>
              </w:rPr>
            </w:pPr>
            <w:r>
              <w:rPr>
                <w:sz w:val="4"/>
                <w:szCs w:val="4"/>
              </w:rPr>
            </w:r>
          </w:p>
        </w:tc>
        <w:tc>
          <w:tcPr>
            <w:tcW w:w="1384" w:type="dxa"/>
            <w:tcBorders/>
            <w:shd w:fill="auto" w:val="clear"/>
            <w:vAlign w:val="center"/>
          </w:tcPr>
          <w:p>
            <w:pPr>
              <w:pStyle w:val="TableContents"/>
              <w:spacing w:before="0" w:after="283"/>
              <w:rPr>
                <w:sz w:val="4"/>
                <w:szCs w:val="4"/>
              </w:rPr>
            </w:pPr>
            <w:r>
              <w:rPr>
                <w:sz w:val="4"/>
                <w:szCs w:val="4"/>
              </w:rPr>
            </w:r>
          </w:p>
        </w:tc>
        <w:tc>
          <w:tcPr>
            <w:tcW w:w="1392"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r>
      <w:tr>
        <w:trPr/>
        <w:tc>
          <w:tcPr>
            <w:tcW w:w="43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3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Increase</w:t>
              <w:br/>
              <w:t>(Decrease)</w:t>
            </w:r>
          </w:p>
        </w:tc>
        <w:tc>
          <w:tcPr>
            <w:tcW w:w="327" w:type="dxa"/>
            <w:gridSpan w:val="3"/>
            <w:vMerge w:val="restart"/>
            <w:tcBorders>
              <w:bottom w:val="single" w:sz="8" w:space="0" w:color="FFFFFF"/>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692"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Percent</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Increase (Decrease)</w:t>
            </w:r>
          </w:p>
        </w:tc>
      </w:tr>
      <w:tr>
        <w:trPr/>
        <w:tc>
          <w:tcPr>
            <w:tcW w:w="43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39" w:type="dxa"/>
            <w:gridSpan w:val="3"/>
            <w:tcBorders>
              <w:top w:val="single" w:sz="8" w:space="0" w:color="000000"/>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107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bottom w:val="single" w:sz="8" w:space="0" w:color="FFFFFF"/>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6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vMerge w:val="continue"/>
            <w:tcBorders>
              <w:bottom w:val="single" w:sz="8" w:space="0" w:color="FFFFFF"/>
            </w:tcBorders>
            <w:shd w:fill="auto" w:val="clear"/>
            <w:tcMar>
              <w:top w:w="0" w:type="dxa"/>
              <w:left w:w="0" w:type="dxa"/>
              <w:right w:w="0" w:type="dxa"/>
            </w:tcMar>
            <w:vAlign w:val="center"/>
          </w:tcPr>
          <w:p>
            <w:pPr>
              <w:pStyle w:val="Normal"/>
              <w:rPr/>
            </w:pPr>
            <w:r>
              <w:rPr/>
            </w:r>
          </w:p>
        </w:tc>
        <w:tc>
          <w:tcPr>
            <w:tcW w:w="1692"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43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848"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 changes)</w:t>
            </w:r>
          </w:p>
        </w:tc>
      </w:tr>
      <w:tr>
        <w:trPr/>
        <w:tc>
          <w:tcPr>
            <w:tcW w:w="4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 revenue</w:t>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11,103 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7,818 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42.0</w:t>
            </w:r>
          </w:p>
        </w:tc>
      </w:tr>
      <w:tr>
        <w:trPr/>
        <w:tc>
          <w:tcPr>
            <w:tcW w:w="4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 revenue</w:t>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(38.7)</w:t>
            </w:r>
          </w:p>
        </w:tc>
      </w:tr>
      <w:tr>
        <w:trPr/>
        <w:tc>
          <w:tcPr>
            <w:tcW w:w="4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revenue</w:t>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863 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717 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20.4</w:t>
            </w:r>
          </w:p>
        </w:tc>
      </w:tr>
      <w:tr>
        <w:trPr/>
        <w:tc>
          <w:tcPr>
            <w:tcW w:w="4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12,189 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8,899 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37.0</w:t>
            </w:r>
          </w:p>
        </w:tc>
      </w:tr>
      <w:tr>
        <w:trPr/>
        <w:tc>
          <w:tcPr>
            <w:tcW w:w="4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 and related taxes</w:t>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3,167 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2,502 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26.6</w:t>
            </w:r>
          </w:p>
        </w:tc>
      </w:tr>
      <w:tr>
        <w:trPr/>
        <w:tc>
          <w:tcPr>
            <w:tcW w:w="4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Salaries, wages and benefits</w:t>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3,281 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3,154 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w:t>
            </w:r>
          </w:p>
        </w:tc>
      </w:tr>
      <w:tr>
        <w:trPr/>
        <w:tc>
          <w:tcPr>
            <w:tcW w:w="4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11,751 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10,622 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w:t>
            </w:r>
          </w:p>
        </w:tc>
      </w:tr>
      <w:tr>
        <w:trPr/>
        <w:tc>
          <w:tcPr>
            <w:tcW w:w="4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(loss)</w:t>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(1,723)</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r>
              <w:rPr>
                <w:color w:val="000000"/>
              </w:rPr>
              <w:t>    </w:t>
            </w:r>
            <w:r>
              <w:rPr>
                <w:rFonts w:ascii="Arial;sans-serif" w:hAnsi="Arial;sans-serif"/>
                <w:b w:val="false"/>
                <w:color w:val="000000"/>
                <w:sz w:val="20"/>
              </w:rPr>
              <w:t xml:space="preserve">nm </w:t>
            </w:r>
            <w:r>
              <w:rPr>
                <w:rFonts w:ascii="Arial;sans-serif" w:hAnsi="Arial;sans-serif"/>
                <w:b w:val="false"/>
                <w:color w:val="000000"/>
                <w:sz w:val="13"/>
              </w:rPr>
              <w:t>(2)</w:t>
            </w:r>
          </w:p>
        </w:tc>
      </w:tr>
      <w:tr>
        <w:trPr/>
        <w:tc>
          <w:tcPr>
            <w:tcW w:w="4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Pre-tax income (loss)</w:t>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(2,086)</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Arial;sans-serif" w:hAnsi="Arial;sans-serif"/>
                <w:b w:val="false"/>
                <w:color w:val="000000"/>
                <w:sz w:val="20"/>
              </w:rPr>
              <w:t xml:space="preserve">nm </w:t>
            </w:r>
          </w:p>
        </w:tc>
      </w:tr>
      <w:tr>
        <w:trPr/>
        <w:tc>
          <w:tcPr>
            <w:tcW w:w="4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 (benefit)</w:t>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Arial;sans-serif" w:hAnsi="Arial;sans-serif"/>
                <w:b w:val="false"/>
                <w:color w:val="000000"/>
                <w:sz w:val="20"/>
              </w:rPr>
              <w:t xml:space="preserve">nm </w:t>
            </w:r>
          </w:p>
        </w:tc>
      </w:tr>
      <w:tr>
        <w:trPr/>
        <w:tc>
          <w:tcPr>
            <w:tcW w:w="4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(1,635)</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Arial;sans-serif" w:hAnsi="Arial;sans-serif"/>
                <w:b w:val="false"/>
                <w:color w:val="000000"/>
                <w:sz w:val="20"/>
              </w:rPr>
              <w:t xml:space="preserve">nm </w:t>
            </w:r>
          </w:p>
        </w:tc>
      </w:tr>
      <w:tr>
        <w:trPr/>
        <w:tc>
          <w:tcPr>
            <w:tcW w:w="4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Pre-tax income (loss) – GAAP</w:t>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(2,086)</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Arial;sans-serif" w:hAnsi="Arial;sans-serif"/>
                <w:b w:val="false"/>
                <w:color w:val="000000"/>
                <w:sz w:val="20"/>
              </w:rPr>
              <w:t xml:space="preserve">nm </w:t>
            </w:r>
          </w:p>
        </w:tc>
      </w:tr>
      <w:tr>
        <w:trPr/>
        <w:tc>
          <w:tcPr>
            <w:tcW w:w="4357"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pPr>
            <w:r>
              <w:rPr>
                <w:rFonts w:ascii="Arial;sans-serif" w:hAnsi="Arial;sans-serif"/>
                <w:b w:val="false"/>
                <w:color w:val="000000"/>
                <w:sz w:val="20"/>
              </w:rPr>
              <w:t xml:space="preserve">Adjusted for: pre-tax net special items </w:t>
            </w:r>
            <w:r>
              <w:rPr>
                <w:rFonts w:ascii="Arial;sans-serif" w:hAnsi="Arial;sans-serif"/>
                <w:b w:val="false"/>
                <w:color w:val="000000"/>
                <w:sz w:val="13"/>
              </w:rPr>
              <w:t>(1)</w:t>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(82.0)</w:t>
            </w:r>
          </w:p>
        </w:tc>
      </w:tr>
      <w:tr>
        <w:trPr/>
        <w:tc>
          <w:tcPr>
            <w:tcW w:w="4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Pre-tax income (loss) excluding net special items</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(1,926)</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Arial;sans-serif" w:hAnsi="Arial;sans-serif"/>
                <w:b w:val="false"/>
                <w:color w:val="000000"/>
                <w:sz w:val="20"/>
              </w:rPr>
              <w:t>nm</w:t>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 xml:space="preserve">See </w:t>
      </w:r>
      <w:r>
        <w:rPr>
          <w:color w:val="000000"/>
        </w:rPr>
        <w:t>“</w:t>
      </w:r>
      <w:r>
        <w:rPr>
          <w:rFonts w:ascii="Arial;sans-serif" w:hAnsi="Arial;sans-serif"/>
          <w:b w:val="false"/>
          <w:i/>
          <w:color w:val="000000"/>
          <w:sz w:val="20"/>
        </w:rPr>
        <w:t>Reconciliation of GAAP to Non-GAAP Financial Measures”</w:t>
      </w:r>
      <w:r>
        <w:rPr>
          <w:color w:val="000000"/>
        </w:rPr>
        <w:t xml:space="preserve"> </w:t>
      </w:r>
      <w:r>
        <w:rPr>
          <w:rFonts w:ascii="Arial;sans-serif" w:hAnsi="Arial;sans-serif"/>
          <w:b w:val="false"/>
          <w:color w:val="000000"/>
          <w:sz w:val="20"/>
        </w:rPr>
        <w:t>below and Note 2 to AAG’s Condensed Consolidated Financial Statements in Part I, Item 1A for details on the components of net special items.</w:t>
      </w:r>
    </w:p>
    <w:p>
      <w:pPr>
        <w:pStyle w:val="TextBody"/>
        <w:spacing w:lineRule="auto" w:line="288" w:before="180" w:after="283"/>
        <w:ind w:left="0" w:right="0" w:hanging="360"/>
        <w:jc w:val="both"/>
        <w:rPr/>
      </w:pPr>
      <w:r>
        <w:rPr>
          <w:rFonts w:ascii="Arial;sans-serif" w:hAnsi="Arial;sans-serif"/>
          <w:b w:val="false"/>
          <w:color w:val="000000"/>
          <w:sz w:val="13"/>
        </w:rPr>
        <w:t>(2)</w:t>
      </w:r>
      <w:r>
        <w:rPr>
          <w:rFonts w:ascii="Arial;sans-serif" w:hAnsi="Arial;sans-serif"/>
          <w:b w:val="false"/>
          <w:color w:val="000000"/>
          <w:sz w:val="20"/>
        </w:rPr>
        <w:t>Not meaningful or greater than 100% change.</w:t>
      </w:r>
    </w:p>
    <w:p>
      <w:pPr>
        <w:pStyle w:val="TextBody"/>
        <w:spacing w:lineRule="auto" w:line="288" w:before="270" w:after="283"/>
        <w:jc w:val="both"/>
        <w:rPr>
          <w:rFonts w:ascii="Arial;sans-serif" w:hAnsi="Arial;sans-serif"/>
          <w:b w:val="false"/>
          <w:i/>
          <w:color w:val="000000"/>
          <w:sz w:val="20"/>
          <w:u w:val="single"/>
        </w:rPr>
      </w:pPr>
      <w:r>
        <w:rPr>
          <w:rFonts w:ascii="Arial;sans-serif" w:hAnsi="Arial;sans-serif"/>
          <w:b w:val="false"/>
          <w:i/>
          <w:color w:val="000000"/>
          <w:sz w:val="20"/>
          <w:u w:val="single"/>
        </w:rPr>
        <w:t>Pre-Tax Income (Loss) and Net Income (Loss)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Pre-tax income and net income were $17 million and $10 million, respectively, in the first quarter of 2023. This compares to first quarter of 2022 pre-tax loss and net loss of $2.1 billion and $1.6 billion, respectively. Excluding the effects of pre-tax net special items, pre-tax income was $45 million in the first quarter of 2023 and pre-tax loss was $1.9 billion in the first quarter of 2022.</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quarter-over-quarter improvement in our pre-tax income, on both a GAAP basis and excluding pre-tax net special items, was driven by the continued strength in demand for air travel and a 9.2% increase in capacity as compared to the first quarter of 2022. This resulted in higher operating revenues, which was offset in part by higher aircraft fuel and related taxes due to a 17.3% increase in the average price per gallon of aircraft fuel as well as 7.9% more gallons consumed, as compared to the first quarter of 2022.</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270" w:after="283"/>
        <w:jc w:val="both"/>
        <w:rPr>
          <w:rFonts w:ascii="Arial;sans-serif" w:hAnsi="Arial;sans-serif"/>
          <w:b w:val="false"/>
          <w:i/>
          <w:color w:val="000000"/>
          <w:sz w:val="20"/>
          <w:u w:val="single"/>
        </w:rPr>
      </w:pPr>
      <w:r>
        <w:rPr>
          <w:rFonts w:ascii="Arial;sans-serif" w:hAnsi="Arial;sans-serif"/>
          <w:b w:val="false"/>
          <w:i/>
          <w:color w:val="000000"/>
          <w:sz w:val="20"/>
          <w:u w:val="single"/>
        </w:rPr>
        <w:t>Revenue</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the first quarter of 2023, we reported total operating revenues of $12.2 billion, an increase of $3.3 billion, or 37.0%, as compared to the first quarter of 2022. Passenger revenue was $11.1 billion in the first quarter of 2023, an increase of $3.3 billion, or 42.0%, as compared to the first quarter of 2022. The increase in passenger revenue in the first quarter of 2023 was primarily due to a 20.9% increase in passenger yield and a 17.4% increase in revenue passenger miles (RPMs), driven by the continued strength in demand for air travel, resulting in an 80.0% load factor in the first quarter of 2023.</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Cargo revenue decreased $141 million, or 38.7%, in the first quarter of 2023 from the first quarter of 2022 primarily due to a 22.2% decrease in cargo yield and a 21.2% decrease in cargo ton miles driven by lower demand.</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Other operating revenue increased $146 million, or 20.4%, as compared to the first quarter of 2022, driven primarily by higher revenue associated with our loyalty program. During the first quarter of 2023 and 2022, cash payments from co-branded credit card and other partners were $1.6 billion and $1.4 billion, respectively.</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Our total revenue per available seat mile (TRASM) was 18.75 cents in the first quarter of 2023, a 25.4% increase as compared to 14.95 cents in the first quarter of 2022, driven primarily by the increase in passenger revenue as described above.</w:t>
      </w:r>
    </w:p>
    <w:p>
      <w:pPr>
        <w:pStyle w:val="TextBody"/>
        <w:spacing w:lineRule="auto" w:line="288" w:before="270" w:after="283"/>
        <w:jc w:val="both"/>
        <w:rPr>
          <w:rFonts w:ascii="Arial;sans-serif" w:hAnsi="Arial;sans-serif"/>
          <w:b w:val="false"/>
          <w:i/>
          <w:color w:val="000000"/>
          <w:sz w:val="20"/>
          <w:u w:val="single"/>
        </w:rPr>
      </w:pPr>
      <w:r>
        <w:rPr>
          <w:rFonts w:ascii="Arial;sans-serif" w:hAnsi="Arial;sans-serif"/>
          <w:b w:val="false"/>
          <w:i/>
          <w:color w:val="000000"/>
          <w:sz w:val="20"/>
          <w:u w:val="single"/>
        </w:rPr>
        <w:t>Fuel</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Aircraft fuel expense was $3.2 billion in the first quarter of 2023, which was $665 million, or 26.6%, higher as compared to the first quarter of 2022. This increase was primarily due to a 17.3% increase in the average price per gallon of aircraft fuel including related taxes to $3.28 in the first quarter of 2023 from $2.80 in the first quarter of 2022 and a 7.9% increase in gallons of fuel consumed due to increased capacity.</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As of March 31, 2023, we did not have any fuel hedging contracts outstanding to hedge our fuel consumption. Our current policy is not to enter into transactions to hedge our fuel consumption, although we review that policy from time to time based on market conditions and other factors. As such, and assuming we do not enter into any future transactions to hedge our fuel consumption, we will continue to be fully exposed to fluctuations in fuel prices.</w:t>
      </w:r>
    </w:p>
    <w:p>
      <w:pPr>
        <w:pStyle w:val="TextBody"/>
        <w:spacing w:lineRule="auto" w:line="288" w:before="270" w:after="283"/>
        <w:jc w:val="both"/>
        <w:rPr>
          <w:rFonts w:ascii="Arial;sans-serif" w:hAnsi="Arial;sans-serif"/>
          <w:b w:val="false"/>
          <w:i/>
          <w:color w:val="000000"/>
          <w:sz w:val="20"/>
          <w:u w:val="single"/>
        </w:rPr>
      </w:pPr>
      <w:r>
        <w:rPr>
          <w:rFonts w:ascii="Arial;sans-serif" w:hAnsi="Arial;sans-serif"/>
          <w:b w:val="false"/>
          <w:i/>
          <w:color w:val="000000"/>
          <w:sz w:val="20"/>
          <w:u w:val="single"/>
        </w:rPr>
        <w:t>Other Costs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We remain committed to actively managing our cost structure, which we believe is necessary in an industry whose economic prospects are heavily dependent upon two variables we cannot control: general economic conditions and the price of fuel.</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Our 2023 first quarter total operating cost per available seat mile (CASM) was 18.08 cents, an increase of 1.3%, from 17.84 cents in the first quarter of 2022.</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Our 2023 first quarter CASM excluding net special items and fuel was 13.18 cents, a decrease of 1.4%, from 13.38 cents in the first quarter of 2022.</w:t>
      </w:r>
    </w:p>
    <w:p>
      <w:pPr>
        <w:pStyle w:val="TextBody"/>
        <w:spacing w:lineRule="auto" w:line="288" w:before="180" w:after="283"/>
        <w:ind w:left="0" w:right="0" w:firstLine="270"/>
        <w:jc w:val="both"/>
        <w:rPr/>
      </w:pPr>
      <w:r>
        <w:rPr>
          <w:rFonts w:ascii="Arial;sans-serif" w:hAnsi="Arial;sans-serif"/>
          <w:b w:val="false"/>
          <w:color w:val="000000"/>
          <w:sz w:val="20"/>
        </w:rPr>
        <w:t xml:space="preserve">For a reconciliation of CASM to CASM excluding net special items and fuel, see </w:t>
      </w:r>
      <w:r>
        <w:rPr>
          <w:color w:val="000000"/>
        </w:rPr>
        <w:t>“</w:t>
      </w:r>
      <w:r>
        <w:rPr>
          <w:rFonts w:ascii="Arial;sans-serif" w:hAnsi="Arial;sans-serif"/>
          <w:b w:val="false"/>
          <w:i/>
          <w:color w:val="000000"/>
          <w:sz w:val="20"/>
        </w:rPr>
        <w:t xml:space="preserve">Reconciliation of GAAP to Non-GAAP Financial Measures” </w:t>
      </w:r>
      <w:r>
        <w:rPr>
          <w:rFonts w:ascii="Arial;sans-serif" w:hAnsi="Arial;sans-serif"/>
          <w:b w:val="false"/>
          <w:color w:val="000000"/>
          <w:sz w:val="20"/>
        </w:rPr>
        <w:t>below.</w:t>
      </w:r>
    </w:p>
    <w:p>
      <w:pPr>
        <w:pStyle w:val="TextBody"/>
        <w:spacing w:lineRule="auto" w:line="288" w:before="270" w:after="283"/>
        <w:jc w:val="both"/>
        <w:rPr>
          <w:rFonts w:ascii="Arial;sans-serif" w:hAnsi="Arial;sans-serif"/>
          <w:b w:val="false"/>
          <w:i/>
          <w:color w:val="000000"/>
          <w:sz w:val="20"/>
          <w:u w:val="single"/>
        </w:rPr>
      </w:pPr>
      <w:r>
        <w:rPr>
          <w:rFonts w:ascii="Arial;sans-serif" w:hAnsi="Arial;sans-serif"/>
          <w:b w:val="false"/>
          <w:i/>
          <w:color w:val="000000"/>
          <w:sz w:val="20"/>
          <w:u w:val="single"/>
        </w:rPr>
        <w:t>Liquidity</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As of March 31, 2023, we had $14.4 billion in total available liquidity, consisting of $11.5 billion in unrestricted cash and short-term investments, $2.9 billion in total undrawn capacity under revolving credit and other short-term facilities.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During the first quarter of 2023, we completed the following financing transactions (see Note 5 to AAG’s Condensed Consolidated Financial Statements in Part 1, Item 1A for further information):</w:t>
      </w:r>
    </w:p>
    <w:p>
      <w:pPr>
        <w:pStyle w:val="TextBody"/>
        <w:spacing w:lineRule="auto" w:line="288" w:before="180" w:after="283"/>
        <w:ind w:left="0" w:right="0" w:hanging="450"/>
        <w:jc w:val="both"/>
        <w:rPr/>
      </w:pPr>
      <w:r>
        <w:rPr>
          <w:color w:val="000000"/>
        </w:rPr>
        <w:t>•</w:t>
      </w:r>
      <w:r>
        <w:rPr>
          <w:rFonts w:ascii="Arial;sans-serif" w:hAnsi="Arial;sans-serif"/>
          <w:b w:val="false"/>
          <w:color w:val="000000"/>
          <w:sz w:val="20"/>
        </w:rPr>
        <w:t>refinanced approximately $1.8 billion in aggregate principal amount of term loans outstanding under the 2013 Term Loan Facility by extending the maturity of $1.0 billion in term loans under the 2013 Term Loan Facility and issuing $750 million in aggregate principal amount of 7.25% Senior Secured Notes;</w:t>
      </w:r>
    </w:p>
    <w:p>
      <w:pPr>
        <w:pStyle w:val="TextBody"/>
        <w:spacing w:lineRule="auto" w:line="288" w:before="180" w:after="283"/>
        <w:ind w:left="0" w:right="0" w:hanging="450"/>
        <w:jc w:val="both"/>
        <w:rPr/>
      </w:pPr>
      <w:r>
        <w:rPr>
          <w:color w:val="000000"/>
        </w:rPr>
        <w:t>•</w:t>
      </w:r>
      <w:r>
        <w:rPr>
          <w:rFonts w:ascii="Arial;sans-serif" w:hAnsi="Arial;sans-serif"/>
          <w:b w:val="false"/>
          <w:color w:val="000000"/>
          <w:sz w:val="20"/>
        </w:rPr>
        <w:t>extended $2.2 billion of aggregate commitments under the 2013, 2014 and April 2016 Revolving Facilities through October 2026. The $2.8 billion of aggregate commitments currently under the 2013, 2014 and April 2016 Revolving Facilities will continue through October 2024; and</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180" w:after="283"/>
        <w:ind w:left="0" w:right="0" w:hanging="450"/>
        <w:jc w:val="both"/>
        <w:rPr/>
      </w:pPr>
      <w:r>
        <w:rPr>
          <w:color w:val="000000"/>
        </w:rPr>
        <w:t>•</w:t>
      </w:r>
      <w:r>
        <w:rPr>
          <w:rFonts w:ascii="Arial;sans-serif" w:hAnsi="Arial;sans-serif"/>
          <w:b w:val="false"/>
          <w:color w:val="000000"/>
          <w:sz w:val="20"/>
        </w:rPr>
        <w:t>issued $94 million of equipment loans and other notes payable in connection with the financing of certain aircraft.</w:t>
      </w:r>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Reconciliation of GAAP to Non-GAAP Financial Measures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We sometimes use financial measures that are derived from the condensed consolidated financial statements but that are not presented in accordance with accounting principles generally accepted in the U.S. (GAAP) to understand and evaluate our current operating performance and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table presents the reconciliation of pre-tax income (loss) (GAAP measure) to pre-tax income (loss) excluding net special items (non-GAAP measure). Management uses this non-GAAP financial measure to evaluate our current operating performance and to allow for period-to-period comparisons. As net special items may vary from period-to-period in nature and amount, the adjustment to exclude net special items allows management an additional tool to understand our core operating performance.</w:t>
      </w:r>
    </w:p>
    <w:tbl>
      <w:tblPr>
        <w:tblW w:w="9610" w:type="dxa"/>
        <w:jc w:val="left"/>
        <w:tblInd w:w="0" w:type="dxa"/>
        <w:tblCellMar>
          <w:top w:w="28" w:type="dxa"/>
          <w:left w:w="28" w:type="dxa"/>
          <w:bottom w:w="28" w:type="dxa"/>
          <w:right w:w="28" w:type="dxa"/>
        </w:tblCellMar>
      </w:tblPr>
      <w:tblGrid>
        <w:gridCol w:w="2383"/>
        <w:gridCol w:w="2098"/>
        <w:gridCol w:w="2103"/>
        <w:gridCol w:w="262"/>
        <w:gridCol w:w="468"/>
        <w:gridCol w:w="135"/>
        <w:gridCol w:w="135"/>
        <w:gridCol w:w="135"/>
        <w:gridCol w:w="135"/>
        <w:gridCol w:w="262"/>
        <w:gridCol w:w="878"/>
        <w:gridCol w:w="135"/>
        <w:gridCol w:w="109"/>
        <w:gridCol w:w="109"/>
        <w:gridCol w:w="109"/>
        <w:gridCol w:w="154"/>
      </w:tblGrid>
      <w:tr>
        <w:trPr/>
        <w:tc>
          <w:tcPr>
            <w:tcW w:w="2383" w:type="dxa"/>
            <w:tcBorders/>
            <w:shd w:fill="auto" w:val="clear"/>
            <w:vAlign w:val="center"/>
          </w:tcPr>
          <w:p>
            <w:pPr>
              <w:pStyle w:val="TableContents"/>
              <w:spacing w:before="0" w:after="283"/>
              <w:rPr>
                <w:sz w:val="4"/>
                <w:szCs w:val="4"/>
              </w:rPr>
            </w:pPr>
            <w:r>
              <w:rPr>
                <w:sz w:val="4"/>
                <w:szCs w:val="4"/>
              </w:rPr>
            </w:r>
          </w:p>
        </w:tc>
        <w:tc>
          <w:tcPr>
            <w:tcW w:w="2098" w:type="dxa"/>
            <w:tcBorders/>
            <w:shd w:fill="auto" w:val="clear"/>
            <w:vAlign w:val="center"/>
          </w:tcPr>
          <w:p>
            <w:pPr>
              <w:pStyle w:val="TableContents"/>
              <w:spacing w:before="0" w:after="283"/>
              <w:rPr>
                <w:sz w:val="4"/>
                <w:szCs w:val="4"/>
              </w:rPr>
            </w:pPr>
            <w:r>
              <w:rPr>
                <w:sz w:val="4"/>
                <w:szCs w:val="4"/>
              </w:rPr>
            </w:r>
          </w:p>
        </w:tc>
        <w:tc>
          <w:tcPr>
            <w:tcW w:w="2103"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4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05" w:type="dxa"/>
            <w:gridSpan w:val="3"/>
            <w:tcBorders>
              <w:top w:val="single" w:sz="8" w:space="0" w:color="000000"/>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127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481" w:type="dxa"/>
            <w:gridSpan w:val="4"/>
            <w:tcBorders/>
            <w:shd w:fill="auto" w:val="clea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9"/>
              </w:rPr>
            </w:pPr>
            <w:r>
              <w:rPr>
                <w:rFonts w:ascii="Arial;sans-serif" w:hAnsi="Arial;sans-serif"/>
                <w:b/>
                <w:color w:val="000000"/>
                <w:sz w:val="19"/>
              </w:rPr>
              <w:t>Reconciliation of Pre-Tax Income (Loss) Excluding Net Special Items:</w:t>
            </w:r>
          </w:p>
        </w:tc>
        <w:tc>
          <w:tcPr>
            <w:tcW w:w="8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Pre-tax income (loss) – GAAP</w:t>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(2,086)</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Pre-tax net special items </w:t>
            </w:r>
            <w:r>
              <w:rPr>
                <w:rFonts w:ascii="Arial;sans-serif" w:hAnsi="Arial;sans-serif"/>
                <w:b w:val="false"/>
                <w:color w:val="000000"/>
                <w:sz w:val="13"/>
              </w:rPr>
              <w:t>(1)</w:t>
            </w:r>
            <w:r>
              <w:rPr>
                <w:rFonts w:ascii="Arial;sans-serif" w:hAnsi="Arial;sans-serif"/>
                <w:b w:val="false"/>
                <w:color w:val="000000"/>
                <w:sz w:val="20"/>
              </w:rPr>
              <w:t>:</w:t>
            </w:r>
          </w:p>
        </w:tc>
        <w:tc>
          <w:tcPr>
            <w:tcW w:w="8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special items, net</w:t>
            </w:r>
          </w:p>
        </w:tc>
        <w:tc>
          <w:tcPr>
            <w:tcW w:w="7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special items, net</w:t>
            </w:r>
          </w:p>
        </w:tc>
        <w:tc>
          <w:tcPr>
            <w:tcW w:w="7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pre-tax net special items</w:t>
            </w:r>
          </w:p>
        </w:tc>
        <w:tc>
          <w:tcPr>
            <w:tcW w:w="73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Pre-tax income (loss) excluding net special items</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(1,926)</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See Note 2 to AAG’s Condensed Consolidated Financial Statements in Part I, Item 1A for further information on net special items.</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180" w:after="90"/>
        <w:ind w:left="0" w:right="0" w:firstLine="270"/>
        <w:jc w:val="both"/>
        <w:rPr>
          <w:rFonts w:ascii="Arial;sans-serif" w:hAnsi="Arial;sans-serif"/>
          <w:b w:val="false"/>
          <w:color w:val="000000"/>
          <w:sz w:val="20"/>
        </w:rPr>
      </w:pPr>
      <w:r>
        <w:rPr>
          <w:rFonts w:ascii="Arial;sans-serif" w:hAnsi="Arial;sans-serif"/>
          <w:b w:val="false"/>
          <w:color w:val="000000"/>
          <w:sz w:val="20"/>
        </w:rPr>
        <w:t>Additionally, the table below presents the reconciliation of total operating costs (GAAP measure) to total operating costs excluding net special items and fuel (non-GAAP measure) and CASM to CASM excluding net special items and fuel. Management uses total operating costs excluding net special items and fuel and CASM excluding net special items and fuel to evaluate our current operating performance and for period-to-period comparisons. The price of fuel, over which we have no control, impacts the comparability of period-to-period financial performance. The adjustment to exclude net special items and fuel allows management an additional tool to understand and analyze our non-fuel costs and core operating performance. Amounts may not recalculate due to rounding.</w:t>
      </w:r>
    </w:p>
    <w:tbl>
      <w:tblPr>
        <w:tblW w:w="9349" w:type="dxa"/>
        <w:jc w:val="left"/>
        <w:tblInd w:w="0" w:type="dxa"/>
        <w:tblCellMar>
          <w:top w:w="28" w:type="dxa"/>
          <w:left w:w="28" w:type="dxa"/>
          <w:bottom w:w="28" w:type="dxa"/>
          <w:right w:w="28" w:type="dxa"/>
        </w:tblCellMar>
      </w:tblPr>
      <w:tblGrid>
        <w:gridCol w:w="2150"/>
        <w:gridCol w:w="1893"/>
        <w:gridCol w:w="1897"/>
        <w:gridCol w:w="218"/>
        <w:gridCol w:w="775"/>
        <w:gridCol w:w="112"/>
        <w:gridCol w:w="112"/>
        <w:gridCol w:w="112"/>
        <w:gridCol w:w="112"/>
        <w:gridCol w:w="218"/>
        <w:gridCol w:w="775"/>
        <w:gridCol w:w="112"/>
        <w:gridCol w:w="109"/>
        <w:gridCol w:w="109"/>
        <w:gridCol w:w="109"/>
        <w:gridCol w:w="536"/>
      </w:tblGrid>
      <w:tr>
        <w:trPr/>
        <w:tc>
          <w:tcPr>
            <w:tcW w:w="2150" w:type="dxa"/>
            <w:tcBorders/>
            <w:shd w:fill="auto" w:val="clear"/>
            <w:vAlign w:val="center"/>
          </w:tcPr>
          <w:p>
            <w:pPr>
              <w:pStyle w:val="TableContents"/>
              <w:spacing w:before="0" w:after="283"/>
              <w:rPr>
                <w:sz w:val="4"/>
                <w:szCs w:val="4"/>
              </w:rPr>
            </w:pPr>
            <w:r>
              <w:rPr>
                <w:sz w:val="4"/>
                <w:szCs w:val="4"/>
              </w:rPr>
            </w:r>
          </w:p>
        </w:tc>
        <w:tc>
          <w:tcPr>
            <w:tcW w:w="1893" w:type="dxa"/>
            <w:tcBorders/>
            <w:shd w:fill="auto" w:val="clear"/>
            <w:vAlign w:val="center"/>
          </w:tcPr>
          <w:p>
            <w:pPr>
              <w:pStyle w:val="TableContents"/>
              <w:spacing w:before="0" w:after="283"/>
              <w:rPr>
                <w:sz w:val="4"/>
                <w:szCs w:val="4"/>
              </w:rPr>
            </w:pPr>
            <w:r>
              <w:rPr>
                <w:sz w:val="4"/>
                <w:szCs w:val="4"/>
              </w:rPr>
            </w:r>
          </w:p>
        </w:tc>
        <w:tc>
          <w:tcPr>
            <w:tcW w:w="189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5" w:type="dxa"/>
            <w:gridSpan w:val="2"/>
            <w:tcBorders/>
            <w:shd w:fill="auto" w:val="clear"/>
          </w:tcPr>
          <w:p>
            <w:pPr>
              <w:pStyle w:val="TableContents"/>
              <w:spacing w:before="0" w:after="283"/>
              <w:rPr>
                <w:sz w:val="4"/>
                <w:szCs w:val="4"/>
              </w:rPr>
            </w:pPr>
            <w:r>
              <w:rPr>
                <w:sz w:val="4"/>
                <w:szCs w:val="4"/>
              </w:rPr>
            </w:r>
          </w:p>
        </w:tc>
      </w:tr>
      <w:tr>
        <w:trPr/>
        <w:tc>
          <w:tcPr>
            <w:tcW w:w="5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9"/>
              </w:rPr>
            </w:pPr>
            <w:r>
              <w:rPr>
                <w:rFonts w:ascii="Arial;sans-serif" w:hAnsi="Arial;sans-serif"/>
                <w:b/>
                <w:color w:val="000000"/>
                <w:sz w:val="19"/>
              </w:rPr>
              <w:t>Reconciliation of CASM Excluding Net Special Items and Fuel:</w:t>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top w:val="single" w:sz="8"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(In millions)</w:t>
            </w:r>
          </w:p>
        </w:tc>
        <w:tc>
          <w:tcPr>
            <w:tcW w:w="11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 – GAAP</w:t>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11,751 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10,622 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Operating net special items </w:t>
            </w:r>
            <w:r>
              <w:rPr>
                <w:rFonts w:ascii="Arial;sans-serif" w:hAnsi="Arial;sans-serif"/>
                <w:b w:val="false"/>
                <w:color w:val="000000"/>
                <w:sz w:val="13"/>
              </w:rPr>
              <w:t>(1)</w:t>
            </w:r>
            <w:r>
              <w:rPr>
                <w:rFonts w:ascii="Arial;sans-serif" w:hAnsi="Arial;sans-serif"/>
                <w:b w:val="false"/>
                <w:color w:val="000000"/>
                <w:sz w:val="20"/>
              </w:rPr>
              <w:t>:</w:t>
            </w:r>
          </w:p>
        </w:tc>
        <w:tc>
          <w:tcPr>
            <w:tcW w:w="11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ind w:left="0" w:right="0" w:firstLine="405"/>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Mainline operating special items, net</w:t>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auto" w:val="clear"/>
            <w:vAlign w:val="center"/>
          </w:tcPr>
          <w:p>
            <w:pPr>
              <w:pStyle w:val="TableContents"/>
              <w:spacing w:before="0" w:after="283"/>
              <w:rPr>
                <w:sz w:val="4"/>
                <w:szCs w:val="4"/>
              </w:rPr>
            </w:pPr>
            <w:r>
              <w:rPr>
                <w:sz w:val="4"/>
                <w:szCs w:val="4"/>
              </w:rPr>
            </w:r>
          </w:p>
        </w:tc>
        <w:tc>
          <w:tcPr>
            <w:tcW w:w="1105"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1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 and related taxes</w:t>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(3,167)</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(2,502)</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 excluding net special items and fuel</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8,571 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available seat miles (ASM)</w:t>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65,006 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59,533 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(In cents)</w:t>
            </w:r>
          </w:p>
        </w:tc>
        <w:tc>
          <w:tcPr>
            <w:tcW w:w="11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CASM</w:t>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18.08 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17.84 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Operating net special items per ASM </w:t>
            </w:r>
            <w:r>
              <w:rPr>
                <w:rFonts w:ascii="Arial;sans-serif" w:hAnsi="Arial;sans-serif"/>
                <w:b w:val="false"/>
                <w:color w:val="000000"/>
                <w:sz w:val="13"/>
              </w:rPr>
              <w:t>(1)</w:t>
            </w:r>
            <w:r>
              <w:rPr>
                <w:rFonts w:ascii="Arial;sans-serif" w:hAnsi="Arial;sans-serif"/>
                <w:b w:val="false"/>
                <w:color w:val="000000"/>
                <w:sz w:val="20"/>
              </w:rPr>
              <w:t>:</w:t>
            </w:r>
          </w:p>
        </w:tc>
        <w:tc>
          <w:tcPr>
            <w:tcW w:w="11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Mainline operating special items, net </w:t>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(0.26)</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auto" w:val="clear"/>
            <w:vAlign w:val="center"/>
          </w:tcPr>
          <w:p>
            <w:pPr>
              <w:pStyle w:val="TableContents"/>
              <w:spacing w:before="0" w:after="283"/>
              <w:rPr>
                <w:sz w:val="4"/>
                <w:szCs w:val="4"/>
              </w:rPr>
            </w:pPr>
            <w:r>
              <w:rPr>
                <w:sz w:val="4"/>
                <w:szCs w:val="4"/>
              </w:rPr>
            </w:r>
          </w:p>
        </w:tc>
        <w:tc>
          <w:tcPr>
            <w:tcW w:w="1105"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1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 and related taxes per ASM</w:t>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CASM, excluding net special items and fuel</w:t>
            </w:r>
          </w:p>
        </w:tc>
        <w:tc>
          <w:tcPr>
            <w:tcW w:w="99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See Note 2 to AAG’s Condensed Consolidated Financial Statements in Part I, Item 1A for further information on net special items.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270" w:after="283"/>
        <w:jc w:val="both"/>
        <w:rPr>
          <w:rFonts w:ascii="Arial;sans-serif" w:hAnsi="Arial;sans-serif"/>
          <w:b/>
          <w:color w:val="000000"/>
          <w:sz w:val="20"/>
        </w:rPr>
      </w:pPr>
      <w:r>
        <w:rPr>
          <w:rFonts w:ascii="Arial;sans-serif" w:hAnsi="Arial;sans-serif"/>
          <w:b/>
          <w:color w:val="000000"/>
          <w:sz w:val="20"/>
        </w:rPr>
        <w:t>AAG’s Results of Operations</w:t>
      </w:r>
    </w:p>
    <w:p>
      <w:pPr>
        <w:pStyle w:val="TextBody"/>
        <w:spacing w:lineRule="auto" w:line="288" w:before="90" w:after="283"/>
        <w:ind w:left="0" w:right="0" w:firstLine="270"/>
        <w:jc w:val="both"/>
        <w:rPr>
          <w:rFonts w:ascii="Arial;sans-serif" w:hAnsi="Arial;sans-serif"/>
          <w:b/>
          <w:i/>
          <w:color w:val="000000"/>
          <w:sz w:val="20"/>
        </w:rPr>
      </w:pPr>
      <w:r>
        <w:rPr>
          <w:rFonts w:ascii="Arial;sans-serif" w:hAnsi="Arial;sans-serif"/>
          <w:b/>
          <w:i/>
          <w:color w:val="000000"/>
          <w:sz w:val="20"/>
        </w:rPr>
        <w:t>Operating Statistics</w:t>
      </w:r>
    </w:p>
    <w:p>
      <w:pPr>
        <w:pStyle w:val="TextBody"/>
        <w:spacing w:lineRule="auto" w:line="288" w:before="90" w:after="283"/>
        <w:ind w:left="0" w:right="0" w:firstLine="270"/>
        <w:jc w:val="both"/>
        <w:rPr/>
      </w:pPr>
      <w:r>
        <w:rPr>
          <w:rFonts w:ascii="Arial;sans-serif" w:hAnsi="Arial;sans-serif"/>
          <w:b w:val="false"/>
          <w:color w:val="000000"/>
          <w:sz w:val="20"/>
        </w:rPr>
        <w:t>The table below sets forth selected operating data for the three months ended March 31, 2023 and 2022.</w:t>
      </w:r>
      <w:r>
        <w:rPr>
          <w:color w:val="000000"/>
        </w:rPr>
        <w:t> </w:t>
      </w:r>
      <w:r>
        <w:rPr>
          <w:rFonts w:ascii="Arial;sans-serif" w:hAnsi="Arial;sans-serif"/>
          <w:b w:val="false"/>
          <w:color w:val="000000"/>
          <w:sz w:val="20"/>
        </w:rPr>
        <w:t>Amounts may not recalculate due to rounding.</w:t>
      </w:r>
    </w:p>
    <w:tbl>
      <w:tblPr>
        <w:tblW w:w="10205" w:type="dxa"/>
        <w:jc w:val="left"/>
        <w:tblInd w:w="0" w:type="dxa"/>
        <w:tblCellMar>
          <w:top w:w="28" w:type="dxa"/>
          <w:left w:w="28" w:type="dxa"/>
          <w:bottom w:w="28" w:type="dxa"/>
          <w:right w:w="28" w:type="dxa"/>
        </w:tblCellMar>
      </w:tblPr>
      <w:tblGrid>
        <w:gridCol w:w="1956"/>
        <w:gridCol w:w="1700"/>
        <w:gridCol w:w="1708"/>
        <w:gridCol w:w="593"/>
        <w:gridCol w:w="280"/>
        <w:gridCol w:w="260"/>
        <w:gridCol w:w="260"/>
        <w:gridCol w:w="260"/>
        <w:gridCol w:w="260"/>
        <w:gridCol w:w="593"/>
        <w:gridCol w:w="280"/>
        <w:gridCol w:w="260"/>
        <w:gridCol w:w="109"/>
        <w:gridCol w:w="109"/>
        <w:gridCol w:w="109"/>
        <w:gridCol w:w="255"/>
        <w:gridCol w:w="255"/>
        <w:gridCol w:w="256"/>
        <w:gridCol w:w="109"/>
        <w:gridCol w:w="109"/>
        <w:gridCol w:w="109"/>
        <w:gridCol w:w="109"/>
        <w:gridCol w:w="109"/>
        <w:gridCol w:w="157"/>
      </w:tblGrid>
      <w:tr>
        <w:trPr/>
        <w:tc>
          <w:tcPr>
            <w:tcW w:w="1956" w:type="dxa"/>
            <w:tcBorders/>
            <w:shd w:fill="auto" w:val="clear"/>
            <w:vAlign w:val="center"/>
          </w:tcPr>
          <w:p>
            <w:pPr>
              <w:pStyle w:val="TableContents"/>
              <w:spacing w:before="0" w:after="283"/>
              <w:rPr>
                <w:sz w:val="4"/>
                <w:szCs w:val="4"/>
              </w:rPr>
            </w:pPr>
            <w:r>
              <w:rPr>
                <w:sz w:val="4"/>
                <w:szCs w:val="4"/>
              </w:rPr>
            </w:r>
          </w:p>
        </w:tc>
        <w:tc>
          <w:tcPr>
            <w:tcW w:w="1700" w:type="dxa"/>
            <w:tcBorders/>
            <w:shd w:fill="auto" w:val="clear"/>
            <w:vAlign w:val="center"/>
          </w:tcPr>
          <w:p>
            <w:pPr>
              <w:pStyle w:val="TableContents"/>
              <w:spacing w:before="0" w:after="283"/>
              <w:rPr>
                <w:sz w:val="4"/>
                <w:szCs w:val="4"/>
              </w:rPr>
            </w:pPr>
            <w:r>
              <w:rPr>
                <w:sz w:val="4"/>
                <w:szCs w:val="4"/>
              </w:rPr>
            </w:r>
          </w:p>
        </w:tc>
        <w:tc>
          <w:tcPr>
            <w:tcW w:w="1708"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3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0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Increase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gridSpan w:val="2"/>
            <w:tcBorders/>
            <w:shd w:fill="auto" w:val="clear"/>
          </w:tcPr>
          <w:p>
            <w:pPr>
              <w:pStyle w:val="TableContents"/>
              <w:spacing w:before="0" w:after="283"/>
              <w:rPr>
                <w:sz w:val="4"/>
                <w:szCs w:val="4"/>
              </w:rPr>
            </w:pPr>
            <w:r>
              <w:rPr>
                <w:sz w:val="4"/>
                <w:szCs w:val="4"/>
              </w:rPr>
            </w:r>
          </w:p>
        </w:tc>
      </w:tr>
      <w:tr>
        <w:trPr/>
        <w:tc>
          <w:tcPr>
            <w:tcW w:w="53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7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gridSpan w:val="2"/>
            <w:tcBorders/>
            <w:shd w:fill="auto" w:val="clear"/>
          </w:tcPr>
          <w:p>
            <w:pPr>
              <w:pStyle w:val="TableContents"/>
              <w:spacing w:before="0" w:after="283"/>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20"/>
              </w:rPr>
              <w:t xml:space="preserve">Revenue passenger miles (millions) </w:t>
            </w:r>
            <w:r>
              <w:rPr>
                <w:rFonts w:ascii="Arial;sans-serif" w:hAnsi="Arial;sans-serif"/>
                <w:b w:val="false"/>
                <w:color w:val="000000"/>
                <w:sz w:val="13"/>
              </w:rPr>
              <w:t>(a)</w:t>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52,014 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44,290 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20"/>
              </w:rPr>
              <w:t xml:space="preserve">Available seat miles (millions) </w:t>
            </w:r>
            <w:r>
              <w:rPr>
                <w:rFonts w:ascii="Arial;sans-serif" w:hAnsi="Arial;sans-serif"/>
                <w:b w:val="false"/>
                <w:color w:val="000000"/>
                <w:sz w:val="13"/>
              </w:rPr>
              <w:t>(b)</w:t>
            </w:r>
          </w:p>
        </w:tc>
        <w:tc>
          <w:tcPr>
            <w:tcW w:w="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65,006 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59,533 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20"/>
              </w:rPr>
              <w:t xml:space="preserve">Passenger load factor (percent) </w:t>
            </w:r>
            <w:r>
              <w:rPr>
                <w:rFonts w:ascii="Arial;sans-serif" w:hAnsi="Arial;sans-serif"/>
                <w:b w:val="false"/>
                <w:color w:val="000000"/>
                <w:sz w:val="13"/>
              </w:rPr>
              <w:t>(c)</w:t>
            </w:r>
          </w:p>
        </w:tc>
        <w:tc>
          <w:tcPr>
            <w:tcW w:w="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80.0 </w:t>
            </w:r>
          </w:p>
        </w:tc>
        <w:tc>
          <w:tcPr>
            <w:tcW w:w="2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74.4 </w:t>
            </w:r>
          </w:p>
        </w:tc>
        <w:tc>
          <w:tcPr>
            <w:tcW w:w="2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5.6pts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20"/>
              </w:rPr>
              <w:t xml:space="preserve">Yield (cents) </w:t>
            </w:r>
            <w:r>
              <w:rPr>
                <w:rFonts w:ascii="Arial;sans-serif" w:hAnsi="Arial;sans-serif"/>
                <w:b w:val="false"/>
                <w:color w:val="000000"/>
                <w:sz w:val="13"/>
              </w:rPr>
              <w:t>(d)</w:t>
            </w:r>
          </w:p>
        </w:tc>
        <w:tc>
          <w:tcPr>
            <w:tcW w:w="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21.35 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17.65 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20"/>
              </w:rPr>
              <w:t xml:space="preserve">Passenger revenue per available seat mile (cents) </w:t>
            </w:r>
            <w:r>
              <w:rPr>
                <w:rFonts w:ascii="Arial;sans-serif" w:hAnsi="Arial;sans-serif"/>
                <w:b w:val="false"/>
                <w:color w:val="000000"/>
                <w:sz w:val="13"/>
              </w:rPr>
              <w:t>(e)</w:t>
            </w:r>
          </w:p>
        </w:tc>
        <w:tc>
          <w:tcPr>
            <w:tcW w:w="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17.08 </w:t>
            </w:r>
          </w:p>
        </w:tc>
        <w:tc>
          <w:tcPr>
            <w:tcW w:w="2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13.13 </w:t>
            </w:r>
          </w:p>
        </w:tc>
        <w:tc>
          <w:tcPr>
            <w:tcW w:w="2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30.1%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20"/>
              </w:rPr>
              <w:t xml:space="preserve">Total revenue per available seat mile (cents) </w:t>
            </w:r>
            <w:r>
              <w:rPr>
                <w:rFonts w:ascii="Arial;sans-serif" w:hAnsi="Arial;sans-serif"/>
                <w:b w:val="false"/>
                <w:color w:val="000000"/>
                <w:sz w:val="13"/>
              </w:rPr>
              <w:t>(f)</w:t>
            </w:r>
          </w:p>
        </w:tc>
        <w:tc>
          <w:tcPr>
            <w:tcW w:w="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18.75 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14.95 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Fuel consumption (gallons in millions)</w:t>
            </w:r>
          </w:p>
        </w:tc>
        <w:tc>
          <w:tcPr>
            <w:tcW w:w="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965 </w:t>
            </w:r>
          </w:p>
        </w:tc>
        <w:tc>
          <w:tcPr>
            <w:tcW w:w="2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894 </w:t>
            </w:r>
          </w:p>
        </w:tc>
        <w:tc>
          <w:tcPr>
            <w:tcW w:w="2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Average aircraft fuel price including related taxes (dollars per gallon)</w:t>
            </w:r>
          </w:p>
        </w:tc>
        <w:tc>
          <w:tcPr>
            <w:tcW w:w="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20"/>
              </w:rPr>
              <w:t xml:space="preserve">Total operating cost per available seat mile (cents) </w:t>
            </w:r>
            <w:r>
              <w:rPr>
                <w:rFonts w:ascii="Arial;sans-serif" w:hAnsi="Arial;sans-serif"/>
                <w:b w:val="false"/>
                <w:color w:val="000000"/>
                <w:sz w:val="13"/>
              </w:rPr>
              <w:t>(g)</w:t>
            </w:r>
          </w:p>
        </w:tc>
        <w:tc>
          <w:tcPr>
            <w:tcW w:w="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18.08 </w:t>
            </w:r>
          </w:p>
        </w:tc>
        <w:tc>
          <w:tcPr>
            <w:tcW w:w="2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17.84 </w:t>
            </w:r>
          </w:p>
        </w:tc>
        <w:tc>
          <w:tcPr>
            <w:tcW w:w="2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20"/>
              </w:rPr>
              <w:t xml:space="preserve">Aircraft at end of period </w:t>
            </w:r>
            <w:r>
              <w:rPr>
                <w:rFonts w:ascii="Arial;sans-serif" w:hAnsi="Arial;sans-serif"/>
                <w:b w:val="false"/>
                <w:color w:val="000000"/>
                <w:sz w:val="13"/>
              </w:rPr>
              <w:t>(h)</w:t>
            </w:r>
          </w:p>
        </w:tc>
        <w:tc>
          <w:tcPr>
            <w:tcW w:w="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1,464 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1,453 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Full-time equivalent employees at end of period</w:t>
            </w:r>
          </w:p>
        </w:tc>
        <w:tc>
          <w:tcPr>
            <w:tcW w:w="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130,800 </w:t>
            </w:r>
          </w:p>
        </w:tc>
        <w:tc>
          <w:tcPr>
            <w:tcW w:w="2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127,000 </w:t>
            </w:r>
          </w:p>
        </w:tc>
        <w:tc>
          <w:tcPr>
            <w:tcW w:w="2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pPr>
      <w:r>
        <w:rPr>
          <w:rFonts w:ascii="Arial;sans-serif" w:hAnsi="Arial;sans-serif"/>
          <w:b w:val="false"/>
          <w:color w:val="000000"/>
          <w:sz w:val="13"/>
        </w:rPr>
        <w:t>(a)</w:t>
      </w:r>
      <w:r>
        <w:rPr>
          <w:rFonts w:ascii="Arial;sans-serif" w:hAnsi="Arial;sans-serif"/>
          <w:b w:val="false"/>
          <w:color w:val="000000"/>
          <w:sz w:val="20"/>
        </w:rPr>
        <w:t>Revenue passenger mile (RPM) – A basic measure of sales volume. One RPM represents one passenger flown one mile.</w:t>
      </w:r>
    </w:p>
    <w:p>
      <w:pPr>
        <w:pStyle w:val="TextBody"/>
        <w:spacing w:lineRule="auto" w:line="288" w:before="180" w:after="283"/>
        <w:ind w:left="0" w:right="0" w:hanging="360"/>
        <w:jc w:val="both"/>
        <w:rPr/>
      </w:pPr>
      <w:r>
        <w:rPr>
          <w:rFonts w:ascii="Arial;sans-serif" w:hAnsi="Arial;sans-serif"/>
          <w:b w:val="false"/>
          <w:color w:val="000000"/>
          <w:sz w:val="13"/>
        </w:rPr>
        <w:t>(b)</w:t>
      </w:r>
      <w:r>
        <w:rPr>
          <w:rFonts w:ascii="Arial;sans-serif" w:hAnsi="Arial;sans-serif"/>
          <w:b w:val="false"/>
          <w:color w:val="000000"/>
          <w:sz w:val="20"/>
        </w:rPr>
        <w:t>Available seat mile (ASM) – A basic measure of production. One ASM represents one seat flown one mile.</w:t>
      </w:r>
    </w:p>
    <w:p>
      <w:pPr>
        <w:pStyle w:val="TextBody"/>
        <w:spacing w:lineRule="auto" w:line="288" w:before="180" w:after="283"/>
        <w:ind w:left="0" w:right="0" w:hanging="360"/>
        <w:jc w:val="both"/>
        <w:rPr/>
      </w:pPr>
      <w:r>
        <w:rPr>
          <w:rFonts w:ascii="Arial;sans-serif" w:hAnsi="Arial;sans-serif"/>
          <w:b w:val="false"/>
          <w:color w:val="000000"/>
          <w:sz w:val="13"/>
        </w:rPr>
        <w:t>(c)</w:t>
      </w:r>
      <w:r>
        <w:rPr>
          <w:rFonts w:ascii="Arial;sans-serif" w:hAnsi="Arial;sans-serif"/>
          <w:b w:val="false"/>
          <w:color w:val="000000"/>
          <w:sz w:val="20"/>
        </w:rPr>
        <w:t>Passenger load factor – The percentage of available seats that are filled with revenue passengers.</w:t>
      </w:r>
    </w:p>
    <w:p>
      <w:pPr>
        <w:pStyle w:val="TextBody"/>
        <w:spacing w:lineRule="auto" w:line="288" w:before="180" w:after="283"/>
        <w:ind w:left="0" w:right="0" w:hanging="360"/>
        <w:jc w:val="both"/>
        <w:rPr/>
      </w:pPr>
      <w:r>
        <w:rPr>
          <w:rFonts w:ascii="Arial;sans-serif" w:hAnsi="Arial;sans-serif"/>
          <w:b w:val="false"/>
          <w:color w:val="000000"/>
          <w:sz w:val="13"/>
        </w:rPr>
        <w:t>(d)</w:t>
      </w:r>
      <w:r>
        <w:rPr>
          <w:rFonts w:ascii="Arial;sans-serif" w:hAnsi="Arial;sans-serif"/>
          <w:b w:val="false"/>
          <w:color w:val="000000"/>
          <w:sz w:val="20"/>
        </w:rPr>
        <w:t>Yield – A measure of airline revenue derived by dividing passenger revenue by RPMs.</w:t>
      </w:r>
    </w:p>
    <w:p>
      <w:pPr>
        <w:pStyle w:val="TextBody"/>
        <w:spacing w:lineRule="auto" w:line="288" w:before="180" w:after="283"/>
        <w:ind w:left="0" w:right="0" w:hanging="360"/>
        <w:jc w:val="both"/>
        <w:rPr/>
      </w:pPr>
      <w:r>
        <w:rPr>
          <w:rFonts w:ascii="Arial;sans-serif" w:hAnsi="Arial;sans-serif"/>
          <w:b w:val="false"/>
          <w:color w:val="000000"/>
          <w:sz w:val="13"/>
        </w:rPr>
        <w:t>(e)</w:t>
      </w:r>
      <w:r>
        <w:rPr>
          <w:rFonts w:ascii="Arial;sans-serif" w:hAnsi="Arial;sans-serif"/>
          <w:b w:val="false"/>
          <w:color w:val="000000"/>
          <w:sz w:val="20"/>
        </w:rPr>
        <w:t>Passenger revenue per available seat mile (PRASM) – Passenger revenue divided by ASMs.</w:t>
      </w:r>
    </w:p>
    <w:p>
      <w:pPr>
        <w:pStyle w:val="TextBody"/>
        <w:spacing w:lineRule="auto" w:line="288" w:before="180" w:after="283"/>
        <w:ind w:left="0" w:right="0" w:hanging="360"/>
        <w:jc w:val="both"/>
        <w:rPr/>
      </w:pPr>
      <w:r>
        <w:rPr>
          <w:rFonts w:ascii="Arial;sans-serif" w:hAnsi="Arial;sans-serif"/>
          <w:b w:val="false"/>
          <w:color w:val="000000"/>
          <w:sz w:val="13"/>
        </w:rPr>
        <w:t>(f)</w:t>
      </w:r>
      <w:r>
        <w:rPr>
          <w:rFonts w:ascii="Arial;sans-serif" w:hAnsi="Arial;sans-serif"/>
          <w:b w:val="false"/>
          <w:color w:val="000000"/>
          <w:sz w:val="20"/>
        </w:rPr>
        <w:t>Total revenue per available seat mile (TRASM) – Total revenues divided by ASMs.</w:t>
      </w:r>
    </w:p>
    <w:p>
      <w:pPr>
        <w:pStyle w:val="TextBody"/>
        <w:spacing w:lineRule="auto" w:line="288" w:before="180" w:after="283"/>
        <w:ind w:left="0" w:right="0" w:hanging="360"/>
        <w:jc w:val="both"/>
        <w:rPr/>
      </w:pPr>
      <w:r>
        <w:rPr>
          <w:rFonts w:ascii="Arial;sans-serif" w:hAnsi="Arial;sans-serif"/>
          <w:b w:val="false"/>
          <w:color w:val="000000"/>
          <w:sz w:val="13"/>
        </w:rPr>
        <w:t>(g)</w:t>
      </w:r>
      <w:r>
        <w:rPr>
          <w:rFonts w:ascii="Arial;sans-serif" w:hAnsi="Arial;sans-serif"/>
          <w:b w:val="false"/>
          <w:color w:val="000000"/>
          <w:sz w:val="20"/>
        </w:rPr>
        <w:t>Total operating cost per available seat mile (CASM) – Total operating expenses divided by ASMs.</w:t>
      </w:r>
    </w:p>
    <w:p>
      <w:pPr>
        <w:pStyle w:val="TextBody"/>
        <w:spacing w:lineRule="auto" w:line="288" w:before="180" w:after="283"/>
        <w:ind w:left="0" w:right="0" w:hanging="360"/>
        <w:jc w:val="both"/>
        <w:rPr/>
      </w:pPr>
      <w:r>
        <w:rPr>
          <w:rFonts w:ascii="Arial;sans-serif" w:hAnsi="Arial;sans-serif"/>
          <w:b w:val="false"/>
          <w:color w:val="000000"/>
          <w:sz w:val="13"/>
        </w:rPr>
        <w:t>(h)</w:t>
      </w:r>
      <w:r>
        <w:rPr>
          <w:rFonts w:ascii="Arial;sans-serif" w:hAnsi="Arial;sans-serif"/>
          <w:b w:val="false"/>
          <w:color w:val="000000"/>
          <w:sz w:val="20"/>
        </w:rPr>
        <w:t>Includes aircraft owned and leased by American as well as aircraft operated by third-party regional carriers under capacity purchase agreements. Excluded from the aircraft count above are six mainline aircraft and 70 regional aircraft that are in temporary storage at March 31, 2023 as follows: six Boeing 737-800, 41 Embraer 145, 19 Bombardier CRJ 700, five Embraer 170, four Bombardier CRJ 900 and one Embraer 175.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 xml:space="preserve">Three Months Ended March 31, 2023 Compared to Three Months Ended March 31, 2022 </w:t>
      </w:r>
    </w:p>
    <w:p>
      <w:pPr>
        <w:pStyle w:val="TextBody"/>
        <w:spacing w:lineRule="auto" w:line="288" w:before="90" w:after="283"/>
        <w:ind w:left="0" w:right="0" w:firstLine="270"/>
        <w:jc w:val="both"/>
        <w:rPr>
          <w:rFonts w:ascii="Arial;sans-serif" w:hAnsi="Arial;sans-serif"/>
          <w:b w:val="false"/>
          <w:i/>
          <w:color w:val="000000"/>
          <w:sz w:val="20"/>
          <w:u w:val="single"/>
        </w:rPr>
      </w:pPr>
      <w:r>
        <w:rPr>
          <w:rFonts w:ascii="Arial;sans-serif" w:hAnsi="Arial;sans-serif"/>
          <w:b w:val="false"/>
          <w:i/>
          <w:color w:val="000000"/>
          <w:sz w:val="20"/>
          <w:u w:val="single"/>
        </w:rPr>
        <w:t>Operating Revenues</w:t>
      </w:r>
    </w:p>
    <w:tbl>
      <w:tblPr>
        <w:tblW w:w="7420" w:type="dxa"/>
        <w:jc w:val="left"/>
        <w:tblInd w:w="0" w:type="dxa"/>
        <w:tblCellMar>
          <w:top w:w="28" w:type="dxa"/>
          <w:left w:w="28" w:type="dxa"/>
          <w:bottom w:w="28" w:type="dxa"/>
          <w:right w:w="28" w:type="dxa"/>
        </w:tblCellMar>
      </w:tblPr>
      <w:tblGrid>
        <w:gridCol w:w="821"/>
        <w:gridCol w:w="720"/>
        <w:gridCol w:w="724"/>
        <w:gridCol w:w="227"/>
        <w:gridCol w:w="810"/>
        <w:gridCol w:w="117"/>
        <w:gridCol w:w="117"/>
        <w:gridCol w:w="117"/>
        <w:gridCol w:w="117"/>
        <w:gridCol w:w="227"/>
        <w:gridCol w:w="697"/>
        <w:gridCol w:w="117"/>
        <w:gridCol w:w="109"/>
        <w:gridCol w:w="109"/>
        <w:gridCol w:w="109"/>
        <w:gridCol w:w="211"/>
        <w:gridCol w:w="646"/>
        <w:gridCol w:w="109"/>
        <w:gridCol w:w="109"/>
        <w:gridCol w:w="109"/>
        <w:gridCol w:w="109"/>
        <w:gridCol w:w="289"/>
        <w:gridCol w:w="289"/>
        <w:gridCol w:w="411"/>
      </w:tblGrid>
      <w:tr>
        <w:trPr/>
        <w:tc>
          <w:tcPr>
            <w:tcW w:w="821"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Increase</w:t>
              <w:br/>
              <w:t>(Decrease)</w:t>
            </w:r>
          </w:p>
        </w:tc>
        <w:tc>
          <w:tcPr>
            <w:tcW w:w="327" w:type="dxa"/>
            <w:gridSpan w:val="3"/>
            <w:vMerge w:val="restart"/>
            <w:tcBorders>
              <w:bottom w:val="single" w:sz="8" w:space="0" w:color="FFFFFF"/>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89"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Percent</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Increase</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(Decrease)</w:t>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51" w:type="dxa"/>
            <w:gridSpan w:val="3"/>
            <w:tcBorders>
              <w:top w:val="single" w:sz="8" w:space="0" w:color="000000"/>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bottom w:val="single" w:sz="8" w:space="0" w:color="FFFFFF"/>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6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vMerge w:val="continue"/>
            <w:tcBorders>
              <w:bottom w:val="single" w:sz="8" w:space="0" w:color="FFFFFF"/>
            </w:tcBorders>
            <w:shd w:fill="auto" w:val="clear"/>
            <w:tcMar>
              <w:top w:w="0" w:type="dxa"/>
              <w:left w:w="0" w:type="dxa"/>
              <w:right w:w="0" w:type="dxa"/>
            </w:tcMar>
            <w:vAlign w:val="center"/>
          </w:tcPr>
          <w:p>
            <w:pPr>
              <w:pStyle w:val="Normal"/>
              <w:rPr/>
            </w:pPr>
            <w:r>
              <w:rPr/>
            </w:r>
          </w:p>
        </w:tc>
        <w:tc>
          <w:tcPr>
            <w:tcW w:w="989"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5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 changes)</w:t>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w:t>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11,103 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7,818 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42.0</w:t>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(38.7)</w:t>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863 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717 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20.4</w:t>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12,189 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8,899 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37.0</w:t>
            </w:r>
          </w:p>
        </w:tc>
      </w:tr>
    </w:tbl>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This table presents our passenger revenue and the quarter-over-quarter change in certain operating statistics:</w:t>
      </w:r>
    </w:p>
    <w:tbl>
      <w:tblPr>
        <w:tblW w:w="8836" w:type="dxa"/>
        <w:jc w:val="left"/>
        <w:tblInd w:w="0" w:type="dxa"/>
        <w:tblCellMar>
          <w:top w:w="28" w:type="dxa"/>
          <w:left w:w="28" w:type="dxa"/>
          <w:bottom w:w="28" w:type="dxa"/>
          <w:right w:w="28" w:type="dxa"/>
        </w:tblCellMar>
      </w:tblPr>
      <w:tblGrid>
        <w:gridCol w:w="652"/>
        <w:gridCol w:w="572"/>
        <w:gridCol w:w="575"/>
        <w:gridCol w:w="345"/>
        <w:gridCol w:w="1231"/>
        <w:gridCol w:w="178"/>
        <w:gridCol w:w="109"/>
        <w:gridCol w:w="109"/>
        <w:gridCol w:w="109"/>
        <w:gridCol w:w="219"/>
        <w:gridCol w:w="219"/>
        <w:gridCol w:w="221"/>
        <w:gridCol w:w="119"/>
        <w:gridCol w:w="119"/>
        <w:gridCol w:w="119"/>
        <w:gridCol w:w="185"/>
        <w:gridCol w:w="185"/>
        <w:gridCol w:w="186"/>
        <w:gridCol w:w="119"/>
        <w:gridCol w:w="119"/>
        <w:gridCol w:w="119"/>
        <w:gridCol w:w="214"/>
        <w:gridCol w:w="214"/>
        <w:gridCol w:w="218"/>
        <w:gridCol w:w="119"/>
        <w:gridCol w:w="119"/>
        <w:gridCol w:w="119"/>
        <w:gridCol w:w="310"/>
        <w:gridCol w:w="310"/>
        <w:gridCol w:w="311"/>
        <w:gridCol w:w="119"/>
        <w:gridCol w:w="119"/>
        <w:gridCol w:w="119"/>
        <w:gridCol w:w="215"/>
        <w:gridCol w:w="215"/>
        <w:gridCol w:w="306"/>
      </w:tblGrid>
      <w:tr>
        <w:trPr/>
        <w:tc>
          <w:tcPr>
            <w:tcW w:w="652"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6" w:type="dxa"/>
            <w:gridSpan w:val="27"/>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Increase</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vs. Three Months Ended March 31, 2022</w:t>
            </w:r>
          </w:p>
        </w:tc>
      </w:tr>
      <w:tr>
        <w:trPr/>
        <w:tc>
          <w:tcPr>
            <w:tcW w:w="1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RPMs</w:t>
            </w:r>
          </w:p>
        </w:tc>
        <w:tc>
          <w:tcPr>
            <w:tcW w:w="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ASMs</w:t>
            </w:r>
          </w:p>
        </w:tc>
        <w:tc>
          <w:tcPr>
            <w:tcW w:w="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Load</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Factor</w:t>
            </w:r>
          </w:p>
        </w:tc>
        <w:tc>
          <w:tcPr>
            <w:tcW w:w="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Passenger</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Yield</w:t>
            </w:r>
          </w:p>
        </w:tc>
        <w:tc>
          <w:tcPr>
            <w:tcW w:w="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PRASM</w:t>
            </w:r>
          </w:p>
        </w:tc>
      </w:tr>
      <w:tr>
        <w:trPr/>
        <w:tc>
          <w:tcPr>
            <w:tcW w:w="1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 revenue</w:t>
            </w:r>
          </w:p>
        </w:tc>
        <w:tc>
          <w:tcPr>
            <w:tcW w:w="3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11,103 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17.4%</w:t>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9.2%</w:t>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5.6pts</w:t>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20.9%</w:t>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30.1%</w:t>
            </w:r>
          </w:p>
        </w:tc>
      </w:tr>
    </w:tbl>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Passenger revenue increased $3.3 billion, or 42.0%, in the first quarter of 2023 from the first quarter of 2022 primarily due to a 20.9% increase in passenger yield and a 17.4% increase in RPMs, driven by the continued strength in demand for air travel, resulting in an 80.0% load factor in the first quarter of 2023.</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Cargo revenue decreased $141 million, or 38.7%, in the first quarter of 2023 from the first quarter of 2022 primarily due to a 22.2% decrease in cargo yield and a 21.2% decrease in cargo ton miles driven by lower demand.</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Other operating revenue increased $146 million, or 20.4%, as compared to the first quarter of 2022, driven primarily by higher revenue associated with our loyalty program. During the first quarter of 2023 and 2022, cash payments from co-branded credit card and other partners were $1.6 billion and $1.4 billion, respectively.</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Total operating revenues in the first quarter of 2023 increased $3.3 billion, or 37.0%, from the first quarter of 2022 and our TRASM increased 25.4% to 18.75 cents in the first quarter of 2023 from 14.95 cents in the first quarter of 2022, driven primarily by the increase in passenger revenue as described above.</w:t>
      </w:r>
    </w:p>
    <w:p>
      <w:pPr>
        <w:pStyle w:val="TextBody"/>
        <w:spacing w:lineRule="auto" w:line="288" w:before="270" w:after="283"/>
        <w:ind w:left="0" w:right="0" w:firstLine="270"/>
        <w:jc w:val="both"/>
        <w:rPr>
          <w:rFonts w:ascii="Arial;sans-serif" w:hAnsi="Arial;sans-serif"/>
          <w:b w:val="false"/>
          <w:i/>
          <w:color w:val="000000"/>
          <w:sz w:val="20"/>
          <w:u w:val="single"/>
        </w:rPr>
      </w:pPr>
      <w:r>
        <w:rPr>
          <w:rFonts w:ascii="Arial;sans-serif" w:hAnsi="Arial;sans-serif"/>
          <w:b w:val="false"/>
          <w:i/>
          <w:color w:val="000000"/>
          <w:sz w:val="20"/>
          <w:u w:val="single"/>
        </w:rPr>
        <w:t>Operating Expenses</w:t>
      </w:r>
    </w:p>
    <w:tbl>
      <w:tblPr>
        <w:tblW w:w="8455" w:type="dxa"/>
        <w:jc w:val="left"/>
        <w:tblInd w:w="0" w:type="dxa"/>
        <w:tblCellMar>
          <w:top w:w="28" w:type="dxa"/>
          <w:left w:w="28" w:type="dxa"/>
          <w:bottom w:w="28" w:type="dxa"/>
          <w:right w:w="28" w:type="dxa"/>
        </w:tblCellMar>
      </w:tblPr>
      <w:tblGrid>
        <w:gridCol w:w="1195"/>
        <w:gridCol w:w="1050"/>
        <w:gridCol w:w="1055"/>
        <w:gridCol w:w="218"/>
        <w:gridCol w:w="775"/>
        <w:gridCol w:w="112"/>
        <w:gridCol w:w="112"/>
        <w:gridCol w:w="112"/>
        <w:gridCol w:w="112"/>
        <w:gridCol w:w="218"/>
        <w:gridCol w:w="775"/>
        <w:gridCol w:w="112"/>
        <w:gridCol w:w="109"/>
        <w:gridCol w:w="109"/>
        <w:gridCol w:w="109"/>
        <w:gridCol w:w="211"/>
        <w:gridCol w:w="646"/>
        <w:gridCol w:w="109"/>
        <w:gridCol w:w="109"/>
        <w:gridCol w:w="109"/>
        <w:gridCol w:w="109"/>
        <w:gridCol w:w="289"/>
        <w:gridCol w:w="289"/>
        <w:gridCol w:w="411"/>
      </w:tblGrid>
      <w:tr>
        <w:trPr/>
        <w:tc>
          <w:tcPr>
            <w:tcW w:w="1195"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Increase</w:t>
              <w:br/>
              <w:t>(Decrease)</w:t>
            </w:r>
          </w:p>
        </w:tc>
        <w:tc>
          <w:tcPr>
            <w:tcW w:w="327" w:type="dxa"/>
            <w:gridSpan w:val="3"/>
            <w:vMerge w:val="restart"/>
            <w:tcBorders>
              <w:bottom w:val="single" w:sz="8" w:space="0" w:color="FFFFFF"/>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89"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Percent</w:t>
              <w:br/>
              <w:t>Increase</w:t>
              <w:br/>
              <w:t>(Decrease)</w:t>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36" w:type="dxa"/>
            <w:gridSpan w:val="3"/>
            <w:tcBorders>
              <w:top w:val="single" w:sz="8" w:space="0" w:color="000000"/>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110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bottom w:val="single" w:sz="8" w:space="0" w:color="FFFFFF"/>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6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vMerge w:val="continue"/>
            <w:tcBorders>
              <w:bottom w:val="single" w:sz="8" w:space="0" w:color="FFFFFF"/>
            </w:tcBorders>
            <w:shd w:fill="auto" w:val="clear"/>
            <w:tcMar>
              <w:top w:w="0" w:type="dxa"/>
              <w:left w:w="0" w:type="dxa"/>
              <w:right w:w="0" w:type="dxa"/>
            </w:tcMar>
            <w:vAlign w:val="center"/>
          </w:tcPr>
          <w:p>
            <w:pPr>
              <w:pStyle w:val="Normal"/>
              <w:rPr/>
            </w:pPr>
            <w:r>
              <w:rPr/>
            </w:r>
          </w:p>
        </w:tc>
        <w:tc>
          <w:tcPr>
            <w:tcW w:w="989"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5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 changes)</w:t>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 and related taxes</w:t>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3,167 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2,502 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26.6</w:t>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Salaries, wages and benefits</w:t>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3,281 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3,154 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w:t>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Regional expenses</w:t>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1,142 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1,052 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8.6</w:t>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Maintenance, materials and repairs</w:t>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15.4</w:t>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rent and landing fees</w:t>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4.4</w:t>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rent</w:t>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w:t>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expenses</w:t>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31.8</w:t>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w:t>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Mainline operating special items, net</w:t>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(91.4)</w:t>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1,285 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13.5</w:t>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11,751 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10,622 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w:t>
            </w:r>
          </w:p>
        </w:tc>
      </w:tr>
    </w:tbl>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Significant changes in the components of our total operating expenses are as follows: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Aircraft fuel and related taxes increased $665 million, or 26.6%, in the first quarter of 2023 from the first quarter of 2022 primarily due to a 17.3% increase in the average price per gallon of aircraft fuel including related taxes to $3.28 in the first quarter of 2023 from $2.80 in the first quarter of 2022, and a 7.9% increase in gallons of fuel consumed due to increased capacity.</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Regional expenses increased $90 million, or 8.6%, in the first quarter of 2023 from the first quarter of 2022 primarily due to pay rate increases offered at our wholly-owned regional carriers effective subsequent to the first quarter of 2022.</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Maintenance, materials and repairs increased $95 million, or 15.4%, in the first quarter of 2023 from the first quarter of 2022 primarily due to increased costs for engine overhauls and airframe heavy checks driven by higher volume and flight hours.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Selling expenses increased $106 million, or 31.8%, in the first quarter of 2023 from the first quarter of 2022 primarily due to higher credit card fees and commission expense driven by the overall increase in passenger revenues.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Other operating expenses increased $175 million, or 13.5%, in the first quarter of 2023 from the first quarter of 2022 primarily driven by the increase in flight operations, including increased costs for aircraft food and catering, crew travel, airport lounge operations and ground handling, as well as certain general and administrative expenses.</w:t>
      </w:r>
    </w:p>
    <w:p>
      <w:pPr>
        <w:pStyle w:val="TextBody"/>
        <w:spacing w:lineRule="auto" w:line="288" w:before="270" w:after="283"/>
        <w:ind w:left="0" w:right="0" w:firstLine="270"/>
        <w:jc w:val="both"/>
        <w:rPr>
          <w:rFonts w:ascii="Arial;sans-serif" w:hAnsi="Arial;sans-serif"/>
          <w:b w:val="false"/>
          <w:i/>
          <w:color w:val="000000"/>
          <w:sz w:val="20"/>
          <w:u w:val="single"/>
        </w:rPr>
      </w:pPr>
      <w:r>
        <w:rPr>
          <w:rFonts w:ascii="Arial;sans-serif" w:hAnsi="Arial;sans-serif"/>
          <w:b w:val="false"/>
          <w:i/>
          <w:color w:val="000000"/>
          <w:sz w:val="20"/>
          <w:u w:val="single"/>
        </w:rPr>
        <w:t>Operating Special Items, Net</w:t>
      </w:r>
    </w:p>
    <w:tbl>
      <w:tblPr>
        <w:tblW w:w="6327" w:type="dxa"/>
        <w:jc w:val="left"/>
        <w:tblInd w:w="0" w:type="dxa"/>
        <w:tblCellMar>
          <w:top w:w="28" w:type="dxa"/>
          <w:left w:w="28" w:type="dxa"/>
          <w:bottom w:w="28" w:type="dxa"/>
          <w:right w:w="28" w:type="dxa"/>
        </w:tblCellMar>
      </w:tblPr>
      <w:tblGrid>
        <w:gridCol w:w="1196"/>
        <w:gridCol w:w="1048"/>
        <w:gridCol w:w="1055"/>
        <w:gridCol w:w="295"/>
        <w:gridCol w:w="525"/>
        <w:gridCol w:w="152"/>
        <w:gridCol w:w="152"/>
        <w:gridCol w:w="152"/>
        <w:gridCol w:w="152"/>
        <w:gridCol w:w="295"/>
        <w:gridCol w:w="672"/>
        <w:gridCol w:w="152"/>
        <w:gridCol w:w="109"/>
        <w:gridCol w:w="109"/>
        <w:gridCol w:w="109"/>
        <w:gridCol w:w="154"/>
      </w:tblGrid>
      <w:tr>
        <w:trPr/>
        <w:tc>
          <w:tcPr>
            <w:tcW w:w="1196"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4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56" w:type="dxa"/>
            <w:gridSpan w:val="3"/>
            <w:tcBorders>
              <w:top w:val="single" w:sz="8" w:space="0" w:color="000000"/>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111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4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Severance expenses </w:t>
            </w:r>
            <w:r>
              <w:rPr>
                <w:rFonts w:ascii="Arial;sans-serif" w:hAnsi="Arial;sans-serif"/>
                <w:b w:val="false"/>
                <w:color w:val="000000"/>
                <w:sz w:val="13"/>
              </w:rPr>
              <w:t>(1)</w:t>
            </w:r>
          </w:p>
        </w:tc>
        <w:tc>
          <w:tcPr>
            <w:tcW w:w="29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Fleet impairment </w:t>
            </w:r>
            <w:r>
              <w:rPr>
                <w:rFonts w:ascii="Arial;sans-serif" w:hAnsi="Arial;sans-serif"/>
                <w:b w:val="false"/>
                <w:color w:val="000000"/>
                <w:sz w:val="13"/>
              </w:rPr>
              <w:t>(2)</w:t>
            </w:r>
          </w:p>
        </w:tc>
        <w:tc>
          <w:tcPr>
            <w:tcW w:w="8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special items, net</w:t>
            </w:r>
          </w:p>
        </w:tc>
        <w:tc>
          <w:tcPr>
            <w:tcW w:w="8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Mainline operating special items, net</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Severance expenses in the first quarter of 2023 primarily included costs associated with headcount reductions in certain corporate functions.</w:t>
      </w:r>
    </w:p>
    <w:p>
      <w:pPr>
        <w:pStyle w:val="TextBody"/>
        <w:spacing w:lineRule="auto" w:line="288" w:before="180" w:after="283"/>
        <w:ind w:left="0" w:right="0" w:hanging="360"/>
        <w:jc w:val="both"/>
        <w:rPr/>
      </w:pPr>
      <w:r>
        <w:rPr>
          <w:rFonts w:ascii="Arial;sans-serif" w:hAnsi="Arial;sans-serif"/>
          <w:b w:val="false"/>
          <w:color w:val="000000"/>
          <w:sz w:val="13"/>
        </w:rPr>
        <w:t>(2)</w:t>
      </w:r>
      <w:r>
        <w:rPr>
          <w:rFonts w:ascii="Arial;sans-serif" w:hAnsi="Arial;sans-serif"/>
          <w:b w:val="false"/>
          <w:color w:val="000000"/>
          <w:sz w:val="20"/>
        </w:rPr>
        <w:t>Fleet impairment in the first quarter of 2022 included a non-cash impairment charge to write down the carrying value of our retired Airbus A330 fleet to the estimated fair value due to the market conditions for certain used aircraft. We retired our Airbus A330 fleet in 2020 as a result of the decline in demand for air travel due to the COVID-19 pandemic.</w:t>
      </w:r>
    </w:p>
    <w:p>
      <w:pPr>
        <w:pStyle w:val="TextBody"/>
        <w:spacing w:lineRule="auto" w:line="288" w:before="180" w:after="283"/>
        <w:ind w:left="0" w:right="0" w:firstLine="270"/>
        <w:jc w:val="both"/>
        <w:rPr>
          <w:rFonts w:ascii="Arial;sans-serif" w:hAnsi="Arial;sans-serif"/>
          <w:b w:val="false"/>
          <w:i/>
          <w:color w:val="000000"/>
          <w:sz w:val="20"/>
          <w:u w:val="single"/>
        </w:rPr>
      </w:pPr>
      <w:r>
        <w:rPr>
          <w:rFonts w:ascii="Arial;sans-serif" w:hAnsi="Arial;sans-serif"/>
          <w:b w:val="false"/>
          <w:i/>
          <w:color w:val="000000"/>
          <w:sz w:val="20"/>
          <w:u w:val="single"/>
        </w:rPr>
        <w:t>Nonoperating Results</w:t>
      </w:r>
    </w:p>
    <w:tbl>
      <w:tblPr>
        <w:tblW w:w="8043" w:type="dxa"/>
        <w:jc w:val="left"/>
        <w:tblInd w:w="0" w:type="dxa"/>
        <w:tblCellMar>
          <w:top w:w="28" w:type="dxa"/>
          <w:left w:w="28" w:type="dxa"/>
          <w:bottom w:w="28" w:type="dxa"/>
          <w:right w:w="28" w:type="dxa"/>
        </w:tblCellMar>
      </w:tblPr>
      <w:tblGrid>
        <w:gridCol w:w="1055"/>
        <w:gridCol w:w="924"/>
        <w:gridCol w:w="931"/>
        <w:gridCol w:w="262"/>
        <w:gridCol w:w="673"/>
        <w:gridCol w:w="135"/>
        <w:gridCol w:w="135"/>
        <w:gridCol w:w="135"/>
        <w:gridCol w:w="135"/>
        <w:gridCol w:w="262"/>
        <w:gridCol w:w="673"/>
        <w:gridCol w:w="135"/>
        <w:gridCol w:w="109"/>
        <w:gridCol w:w="109"/>
        <w:gridCol w:w="109"/>
        <w:gridCol w:w="248"/>
        <w:gridCol w:w="568"/>
        <w:gridCol w:w="129"/>
        <w:gridCol w:w="109"/>
        <w:gridCol w:w="109"/>
        <w:gridCol w:w="109"/>
        <w:gridCol w:w="289"/>
        <w:gridCol w:w="289"/>
        <w:gridCol w:w="411"/>
      </w:tblGrid>
      <w:tr>
        <w:trPr/>
        <w:tc>
          <w:tcPr>
            <w:tcW w:w="1055"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29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4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Increase</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(Decrease)</w:t>
            </w:r>
          </w:p>
        </w:tc>
        <w:tc>
          <w:tcPr>
            <w:tcW w:w="327" w:type="dxa"/>
            <w:gridSpan w:val="3"/>
            <w:vMerge w:val="restart"/>
            <w:tcBorders>
              <w:bottom w:val="single" w:sz="8" w:space="0" w:color="FFFFFF"/>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89"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Percent</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Increase</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(Decrease)</w:t>
            </w:r>
          </w:p>
        </w:tc>
      </w:tr>
      <w:tr>
        <w:trPr/>
        <w:tc>
          <w:tcPr>
            <w:tcW w:w="29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05" w:type="dxa"/>
            <w:gridSpan w:val="3"/>
            <w:tcBorders>
              <w:top w:val="single" w:sz="8" w:space="0" w:color="000000"/>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bottom w:val="single" w:sz="8" w:space="0" w:color="FFFFFF"/>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45"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vMerge w:val="continue"/>
            <w:tcBorders>
              <w:bottom w:val="single" w:sz="8" w:space="0" w:color="FFFFFF"/>
            </w:tcBorders>
            <w:shd w:fill="auto" w:val="clear"/>
            <w:tcMar>
              <w:top w:w="0" w:type="dxa"/>
              <w:left w:w="0" w:type="dxa"/>
              <w:right w:w="0" w:type="dxa"/>
            </w:tcMar>
            <w:vAlign w:val="center"/>
          </w:tcPr>
          <w:p>
            <w:pPr>
              <w:pStyle w:val="Normal"/>
              <w:rPr/>
            </w:pPr>
            <w:r>
              <w:rPr/>
            </w:r>
          </w:p>
        </w:tc>
        <w:tc>
          <w:tcPr>
            <w:tcW w:w="989"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29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33"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 changes)</w:t>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Arial;sans-serif" w:hAnsi="Arial;sans-serif"/>
                <w:b w:val="false"/>
                <w:color w:val="000000"/>
                <w:sz w:val="20"/>
              </w:rPr>
              <w:t xml:space="preserve">nm </w:t>
            </w:r>
          </w:p>
        </w:tc>
      </w:tr>
      <w:tr>
        <w:trPr/>
        <w:tc>
          <w:tcPr>
            <w:tcW w:w="29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93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1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16.6</w:t>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9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Arial;sans-serif" w:hAnsi="Arial;sans-serif"/>
                <w:b w:val="false"/>
                <w:color w:val="000000"/>
                <w:sz w:val="20"/>
              </w:rPr>
              <w:t xml:space="preserve">nm </w:t>
            </w:r>
          </w:p>
        </w:tc>
      </w:tr>
      <w:tr>
        <w:trPr/>
        <w:tc>
          <w:tcPr>
            <w:tcW w:w="29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nonoperating expense, net</w:t>
            </w:r>
          </w:p>
        </w:tc>
        <w:tc>
          <w:tcPr>
            <w:tcW w:w="26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w:t>
            </w:r>
          </w:p>
        </w:tc>
        <w:tc>
          <w:tcPr>
            <w:tcW w:w="13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w:t>
            </w:r>
          </w:p>
        </w:tc>
        <w:tc>
          <w:tcPr>
            <w:tcW w:w="13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12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16.0</w:t>
            </w:r>
          </w:p>
        </w:tc>
      </w:tr>
    </w:tbl>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Interest income increased in the first quarter of 2023 compared to the first quarter of 2022 primarily as a result of higher returns on our short-term investments. Interest expense, net increased in the first quarter of 2023 compared to the first quarter of 2022 primarily due to higher interest rates on our variable-rate debt instruments.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the first quarter of 2023, other nonoperating expense, net primarily included $15 million of net special charges principally associated with debt refinancings and extinguishments, offset in part by $8 million of non-service related pension and other postretirement benefit plan income.</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the first quarter of 2022, other nonoperating income, net primarily included $106 million of non-service related pension and other postretirement benefit plan income.</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decrease in non-service related pension and other postretirement benefit plan income in the first quarter of 2023 as compared to the first quarter of 2022 is principally due to an increase in interest cost for the pension and other postretirement benefit obligations and a decrease in expected return on pension plan assets.</w:t>
      </w:r>
    </w:p>
    <w:p>
      <w:pPr>
        <w:pStyle w:val="TextBody"/>
        <w:spacing w:lineRule="auto" w:line="288" w:before="270" w:after="283"/>
        <w:ind w:left="0" w:right="0" w:firstLine="270"/>
        <w:jc w:val="both"/>
        <w:rPr>
          <w:rFonts w:ascii="Arial;sans-serif" w:hAnsi="Arial;sans-serif"/>
          <w:b w:val="false"/>
          <w:i/>
          <w:color w:val="000000"/>
          <w:sz w:val="20"/>
          <w:u w:val="single"/>
        </w:rPr>
      </w:pPr>
      <w:r>
        <w:rPr>
          <w:rFonts w:ascii="Arial;sans-serif" w:hAnsi="Arial;sans-serif"/>
          <w:b w:val="false"/>
          <w:i/>
          <w:color w:val="000000"/>
          <w:sz w:val="20"/>
          <w:u w:val="single"/>
        </w:rPr>
        <w:t>Income Taxes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the first quarter of 2023, we recorded an income tax provision of $7 million. Substantially all of our income or loss before income taxes is attributable to the United States.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See Note 6 to AAG’s Condensed Consolidated Financial Statements in Part I, Item 1A for additional information on income taxes.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American’s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90" w:after="283"/>
        <w:jc w:val="both"/>
        <w:rPr>
          <w:rFonts w:ascii="Arial;sans-serif" w:hAnsi="Arial;sans-serif"/>
          <w:b/>
          <w:i/>
          <w:color w:val="000000"/>
          <w:sz w:val="20"/>
        </w:rPr>
      </w:pPr>
      <w:r>
        <w:rPr>
          <w:rFonts w:ascii="Arial;sans-serif" w:hAnsi="Arial;sans-serif"/>
          <w:b/>
          <w:i/>
          <w:color w:val="000000"/>
          <w:sz w:val="20"/>
        </w:rPr>
        <w:t xml:space="preserve">Three Months Ended March 31, 2023 Compared to Three Months Ended March 31, 2022 </w:t>
      </w:r>
    </w:p>
    <w:p>
      <w:pPr>
        <w:pStyle w:val="TextBody"/>
        <w:spacing w:lineRule="auto" w:line="288" w:before="90" w:after="283"/>
        <w:ind w:left="0" w:right="0" w:firstLine="270"/>
        <w:jc w:val="both"/>
        <w:rPr/>
      </w:pPr>
      <w:r>
        <w:rPr>
          <w:rFonts w:ascii="Arial;sans-serif" w:hAnsi="Arial;sans-serif"/>
          <w:b w:val="false"/>
          <w:i/>
          <w:color w:val="000000"/>
          <w:sz w:val="20"/>
          <w:u w:val="single"/>
        </w:rPr>
        <w:t>Operating Revenues</w:t>
      </w:r>
      <w:r>
        <w:rPr>
          <w:color w:val="000000"/>
        </w:rPr>
        <w:t> </w:t>
      </w:r>
    </w:p>
    <w:tbl>
      <w:tblPr>
        <w:tblW w:w="8125" w:type="dxa"/>
        <w:jc w:val="left"/>
        <w:tblInd w:w="0" w:type="dxa"/>
        <w:tblCellMar>
          <w:top w:w="28" w:type="dxa"/>
          <w:left w:w="28" w:type="dxa"/>
          <w:bottom w:w="28" w:type="dxa"/>
          <w:right w:w="28" w:type="dxa"/>
        </w:tblCellMar>
      </w:tblPr>
      <w:tblGrid>
        <w:gridCol w:w="821"/>
        <w:gridCol w:w="720"/>
        <w:gridCol w:w="724"/>
        <w:gridCol w:w="227"/>
        <w:gridCol w:w="810"/>
        <w:gridCol w:w="117"/>
        <w:gridCol w:w="117"/>
        <w:gridCol w:w="117"/>
        <w:gridCol w:w="117"/>
        <w:gridCol w:w="227"/>
        <w:gridCol w:w="697"/>
        <w:gridCol w:w="117"/>
        <w:gridCol w:w="109"/>
        <w:gridCol w:w="109"/>
        <w:gridCol w:w="109"/>
        <w:gridCol w:w="211"/>
        <w:gridCol w:w="646"/>
        <w:gridCol w:w="109"/>
        <w:gridCol w:w="109"/>
        <w:gridCol w:w="109"/>
        <w:gridCol w:w="109"/>
        <w:gridCol w:w="495"/>
        <w:gridCol w:w="495"/>
        <w:gridCol w:w="704"/>
      </w:tblGrid>
      <w:tr>
        <w:trPr/>
        <w:tc>
          <w:tcPr>
            <w:tcW w:w="821"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Increase</w:t>
              <w:br/>
              <w:t>(Decrease)</w:t>
            </w:r>
          </w:p>
        </w:tc>
        <w:tc>
          <w:tcPr>
            <w:tcW w:w="327" w:type="dxa"/>
            <w:gridSpan w:val="3"/>
            <w:vMerge w:val="restart"/>
            <w:tcBorders>
              <w:bottom w:val="single" w:sz="8" w:space="0" w:color="FFFFFF"/>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694"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Percent</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Increase (Decrease)</w:t>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51" w:type="dxa"/>
            <w:gridSpan w:val="3"/>
            <w:tcBorders>
              <w:top w:val="single" w:sz="8" w:space="0" w:color="000000"/>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bottom w:val="single" w:sz="8" w:space="0" w:color="FFFFFF"/>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6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vMerge w:val="continue"/>
            <w:tcBorders>
              <w:bottom w:val="single" w:sz="8" w:space="0" w:color="FFFFFF"/>
            </w:tcBorders>
            <w:shd w:fill="auto" w:val="clear"/>
            <w:tcMar>
              <w:top w:w="0" w:type="dxa"/>
              <w:left w:w="0" w:type="dxa"/>
              <w:right w:w="0" w:type="dxa"/>
            </w:tcMar>
            <w:vAlign w:val="center"/>
          </w:tcPr>
          <w:p>
            <w:pPr>
              <w:pStyle w:val="Normal"/>
              <w:rPr/>
            </w:pPr>
            <w:r>
              <w:rPr/>
            </w:r>
          </w:p>
        </w:tc>
        <w:tc>
          <w:tcPr>
            <w:tcW w:w="1694"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86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 changes)</w:t>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w:t>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11,103 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7,818 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42.0</w:t>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(38.7)</w:t>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862 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20.8</w:t>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12,188 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37.0</w:t>
            </w:r>
          </w:p>
        </w:tc>
      </w:tr>
    </w:tbl>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Passenger revenue increased $3.3 billion, or 42.0%, in the first quarter of 2023 from the first quarter of 2022 primarily due to an increase in passenger yield and RPMs, driven by the continued strength in demand for air travel, resulting in an increased load factor in the first quarter of 2023.</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Cargo revenue decreased $141 million, or 38.7%, in the first quarter of 2023 from the first quarter of 2022 primarily due to a decrease in cargo yield and cargo ton miles driven by lower demand.</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Other operating revenue increased $148 million, or 20.8%, as compared to the first quarter of 2022, driven primarily by higher revenue associated with American’s loyalty program. During the first quarter of 2023 and 2022, cash payments from co-branded credit card and other partners were $1.6 billion and $1.4 billion, respectively. </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Total operating revenues in the first quarter of 2023 increased $3.3 billion, or 37.0%, from the first quarter of 2022 driven primarily by the increase in passenger revenue as described above.</w:t>
      </w:r>
    </w:p>
    <w:p>
      <w:pPr>
        <w:pStyle w:val="TextBody"/>
        <w:spacing w:lineRule="auto" w:line="288" w:before="270" w:after="283"/>
        <w:ind w:left="0" w:right="0" w:firstLine="270"/>
        <w:jc w:val="both"/>
        <w:rPr/>
      </w:pPr>
      <w:r>
        <w:rPr>
          <w:rFonts w:ascii="Arial;sans-serif" w:hAnsi="Arial;sans-serif"/>
          <w:b w:val="false"/>
          <w:i/>
          <w:color w:val="000000"/>
          <w:sz w:val="20"/>
          <w:u w:val="single"/>
        </w:rPr>
        <w:t>Operating Expenses</w:t>
      </w:r>
      <w:r>
        <w:rPr>
          <w:color w:val="000000"/>
        </w:rPr>
        <w:t> </w:t>
      </w:r>
    </w:p>
    <w:tbl>
      <w:tblPr>
        <w:tblW w:w="8455" w:type="dxa"/>
        <w:jc w:val="left"/>
        <w:tblInd w:w="0" w:type="dxa"/>
        <w:tblCellMar>
          <w:top w:w="28" w:type="dxa"/>
          <w:left w:w="28" w:type="dxa"/>
          <w:bottom w:w="28" w:type="dxa"/>
          <w:right w:w="28" w:type="dxa"/>
        </w:tblCellMar>
      </w:tblPr>
      <w:tblGrid>
        <w:gridCol w:w="1195"/>
        <w:gridCol w:w="1050"/>
        <w:gridCol w:w="1055"/>
        <w:gridCol w:w="218"/>
        <w:gridCol w:w="775"/>
        <w:gridCol w:w="112"/>
        <w:gridCol w:w="112"/>
        <w:gridCol w:w="112"/>
        <w:gridCol w:w="112"/>
        <w:gridCol w:w="218"/>
        <w:gridCol w:w="775"/>
        <w:gridCol w:w="112"/>
        <w:gridCol w:w="109"/>
        <w:gridCol w:w="109"/>
        <w:gridCol w:w="109"/>
        <w:gridCol w:w="211"/>
        <w:gridCol w:w="646"/>
        <w:gridCol w:w="109"/>
        <w:gridCol w:w="109"/>
        <w:gridCol w:w="109"/>
        <w:gridCol w:w="109"/>
        <w:gridCol w:w="289"/>
        <w:gridCol w:w="289"/>
        <w:gridCol w:w="411"/>
      </w:tblGrid>
      <w:tr>
        <w:trPr/>
        <w:tc>
          <w:tcPr>
            <w:tcW w:w="1195"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Increase</w:t>
              <w:br/>
              <w:t>(Decrease)</w:t>
            </w:r>
          </w:p>
        </w:tc>
        <w:tc>
          <w:tcPr>
            <w:tcW w:w="327" w:type="dxa"/>
            <w:gridSpan w:val="3"/>
            <w:vMerge w:val="restart"/>
            <w:tcBorders>
              <w:bottom w:val="single" w:sz="8" w:space="0" w:color="FFFFFF"/>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89"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Percent</w:t>
              <w:br/>
              <w:t>Increase</w:t>
              <w:br/>
              <w:t>(Decrease)</w:t>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36" w:type="dxa"/>
            <w:gridSpan w:val="3"/>
            <w:tcBorders>
              <w:top w:val="single" w:sz="8" w:space="0" w:color="000000"/>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110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bottom w:val="single" w:sz="8" w:space="0" w:color="FFFFFF"/>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6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vMerge w:val="continue"/>
            <w:tcBorders>
              <w:bottom w:val="single" w:sz="8" w:space="0" w:color="FFFFFF"/>
            </w:tcBorders>
            <w:shd w:fill="auto" w:val="clear"/>
            <w:tcMar>
              <w:top w:w="0" w:type="dxa"/>
              <w:left w:w="0" w:type="dxa"/>
              <w:right w:w="0" w:type="dxa"/>
            </w:tcMar>
            <w:vAlign w:val="center"/>
          </w:tcPr>
          <w:p>
            <w:pPr>
              <w:pStyle w:val="Normal"/>
              <w:rPr/>
            </w:pPr>
            <w:r>
              <w:rPr/>
            </w:r>
          </w:p>
        </w:tc>
        <w:tc>
          <w:tcPr>
            <w:tcW w:w="989"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5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 changes)</w:t>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 and related taxes</w:t>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3,167 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2,502 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26.6</w:t>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Salaries, wages and benefits</w:t>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3,152 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w:t>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Regional expenses</w:t>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1,143 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1,023 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11.8</w:t>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Maintenance, materials and repairs</w:t>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15.4</w:t>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rent and landing fees</w:t>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4.4</w:t>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rent</w:t>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w:t>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expenses</w:t>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31.8</w:t>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Mainline operating special items, net</w:t>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(91.4)</w:t>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1,286 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13.5</w:t>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11,749 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10,592 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10.9</w:t>
            </w:r>
          </w:p>
        </w:tc>
      </w:tr>
    </w:tbl>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Significant changes in the components of American’s total operating expenses are as follows: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Aircraft fuel and related taxes increased $665 million, or 26.6%, in the first quarter of 2023 from the first quarter of 2022 primarily due to a 17.3% increase in the average price per gallon of aircraft fuel including related taxes to $3.28 in the first quarter of 2023 from $2.80 in the first quarter of 2022, and a 7.9% increase in gallons of fuel consumed due to increased capacity.</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Regional expenses increased $120 million, or 11.8%, in the first quarter of 2023 from the first quarter of 2022 primarily due to contractual rate increases with American’s third-party regional carriers effective subsequent to the first quarter of 2022.</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Maintenance, materials and repairs increased $95 million, or 15.4%, in the first quarter of 2023 from the first quarter of 2022 primarily due to increased costs for engine overhauls and airframe heavy checks driven by higher volume and flight hours.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Selling expenses increased $106 million, or 31.8%, in the first quarter of 2023 from the first quarter of 2022 primarily due to higher credit card fees and commission expense driven by the overall increase in passenger revenues.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Other operating expenses increased $174 million, or 13.5%, in the first quarter of 2023 from the first quarter of 2022 primarily driven by the increase in flight operations, including increased costs for aircraft food and catering, crew travel, airport lounge operations and ground handling, as well as certain general and administrative expenses.</w:t>
      </w:r>
    </w:p>
    <w:p>
      <w:pPr>
        <w:pStyle w:val="TextBody"/>
        <w:spacing w:lineRule="auto" w:line="288" w:before="270" w:after="283"/>
        <w:ind w:left="0" w:right="0" w:firstLine="270"/>
        <w:jc w:val="both"/>
        <w:rPr>
          <w:rFonts w:ascii="Arial;sans-serif" w:hAnsi="Arial;sans-serif"/>
          <w:b w:val="false"/>
          <w:i/>
          <w:color w:val="000000"/>
          <w:sz w:val="20"/>
          <w:u w:val="single"/>
        </w:rPr>
      </w:pPr>
      <w:r>
        <w:rPr>
          <w:rFonts w:ascii="Arial;sans-serif" w:hAnsi="Arial;sans-serif"/>
          <w:b w:val="false"/>
          <w:i/>
          <w:color w:val="000000"/>
          <w:sz w:val="20"/>
          <w:u w:val="single"/>
        </w:rPr>
        <w:t>Operating Special Items, Net</w:t>
      </w:r>
    </w:p>
    <w:tbl>
      <w:tblPr>
        <w:tblW w:w="6327" w:type="dxa"/>
        <w:jc w:val="left"/>
        <w:tblInd w:w="0" w:type="dxa"/>
        <w:tblCellMar>
          <w:top w:w="28" w:type="dxa"/>
          <w:left w:w="28" w:type="dxa"/>
          <w:bottom w:w="28" w:type="dxa"/>
          <w:right w:w="28" w:type="dxa"/>
        </w:tblCellMar>
      </w:tblPr>
      <w:tblGrid>
        <w:gridCol w:w="1196"/>
        <w:gridCol w:w="1049"/>
        <w:gridCol w:w="1054"/>
        <w:gridCol w:w="295"/>
        <w:gridCol w:w="525"/>
        <w:gridCol w:w="152"/>
        <w:gridCol w:w="152"/>
        <w:gridCol w:w="152"/>
        <w:gridCol w:w="152"/>
        <w:gridCol w:w="295"/>
        <w:gridCol w:w="672"/>
        <w:gridCol w:w="152"/>
        <w:gridCol w:w="109"/>
        <w:gridCol w:w="109"/>
        <w:gridCol w:w="109"/>
        <w:gridCol w:w="154"/>
      </w:tblGrid>
      <w:tr>
        <w:trPr/>
        <w:tc>
          <w:tcPr>
            <w:tcW w:w="1196"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4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56" w:type="dxa"/>
            <w:gridSpan w:val="3"/>
            <w:tcBorders>
              <w:top w:val="single" w:sz="8" w:space="0" w:color="000000"/>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111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4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Severance expenses </w:t>
            </w:r>
            <w:r>
              <w:rPr>
                <w:rFonts w:ascii="Arial;sans-serif" w:hAnsi="Arial;sans-serif"/>
                <w:b w:val="false"/>
                <w:color w:val="000000"/>
                <w:sz w:val="13"/>
              </w:rPr>
              <w:t>(1)</w:t>
            </w:r>
          </w:p>
        </w:tc>
        <w:tc>
          <w:tcPr>
            <w:tcW w:w="29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Fleet impairment </w:t>
            </w:r>
            <w:r>
              <w:rPr>
                <w:rFonts w:ascii="Arial;sans-serif" w:hAnsi="Arial;sans-serif"/>
                <w:b w:val="false"/>
                <w:color w:val="000000"/>
                <w:sz w:val="13"/>
              </w:rPr>
              <w:t>(2)</w:t>
            </w:r>
          </w:p>
        </w:tc>
        <w:tc>
          <w:tcPr>
            <w:tcW w:w="8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Other operating special items, net </w:t>
            </w:r>
          </w:p>
        </w:tc>
        <w:tc>
          <w:tcPr>
            <w:tcW w:w="8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Mainline operating special items, net</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Severance expenses in the first quarter of 2023 primarily included costs associated with headcount reductions in certain corporate functions.</w:t>
      </w:r>
    </w:p>
    <w:p>
      <w:pPr>
        <w:pStyle w:val="TextBody"/>
        <w:spacing w:lineRule="auto" w:line="288" w:before="180" w:after="283"/>
        <w:ind w:left="0" w:right="0" w:hanging="360"/>
        <w:jc w:val="both"/>
        <w:rPr/>
      </w:pPr>
      <w:r>
        <w:rPr>
          <w:rFonts w:ascii="Arial;sans-serif" w:hAnsi="Arial;sans-serif"/>
          <w:b w:val="false"/>
          <w:color w:val="000000"/>
          <w:sz w:val="13"/>
        </w:rPr>
        <w:t>(2)</w:t>
      </w:r>
      <w:r>
        <w:rPr>
          <w:rFonts w:ascii="Arial;sans-serif" w:hAnsi="Arial;sans-serif"/>
          <w:b w:val="false"/>
          <w:color w:val="000000"/>
          <w:sz w:val="20"/>
        </w:rPr>
        <w:t>Fleet impairment in the first quarter of 2022 included a non-cash impairment charge to write down the carrying value of American’s retired Airbus A330 fleet to the estimated fair value due to the market conditions for certain used aircraft. American retired its Airbus A330 fleet in 2020 as a result of the decline in demand for air travel due to the COVID-19 pandemic.</w:t>
      </w:r>
    </w:p>
    <w:p>
      <w:pPr>
        <w:pStyle w:val="TextBody"/>
        <w:spacing w:lineRule="auto" w:line="288" w:before="270" w:after="283"/>
        <w:ind w:left="0" w:right="0" w:firstLine="270"/>
        <w:jc w:val="both"/>
        <w:rPr>
          <w:rFonts w:ascii="Arial;sans-serif" w:hAnsi="Arial;sans-serif"/>
          <w:b w:val="false"/>
          <w:i/>
          <w:color w:val="000000"/>
          <w:sz w:val="20"/>
          <w:u w:val="single"/>
        </w:rPr>
      </w:pPr>
      <w:r>
        <w:rPr>
          <w:rFonts w:ascii="Arial;sans-serif" w:hAnsi="Arial;sans-serif"/>
          <w:b w:val="false"/>
          <w:i/>
          <w:color w:val="000000"/>
          <w:sz w:val="20"/>
          <w:u w:val="single"/>
        </w:rPr>
        <w:t>Nonoperating Results</w:t>
      </w:r>
    </w:p>
    <w:tbl>
      <w:tblPr>
        <w:tblW w:w="8043" w:type="dxa"/>
        <w:jc w:val="left"/>
        <w:tblInd w:w="0" w:type="dxa"/>
        <w:tblCellMar>
          <w:top w:w="28" w:type="dxa"/>
          <w:left w:w="28" w:type="dxa"/>
          <w:bottom w:w="28" w:type="dxa"/>
          <w:right w:w="28" w:type="dxa"/>
        </w:tblCellMar>
      </w:tblPr>
      <w:tblGrid>
        <w:gridCol w:w="1055"/>
        <w:gridCol w:w="924"/>
        <w:gridCol w:w="931"/>
        <w:gridCol w:w="262"/>
        <w:gridCol w:w="673"/>
        <w:gridCol w:w="135"/>
        <w:gridCol w:w="135"/>
        <w:gridCol w:w="135"/>
        <w:gridCol w:w="135"/>
        <w:gridCol w:w="262"/>
        <w:gridCol w:w="673"/>
        <w:gridCol w:w="135"/>
        <w:gridCol w:w="109"/>
        <w:gridCol w:w="109"/>
        <w:gridCol w:w="109"/>
        <w:gridCol w:w="248"/>
        <w:gridCol w:w="568"/>
        <w:gridCol w:w="129"/>
        <w:gridCol w:w="109"/>
        <w:gridCol w:w="109"/>
        <w:gridCol w:w="109"/>
        <w:gridCol w:w="289"/>
        <w:gridCol w:w="289"/>
        <w:gridCol w:w="411"/>
      </w:tblGrid>
      <w:tr>
        <w:trPr/>
        <w:tc>
          <w:tcPr>
            <w:tcW w:w="1055"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29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4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Increase</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(Decrease)</w:t>
            </w:r>
          </w:p>
        </w:tc>
        <w:tc>
          <w:tcPr>
            <w:tcW w:w="327" w:type="dxa"/>
            <w:gridSpan w:val="3"/>
            <w:vMerge w:val="restart"/>
            <w:tcBorders>
              <w:bottom w:val="single" w:sz="8" w:space="0" w:color="FFFFFF"/>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89"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Percent</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Increase</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(Decrease)</w:t>
            </w:r>
          </w:p>
        </w:tc>
      </w:tr>
      <w:tr>
        <w:trPr/>
        <w:tc>
          <w:tcPr>
            <w:tcW w:w="29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05" w:type="dxa"/>
            <w:gridSpan w:val="3"/>
            <w:tcBorders>
              <w:top w:val="single" w:sz="8" w:space="0" w:color="000000"/>
              <w:bottom w:val="single" w:sz="8"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bottom w:val="single" w:sz="8" w:space="0" w:color="FFFFFF"/>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45"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vMerge w:val="continue"/>
            <w:tcBorders>
              <w:bottom w:val="single" w:sz="8" w:space="0" w:color="FFFFFF"/>
            </w:tcBorders>
            <w:shd w:fill="auto" w:val="clear"/>
            <w:tcMar>
              <w:top w:w="0" w:type="dxa"/>
              <w:left w:w="0" w:type="dxa"/>
              <w:right w:w="0" w:type="dxa"/>
            </w:tcMar>
            <w:vAlign w:val="center"/>
          </w:tcPr>
          <w:p>
            <w:pPr>
              <w:pStyle w:val="Normal"/>
              <w:rPr/>
            </w:pPr>
            <w:r>
              <w:rPr/>
            </w:r>
          </w:p>
        </w:tc>
        <w:tc>
          <w:tcPr>
            <w:tcW w:w="989"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29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33"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 changes)</w:t>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nm</w:t>
            </w:r>
          </w:p>
        </w:tc>
      </w:tr>
      <w:tr>
        <w:trPr/>
        <w:tc>
          <w:tcPr>
            <w:tcW w:w="29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93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w:t>
            </w:r>
          </w:p>
        </w:tc>
        <w:tc>
          <w:tcPr>
            <w:tcW w:w="1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29.7</w:t>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9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nm</w:t>
            </w:r>
          </w:p>
        </w:tc>
      </w:tr>
      <w:tr>
        <w:trPr/>
        <w:tc>
          <w:tcPr>
            <w:tcW w:w="29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nonoperating expense, net</w:t>
            </w:r>
          </w:p>
        </w:tc>
        <w:tc>
          <w:tcPr>
            <w:tcW w:w="26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w:t>
            </w:r>
          </w:p>
        </w:tc>
        <w:tc>
          <w:tcPr>
            <w:tcW w:w="13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w:t>
            </w:r>
          </w:p>
        </w:tc>
        <w:tc>
          <w:tcPr>
            <w:tcW w:w="13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2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w:t>
            </w:r>
          </w:p>
        </w:tc>
      </w:tr>
    </w:tbl>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Interest income increased in the first quarter of 2023 compared to the first quarter of 2022 primarily as a result of higher returns on American’s short-term investments. Interest expense, net increased in the first quarter of 2023 compared to the first quarter of 2022 primarily due to higher interest rates on American’s variable-rate debt instruments.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the first quarter of 2023, other nonoperating expense, net primarily included $15 million of net special charges principally associated with debt refinancings and extinguishments, offset in part by $8 million of non-service related pension and other postretirement benefit plan income.</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the first quarter of 2022, other nonoperating income, net primarily included $105 million of non-service related pension and other postretirement benefit plan income.</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decrease in non-service related pension and other postretirement benefit plan income in the first quarter of 2023 as compared to the first quarter of 2022 is principally due to an increase in interest cost for the pension and other postretirement benefit obligations and a decrease in expected return on pension plan assets.</w:t>
      </w:r>
    </w:p>
    <w:p>
      <w:pPr>
        <w:pStyle w:val="TextBody"/>
        <w:spacing w:lineRule="auto" w:line="288" w:before="270" w:after="283"/>
        <w:ind w:left="0" w:right="0" w:firstLine="270"/>
        <w:jc w:val="both"/>
        <w:rPr>
          <w:rFonts w:ascii="Arial;sans-serif" w:hAnsi="Arial;sans-serif"/>
          <w:b w:val="false"/>
          <w:i/>
          <w:color w:val="000000"/>
          <w:sz w:val="20"/>
          <w:u w:val="single"/>
        </w:rPr>
      </w:pPr>
      <w:r>
        <w:rPr>
          <w:rFonts w:ascii="Arial;sans-serif" w:hAnsi="Arial;sans-serif"/>
          <w:b w:val="false"/>
          <w:i/>
          <w:color w:val="000000"/>
          <w:sz w:val="20"/>
          <w:u w:val="single"/>
        </w:rPr>
        <w:t>Income Taxes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 is a member of AAG’s consolidated federal and certain state income tax returns.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the first quarter of 2023, American recorded an income tax provision of $29 million. Substantially all of American’s income or loss before income taxes is attributable to the United States.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See Note 5 to American’s Condensed Consolidated Financial Statements in Part I, Item 1B for additional information on income taxes.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70" w:after="283"/>
        <w:jc w:val="both"/>
        <w:rPr>
          <w:rFonts w:ascii="Arial;sans-serif" w:hAnsi="Arial;sans-serif"/>
          <w:b/>
          <w:color w:val="000000"/>
          <w:sz w:val="20"/>
        </w:rPr>
      </w:pPr>
      <w:r>
        <w:rPr>
          <w:rFonts w:ascii="Arial;sans-serif" w:hAnsi="Arial;sans-serif"/>
          <w:b/>
          <w:color w:val="000000"/>
          <w:sz w:val="20"/>
        </w:rPr>
        <w:t>Liquidity and Capital Resources</w:t>
      </w:r>
    </w:p>
    <w:p>
      <w:pPr>
        <w:pStyle w:val="TextBody"/>
        <w:spacing w:lineRule="auto" w:line="288" w:before="90" w:after="283"/>
        <w:jc w:val="both"/>
        <w:rPr>
          <w:rFonts w:ascii="Arial;sans-serif" w:hAnsi="Arial;sans-serif"/>
          <w:b/>
          <w:i/>
          <w:color w:val="000000"/>
          <w:sz w:val="20"/>
        </w:rPr>
      </w:pPr>
      <w:r>
        <w:rPr>
          <w:rFonts w:ascii="Arial;sans-serif" w:hAnsi="Arial;sans-serif"/>
          <w:b/>
          <w:i/>
          <w:color w:val="000000"/>
          <w:sz w:val="20"/>
        </w:rPr>
        <w:t>Liquidity</w:t>
      </w:r>
    </w:p>
    <w:p>
      <w:pPr>
        <w:pStyle w:val="TextBody"/>
        <w:spacing w:lineRule="auto" w:line="288" w:before="90" w:after="180"/>
        <w:ind w:left="0" w:right="0" w:firstLine="270"/>
        <w:jc w:val="both"/>
        <w:rPr/>
      </w:pPr>
      <w:r>
        <w:rPr>
          <w:rFonts w:ascii="Arial;sans-serif" w:hAnsi="Arial;sans-serif"/>
          <w:b w:val="false"/>
          <w:color w:val="000000"/>
          <w:sz w:val="20"/>
        </w:rPr>
        <w:t>At March 31, 2023, AAG had $14.4 billion in total available liquidity and $955 million in restricted cash and short-term investments. Additional detail regarding our available liquidity is provided in the table below (in millions):</w:t>
      </w:r>
      <w:r>
        <w:rPr>
          <w:color w:val="000000"/>
        </w:rPr>
        <w:t> </w:t>
      </w:r>
    </w:p>
    <w:tbl>
      <w:tblPr>
        <w:tblW w:w="8855" w:type="dxa"/>
        <w:jc w:val="left"/>
        <w:tblInd w:w="0" w:type="dxa"/>
        <w:tblCellMar>
          <w:top w:w="28" w:type="dxa"/>
          <w:left w:w="28" w:type="dxa"/>
          <w:bottom w:w="28" w:type="dxa"/>
          <w:right w:w="28" w:type="dxa"/>
        </w:tblCellMar>
      </w:tblPr>
      <w:tblGrid>
        <w:gridCol w:w="781"/>
        <w:gridCol w:w="683"/>
        <w:gridCol w:w="696"/>
        <w:gridCol w:w="248"/>
        <w:gridCol w:w="884"/>
        <w:gridCol w:w="128"/>
        <w:gridCol w:w="109"/>
        <w:gridCol w:w="109"/>
        <w:gridCol w:w="109"/>
        <w:gridCol w:w="310"/>
        <w:gridCol w:w="1105"/>
        <w:gridCol w:w="160"/>
        <w:gridCol w:w="109"/>
        <w:gridCol w:w="109"/>
        <w:gridCol w:w="109"/>
        <w:gridCol w:w="248"/>
        <w:gridCol w:w="884"/>
        <w:gridCol w:w="128"/>
        <w:gridCol w:w="109"/>
        <w:gridCol w:w="109"/>
        <w:gridCol w:w="109"/>
        <w:gridCol w:w="306"/>
        <w:gridCol w:w="1090"/>
        <w:gridCol w:w="223"/>
      </w:tblGrid>
      <w:tr>
        <w:trPr/>
        <w:tc>
          <w:tcPr>
            <w:tcW w:w="781"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6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AAG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American</w:t>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11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11,041 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8,525 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11,039 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8,523 </w:t>
            </w:r>
          </w:p>
        </w:tc>
        <w:tc>
          <w:tcPr>
            <w:tcW w:w="2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Undrawn facilities</w:t>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2,877 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3,033 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2,877 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3,033 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available liquidity</w:t>
            </w:r>
          </w:p>
        </w:tc>
        <w:tc>
          <w:tcPr>
            <w:tcW w:w="24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14,370 </w:t>
            </w:r>
          </w:p>
        </w:tc>
        <w:tc>
          <w:tcPr>
            <w:tcW w:w="12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11,998 </w:t>
            </w:r>
          </w:p>
        </w:tc>
        <w:tc>
          <w:tcPr>
            <w:tcW w:w="16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14,359 </w:t>
            </w:r>
          </w:p>
        </w:tc>
        <w:tc>
          <w:tcPr>
            <w:tcW w:w="12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11,985 </w:t>
            </w:r>
          </w:p>
        </w:tc>
        <w:tc>
          <w:tcPr>
            <w:tcW w:w="22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the ordinary course of our business, we or our affiliates may, at any time and from time to time, seek to prepay, retire or repurchase our outstanding debt through cash purchases and/or exchanges for equity or debt, in open-market purchases, privately negotiated transactions or otherwise. Such repurchases, prepayments, retirements or exchanges, if any, will be conducted on such terms and at such prices as we may determine, and will depend on prevailing market conditions, our liquidity requirements, legal and contractual restrictions and other factors. The amounts involved may be material.</w:t>
      </w:r>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Certain Covenants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Our debt agreements contain customary terms and conditions as well as various affirmative, negative and financial covenants that, among other things, may restrict the ability of us and our subsidiaries to incur additional indebtedness, pay dividends or repurchase stock. Our debt agreements also contain customary change of control provisions, which may require us to repay or redeem such indebtedness upon certain events constituting a change of control under the relevant agreement, in certain cases at a premium. Additionally, certain of our debt financing agreements (including our secured notes, term loans, revolving credit facilities and spare engine EETCs) contain loan to value (LTV), collateral coverage or peak debt service coverage ratio covenants and certain agreements require us to appraise the related collateral annually or semiannually. Pursuant to such agreements, if the applicable LTV, collateral coverage or peak debt service coverage ratio exceeds or falls below a specified threshold, as the case may be, we will be required, as applicable, to pledge additional qualifying collateral (which in some cases may include cash or investment securities), withhold additional cash in certain accounts, or pay down such financing, in whole or in part, or the interest rate for the relevant financing will be increased. As of the most recent applicable measurement dates, we were in compliance with each of the foregoing LTV, collateral coverage and peak debt service coverage tests. Additionally, a significant portion of our debt financing agreements contain covenants requiring us to maintain an aggregate of at least $2.0 billion of unrestricted cash and cash equivalents and amounts available to be drawn under revolving credit facilities, and our 5.50% senior secured notes due 2026, 5.75% senior secured notes due 2029 and $3.5 billion term loan facility (collectively, the AAdvantage Financing) contains a peak debt service coverage ratio, pursuant to which failure to comply with a certain threshold may result in early repayment, in whole or in part, of the AAdvantage Financing.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Sources and Uses of Cash</w:t>
      </w:r>
    </w:p>
    <w:p>
      <w:pPr>
        <w:pStyle w:val="TextBody"/>
        <w:spacing w:lineRule="auto" w:line="288" w:before="90" w:after="283"/>
        <w:ind w:left="0" w:right="0" w:firstLine="270"/>
        <w:jc w:val="both"/>
        <w:rPr>
          <w:rFonts w:ascii="Arial;sans-serif" w:hAnsi="Arial;sans-serif"/>
          <w:b w:val="false"/>
          <w:i/>
          <w:color w:val="000000"/>
          <w:sz w:val="20"/>
          <w:u w:val="single"/>
        </w:rPr>
      </w:pPr>
      <w:r>
        <w:rPr>
          <w:rFonts w:ascii="Arial;sans-serif" w:hAnsi="Arial;sans-serif"/>
          <w:b w:val="false"/>
          <w:i/>
          <w:color w:val="000000"/>
          <w:sz w:val="20"/>
          <w:u w:val="single"/>
        </w:rPr>
        <w:t>AAG</w:t>
      </w:r>
    </w:p>
    <w:p>
      <w:pPr>
        <w:pStyle w:val="TextBody"/>
        <w:spacing w:lineRule="auto" w:line="288" w:before="90" w:after="283"/>
        <w:ind w:left="0" w:right="0" w:firstLine="270"/>
        <w:jc w:val="both"/>
        <w:rPr>
          <w:rFonts w:ascii="Arial;sans-serif" w:hAnsi="Arial;sans-serif"/>
          <w:b w:val="false"/>
          <w:i/>
          <w:color w:val="000000"/>
          <w:sz w:val="20"/>
        </w:rPr>
      </w:pPr>
      <w:r>
        <w:rPr>
          <w:rFonts w:ascii="Arial;sans-serif" w:hAnsi="Arial;sans-serif"/>
          <w:b w:val="false"/>
          <w:i/>
          <w:color w:val="000000"/>
          <w:sz w:val="20"/>
        </w:rPr>
        <w:t>Operating Activities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Our net cash provided by operating activities was $3.3 billion and $1.2 billion for the first quarter of 2023 and 2022, respectively, a $2.1 billion period-over-period increase primarily due to a return to profitability.</w:t>
      </w:r>
    </w:p>
    <w:p>
      <w:pPr>
        <w:pStyle w:val="TextBody"/>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Investing Activities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Our net cash used in investing activities was $2.8 billion and $771 million for the first quarter of 2023 and 2022, respectively.</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Our principal investing activities in the first quarter of 2023 included $2.5 billion in net purchases of short-term investments. Additionally, we had $505 million of capital expenditures, which primarily related to the purchase of two Airbus A321neo aircraft, two Embraer 175 aircraft and five spare engines.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Our principal investing activities in the first quarter of 2022 included $807 million of capital expenditures, which principally related to the purchase of nine Airbus A321neo aircraft.</w:t>
      </w:r>
    </w:p>
    <w:p>
      <w:pPr>
        <w:pStyle w:val="TextBody"/>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Financing Activities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Our net cash used in financing activities was $539 million and $310 million for the first quarter of 2023 and 2022, respectively.</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Our principal financing activities in the first quarter of 2023 included $502 million in net repayments of debt and finance lease obligations. We refinanced approximately $1.8 billion in aggregate principal amount of term loans outstanding under the 2013 Term Loan Facility by extending the maturity of $1.0 billion in term loans under the 2013 Term Loan Facility and issuing $750 million in aggregate principal amount of the 7.25% Senior Secured Notes.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Our principal financing activities in the first quarter of 2022 included $661 million in debt repayments, including $344 million in scheduled debt repayments and the repurchase of $317 million of unsecured notes in the open market. These cash outflows were offset in part by $367 million of long-term debt proceeds from the issuance of equipment notes related to enhanced equipment trust certificates (EETCs).</w:t>
      </w:r>
    </w:p>
    <w:p>
      <w:pPr>
        <w:pStyle w:val="TextBody"/>
        <w:spacing w:lineRule="auto" w:line="288" w:before="270" w:after="283"/>
        <w:ind w:left="0" w:right="0" w:firstLine="270"/>
        <w:jc w:val="both"/>
        <w:rPr>
          <w:rFonts w:ascii="Arial;sans-serif" w:hAnsi="Arial;sans-serif"/>
          <w:b w:val="false"/>
          <w:i/>
          <w:color w:val="000000"/>
          <w:sz w:val="20"/>
          <w:u w:val="single"/>
        </w:rPr>
      </w:pPr>
      <w:r>
        <w:rPr>
          <w:rFonts w:ascii="Arial;sans-serif" w:hAnsi="Arial;sans-serif"/>
          <w:b w:val="false"/>
          <w:i/>
          <w:color w:val="000000"/>
          <w:sz w:val="20"/>
          <w:u w:val="single"/>
        </w:rPr>
        <w:t>American</w:t>
      </w:r>
    </w:p>
    <w:p>
      <w:pPr>
        <w:pStyle w:val="TextBody"/>
        <w:spacing w:lineRule="auto" w:line="288" w:before="90" w:after="283"/>
        <w:ind w:left="0" w:right="0" w:firstLine="270"/>
        <w:jc w:val="both"/>
        <w:rPr>
          <w:rFonts w:ascii="Arial;sans-serif" w:hAnsi="Arial;sans-serif"/>
          <w:b w:val="false"/>
          <w:i/>
          <w:color w:val="000000"/>
          <w:sz w:val="20"/>
        </w:rPr>
      </w:pPr>
      <w:r>
        <w:rPr>
          <w:rFonts w:ascii="Arial;sans-serif" w:hAnsi="Arial;sans-serif"/>
          <w:b w:val="false"/>
          <w:i/>
          <w:color w:val="000000"/>
          <w:sz w:val="20"/>
        </w:rPr>
        <w:t>Operating Activities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American’s net cash provided by operating activities was $3.3 billion and $810 million for the first quarter of 2023 and 2022, respectively, a $2.5 billion period-over-period increase primarily due to a return to profitability.</w:t>
      </w:r>
    </w:p>
    <w:p>
      <w:pPr>
        <w:pStyle w:val="TextBody"/>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Investing Activities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American’s net cash used in investing activities was $2.8 billion and $741 million for the first quarter of 2023 and 2022, respectively. </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American’s principal investing activities in the first quarter of 2023 included $2.5 billion in net purchases of short-term investments. Additionally, American had $494 million of capital expenditures, which primarily related to the purchase of two Airbus A321neo aircraft, two Embraer 175 aircraft and five spare engines.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American’s principal investing activities in the first quarter of 2022 included $790 million of capital expenditures, which principally related to the purchase of nine Airbus A321neo aircraft.</w:t>
      </w:r>
    </w:p>
    <w:p>
      <w:pPr>
        <w:pStyle w:val="TextBody"/>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Financing Activities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American’s net cash used in financing activities was $521 million for the first quarter of 2023 as compared to net cash provided by financing activities of $28 million for the first quarter of 2022. </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American’s principal financing activities in the first quarter of 2023 included $500 million in net repayments of debt and finance lease obligations. American refinanced approximately $1.8 billion in aggregate principal amount of term loans outstanding under the 2013 Term Loan Facility by extending the maturity of $1.0 billion in term loans under the 2013 Term Loan Facility and issuing $750 million in aggregate principal amount of the 7.25% Senior Secured Notes.</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American’s principal financing activities in the first quarter of 2022 included $367 million of long-term debt proceeds from the issuance of equipment notes related to EETCs offset in part by $339 million in scheduled debt repayments.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Commitments</w:t>
      </w:r>
    </w:p>
    <w:p>
      <w:pPr>
        <w:pStyle w:val="TextBody"/>
        <w:spacing w:lineRule="auto" w:line="288" w:before="90" w:after="283"/>
        <w:ind w:left="0" w:right="0" w:firstLine="270"/>
        <w:jc w:val="both"/>
        <w:rPr>
          <w:rFonts w:ascii="Arial;sans-serif" w:hAnsi="Arial;sans-serif"/>
          <w:b/>
          <w:i/>
          <w:color w:val="000000"/>
          <w:sz w:val="20"/>
          <w:u w:val="single"/>
        </w:rPr>
      </w:pPr>
      <w:r>
        <w:rPr>
          <w:rFonts w:ascii="Arial;sans-serif" w:hAnsi="Arial;sans-serif"/>
          <w:b/>
          <w:i/>
          <w:color w:val="000000"/>
          <w:sz w:val="20"/>
          <w:u w:val="single"/>
        </w:rPr>
        <w:t>Significant Indebtedness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As of March 31, 2023, AAG had $34.9 billion in long-term debt, including current maturities of $3.4 billion. As of March 31, 2023, American had $29.6 billion in long-term debt, including current maturities of $3.4 billion. All material changes in our significant indebtedness since our 2022 Form 10-K are discussed in Note 5 to AAG’s Condensed Consolidated Financial Statements in Part I, Item 1A and Note 4 to American’s Condensed Consolidated Financial Statements in Part I, Item 1B.</w:t>
      </w:r>
    </w:p>
    <w:p>
      <w:pPr>
        <w:pStyle w:val="TextBody"/>
        <w:spacing w:lineRule="auto" w:line="288" w:before="270" w:after="283"/>
        <w:ind w:left="0" w:right="0" w:firstLine="270"/>
        <w:jc w:val="both"/>
        <w:rPr>
          <w:rFonts w:ascii="Arial;sans-serif" w:hAnsi="Arial;sans-serif"/>
          <w:b/>
          <w:i/>
          <w:color w:val="000000"/>
          <w:sz w:val="20"/>
          <w:u w:val="single"/>
        </w:rPr>
      </w:pPr>
      <w:r>
        <w:rPr>
          <w:rFonts w:ascii="Arial;sans-serif" w:hAnsi="Arial;sans-serif"/>
          <w:b/>
          <w:i/>
          <w:color w:val="000000"/>
          <w:sz w:val="20"/>
          <w:u w:val="single"/>
        </w:rPr>
        <w:t>Aircraft and Engine Purchase Commitments</w:t>
      </w:r>
    </w:p>
    <w:p>
      <w:pPr>
        <w:pStyle w:val="TextBody"/>
        <w:spacing w:lineRule="auto" w:line="288" w:before="90" w:after="283"/>
        <w:ind w:left="0" w:right="0" w:firstLine="270"/>
        <w:jc w:val="both"/>
        <w:rPr/>
      </w:pPr>
      <w:r>
        <w:rPr>
          <w:rFonts w:ascii="Arial;sans-serif" w:hAnsi="Arial;sans-serif"/>
          <w:b w:val="false"/>
          <w:color w:val="000000"/>
          <w:sz w:val="20"/>
        </w:rPr>
        <w:t xml:space="preserve">As of March 31, 2023, we had definitive purchase agreements for the acquisition of the following aircraft </w:t>
      </w:r>
      <w:r>
        <w:rPr>
          <w:rFonts w:ascii="Arial;sans-serif" w:hAnsi="Arial;sans-serif"/>
          <w:b w:val="false"/>
          <w:color w:val="000000"/>
          <w:sz w:val="13"/>
        </w:rPr>
        <w:t>(1)</w:t>
      </w:r>
      <w:r>
        <w:rPr>
          <w:rFonts w:ascii="Arial;sans-serif" w:hAnsi="Arial;sans-serif"/>
          <w:b w:val="false"/>
          <w:color w:val="000000"/>
          <w:sz w:val="20"/>
        </w:rPr>
        <w:t>:</w:t>
      </w:r>
      <w:r>
        <w:rPr>
          <w:color w:val="000000"/>
        </w:rPr>
        <w:t> </w:t>
      </w:r>
    </w:p>
    <w:tbl>
      <w:tblPr>
        <w:tblW w:w="7259" w:type="dxa"/>
        <w:jc w:val="left"/>
        <w:tblInd w:w="0" w:type="dxa"/>
        <w:tblCellMar>
          <w:top w:w="28" w:type="dxa"/>
          <w:left w:w="28" w:type="dxa"/>
          <w:bottom w:w="28" w:type="dxa"/>
          <w:right w:w="28" w:type="dxa"/>
        </w:tblCellMar>
      </w:tblPr>
      <w:tblGrid>
        <w:gridCol w:w="568"/>
        <w:gridCol w:w="499"/>
        <w:gridCol w:w="507"/>
        <w:gridCol w:w="320"/>
        <w:gridCol w:w="320"/>
        <w:gridCol w:w="321"/>
        <w:gridCol w:w="109"/>
        <w:gridCol w:w="109"/>
        <w:gridCol w:w="109"/>
        <w:gridCol w:w="188"/>
        <w:gridCol w:w="188"/>
        <w:gridCol w:w="156"/>
        <w:gridCol w:w="109"/>
        <w:gridCol w:w="109"/>
        <w:gridCol w:w="109"/>
        <w:gridCol w:w="188"/>
        <w:gridCol w:w="188"/>
        <w:gridCol w:w="156"/>
        <w:gridCol w:w="109"/>
        <w:gridCol w:w="109"/>
        <w:gridCol w:w="109"/>
        <w:gridCol w:w="188"/>
        <w:gridCol w:w="188"/>
        <w:gridCol w:w="156"/>
        <w:gridCol w:w="109"/>
        <w:gridCol w:w="109"/>
        <w:gridCol w:w="109"/>
        <w:gridCol w:w="203"/>
        <w:gridCol w:w="203"/>
        <w:gridCol w:w="156"/>
        <w:gridCol w:w="109"/>
        <w:gridCol w:w="109"/>
        <w:gridCol w:w="109"/>
        <w:gridCol w:w="109"/>
        <w:gridCol w:w="109"/>
        <w:gridCol w:w="240"/>
        <w:gridCol w:w="241"/>
        <w:gridCol w:w="232"/>
      </w:tblGrid>
      <w:tr>
        <w:trPr/>
        <w:tc>
          <w:tcPr>
            <w:tcW w:w="568"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r>
      <w:tr>
        <w:trPr/>
        <w:tc>
          <w:tcPr>
            <w:tcW w:w="1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Remainder</w:t>
              <w:br/>
              <w:t>of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5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Airbus</w:t>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A320neo Family</w:t>
            </w:r>
          </w:p>
        </w:tc>
        <w:tc>
          <w:tcPr>
            <w:tcW w:w="6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Boeing</w:t>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737 MAX Family</w:t>
            </w:r>
          </w:p>
        </w:tc>
        <w:tc>
          <w:tcPr>
            <w:tcW w:w="6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3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787 Family</w:t>
            </w:r>
          </w:p>
        </w:tc>
        <w:tc>
          <w:tcPr>
            <w:tcW w:w="6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4"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3" w:type="dxa"/>
            <w:gridSpan w:val="3"/>
            <w:tcBorders/>
            <w:shd w:fill="auto" w:val="clear"/>
            <w:vAlign w:val="center"/>
          </w:tcPr>
          <w:p>
            <w:pPr>
              <w:pStyle w:val="TableContents"/>
              <w:spacing w:before="0" w:after="283"/>
              <w:rPr>
                <w:sz w:val="4"/>
                <w:szCs w:val="4"/>
              </w:rPr>
            </w:pPr>
            <w:r>
              <w:rPr>
                <w:sz w:val="4"/>
                <w:szCs w:val="4"/>
              </w:rPr>
            </w:r>
          </w:p>
        </w:tc>
      </w:tr>
      <w:tr>
        <w:trPr/>
        <w:tc>
          <w:tcPr>
            <w:tcW w:w="1574"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3" w:type="dxa"/>
            <w:gridSpan w:val="3"/>
            <w:tcBorders/>
            <w:shd w:fill="auto" w:val="clear"/>
            <w:vAlign w:val="center"/>
          </w:tcPr>
          <w:p>
            <w:pPr>
              <w:pStyle w:val="TableContents"/>
              <w:spacing w:before="0" w:after="283"/>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6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 xml:space="preserve">Delivery schedule represents our best estimate as of the date of this report as described in footnote (d) to the </w:t>
      </w:r>
      <w:r>
        <w:rPr>
          <w:color w:val="000000"/>
        </w:rPr>
        <w:t>“</w:t>
      </w:r>
      <w:r>
        <w:rPr>
          <w:rFonts w:ascii="Arial;sans-serif" w:hAnsi="Arial;sans-serif"/>
          <w:b w:val="false"/>
          <w:i/>
          <w:color w:val="000000"/>
          <w:sz w:val="20"/>
        </w:rPr>
        <w:t>Contractual Obligations”</w:t>
      </w:r>
      <w:r>
        <w:rPr>
          <w:color w:val="000000"/>
        </w:rPr>
        <w:t xml:space="preserve"> </w:t>
      </w:r>
      <w:r>
        <w:rPr>
          <w:rFonts w:ascii="Arial;sans-serif" w:hAnsi="Arial;sans-serif"/>
          <w:b w:val="false"/>
          <w:color w:val="000000"/>
          <w:sz w:val="20"/>
        </w:rPr>
        <w:t>table below. Actual delivery dates are subject to change, which could be material, based on various potential factors including production delays by the manufacturer and regulatory concerns.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We also have agreements for 47 spare engines to be delivered in 2023 and beyond. In addition, as of March 31, 2023, we have committed to purchase four used Embraer 175 aircraft which are currently flown under a capacity purchase agreement with a third-party regional carrier and are already included in our aircraft count.</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We currently have financing commitments in place for all aircraft on order and scheduled to be delivered in 2023 except for 10 Boeing 737 MAX Family aircraft. Our ability to draw on the financing commitments we have in place is subject to (1) the satisfaction of various terms and conditions including, in some cases, on our acquisition of the aircraft by a certain date and (2) the performance by the relevant financing counterparty of its obligations thereunder. We do not have financing commitments in place for any of the aircraft scheduled to be delivered in 2024 and beyond, except for five Boeing 787 Family aircraft scheduled to be delivered in 2024.</w:t>
      </w:r>
    </w:p>
    <w:p>
      <w:pPr>
        <w:pStyle w:val="TextBody"/>
        <w:spacing w:lineRule="auto" w:line="288" w:before="270" w:after="283"/>
        <w:ind w:left="0" w:right="0" w:firstLine="270"/>
        <w:jc w:val="both"/>
        <w:rPr>
          <w:rFonts w:ascii="Arial;sans-serif" w:hAnsi="Arial;sans-serif"/>
          <w:b/>
          <w:i/>
          <w:color w:val="000000"/>
          <w:sz w:val="20"/>
          <w:u w:val="single"/>
        </w:rPr>
      </w:pPr>
      <w:r>
        <w:rPr>
          <w:rFonts w:ascii="Arial;sans-serif" w:hAnsi="Arial;sans-serif"/>
          <w:b/>
          <w:i/>
          <w:color w:val="000000"/>
          <w:sz w:val="20"/>
          <w:u w:val="single"/>
        </w:rPr>
        <w:t>Off-Balance Sheet Arrangements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There have been no material changes in our off-balance sheet arrangements as discussed in our 2022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Contractual Obligations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The following table provides details of our estimated material cash requirements from contractual obligations as of March 31, 2023 (in millions). The table does not include commitments that are contingent on events or other factors that are uncertain or unknown at this time and is subject to other conventions as set forth in the applicable accompanying footnotes. </w:t>
      </w:r>
    </w:p>
    <w:tbl>
      <w:tblPr>
        <w:tblW w:w="10705" w:type="dxa"/>
        <w:jc w:val="left"/>
        <w:tblInd w:w="0" w:type="dxa"/>
        <w:tblCellMar>
          <w:top w:w="28" w:type="dxa"/>
          <w:left w:w="28" w:type="dxa"/>
          <w:bottom w:w="28" w:type="dxa"/>
          <w:right w:w="28" w:type="dxa"/>
        </w:tblCellMar>
      </w:tblPr>
      <w:tblGrid>
        <w:gridCol w:w="673"/>
        <w:gridCol w:w="315"/>
        <w:gridCol w:w="318"/>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11"/>
        <w:gridCol w:w="751"/>
        <w:gridCol w:w="109"/>
        <w:gridCol w:w="109"/>
        <w:gridCol w:w="109"/>
        <w:gridCol w:w="109"/>
        <w:gridCol w:w="211"/>
        <w:gridCol w:w="751"/>
        <w:gridCol w:w="154"/>
      </w:tblGrid>
      <w:tr>
        <w:trPr/>
        <w:tc>
          <w:tcPr>
            <w:tcW w:w="673"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99" w:type="dxa"/>
            <w:gridSpan w:val="3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Payments Due by Period</w:t>
            </w:r>
          </w:p>
        </w:tc>
      </w:tr>
      <w:tr>
        <w:trPr/>
        <w:tc>
          <w:tcPr>
            <w:tcW w:w="13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Remainder</w:t>
              <w:br/>
              <w:t>of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2027</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2028 and Thereafter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American</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Principal amount </w:t>
            </w:r>
            <w:r>
              <w:rPr>
                <w:rFonts w:ascii="Arial;sans-serif" w:hAnsi="Arial;sans-serif"/>
                <w:b w:val="false"/>
                <w:color w:val="000000"/>
                <w:sz w:val="13"/>
              </w:rPr>
              <w:t>(a), (c)</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Interest obligations </w:t>
            </w:r>
            <w:r>
              <w:rPr>
                <w:rFonts w:ascii="Arial;sans-serif" w:hAnsi="Arial;sans-serif"/>
                <w:b w:val="false"/>
                <w:color w:val="000000"/>
                <w:sz w:val="13"/>
              </w:rPr>
              <w:t>(b), (c)</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 obligations</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Aircraft and engine purchase commitments</w:t>
            </w:r>
            <w:r>
              <w:rPr>
                <w:color w:val="000000"/>
              </w:rPr>
              <w:t xml:space="preserve"> </w:t>
            </w:r>
            <w:r>
              <w:rPr>
                <w:rFonts w:ascii="Arial;sans-serif" w:hAnsi="Arial;sans-serif"/>
                <w:b w:val="false"/>
                <w:color w:val="000000"/>
                <w:sz w:val="13"/>
              </w:rPr>
              <w:t>(d)</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Operating lease commitments </w:t>
            </w:r>
            <w:r>
              <w:rPr>
                <w:rFonts w:ascii="Arial;sans-serif" w:hAnsi="Arial;sans-serif"/>
                <w:b w:val="false"/>
                <w:color w:val="000000"/>
                <w:sz w:val="13"/>
              </w:rPr>
              <w:t>(e)</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Regional capacity purchase agreements </w:t>
            </w:r>
            <w:r>
              <w:rPr>
                <w:rFonts w:ascii="Arial;sans-serif" w:hAnsi="Arial;sans-serif"/>
                <w:b w:val="false"/>
                <w:color w:val="000000"/>
                <w:sz w:val="13"/>
              </w:rPr>
              <w:t>(f)</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Minimum pension obligations </w:t>
            </w:r>
            <w:r>
              <w:rPr>
                <w:rFonts w:ascii="Arial;sans-serif" w:hAnsi="Arial;sans-serif"/>
                <w:b w:val="false"/>
                <w:color w:val="000000"/>
                <w:sz w:val="13"/>
              </w:rPr>
              <w:t>(g)</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Retiree medical and other postretirement benefits</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Other purchase obligations </w:t>
            </w:r>
            <w:r>
              <w:rPr>
                <w:rFonts w:ascii="Arial;sans-serif" w:hAnsi="Arial;sans-serif"/>
                <w:b w:val="false"/>
                <w:color w:val="000000"/>
                <w:sz w:val="13"/>
              </w:rPr>
              <w:t>(h)</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American Contractual Obligations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AAG Parent and Other AAG Subsidiaries</w:t>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Principal amount </w:t>
            </w:r>
            <w:r>
              <w:rPr>
                <w:rFonts w:ascii="Arial;sans-serif" w:hAnsi="Arial;sans-serif"/>
                <w:b w:val="false"/>
                <w:color w:val="000000"/>
                <w:sz w:val="13"/>
              </w:rPr>
              <w:t>(a)</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Interest obligations </w:t>
            </w:r>
            <w:r>
              <w:rPr>
                <w:rFonts w:ascii="Arial;sans-serif" w:hAnsi="Arial;sans-serif"/>
                <w:b w:val="false"/>
                <w:color w:val="000000"/>
                <w:sz w:val="13"/>
              </w:rPr>
              <w:t>(b)</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 obligations</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commitments</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Minimum pension obligations </w:t>
            </w:r>
            <w:r>
              <w:rPr>
                <w:rFonts w:ascii="Arial;sans-serif" w:hAnsi="Arial;sans-serif"/>
                <w:b w:val="false"/>
                <w:color w:val="000000"/>
                <w:sz w:val="13"/>
              </w:rPr>
              <w:t>(g)</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AAG Contractual Obligations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pPr>
      <w:r>
        <w:rPr>
          <w:rFonts w:ascii="Arial;sans-serif" w:hAnsi="Arial;sans-serif"/>
          <w:b w:val="false"/>
          <w:color w:val="000000"/>
          <w:sz w:val="13"/>
        </w:rPr>
        <w:t>(a)</w:t>
      </w:r>
      <w:r>
        <w:rPr>
          <w:rFonts w:ascii="Arial;sans-serif" w:hAnsi="Arial;sans-serif"/>
          <w:b w:val="false"/>
          <w:color w:val="000000"/>
          <w:sz w:val="20"/>
        </w:rPr>
        <w:t>Amounts represent contractual amounts due. Excludes $377 million and $19 million of unamortized debt discount, premium and issuance costs as of March 31, 2023 for American and AAG Parent, respectively. For additional information, see Note 5 and Note 4 to AAG’s and American’s Condensed Consolidated Financial Statements in Part I, Items 1A and 1B, respectively.</w:t>
      </w:r>
    </w:p>
    <w:p>
      <w:pPr>
        <w:pStyle w:val="TextBody"/>
        <w:spacing w:lineRule="auto" w:line="288" w:before="180" w:after="283"/>
        <w:ind w:left="0" w:right="0" w:hanging="360"/>
        <w:jc w:val="both"/>
        <w:rPr/>
      </w:pPr>
      <w:r>
        <w:rPr>
          <w:rFonts w:ascii="Arial;sans-serif" w:hAnsi="Arial;sans-serif"/>
          <w:b w:val="false"/>
          <w:color w:val="000000"/>
          <w:sz w:val="13"/>
        </w:rPr>
        <w:t>(b)</w:t>
      </w:r>
      <w:r>
        <w:rPr>
          <w:rFonts w:ascii="Arial;sans-serif" w:hAnsi="Arial;sans-serif"/>
          <w:b w:val="false"/>
          <w:color w:val="000000"/>
          <w:sz w:val="20"/>
        </w:rPr>
        <w:t>For variable-rate debt, future interest obligations are estimated using the current forward rates at March 31, 2023.</w:t>
      </w:r>
    </w:p>
    <w:p>
      <w:pPr>
        <w:pStyle w:val="TextBody"/>
        <w:spacing w:lineRule="auto" w:line="288" w:before="180" w:after="283"/>
        <w:ind w:left="0" w:right="0" w:hanging="360"/>
        <w:jc w:val="both"/>
        <w:rPr/>
      </w:pPr>
      <w:r>
        <w:rPr>
          <w:rFonts w:ascii="Arial;sans-serif" w:hAnsi="Arial;sans-serif"/>
          <w:b w:val="false"/>
          <w:color w:val="000000"/>
          <w:sz w:val="13"/>
        </w:rPr>
        <w:t>(c)</w:t>
      </w:r>
      <w:r>
        <w:rPr>
          <w:rFonts w:ascii="Arial;sans-serif" w:hAnsi="Arial;sans-serif"/>
          <w:b w:val="false"/>
          <w:color w:val="000000"/>
          <w:sz w:val="20"/>
        </w:rPr>
        <w:t>Includes $8.8 billion of future principal payments and $1.3 billion of future interest payments as of March 31, 2023, related to EETCs associated with mortgage financings of certain aircraft and spare engines.</w:t>
      </w:r>
    </w:p>
    <w:p>
      <w:pPr>
        <w:pStyle w:val="TextBody"/>
        <w:spacing w:lineRule="auto" w:line="288" w:before="180" w:after="283"/>
        <w:ind w:left="0" w:right="0" w:hanging="360"/>
        <w:jc w:val="both"/>
        <w:rPr/>
      </w:pPr>
      <w:r>
        <w:rPr>
          <w:rFonts w:ascii="Arial;sans-serif" w:hAnsi="Arial;sans-serif"/>
          <w:b w:val="false"/>
          <w:color w:val="000000"/>
          <w:sz w:val="13"/>
        </w:rPr>
        <w:t>(d)</w:t>
      </w:r>
      <w:r>
        <w:rPr>
          <w:rFonts w:ascii="Arial;sans-serif" w:hAnsi="Arial;sans-serif"/>
          <w:b w:val="false"/>
          <w:color w:val="000000"/>
          <w:sz w:val="20"/>
        </w:rPr>
        <w:t>See “</w:t>
      </w:r>
      <w:r>
        <w:rPr>
          <w:rFonts w:ascii="Arial;sans-serif" w:hAnsi="Arial;sans-serif"/>
          <w:b w:val="false"/>
          <w:i/>
          <w:color w:val="000000"/>
          <w:sz w:val="20"/>
        </w:rPr>
        <w:t>Aircraft and Engine Purchase Commitments”</w:t>
      </w:r>
      <w:r>
        <w:rPr>
          <w:color w:val="000000"/>
        </w:rPr>
        <w:t xml:space="preserve"> </w:t>
      </w:r>
      <w:r>
        <w:rPr>
          <w:rFonts w:ascii="Arial;sans-serif" w:hAnsi="Arial;sans-serif"/>
          <w:b w:val="false"/>
          <w:color w:val="000000"/>
          <w:sz w:val="20"/>
        </w:rPr>
        <w:t>above for additional information about the firm commitment aircraft delivery schedule, in particular the footnote to the table thereunder as to potential changes to such delivery schedule. Due to uncertainty surrounding the timing of delivery of certain aircraft, the amounts in the table represent our most current estimate based on contractual delivery schedules adjusted for updates and revisions to such schedules communicated to management by the applicable equipment manufacturer. However, the actual delivery schedule may differ, potentially materially, based on various potential factors including production delays by the manufacturer and regulatory concerns. Additionally, the amounts in the table exclude three Boeing 787-8 aircraft scheduled to be delivered in 2023 and five Boeing 787-9 aircraft scheduled to be delivered in 2024, for which we have obtained committed lease financing. This financing is reflected in the operating lease commitments line above.</w:t>
      </w:r>
    </w:p>
    <w:p>
      <w:pPr>
        <w:pStyle w:val="TextBody"/>
        <w:spacing w:lineRule="auto" w:line="288" w:before="180" w:after="283"/>
        <w:ind w:left="0" w:right="0" w:hanging="360"/>
        <w:jc w:val="both"/>
        <w:rPr/>
      </w:pPr>
      <w:r>
        <w:rPr>
          <w:rFonts w:ascii="Arial;sans-serif" w:hAnsi="Arial;sans-serif"/>
          <w:b w:val="false"/>
          <w:color w:val="000000"/>
          <w:sz w:val="13"/>
        </w:rPr>
        <w:t>(e)</w:t>
      </w:r>
      <w:r>
        <w:rPr>
          <w:rFonts w:ascii="Arial;sans-serif" w:hAnsi="Arial;sans-serif"/>
          <w:b w:val="false"/>
          <w:color w:val="000000"/>
          <w:sz w:val="20"/>
        </w:rPr>
        <w:t xml:space="preserve">Operating lease commitments include rental payments for four Embraer 175 aircraft which are currently flown under a capacity purchase agreement with a third-party regional carrier but which we have committed to purchase during </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2023, at which time the associated rental payments will be removed from the operating lease commitments line above.</w:t>
      </w:r>
    </w:p>
    <w:p>
      <w:pPr>
        <w:pStyle w:val="TextBody"/>
        <w:spacing w:lineRule="auto" w:line="288" w:before="180" w:after="283"/>
        <w:ind w:left="0" w:right="0" w:hanging="360"/>
        <w:jc w:val="both"/>
        <w:rPr/>
      </w:pPr>
      <w:r>
        <w:rPr>
          <w:rFonts w:ascii="Arial;sans-serif" w:hAnsi="Arial;sans-serif"/>
          <w:b w:val="false"/>
          <w:color w:val="000000"/>
          <w:sz w:val="13"/>
        </w:rPr>
        <w:t>(f)</w:t>
      </w:r>
      <w:r>
        <w:rPr>
          <w:rFonts w:ascii="Arial;sans-serif" w:hAnsi="Arial;sans-serif"/>
          <w:b w:val="false"/>
          <w:color w:val="000000"/>
          <w:sz w:val="20"/>
        </w:rPr>
        <w:t>Represents minimum payments under capacity purchase agreements with third-party regional carriers. These commitments are estimates of costs based on assumed minimum levels of flying under the capacity purchase agreements and American’s actual payments could differ materially. Rental payments under operating leases for certain aircraft flown under these capacity purchase agreements are reflected in the operating lease commitments line above.</w:t>
      </w:r>
    </w:p>
    <w:p>
      <w:pPr>
        <w:pStyle w:val="TextBody"/>
        <w:spacing w:lineRule="auto" w:line="288" w:before="180" w:after="283"/>
        <w:ind w:left="0" w:right="0" w:hanging="360"/>
        <w:jc w:val="both"/>
        <w:rPr/>
      </w:pPr>
      <w:r>
        <w:rPr>
          <w:rFonts w:ascii="Arial;sans-serif" w:hAnsi="Arial;sans-serif"/>
          <w:b w:val="false"/>
          <w:color w:val="000000"/>
          <w:sz w:val="13"/>
        </w:rPr>
        <w:t>(g)</w:t>
      </w:r>
      <w:r>
        <w:rPr>
          <w:rFonts w:ascii="Arial;sans-serif" w:hAnsi="Arial;sans-serif"/>
          <w:b w:val="false"/>
          <w:color w:val="000000"/>
          <w:sz w:val="20"/>
        </w:rPr>
        <w:t>Represents minimum pension contributions based on actuarially determined estimates as of December 31, 2022 and is based on estimated payments through 2032. During the first three months of 2023, we made required contributions of $67 million to our defined benefit pension plans.</w:t>
      </w:r>
    </w:p>
    <w:p>
      <w:pPr>
        <w:pStyle w:val="TextBody"/>
        <w:spacing w:lineRule="auto" w:line="288" w:before="180" w:after="283"/>
        <w:ind w:left="0" w:right="0" w:hanging="360"/>
        <w:jc w:val="both"/>
        <w:rPr/>
      </w:pPr>
      <w:r>
        <w:rPr>
          <w:rFonts w:ascii="Arial;sans-serif" w:hAnsi="Arial;sans-serif"/>
          <w:b w:val="false"/>
          <w:color w:val="000000"/>
          <w:sz w:val="13"/>
        </w:rPr>
        <w:t>(h)</w:t>
      </w:r>
      <w:r>
        <w:rPr>
          <w:rFonts w:ascii="Arial;sans-serif" w:hAnsi="Arial;sans-serif"/>
          <w:b w:val="false"/>
          <w:color w:val="000000"/>
          <w:sz w:val="20"/>
        </w:rPr>
        <w:t>Includes purchase commitments for aircraft fuel, flight equipment maintenance, information technology support and construction projects and excludes obligations under certain fuel offtake agreements or other agreements for which the timing of the related expenditure is uncertain, or which are subject to material contingencies, such as the construction of a production facility.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70" w:after="283"/>
        <w:jc w:val="both"/>
        <w:rPr>
          <w:rFonts w:ascii="Arial;sans-serif" w:hAnsi="Arial;sans-serif"/>
          <w:b/>
          <w:color w:val="000000"/>
          <w:sz w:val="20"/>
        </w:rPr>
      </w:pPr>
      <w:r>
        <w:rPr>
          <w:rFonts w:ascii="Arial;sans-serif" w:hAnsi="Arial;sans-serif"/>
          <w:b/>
          <w:color w:val="000000"/>
          <w:sz w:val="20"/>
        </w:rPr>
        <w:t>Capital Raising Activity and Other Possible Actions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In light of our significant financial commitments related to, among other things, the servicing and amortization of existing debt and equipment leasing arrangements and new flight equipment, we and our subsidiaries will regularly consider, and enter into negotiations related to, capital raising and liability management activity, which may include the entry into leasing transactions and future issuances of, and transactions designed to manage the timing and amount of, secured or unsecured debt obligations or additional equity or equity-linked securities in public or private offerings or otherwise. The cash available from operations (if any) and these sources, however, may not be sufficient to cover our cash obligations because economic factors may reduce the amount of cash generated by operations or increase costs. For instance, an economic downturn or general global instability caused by military actions, terrorism, disease outbreaks (such as occurred during the COVID-19 pandemic), natural disasters or other causes could reduce the demand for air travel, which would reduce the amount of cash generated by operations. An increase in costs, either due to an increase in borrowing costs caused by a reduction in credit ratings or a general increase in interest rates, or due to an increase in the cost of fuel, maintenance, aircraft, aircraft engines or parts, could decrease the amount of cash available to cover cash contractual obligations. Moreover, certain of our financing arrangements contain significant minimum cash balance or similar liquidity requirements. As a result, we cannot use all of our available cash to fund operations, capital expenditures and cash obligations without violating these requirements. See Note 5 and Note 4 to AAG’s and American’s Condensed Consolidated Financial Statements in Part I, Items 1A and 1B, respectively. </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the past, we have from time to time refinanced, redeemed or repurchased our debt and taken other steps to reduce or otherwise manage the aggregate amount and cost of our debt, lease and other obligations or otherwise improve our balance sheet. Going forward, depending on market conditions, our cash position and other considerations, we may continue to take such actions.</w:t>
      </w:r>
    </w:p>
    <w:p>
      <w:pPr>
        <w:pStyle w:val="TextBody"/>
        <w:spacing w:lineRule="auto" w:line="288" w:before="270" w:after="283"/>
        <w:jc w:val="both"/>
        <w:rPr>
          <w:rFonts w:ascii="Arial;sans-serif" w:hAnsi="Arial;sans-serif"/>
          <w:b/>
          <w:color w:val="000000"/>
          <w:sz w:val="20"/>
        </w:rPr>
      </w:pPr>
      <w:r>
        <w:rPr>
          <w:rFonts w:ascii="Arial;sans-serif" w:hAnsi="Arial;sans-serif"/>
          <w:b/>
          <w:color w:val="000000"/>
          <w:sz w:val="20"/>
        </w:rPr>
        <w:t>Critical Accounting Policies and Estimates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For information regarding our critical accounting policies and estimates, see disclosures in the Consolidated Financial Statements and accompanying notes contained in our 2022 Form 10-K.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70" w:after="283"/>
        <w:jc w:val="both"/>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spacing w:lineRule="auto" w:line="288" w:before="90" w:after="283"/>
        <w:jc w:val="both"/>
        <w:rPr>
          <w:rFonts w:ascii="Arial;sans-serif" w:hAnsi="Arial;sans-serif"/>
          <w:b/>
          <w:color w:val="000000"/>
          <w:sz w:val="20"/>
        </w:rPr>
      </w:pPr>
      <w:r>
        <w:rPr>
          <w:rFonts w:ascii="Arial;sans-serif" w:hAnsi="Arial;sans-serif"/>
          <w:b/>
          <w:color w:val="000000"/>
          <w:sz w:val="20"/>
        </w:rPr>
        <w:t>AAG’s and American’s Market Risk Sensitive Instruments and Positions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Our primary market risk exposures include the price of aircraft fuel, foreign currency exchange rates and interest rate risk. Our exposure to these market risks has not changed materially from our exposure discussed in our 2022 Form 10-K except as updated below.</w:t>
      </w:r>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Aircraft Fuel</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As of March 31, 2023, we did not have any fuel hedging contracts outstanding to hedge our fuel consumption. Our current policy is not to enter into transactions to hedge our fuel consumption, although we review that policy from time to time based on market conditions and other factors. As such, and assuming we do not enter into any future transactions to hedge our fuel consumption, we will continue to be fully exposed to fluctuations in fuel prices. Based on our 2023 </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90" w:after="283"/>
        <w:jc w:val="both"/>
        <w:rPr>
          <w:rFonts w:ascii="Arial;sans-serif" w:hAnsi="Arial;sans-serif"/>
          <w:b w:val="false"/>
          <w:color w:val="000000"/>
          <w:sz w:val="20"/>
        </w:rPr>
      </w:pPr>
      <w:r>
        <w:rPr>
          <w:rFonts w:ascii="Arial;sans-serif" w:hAnsi="Arial;sans-serif"/>
          <w:b w:val="false"/>
          <w:color w:val="000000"/>
          <w:sz w:val="20"/>
        </w:rPr>
        <w:t>forecasted fuel consumption, we estimate that a one cent per gallon increase in the price of aircraft fuel would increase our 2023 annual fuel expense by approximately $40 million.</w:t>
      </w:r>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Foreign Currency</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We are exposed to the effect of foreign exchange rate fluctuations on the U.S. dollar value of foreign currency-denominated transactions. Our largest exposure comes from the Euro, British pound sterling, Canadian dollar and various Latin American currencies (primarily the Brazilian real). We do not currently have a foreign currency hedge program.</w:t>
      </w:r>
    </w:p>
    <w:p>
      <w:pPr>
        <w:pStyle w:val="TextBody"/>
        <w:spacing w:lineRule="auto" w:line="288" w:before="180" w:after="283"/>
        <w:ind w:left="0" w:right="0" w:firstLine="270"/>
        <w:jc w:val="both"/>
        <w:rPr/>
      </w:pPr>
      <w:r>
        <w:rPr>
          <w:rFonts w:ascii="Arial;sans-serif" w:hAnsi="Arial;sans-serif"/>
          <w:b w:val="false"/>
          <w:color w:val="000000"/>
          <w:sz w:val="20"/>
        </w:rPr>
        <w:t xml:space="preserve">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 See Part II, Item 1A. Risk Factors – </w:t>
      </w:r>
      <w:r>
        <w:rPr>
          <w:color w:val="000000"/>
        </w:rPr>
        <w:t>“</w:t>
      </w:r>
      <w:r>
        <w:rPr>
          <w:rFonts w:ascii="Arial;sans-serif" w:hAnsi="Arial;sans-serif"/>
          <w:b w:val="false"/>
          <w:i/>
          <w:color w:val="000000"/>
          <w:sz w:val="20"/>
        </w:rPr>
        <w:t>We operate a global business with international operations that are subject to economic and political instability and have been, and in the future may continue to be, adversely affected by numerous events, circumstances or government actions beyond our control”</w:t>
      </w:r>
      <w:r>
        <w:rPr>
          <w:color w:val="000000"/>
        </w:rPr>
        <w:t xml:space="preserve"> </w:t>
      </w:r>
      <w:r>
        <w:rPr>
          <w:rFonts w:ascii="Arial;sans-serif" w:hAnsi="Arial;sans-serif"/>
          <w:b w:val="false"/>
          <w:color w:val="000000"/>
          <w:sz w:val="20"/>
        </w:rPr>
        <w:t>for additional discussion of this and other currency risks.</w:t>
      </w:r>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Interest</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Our earnings and cash flow are affected by changes in interest rates due to the impact those changes have on our interest expense from variable-rate debt instruments and our interest income from short-term, interest-bearing investments. If annual interest rates increase 100 basis points, based on our March 31, 2023 variable-rate debt and short-term investments balances, annual interest expense on variable rate debt would increase by approximately $90 million and annual interest income on short-term investments would increase by approximately $115 million.</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On July 27, 2017, the U.K. Financial Conduct Authority (the authority that regulates the London Interbank Offered Rate (LIBOR)) announced its intention to stop compelling banks to submit rates for the calculation of LIBOR after 2021. The discontinuation date for submission and publication of rates for certain tenors of USD LIBOR (1-month, 3-month, 6-month, and 12-month) was subsequently extended by the ICE Benchmark Administration (the administrator of LIBOR) until June 30, 2023. It is not possible to predict what rate or rates may become the predominant alternative to LIBOR, or what effect these changes in views or alternatives may have on financial markets for LIBOR-linked financial instruments. While the U.S. Federal Reserve, in conjunction with the Alternative Reference Rates Committee, has chosen the Secured Overnight Financing Rate (SOFR), and specifically Term SOFR, as the recommended risk-free reference rate for the U.S. (calculated based on repurchase agreements backed by treasury securities), we cannot currently predict the extent to which this index will gain widespread acceptance as a replacement for LIBOR. It is not possible to predict the effect of these changes, other reforms or the establishment of alternative reference rates in the United Kingdom, the United States or elsewhere.</w:t>
      </w:r>
    </w:p>
    <w:p>
      <w:pPr>
        <w:pStyle w:val="TextBody"/>
        <w:spacing w:lineRule="auto" w:line="288" w:before="180" w:after="180"/>
        <w:ind w:left="0" w:right="0" w:firstLine="270"/>
        <w:jc w:val="both"/>
        <w:rPr>
          <w:rFonts w:ascii="Arial;sans-serif" w:hAnsi="Arial;sans-serif"/>
          <w:b w:val="false"/>
          <w:color w:val="000000"/>
          <w:sz w:val="20"/>
        </w:rPr>
      </w:pPr>
      <w:r>
        <w:rPr>
          <w:rFonts w:ascii="Arial;sans-serif" w:hAnsi="Arial;sans-serif"/>
          <w:b w:val="false"/>
          <w:color w:val="000000"/>
          <w:sz w:val="20"/>
        </w:rPr>
        <w:t>As of March 31, 2023, we had $5.3 billion of borrowings with interest rates linked to LIBOR. We have commenced the process of amending our LIBOR-based financing agreements to transition them to successor reference rates in anticipation of LIBOR’s discontinuation, but we may not be able to reach agreements with all affected counterparties, or to do so on favorable terms. Additionally, the replacement of LIBOR with a comparable or successor rate could cause the amount of interest payable on our long-term debt to be different or higher than expected.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70" w:after="283"/>
        <w:jc w:val="both"/>
        <w:rPr>
          <w:rFonts w:ascii="Arial;sans-serif" w:hAnsi="Arial;sans-serif"/>
          <w:b/>
          <w:color w:val="000000"/>
          <w:sz w:val="20"/>
        </w:rPr>
      </w:pPr>
      <w:r>
        <w:rPr>
          <w:rFonts w:ascii="Arial;sans-serif" w:hAnsi="Arial;sans-serif"/>
          <w:b/>
          <w:color w:val="000000"/>
          <w:sz w:val="20"/>
        </w:rPr>
        <w:t>ITEM 4. CONTROLS AND PROCEDURES</w:t>
      </w:r>
    </w:p>
    <w:p>
      <w:pPr>
        <w:pStyle w:val="TextBody"/>
        <w:spacing w:lineRule="auto" w:line="288" w:before="90" w:after="283"/>
        <w:jc w:val="both"/>
        <w:rPr>
          <w:rFonts w:ascii="Arial;sans-serif" w:hAnsi="Arial;sans-serif"/>
          <w:b/>
          <w:color w:val="000000"/>
          <w:sz w:val="20"/>
        </w:rPr>
      </w:pPr>
      <w:r>
        <w:rPr>
          <w:rFonts w:ascii="Arial;sans-serif" w:hAnsi="Arial;sans-serif"/>
          <w:b/>
          <w:color w:val="000000"/>
          <w:sz w:val="20"/>
        </w:rPr>
        <w:t>Management’s Evaluation of Disclosure Controls and Procedures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term “disclosure controls and procedures” is defined in Rules 13a-15(e) and 15d-15(e) of the Securities Exchange Act of 1934, as amended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SEC’s rules and forms, and is accumulated and communicated to the company’s management, including the principal executive and principal financial officers, or persons performing similar functions, as appropriate to allow timely decisions regarding required disclosure. An evaluation of the effectiveness of AAG’s and American’s disclosure controls and procedures as of March 31, 2023 was performed under the supervision and with the participation of AAG’s and American’s management, including AAG’s and American’s principal executive officer, the Chief Executive Officer (CEO), and principal financial officer, the Chief Financial Officer (CFO). Based on that evaluation, AAG’s and American’s management, including AAG’s and American’s CEO and CFO, concluded that AAG’s and American’s disclosure controls and procedures were effective as of March 31, 2023 at the reasonable assurance level.</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270" w:after="283"/>
        <w:jc w:val="both"/>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For the quarter ended March 31, 2023, there have been no changes in AAG’s or American’s internal control over financial reporting that have materially affected, or are reasonably likely to materially affect, AAG’s and American’s internal control over financial reporting. </w:t>
      </w:r>
    </w:p>
    <w:p>
      <w:pPr>
        <w:pStyle w:val="TextBody"/>
        <w:spacing w:lineRule="auto" w:line="288" w:before="270" w:after="283"/>
        <w:jc w:val="both"/>
        <w:rPr>
          <w:rFonts w:ascii="Arial;sans-serif" w:hAnsi="Arial;sans-serif"/>
          <w:b/>
          <w:color w:val="000000"/>
          <w:sz w:val="20"/>
        </w:rPr>
      </w:pPr>
      <w:r>
        <w:rPr>
          <w:rFonts w:ascii="Arial;sans-serif" w:hAnsi="Arial;sans-serif"/>
          <w:b/>
          <w:color w:val="000000"/>
          <w:sz w:val="20"/>
        </w:rPr>
        <w:t>Limitation on the Effectiveness of Controls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as noted above, the CEO and CFO of AAG and American believe that our disclosure controls and procedures were effective at the reasonable assurance level as of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70" w:after="283"/>
        <w:jc w:val="both"/>
        <w:rPr>
          <w:rFonts w:ascii="Arial;sans-serif" w:hAnsi="Arial;sans-serif"/>
          <w:b/>
          <w:color w:val="000000"/>
          <w:sz w:val="20"/>
        </w:rPr>
      </w:pPr>
      <w:r>
        <w:rPr>
          <w:rFonts w:ascii="Arial;sans-serif" w:hAnsi="Arial;sans-serif"/>
          <w:b/>
          <w:color w:val="000000"/>
          <w:sz w:val="20"/>
        </w:rPr>
        <w:t>ITEM 1. LEGAL PROCEEDINGS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See Note 12 to each of AAG and American’s Condensed Consolidated Financial Statements in Part I, Item 1A and Part I, Item 1B, respectively, for information on legal proceedings.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70" w:after="283"/>
        <w:jc w:val="both"/>
        <w:rPr>
          <w:rFonts w:ascii="Arial;sans-serif" w:hAnsi="Arial;sans-serif"/>
          <w:b/>
          <w:color w:val="000000"/>
          <w:sz w:val="20"/>
        </w:rPr>
      </w:pPr>
      <w:r>
        <w:rPr>
          <w:rFonts w:ascii="Arial;sans-serif" w:hAnsi="Arial;sans-serif"/>
          <w:b/>
          <w:color w:val="000000"/>
          <w:sz w:val="20"/>
        </w:rPr>
        <w:t>ITEM 1A. RISK FACTORS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Below are certain risk factors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w:t>
      </w:r>
    </w:p>
    <w:p>
      <w:pPr>
        <w:pStyle w:val="TextBody"/>
        <w:spacing w:lineRule="auto" w:line="288" w:before="270" w:after="283"/>
        <w:jc w:val="both"/>
        <w:rPr>
          <w:rFonts w:ascii="Arial;sans-serif" w:hAnsi="Arial;sans-serif"/>
          <w:b/>
          <w:color w:val="000000"/>
          <w:sz w:val="20"/>
          <w:u w:val="single"/>
        </w:rPr>
      </w:pPr>
      <w:r>
        <w:rPr>
          <w:rFonts w:ascii="Arial;sans-serif" w:hAnsi="Arial;sans-serif"/>
          <w:b/>
          <w:color w:val="000000"/>
          <w:sz w:val="20"/>
          <w:u w:val="single"/>
        </w:rPr>
        <w:t>Risks Related to our Business and Industry</w:t>
      </w:r>
    </w:p>
    <w:p>
      <w:pPr>
        <w:pStyle w:val="TextBody"/>
        <w:spacing w:lineRule="auto" w:line="288" w:before="90" w:after="283"/>
        <w:jc w:val="both"/>
        <w:rPr>
          <w:rFonts w:ascii="Arial;sans-serif" w:hAnsi="Arial;sans-serif"/>
          <w:b/>
          <w:i/>
          <w:color w:val="000000"/>
          <w:sz w:val="20"/>
        </w:rPr>
      </w:pPr>
      <w:r>
        <w:rPr>
          <w:rFonts w:ascii="Arial;sans-serif" w:hAnsi="Arial;sans-serif"/>
          <w:b/>
          <w:i/>
          <w:color w:val="000000"/>
          <w:sz w:val="20"/>
        </w:rPr>
        <w:t>Downturns in economic conditions could adversely affect our business.</w:t>
      </w:r>
    </w:p>
    <w:p>
      <w:pPr>
        <w:pStyle w:val="TextBody"/>
        <w:spacing w:lineRule="auto" w:line="288" w:before="90" w:after="283"/>
        <w:ind w:left="0" w:right="0" w:firstLine="270"/>
        <w:jc w:val="both"/>
        <w:rPr/>
      </w:pPr>
      <w:r>
        <w:rPr>
          <w:rFonts w:ascii="Arial;sans-serif" w:hAnsi="Arial;sans-serif"/>
          <w:b w:val="false"/>
          <w:color w:val="000000"/>
          <w:sz w:val="20"/>
        </w:rPr>
        <w:t>Due to the discretionary nature of business and leisure travel spending and the highly competitive nature of the airline industry, our revenues are heavily influenced by the condition of the U.S. economy and economies in other regions of the world. Unfavorable conditions in these broader economies have resulted, and may result in the future, in decreased passenger demand for air travel, changes in booking practices and related reactions by our competitors, all of which in turn have had, and may have in the future, a strong negative effect on our business. For example, the COVID-19 pandemic and associated decline in economic activity and increase in unemployment levels had a severe and prolonged effect on the global economy generally and, in turn, resulted in a prolonged period of depressed demand for air travel. In addition, a rapid economic expansion following the height of the COVID-19 pandemic resulted in significant inflationary pressures and volatility in certain currencies, which have increased our costs for aircraft fuel, wages and benefits and other goods and services we require to operate our business, as well as increasing the interest expense on our variable-rate indebtedness.</w:t>
      </w:r>
      <w:r>
        <w:rPr>
          <w:color w:val="000000"/>
        </w:rPr>
        <w:t xml:space="preserve"> </w:t>
      </w:r>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We will need to obtain sufficient financing or other capital to operate successfully.</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Our business plan contemplates continued significant investments related to our fleet, improving the experience of our customers and updating our facilities. Significant capital resources will be required to execute this plan. We estimate that, based on our commitments as of March 31, 2023, our planned aggregate expenditures for aircraft purchase commitments and certain engines on a consolidated basis for the remainder of 2023 through 2027 would be approximately $12.2 billion. We may also require financing to refinance maturing obligations and to provide liquidity to fund other corporate requirements. Accordingly, we will need substantial liquidity, financing or other capital resources to finance such aircraft and engines and meet such other liquidity needs. If needed, it may be difficult for us to raise additional capital on acceptable terms, or at all, due to, among other factors: our substantial level of existing indebtedness, particularly following the additional liquidity transactions completed in response to the impact of the COVID-19 pandemic; our non-investment grade credit rating; volatile or otherwise unfavorable market conditions; and the availability of assets to use as collateral for loans or other indebtedness, which has been reduced significantly as a result of certain financing transactions we have undertaken since the beginning of 2020 and may be further reduced. If we are unable to arrange any such required financing at customary advance rates and on terms and conditions acceptable to us, we may need to use cash from operations or cash on hand to purchase aircraft and engines or fund our other corporate requirements, or may seek to negotiate deferrals for such aircraft and engines with the applicable manufacturers or otherwise defer corporate obligations. Depending on numerous factors applicable at the time we seek capital, many of which are out of our control, such as the state of the domestic and global economies, the capital and credit markets’ view of our prospects and the airline industry in general, and the general availability of debt and equity capital, the financing or other capital resources that we will need may not be available to us, or may be available only on onerous terms and conditions. Furthermore, we hold significant balances of cash and short-term investments, including as necessary to conduct our day-to-day operations, some of which are held in deposit accounts at commercial banks in excess of the government-provided deposit insurance. There can be no assurance that we will be successful in obtaining financing or other needed sources of capital to operate successfully or to fund our committed expenditures. An inability to obtain necessary financing on acceptable terms would limit our ability to execute necessary capital projects and would have a material adverse impact on our business, results of operations and financial condition.</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Our high level of debt and other obligations may limit our ability to fund general corporate requirements and obtain additional financing, may limit our flexibility in responding to competitive developments and may cause our business to be vulnerable to adverse economic and industry conditions.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We have significant amounts of indebtedness and other financial obligations, including pension obligations, obligations to make future payments on flight equipment and property leases related to airport and other facilities, and substantial non-cancelable obligations under aircraft and related spare engine purchase agreements. Moreover, currently a very significant portion of our assets are pledged to secure our indebtedness. Our substantial indebtedness and other obligations, which are generally greater than the indebtedness and other obligations of our competitors, could have important consequences. For example, they may:</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make it more difficult for us to satisfy our obligations under our indebtedness;</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limit our ability to obtain additional funding for working capital, capital expenditures, acquisitions, investments and general corporate purposes, and adversely affect the terms on which such funding can be obtained;</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require us to dedicate a substantial portion of our liquidity or cash flow from operations to payments on our indebtedness and other obligations, thereby reducing the funds available for other purposes;</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make us more vulnerable to economic downturns, industry conditions and catastrophic external events, particularly relative to competitors with lower relative levels of financial leverage;</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significantly constrain our ability to respond, or respond quickly, to unexpected disruptions in our own operations, the U.S. or global economies, or the businesses in which we operate, or to take advantage of opportunities that would improve our business, operations, or competitive position versus other airlines;</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limit our ability to withstand competitive pressures and reduce our flexibility in responding to changing business and economic conditions;</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bear interest at floating rates, subjecting us to volatility in interest expenses as interest rates fluctuate;</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contain covenants requiring us to maintain an aggregate of at least $2.0 billion of unrestricted cash and cash equivalents and amounts available to be drawn under revolving credit facilities and collateral coverage ratios and peak debt service coverage ratios; and</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contain restrictive covenants that could, among other things:</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limit our ability to merge, consolidate, sell assets, incur additional indebtedness, issue preferred stock, make investments and pay dividends; and</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if breached, result in an event of default under our indebtedness.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In addition, during the COVID-19 pandemic we were required to obtain a significant amount of additional financing from a variety of sources and we cannot guarantee that we will not need to obtain additional financing in the future. Such financing may include the issuance of additional unsecured or secured debt securities, equity securities and equity-linked securities as well as additional bilateral and syndicated secured and/or unsecured credit facilities, among other items. There can be no assurance as to the timing of any such financing transactions, which may be in the near term, or that we will be able to obtain such additional financing on favorable terms, or at all. Any such actions may be material in nature, could result in the incurrence and issuance of significant additional indebtedness or equity and could impose significant covenants and restrictions to which we are not currently subject. Moreover, as a result of the financing activities we undertook in response to the COVID-19 pandemic, the number of financings with respect to which such covenants and provisions apply has increased, thereby subjecting us to more substantial risk of cross-default and cross-acceleration in the event of breach, and additional covenants and provisions could become binding on us as we continue to seek additional liquidity. </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obligations discussed above, including those imposed as a result of any additional financings we may be required to undertake, could also impact our ability to obtain additional financing, if needed, and our flexibility in the conduct of our business, and could materially adversely affect our liquidity, results of operations and financial condition.</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Further, a substantial amount of our long-term indebtedness bears interest at fluctuating interest rates, primarily based on LIBOR for deposits of U.S. dollars. LIBOR tends to fluctuate based on general short-term interest rates, rates set by </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U.S. Federal Reserve and other central banks, the supply of and demand for credit in the London interbank market and general economic conditions. We have not hedged our interest rate exposure with respect to our floating rate debt. Accordingly, our interest expense for any particular period will fluctuate based on LIBOR and other variable interest rates. In 2022 and continuing into 2023, in response to rising inflation which coincided with a rapid rebound of economic activity as governments lifted restrictions and economies reopened following the COVID-19 pandemic, central banks around the world—including the U.S. Federal Reserve, the European Central Bank and the Bank of England—commenced a cycle of raising interest rates, which has consequently increased the interest we pay on our floating-rate indebtedness. To the extent the interest rates applicable to our floating rate debt increase, our interest expense will increase, in which event we may have difficulties making interest payments and funding our other fixed costs, and our available cash flow for general corporate requirements may be adversely affected. </w:t>
      </w:r>
    </w:p>
    <w:p>
      <w:pPr>
        <w:pStyle w:val="TextBody"/>
        <w:spacing w:lineRule="auto" w:line="288" w:before="180" w:after="283"/>
        <w:ind w:left="0" w:right="0" w:firstLine="270"/>
        <w:jc w:val="both"/>
        <w:rPr/>
      </w:pPr>
      <w:r>
        <w:rPr>
          <w:rFonts w:ascii="Arial;sans-serif" w:hAnsi="Arial;sans-serif"/>
          <w:b w:val="false"/>
          <w:color w:val="000000"/>
          <w:sz w:val="20"/>
        </w:rPr>
        <w:t xml:space="preserve">On July 27, 2017, the U.K. Financial Conduct Authority (the authority that regulates LIBOR) announced its intention to stop compelling banks to submit rates for the calculation of LIBOR after 2021. The discontinuation date for submission and publication of rates for certain tenors of USD LIBOR (1-month, 3-month, 6-month and 12-month) was subsequently extended by the ICE Benchmark Administration (the administrator of LIBOR) until June 30, 2023. It is not possible to predict what rate or rates may become the predominant alternative to LIBOR, or what effect these changes in views or alternatives may have on financial markets for LIBOR-linked financial instruments. While the U.S. Federal Reserve, in conjunction with the Alternative Reference Rates Committee, has chosen SOFR, and specifically Term SOFR, as the recommended risk-free reference rate for the U.S. (calculated based on repurchase agreements backed by treasury securities), we cannot currently predict the extent to which this index will gain widespread acceptance as a replacement for LIBOR. It is not possible to predict the effect of these changes, other reforms or the establishment of alternative reference rates in the United Kingdom, the United States or elsewhere. See also the discussion of interest rate risk in Part I, Item 3. Quantitative and Qualitative Disclosures About Market Risk – </w:t>
      </w:r>
      <w:r>
        <w:rPr>
          <w:color w:val="000000"/>
        </w:rPr>
        <w:t>“</w:t>
      </w:r>
      <w:r>
        <w:rPr>
          <w:rFonts w:ascii="Arial;sans-serif" w:hAnsi="Arial;sans-serif"/>
          <w:b w:val="false"/>
          <w:i/>
          <w:color w:val="000000"/>
          <w:sz w:val="20"/>
        </w:rPr>
        <w:t>Interest.”</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As of March 31, 2023, we had $5.3 billion of borrowings with interest rates linked to LIBOR. We have commenced the process of amending our LIBOR-based financing agreements to transition them to successor reference rates in anticipation of LIBOR’s discontinuation, but we may not be able to reach agreements with all affected counterparties, or to do so on favorable terms. Additionally, the replacement of LIBOR with a comparable or successor rate could cause the amount of interest payable on our long-term debt to be different or higher than expected.</w:t>
      </w:r>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We have significant pension and other postretirement benefit funding obligations, which may adversely affect our liquidity, results of operations and financial condition.</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Our pension funding obligations are significant. The amount of our pension funding obligations will depend on the performance of investments held in trust by the pension plans, interest rates for determining liabilities and actuarial experience. We also have significant obligations for retiree medical and other postretirement benefits. </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Additionally, we participate in the IAM National Pension Fund (the IAM Pension Fund). The funding status of the IAM Pension Fund is subject to the risk that other employers may not meet their obligations, which under certain circumstances could cause our obligations to increase. On March 29, 2019, the actuary for the IAM Pension Fund certified that the fund was in “endangered” status despite reporting a funded status of over 80%. Additionally, the IAM Pension Fund’s Board voluntarily elected to enter into “critical” status on April 17, 2019. Upon entry into critical status, the IAM Pension Fund was required by law to adopt a rehabilitation plan aimed at restoring the financial health of the pension plan and did so on April 17, 2019 (the Rehabilitation Plan). Under the Rehabilitation Plan, American was subject to an immaterial contribution surcharge, which ceased to apply June 14, 2019 upon American’s mandatory adoption of a contribution schedule under the Rehabilitation Plan. The contribution schedule requires 2.5% annual increases to its contribution rate. This contribution schedule will remain in effect through the earlier of December 31, 2031 or the date the IAM Pension Fund emerges from critical status. Furthermore, if we were to withdraw from the IAM Pension Fund, if the IAM Pension fund were to terminate, or if the IAM Pension Fund were to undergo a mass withdrawal, we could be subject to liability as imposed by law.</w:t>
      </w:r>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If our financial condition worsens, provisions in our credit card processing and other commercial agreements may adversely affect our liquidity.</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We have agreements with companies that process customer credit card transactions for the sale of air travel and other services. These agreements allow these credit card processing companies, under certain conditions (including, with respect to certain agreements, our failure to maintain certain levels of liquidity), to hold an amount of our cash (referred to as a holdback) equal to some or all of the advance ticket sales that have been processed by that credit card processor, but for which we have not yet provided the air transportation. Additionally, such credit card processing companies may </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90" w:after="283"/>
        <w:jc w:val="both"/>
        <w:rPr>
          <w:rFonts w:ascii="Arial;sans-serif" w:hAnsi="Arial;sans-serif"/>
          <w:b w:val="false"/>
          <w:color w:val="000000"/>
          <w:sz w:val="20"/>
        </w:rPr>
      </w:pPr>
      <w:r>
        <w:rPr>
          <w:rFonts w:ascii="Arial;sans-serif" w:hAnsi="Arial;sans-serif"/>
          <w:b w:val="false"/>
          <w:color w:val="000000"/>
          <w:sz w:val="20"/>
        </w:rPr>
        <w:t>require cash or other collateral reserves to be established. These credit card processing companies are not currently entitled to maintain any holdbacks pursuant to these requirements. These holdback requirements can be implemented at the discretion of the credit card processing companies upon the occurrence of specific events, including material adverse changes in our financial condition or the triggering of a liquidity covenant. The imposition of holdback requirements, up to and including 100% of relevant advanced ticket sales, would materially reduce our liquidity. Likewise, other of our commercial agreements contain provisions that allow other counterparties to impose less-favorable terms, including the acceleration of amounts due, in the event of material adverse changes in our financial condition. For example, we maintain certain letters of credit, insurance- and surety-related agreements under which counterparties may require collateral, including cash collateral.</w:t>
      </w:r>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The loss of key personnel upon whom we depend to operate our business or the inability to attract and develop additional qualified personnel could adversely affect our business.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We believe that our future success will depend in large part on our ability to attract, develop and retain highly qualified management, technical and other personnel. Retaining and recruiting people with the appropriate skills is particularly challenging as the economy in general, and the airline industry in particular, continue to recover from the COVID-19 pandemic, resulting in competition for the human resources necessary to operate our business successfully. We may not be successful in attracting, developing or retaining key personnel or other highly qualified personnel. In addition, competition for skilled personnel has intensified and may continue to intensify if overall industry capacity continues to increase and/or we were to incur attrition at levels higher than we have historically. Any inability to attract, develop and retain significant numbers of qualified management and other personnel would have a material adverse effect on our business, results of operations and financial condition.</w:t>
      </w:r>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Our business has been and will continue to be affected by many changing economic and other conditions beyond our control, including global events that affect travel behavior, and our results of operations could be volatile and fluctuate due to seasonality.</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Our business, results of operations and financial condition have been and will continue to be affected by many changing economic and other conditions beyond our control, including, among others:</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actual or potential changes in international, national, regional and local economic, business and financial conditions, including recession, inflation and higher interest rates;</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the occurrence of wars, terrorist attacks and political instability;</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changes in consumer preferences, perceptions, spending patterns and demographic trends;</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changes in the competitive environment due to industry consolidation, changes in airline alliance affiliations and other factors;</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actual or potential disruptions to the U.S. National Airspace System (the ATC system);</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increases in costs of safety, security and environmental measures;</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outbreaks of diseases that affect travel behavior, such as occurred during the COVID-19 pandemic; and</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weather and natural disasters, including increases in frequency, severity or duration of such disasters, and related costs caused by more severe weather due to climate change.</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The COVID-19 pandemic, along with the measures governments and private organizations worldwide implemented in an attempt to contain its spread, resulted in significant volatility in demand for air travel, which adversely affected our business, operations and financial condition to an unprecedented extent and for a prolonged period. Measures implemented during the COVID-19 pandemic—such as travel restrictions, including testing regimes, “stay at home” and quarantine orders, limitations on public gatherings, cancellation of public events and many others—initially resulted in a precipitous decline in demand for both domestic and international business and leisure travel. In response to this material deterioration in demand, we took a number of aggressive actions to ameliorate the impacts to our business, operations and financial condition. While cases have declined globally and many governments have loosened or lifted COVID-related travel restrictions, the potential for a resurgence of COVID-19, including the emergence and spread of any new variants, and its after effects remain uncertain, and there can be no assurance that any mitigating actions we take in response will be sufficient to avert a deterioration in our business, financial condition and results of operations. Additionally, the COVID-19 pandemic necessitated changes in business practices which may persist. For example, businesses and other </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travelers may continue to forego air travel in favor of remote or flexible working policies and communication alternatives such as videoconferencing. In addition, businesses may seek to reduce travel costs by requiring the purchase of less expensive tickets, thereby potentially impacting our average revenue per available seat mile.</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addition to the effects of the COVID-19 pandemic, an outbreak of another contagious disease—such as has occurred in the past with the Ebola virus, Middle East Respiratory Syndrome, Severe Acute Respiratory Syndrome, H1N1 influenza virus, avian flu, Zika virus or any other similar illness—if it were to become associated with air travel or persist for an extended period, could materially affect the airline industry and us by reducing revenues and adversely impacting our operations and passengers’ travel behavior. As a result of these or other conditions beyond our control, our results of operations could be volatile and subject to rapid and unexpected change. In addition, due to generally weaker demand for air travel during the winter, our revenues in the first and fourth quarters of the year could be weaker than revenues in the second and third quarters of the year.</w:t>
      </w:r>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Union disputes, employee strikes and other labor-related disruptions, or our inability to otherwise maintain labor costs at competitive levels and hire and retain a sufficient number of employees may adversely affect our operations and financial performance.</w:t>
      </w:r>
    </w:p>
    <w:p>
      <w:pPr>
        <w:pStyle w:val="TextBody"/>
        <w:spacing w:lineRule="auto" w:line="288" w:before="90" w:after="283"/>
        <w:ind w:left="0" w:right="0" w:firstLine="270"/>
        <w:jc w:val="both"/>
        <w:rPr/>
      </w:pPr>
      <w:r>
        <w:rPr>
          <w:rFonts w:ascii="Arial;sans-serif" w:hAnsi="Arial;sans-serif"/>
          <w:b w:val="false"/>
          <w:color w:val="000000"/>
          <w:sz w:val="20"/>
        </w:rPr>
        <w:t xml:space="preserve">Relations between air carriers and labor unions in the U.S. are governed by the Railway Labor Act (RLA). Under the RLA, collective bargaining agreements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(NMB). As of December 31, 2022, approximately 87% of our employees were represented for collective bargaining purposes by labor unions, and 48% were covered by CBAs that are currently amendable or that will become amendable within one year. For the dates that the CBAs with our major work groups become amendable under the RLA, see </w:t>
      </w:r>
      <w:r>
        <w:rPr>
          <w:color w:val="000000"/>
        </w:rPr>
        <w:t>“</w:t>
      </w:r>
      <w:r>
        <w:rPr>
          <w:rFonts w:ascii="Arial;sans-serif" w:hAnsi="Arial;sans-serif"/>
          <w:b w:val="false"/>
          <w:i/>
          <w:color w:val="000000"/>
          <w:sz w:val="20"/>
        </w:rPr>
        <w:t xml:space="preserve">Labor Relations” </w:t>
      </w:r>
      <w:r>
        <w:rPr>
          <w:rFonts w:ascii="Arial;sans-serif" w:hAnsi="Arial;sans-serif"/>
          <w:b w:val="false"/>
          <w:color w:val="000000"/>
          <w:sz w:val="20"/>
        </w:rPr>
        <w:t>under Part I, Item 1. Business – “</w:t>
      </w:r>
      <w:r>
        <w:rPr>
          <w:rFonts w:ascii="Arial;sans-serif" w:hAnsi="Arial;sans-serif"/>
          <w:b w:val="false"/>
          <w:i/>
          <w:color w:val="000000"/>
          <w:sz w:val="20"/>
        </w:rPr>
        <w:t>Sustainability – Our People”</w:t>
      </w:r>
      <w:r>
        <w:rPr>
          <w:color w:val="000000"/>
        </w:rPr>
        <w:t xml:space="preserve"> </w:t>
      </w:r>
      <w:r>
        <w:rPr>
          <w:rFonts w:ascii="Arial;sans-serif" w:hAnsi="Arial;sans-serif"/>
          <w:b w:val="false"/>
          <w:color w:val="000000"/>
          <w:sz w:val="20"/>
        </w:rPr>
        <w:t>in our 2022 Form 10-K.</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the case of a CBA that is amendable under the RLA, 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Presidential Emergency Board (PEB) may be established, which examines the parties’ positions and recommends a solution. The PEB process lasts for 30 days and is followed by another 30-day “cooling off” period. At the end of this “cooling off” period, unless an agreement is reached or action is taken by Congress, the labor organization may exercise “self-help,” such as a strike, which could materially adversely affect our business, results of operations and financial condition.</w:t>
      </w:r>
    </w:p>
    <w:p>
      <w:pPr>
        <w:pStyle w:val="TextBody"/>
        <w:spacing w:lineRule="auto" w:line="288" w:before="180" w:after="283"/>
        <w:ind w:left="0" w:right="0" w:firstLine="270"/>
        <w:jc w:val="both"/>
        <w:rPr/>
      </w:pPr>
      <w:r>
        <w:rPr>
          <w:rFonts w:ascii="Arial;sans-serif" w:hAnsi="Arial;sans-serif"/>
          <w:b w:val="false"/>
          <w:color w:val="000000"/>
          <w:sz w:val="20"/>
        </w:rPr>
        <w:t xml:space="preserve">None of the unions representing our employees presently may lawfully engage in concerted slowdowns or refusals to work, such as strikes, sick-outs or other similar activity, against us. Nonetheless, there is a risk that employees, either with or without union involvement, could engage in one or more concerted refusals to work that could individually or collectively harm the operation of our airline and impair our financial performance. Additionally, some of our unions have brought and may continue to bring grievances to binding arbitration, including those related to wages. If successful, there is a risk these arbitral avenues could result in material additional costs that we did not anticipate. See also </w:t>
      </w:r>
      <w:r>
        <w:rPr>
          <w:color w:val="000000"/>
        </w:rPr>
        <w:t>“</w:t>
      </w:r>
      <w:r>
        <w:rPr>
          <w:rFonts w:ascii="Arial;sans-serif" w:hAnsi="Arial;sans-serif"/>
          <w:b w:val="false"/>
          <w:i/>
          <w:color w:val="000000"/>
          <w:sz w:val="20"/>
        </w:rPr>
        <w:t xml:space="preserve">Labor Relations” </w:t>
      </w:r>
      <w:r>
        <w:rPr>
          <w:rFonts w:ascii="Arial;sans-serif" w:hAnsi="Arial;sans-serif"/>
          <w:b w:val="false"/>
          <w:color w:val="000000"/>
          <w:sz w:val="20"/>
        </w:rPr>
        <w:t>under Part I, Item 1. Business – “</w:t>
      </w:r>
      <w:r>
        <w:rPr>
          <w:rFonts w:ascii="Arial;sans-serif" w:hAnsi="Arial;sans-serif"/>
          <w:b w:val="false"/>
          <w:i/>
          <w:color w:val="000000"/>
          <w:sz w:val="20"/>
        </w:rPr>
        <w:t xml:space="preserve">Sustainability – Our People” </w:t>
      </w:r>
      <w:r>
        <w:rPr>
          <w:rFonts w:ascii="Arial;sans-serif" w:hAnsi="Arial;sans-serif"/>
          <w:b w:val="false"/>
          <w:color w:val="000000"/>
          <w:sz w:val="20"/>
        </w:rPr>
        <w:t>in our 2022 Form 10-K.</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Currently, we believe our labor costs are generally competitive relative to the other large network carriers. However, personnel shortages, in particular for pilots, and general wage inflation stand to impact our labor costs moving forward. Certain of our competitors have recently concluded agreements with their pilots’ unions which include significant increases in pay and benefits. We are currently in negotiations for several important new labor agreements, including with our mainline pilots, and we anticipate that any new contracts we agree with our labor groups will likewise include material increases in salaries and other benefits, which will significantly increase our labor expense.</w:t>
      </w:r>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If we encounter problems with any of our third-party regional operators or third-party service providers, our operations could be adversely affected by a resulting decline in revenue or negative public perception about our services.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A significant portion of our regional operations are conducted by third-party operators on our behalf and are provided for under capacity purchase agreements. Due to our reliance on third parties to provide these essential services, we are subject to the risk of disruptions to their operations, which has in the past and may in the future result from many of the </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59" name="Frame5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90" w:after="283"/>
        <w:jc w:val="both"/>
        <w:rPr>
          <w:rFonts w:ascii="Arial;sans-serif" w:hAnsi="Arial;sans-serif"/>
          <w:b w:val="false"/>
          <w:color w:val="000000"/>
          <w:sz w:val="20"/>
        </w:rPr>
      </w:pPr>
      <w:r>
        <w:rPr>
          <w:rFonts w:ascii="Arial;sans-serif" w:hAnsi="Arial;sans-serif"/>
          <w:b w:val="false"/>
          <w:color w:val="000000"/>
          <w:sz w:val="20"/>
        </w:rPr>
        <w:t>same risk factors disclosed in this report, such as the impact of adverse economic conditions, the inability of third parties to hire or retain skilled personnel, including in particular pilots and mechanics, and other risk factors, such as an out-of-court or bankruptcy restructuring of any of our regional operators. Several of these third-party regional operators provide significant regional capacity that we would be unable to replace in a short period of time should that operator fail to perform its obligations to us. Disruptions to capital markets, shortages of pilots, mechanics and other skilled personnel and adverse economic conditions in general have subjected certain of these third-party regional operators to significant financial pressures, which have in the past and may in the future lead to bankruptcies among these operators. In particular, the severe decline in demand for air travel resulting from the COVID-19 pandemic and related governmental restrictions on travel materially impacted demand for services provided by our regional carriers and, as a result, we temporarily significantly reduced our regional capacity. Further, as airlines attempt to restore capacity in line with increased demand for air travel following the height of the COVID-19 pandemic, these third-party operators have experienced difficulties in recruiting and retaining sufficient personnel to operate significantly increased schedules, and have in some instances been required to offer significant increases in pay and other benefits to recruit and retain pilots and other personnel. Ongoing volatility in travel demand has the potential to continue to adversely affect our regional operators, some of whom may experience significant financial stress, declare bankruptcy or otherwise cease to operate. We may also experience disruption to our regional operations or incur financial damages if we terminate the capacity purchase agreement with one or more of our current operators or transition the services to another provider. Any significant disruption to our regional operations would have a material adverse effect on our business, results of operations and financial condition.</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addition, our reliance upon others to provide essential services on behalf of our operations may result in our relative inability to control the efficiency and timeliness of contract services. We have entered into agreements with contractors to provide various facilities and services required for our operations, including distribution and sale of airline seat inventory, reservations, provision of information technology and services, regional operations, aircraft maintenance, fueling, catering, ground services and facilities and baggage handling. Similar agreements may be entered into in any new markets we decide to serve. These agreements are generally subject to termination after notice by the third-party service provider. We are also at risk should one of these service providers cease operations, and there is no guarantee that we could replace these providers on a timely basis with comparably priced providers, or at all. These third parties are also facing challenges retaining and recruiting people with the appropriate skills to meet our requirements as the economy in general, and the airline industry in particular, continue to recover from the COVID-19 pandemic. The COVID-19 pandemic also caused significant disruption in global supply chains and staffing shortages, which have affected and may continue to affect the availability and timely delivery and fulfillment of many goods, including certain of those that we purchase directly or which are required by third parties to perform contracted services for us. We rely on the operation of complex supply chains and a large number of third parties for the procurement and fulfillment of parts, components, consumable or disposable goods and other products and services essential to our business. Following a faster than expected return of demand for air travel as COVID-19 cases declined worldwide and governments lifted travel restrictions, suppliers and many of the airports we serve experienced acute shortages of personnel, resulting in increased delays, cancellations and, in certain cases, restrictions on passenger numbers or the number of flights to or from certain airports. We cannot guarantee that, as a result of ongoing or future supply chain disruptions or staffing shortages, we, our third-party partners, or the airports we serve will be able to timely source all of the products and services we require in the course of our business, or that we will be successful in procuring suitable alternatives. Any material problems with the adequacy, efficiency and timeliness of contract services, resulting from financial hardships, personnel shortages or otherwise, could have a material adverse effect on our business, results of operations and financial condition.</w:t>
      </w:r>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Any damage to our reputation or brand image could adversely affect our business or financial results.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Maintaining a good reputation globally is critical to our business. Our reputation or brand image could be adversely impacted by, among other things, any failure to maintain high ethical, social and environmental sustainability practices for all of our operations and activities, our impact on the environment, public pressure from investors or policy groups to change our policies, such as movements to institute a “living wage,” customer perceptions of our advertising campaigns, sponsorship arrangements or marketing programs, customer perceptions of our use of social media, or customer perceptions of statements made by us, our employees and executives, agents or other third parties. In addition, we operate in a highly visible industry that has significant exposure to social media. Negative publicity, including as a result of misconduct by our customers, vendors or employees, can spread rapidly through social media. Should we not respond in a timely and appropriate manner to address negative publicity, our brand and reputation may be significantly harmed. Damage to our reputation or brand image or loss of customer confidence in our services could adversely affect our business and financial results, as well as require additional resources to rebuild our reputation.</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0" name="Frame6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Moreover, an outbreak and spread of an infectious disease could adversely impact consumer perceptions of the health and safety of travel, and in particular airline travel, such as occurred during the COVID-19 pandemic. Actual or perceived risk of infection on our flights could have a material adverse effect on the public’s perception of us and may harm our reputation and business. We have in the past, and may in the future be required to take extensive measures to reassure our team members and the traveling public of the safety of air travel, and we could incur significant costs implementing safety, hygiene-related or other actions to limit the actual or perceived threat of infection among our employees and passengers. However, we cannot assure that any actions we might take in response to an infectious disease outbreak will be sufficient to restore the confidence of consumers in the safety of air travel. In addition, as a result of mask mandates and other mitigating measures that airports and carriers were required by law to implement to limit the spread of COVID-19, we experienced an increase in the incidence of aggressive customer behavior and physical confrontation on our flights, certain of which resulted in injuries to our personnel. While the rate of these incidents has declined following the lifting of mask mandates and other COVID-19 measures, if our employees feel unsafe or believe that we are not doing enough to prevent and prosecute such incidents, we could experience higher rates of employee absence or attrition and we may suffer reputational harm which could make it more difficult to attract and retain employees, and which could in turn negatively affect our business, financial condition and results of operations.</w:t>
      </w:r>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We are at risk of losses and adverse publicity stemming from any public incident involving our company, our people or our brand, including any accident or other public incident involving our personnel or aircraft, or the personnel or aircraft of our regional, codeshare or joint business operators.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We are at risk of adverse publicity stemming from any public incident involving our company, our people or our brand, particularly given the ease with which individuals can now capture and rapidly disseminate information via social media. Such an incident could involve the actual or alleged behavior of any of our employees, contractors or passengers. Further, if our personnel, one of our aircraft, a type of aircraft in our fleet, or personnel of, or an aircraft that is operated under our brand by, one of our regional operators or an airline with which we have a marketing alliance, joint business or codeshare relationship, were to be involved in a public incident, accident, catastrophe or regulatory enforcement action, we could be exposed to significant reputational harm and potential legal liability. The insurance we carry may be inapplicable or inadequate to cover any such incident, accident, catastrophe or action. In the event that our insurance is inapplicable or inadequate, we may be forced to bear substantial losses from an incident or accident. In addition, any such incident, accident, catastrophe or action involving our personnel, one of our aircraft (or personnel and aircraft of our regional operators and our codeshare partners), or a type of aircraft in our fleet could create an adverse public perception, which could harm our reputation, result in air travelers being reluctant to fly on our aircraft or those of our regional operators or codeshare partners, and adversely impact our business, results of operations and financial condition.</w:t>
      </w:r>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Changes to our business model that are designed to increase revenues may not be successful and may cause operational difficulties or decreased demand.</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We have in the past instituted, and intend to institute in the future, changes to our business model designed to increase revenues and offset costs. These measures include further segmentation of the classes of service we offer, such as Premium Economy service and Basic Economy service, enhancements to our AAdvantage loyalty program, charging separately for services that had previously been included within the price of a ticket, changes to our practices and contracts with providers of distribution systems to provide additional content flexibility, changing (whether it be increasing, decreasing or eliminating) other pre-existing fees, reconfiguration of our aircraft cabins, and efforts to optimize our network including by focusing growth on a limited number of large hubs and entering into agreements with other airlines. For example, in 2020, we eliminated change fees for most domestic and international tickets, which has reduced our change fee revenue, a trend which is expected to continue assuming this policy remains in place. We may introduce additional initiatives in the future; however, as time goes on, we expect that it will be more difficult to identify and implement additional initiatives. We cannot assure that these measures or any future initiatives will be successful in increasing our revenues or offsetting our costs. Additionally, the implementation of these initiatives may create logistical challenges that could harm the operational performance of our airline or result in decreased demand. Also, our implementation of any new or increased fees might result in adverse brand perceptions, reputational harm or regulatory scrutiny, and could reduce the demand for air travel on our airline or across the industry in general, particularly if weakened economic conditions make our customers more sensitive to increased travel costs or provide a significant competitive advantage to other carriers that determine not to institute similar charges.</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1" name="Frame6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Our intellectual property rights, particularly our branding rights, are valuable, and any inability to protect them may adversely affect our business and financial results.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We consider our intellectual property rights, particularly our branding rights such as our trademarks applicable to our airline and AAdvantage loyalty program, to be a significant and valuable aspect of our business. We protect our intellectual property rights through a combination of trademark, copyright and other forms of legal protection, contractual agreements and policing of third-party misuses of our intellectual property. Our failure to obtain or adequately protect our intellectual property or any change in law that lessens or removes the current legal protections of our intellectual property may diminish our competitiveness and adversely affect our business and financial results. Any litigation or disputes regarding intellectual property may be costly and time-consuming and may divert the attention of our management and key personnel from our business operations, either of which may adversely affect our business and financial results.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addition, we have used certain of our branding and AAdvantage loyalty program intellectual property as collateral for various financings (including the AAdvantage Financing), which contain covenants that impose restrictions on the use of such intellectual property and, in the case of the AAdvantage Financing, on certain amendments or changes to our AAdvantage loyalty program. These covenants may have an adverse effect on our ability to use such intellectual property.</w:t>
      </w:r>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We may be a party to litigation in the normal course of business or otherwise, which could affect our financial position and liquidity.</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From time to time, we are a party to or otherwise involved in legal proceedings, claims and government inspections or investigations and other legal matters, both inside and outside the United States, arising in the ordinary course of our business or otherwise. We are currently involved in various legal proceedings and claims that have not yet been fully resolved, and additional claims may arise in the future. Legal proceedings can be complex and take many months, or even years, to reach resolution, with the final outcome depending on a number of variables, some of which are not within our control. Litigation is subject to significant uncertainty and may be expensive, time-consuming, and disruptive to our operations. Although we will vigorously defend ourselves in such legal proceedings, their ultimate resolution and potential financial and other impacts on us are uncertain. For these and other reasons, we may choose to settle legal proceedings and claims, regardless of their actual merit. If a legal proceeding is resolved against us, it could result in significant compensatory damages, and in certain circumstances punitive or trebled damages, disgorgement of revenue or profits, remedial corporate measures or injunctive relief imposed on us. If our existing insurance does not cover the amount or types of damages awarded, or if other resolution or actions taken as a result of the legal proceeding were to restrain our ability to operate or market our services, our consolidated financial position, results of operations or cash flows could be materially adversely affected. In addition, legal proceedings, and any adverse resolution thereof, can result in adverse publicity and damage to our reputation, which could adversely impact our business. Additional information regarding certain legal matters in which we are involved can be found in Note 12 to each of AAG and American’s Condensed Consolidated Financial Statements in Part I, Item 1A and Part I, Item 1B, respectively.</w:t>
      </w:r>
    </w:p>
    <w:p>
      <w:pPr>
        <w:pStyle w:val="TextBody"/>
        <w:spacing w:lineRule="auto" w:line="288" w:before="270" w:after="283"/>
        <w:jc w:val="both"/>
        <w:rPr>
          <w:rFonts w:ascii="Arial;sans-serif" w:hAnsi="Arial;sans-serif"/>
          <w:b/>
          <w:i/>
          <w:color w:val="000000"/>
          <w:sz w:val="20"/>
        </w:rPr>
      </w:pPr>
      <w:bookmarkStart w:id="0" w:name="i438b0280ec8242f5bc2a674165ceb614_352109"/>
      <w:bookmarkEnd w:id="0"/>
      <w:r>
        <w:rPr>
          <w:rFonts w:ascii="Arial;sans-serif" w:hAnsi="Arial;sans-serif"/>
          <w:b/>
          <w:i/>
          <w:color w:val="000000"/>
          <w:sz w:val="20"/>
        </w:rPr>
        <w:t>Our ability to utilize our NOLs and other carryforwards may be limited.</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Under the Internal Revenue Code of 1986, as amended (the Code), a corporation is generally allowed a deduction for net operating losses (NOLs) carried over from prior taxable years. As of December 31, 2022, we had approximately $16.2 billion of gross federal NOLs and $4.3 billion of other carryforwards available to reduce future federal taxable income, of which $5.9 billion will expire beginning in 2024 if unused and $14.6 billion can be carried forward indefinitely. We also had approximately $6.0 billion of NOL carryforwards to reduce future state taxable income at December 31, 2022, which will expire in taxable years 2022 through 2042 if unused. Our NOL carryforwards are subject to adjustment on audit by the Internal Revenue Service and the respective state taxing authorities. Additionally, due to the impact of the COVID-19 pandemic and other economic factors, certain of the NOL carryforwards may expire before we can generate sufficient taxable income to use them.</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Our ability to use our NOLs and other carryforwards depends on the amount of taxable income generated in future periods. There can be no assurance that an additional valuation allowance on our net deferred tax assets will not be required should our financial performance be negatively impacted in the future. Such valuation allowance could be material.</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A corporation’s ability to deduct its federal NOL carryforwards and to utilize certain other available tax attributes can be substantially constrained under the general annual limitation rules of Section 382 of the Code (Section 382) if it undergoes an “ownership change” as defined in Section 382 (generally where cumulative stock ownership changes among material stockholders exceed 50% during a rolling three-year period). In 2013, we experienced an ownership change in connection with our emergence from bankruptcy and US Airways Group, Inc. (US Airways Group) experienced an ownership change </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62" name="Frame6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connection with the merger of US Airways Group and AMR Corporation (the Merger). The general limitation rules for a debtor in a bankruptcy case are liberalized where the ownership change occurs upon emergence from bankruptcy. We elected to be covered by certain special rules for federal income tax purposes that permitted approximately $9.0 billion (with $4.4 billion of unlimited NOLs still remaining at December 31, 2022) of our federal NOL carryforwards to be utilized without regard to the annual limitation generally imposed by Section 382. If the special rules are determined not to apply, our ability to utilize such federal NOL carryforwards may be subject to limitation. In addition, under the loan program of the Coronavirus Aid, Relief, and Economic Security Act (CARES Act), the warrants (and common stock issuable upon exercise thereof) we issued to the U.S. Department of Treasury (Treasury) did not and will not result in an “ownership change” for purposes of Section 382. This exception does not apply for companies issuing warrants, stock options, common or preferred stock or other equity pursuant to the payroll support program established under the CARES Act (PSP1), the payroll support program established under the Subtitle A of Title IV of Division N of the Consolidated Appropriations Act, 2021 (PSP Extension Law) (PSP2) and the payroll support program established under the American Rescue Plan Act of 2021 (ARP) (PSP3) and accordingly will not apply to the warrants issued by us under PSP1, PSP2 and PSP3. Substantially all of our remaining federal NOL carryforwards attributable to US Airways Group and its subsidiaries are subject to limitation under Section 382 as a result of the Merger; however, our ability to utilize such NOL carryforwards is not anticipated to be effectively constrained as a result of such limitation. Similar limitations may apply for state income tax purposes.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Notwithstanding the foregoing, an ownership change may severely limit or effectively eliminate our ability to utilize our NOL carryforwards and other tax attributes. In connection with the expiration in December 2021 of certain transfer restrictions applicable to substantial shareholders contained in our Certificate of Incorporation, the Board of Directors of AAG adopted a tax benefits preservation plan (the Tax Benefits Preservation Plan) in order to preserve our ability to use our NOLs and certain other tax attributes to reduce potential future income tax obligations. The Tax Benefits Preservation Plan was subsequently ratified by our stockholders at the 2022 Annual Meeting of Stockholders of AAG. The Tax Benefits Preservation Plan is designed to reduce the likelihood that we experience an ownership change by deterring certain acquisitions of AAG common stock. There is no assurance, however, that the deterrent mechanism will be effective, and such acquisitions may still occur. In addition, the Tax Benefits Preservation Plan may adversely affect the marketability of AAG common stock by discouraging existing or potential investors from acquiring AAG common stock or additional shares of AAG common stock, because any non-exempt third party that acquires 4.9% or more of the then-outstanding shares of AAG common stock would suffer substantial dilution of its ownership interest in AAG.</w:t>
      </w:r>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New U.S. tax legislation may adversely affect our financial condition, results of operations and cash flows.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On August 16, 2022, the Inflation Reduction Act (the IRA) was signed into law in the U.S. Among other changes, the IRA introduced a corporate minimum tax on certain corporations with average adjusted financial statement income over a three-tax year period in excess of $1.0 billion and an excise tax on certain stock repurchases by certain covered corporations for taxable years beginning after December 31, 2022. The corporate minimum tax and any excise tax imposed on any repurchases of AAG common stock made after December 31, 2022 may adversely affect our financial condition in the future. The U.S. government may enact additional significant changes to the taxation of business entities including, among others, an increase in the corporate income tax rate, significant changes to the taxation of income derived from international operations, and an addition of further limitations on the deductibility of business interest. We are currently unable to predict whether such additional changes will occur. If such changes are enacted or implemented, we are currently unable to predict the ultimate impact on our business and therefore there can be no assurance our business will not be adversely affected.</w:t>
      </w:r>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We have a significant amount of goodwill, which is assessed for impairment at least annually. In addition, we may never realize the full value of our intangible assets or long-lived assets, causing us to record material impairment charges.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Goodwill and indefinite-lived intangible assets are not amortized, but are assessed for impairment at least annually, or more frequently if conditions indicate that an impairment may have occurred. In accordance with applicable accounting standards, we first assess qualitative factors to determine whether it is necessary to perform a quantitative impairment test. In addition, we are required to assess certain of our other long-lived assets for impairment if conditions indicate that an impairment may have occurred.</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Future impairment of goodwill or other long-lived assets could be recorded in results of operations as a result of changes in assumptions, estimates, or circumstances, some of which are beyond our control. There can be no assurance that a material impairment charge of goodwill or tangible or intangible assets will be avoided. The value of our aircraft could be impacted in future periods by changes in supply and demand for these aircraft. Such changes in supply and </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63" name="Frame6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demand for certain aircraft types could result from grounding of aircraft by us or other airlines, including as a result of significant or prolonged declines in demand for air travel and corresponding reductions to capacity. We can provide no assurance that a material impairment loss of tangible or intangible assets will not occur in a future period; we have previously incurred significant impairment charges associated with our decision to retire certain aircraft as a result of the severe decline in demand for air travel due to the COVID-19 pandemic, and the risk of future material impairments remains uncertain. Such impairment charges could have a material adverse effect on our business, results of operations and financial condition.</w:t>
      </w:r>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The airline industry is intensely competitive and dynamic.</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Our competitors include other major domestic airlines and foreign, regional and new entrant airlines, as well as joint ventures formed by some of these airlines, many of which have greater financial or other resources and/or lower cost structures than ours, as well as other forms of transportation, such as rail and private automobiles or alternatives to commuting or business travel including remote or flexible working policies and communication alternatives such as videoconferencing. In many of our markets, we compete with at least one low-cost carrier (including so-called ultra-low-cost carriers). Our revenues are sensitive to the actions of other carriers in many areas, including pricing, scheduling, capacity, fees (including cancellation, change and baggage fees), amenities, loyalty benefits and promotions, which can have a substantial adverse impact not only on our revenues, but on overall industry revenues. These factors may become even more significant in periods when the industry experiences large losses (such as occurred recently during the COVID-19 pandemic), as airlines under financial stress, or in bankruptcy, may institute pricing or fee structures intended to attract more customers to achieve near-term survival at the expense of long-term viability.</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Low-cost carriers (including so-called ultra-low-cost carriers) have a profound impact on industry revenues. Using the advantage of low unit costs, these carriers offer lower fares in order to shift demand from larger, more established airlines, and represent significant competitors, particularly for customers who fly infrequently, are price sensitive and therefore tend not to be loyal to any one particular carrier. A number of these low-cost carriers have recently commenced operations with the stated intention to grow rapidly. Many of these new and existing carriers have announced growth strategies including commitments to acquire significant numbers of new aircraft for delivery in the next few years. These low-cost carriers are attempting to continue to increase their market share through growth and consolidation, and are expected to continue to have an impact on our revenues and overall performance. We and several other large network carriers have implemented “Basic Economy” fares designed to more effectively compete against low-cost carriers, but we cannot predict whether these initiatives will be successful. While historically these carriers have provided competition in domestic markets, we have recently experienced new competition from low-cost carriers on international routes, including low-cost airlines executing international long-haul expansion strategies, a trend likely to continue, in particular with the planned introduction of long-range narrowbody aircraft in coming years. The actions of existing or future low-cost carriers, including those described above, could have a material adverse effect on our operations and financial performance.</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We provide air travel internationally, directly as well as through joint businesses, alliances, codeshare and similar arrangements to which we are a party. While our network is comprehensive, compared to some of our key global competitors, we generally have somewhat greater relative exposure to certain regions (for example, Latin America) and somewhat lower relative exposure to others (for example, China). Our financial performance relative to our key competitors will therefore be influenced significantly by macro-economic conditions in particular regions around the world and the relative exposure of our network to the markets in those regions, including the duration of declines in demand for travel to specific regions as a result of the COVID-19 pandemic and the speed with which demand for travel to these regions returns.</w:t>
      </w:r>
    </w:p>
    <w:p>
      <w:pPr>
        <w:pStyle w:val="TextBody"/>
        <w:spacing w:lineRule="auto" w:line="288" w:before="180" w:after="283"/>
        <w:ind w:left="0" w:right="0" w:firstLine="270"/>
        <w:jc w:val="both"/>
        <w:rPr/>
      </w:pPr>
      <w:r>
        <w:rPr>
          <w:rFonts w:ascii="Arial;sans-serif" w:hAnsi="Arial;sans-serif"/>
          <w:b w:val="false"/>
          <w:color w:val="000000"/>
          <w:sz w:val="20"/>
        </w:rPr>
        <w:t xml:space="preserve">Our international service exposes us to foreign economies and the potential for reduced demand when any foreign country we serve suffers adverse local economic conditions or if governments restrict commercial air service to or from any of these markets. For example, the COVID-19 pandemic resulted in a precipitous and prolonged decline in demand for air travel, in particular international travel, in part as a result of the imposition by the U.S. and foreign governments of restrictions on travel from certain regions. In addition, open skies agreements, which are now in place with a substantial number of countries around the world, provide international airlines with open access to U.S. markets, potentially subjecting us to increased competition on our international routes. See also </w:t>
      </w:r>
      <w:r>
        <w:rPr>
          <w:color w:val="000000"/>
        </w:rPr>
        <w:t>“</w:t>
      </w:r>
      <w:r>
        <w:rPr>
          <w:rFonts w:ascii="Arial;sans-serif" w:hAnsi="Arial;sans-serif"/>
          <w:b w:val="false"/>
          <w:i/>
          <w:color w:val="000000"/>
          <w:sz w:val="20"/>
        </w:rPr>
        <w:t>Our business is subject to extensive government regulation, which may result in increases in our costs, disruptions to our operations, limits on our operating flexibility, reductions in the demand for air travel, and competitive disadvantages.”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Certain airline alliances, joint ventures and joint businesses have been, or may in the future be, granted immunity from antitrust regulations by governmental authorities for specific areas of cooperation, such as joint pricing decisions. To the extent alliances formed by our competitors can undertake activities that are not available to us, our ability to effectively </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64" name="Frame6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compete may be hindered. Our ability to attract and retain customers is dependent upon, among other things, our ability to offer our customers convenient access to desired markets. Our business could be adversely affected if we are unable to maintain or obtain alliance and marketing relationships with other air carriers in desired markets.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American has established a transatlantic joint business with British Airways, Aer Lingus, Iberia and Finnair, a transpacific joint business with Japan Airlines and a joint business relating to Australia and New Zealand with Qantas, each of which has been granted antitrust immunity. The transatlantic joint business benefits from a grant of antitrust immunity from the United States Department of Transportation (DOT) and was reviewed by the European Commission (EC) in July 2010. In connection with this review, we provided certain commitments to the EC regarding, among other things, the availability of take-off and landing slots at London Heathrow (LHR) or London Gatwick (LGW) airports. The commitments accepted by the EC were binding for 10 years. In October 2018, in anticipation of the exit of the United Kingdom from the European Union (EU), commonly referred to as Brexit, and the expiry of the EC commitments in July 2020, the United Kingdom Competition and Markets Authority (CMA) opened an investigation into the transatlantic joint business. We continue to fully cooperate with the CMA and, in September 2020 and April 2022, the CMA adopted interim measures that effectively extend the EC commitments until March 2026 in light of the uncertainty and other impacts resulting from the COVID-19 pandemic. The CMA plans to complete its investigation before the scheduled expiration of the interim measures in March 2026. The foregoing arrangements are important aspects of our international network and we are dependent on the performance and continued cooperation of the other airlines party to those arrangements. </w:t>
      </w:r>
    </w:p>
    <w:p>
      <w:pPr>
        <w:pStyle w:val="TextBody"/>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We have a marketing relationship, the Northeast Alliance arrangement (NEA), with JetBlue Airways Corporation (JetBlue) that includes an alliance agreement with reciprocal codesharing on certain domestic and international routes from New York (John F. Kennedy International Airport (JFK), LaGuardia Airport (LGA), and Newark Liberty International Airport) and Boston Logan International Airport, and provides for reciprocal loyalty program benefits. The NEA does not include JetBlue’s transatlantic flying. Pursuant to federal law, American and JetBlue submitted this proposed alliance arrangement to the DOT for review. After American, JetBlue and the DOT agreed to a series of commitments (the DOT Agreement), the DOT terminated its review of the proposed alliance in January 2021. The commitments include growth commitments to ensure capacity expansion, slot divestitures at JFK and at Ronald Reagan Washington National Airport (DCA) near Washington, D.C. and antitrust compliance measures. Beyond the DOT Agreement, American and JetBlue will also refrain from certain kinds of coordination on certain city pair markets. Upon the DOT’s termination of its review of the proposed alliance, American and JetBlue implemented the proposed alliance subject to these commitments. On September 21, 2021, the United States Department of Justice (DOJ), joined by Attorneys General from six states and the District of Columbia, filed an antitrust complaint against American and JetBlue in the U.S. District Court for the District of Massachusetts alleging that American and JetBlue violated U.S. antitrust law in connection with the NEA. The parties presented their respective cases in a bench trial that commenced on September 27, 2022. Closing arguments from both parties were presented on November 18, 2022. A decision is expected in the second quarter of 2023. Separately, in December 2022, two putative class action lawsuits were filed in the U.S. District Court for the Eastern District of New York also alleging that the NEA violated U.S. antitrust laws. Those lawsuits, which have been consolidated, seek monetary and injunctive relief. In February 2023, private party plaintiffs filed two additional putative class action antitrust complaints against American and JetBlue in the U.S. District Court for the District of Massachusetts and the U.S. District Court for the Eastern District of New York, respectively. We believe these complaints are without merit and are defending against them vigorously.</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Notwithstanding the DOT’s termination of its reviews of the NEA and certain other alliances, the DOT maintains authority to conduct investigations under the scope of its existing statutes and regulations, including conduct related to this alliance. On September 21, 2021, the DOT published a Clarification Notice relating to the DOT Agreement. The DOT Clarification Notice stated, among other things, that the DOT Agreement remains in force during the pendency of the DOJ action against the NEA and, while the DOT retains independent statutory authority to prohibit unfair methods of competition in air transportation, the DOT intends to defer to the DOJ to resolve the antitrust concerns that the DOJ has identified with respect to the NEA. The DOT simultaneously published a Notice Staying Proceeding in relation to a complaint by Spirit Airlines, Inc. regarding the NEA, pending resolution of the DOJ action described above. On September 30, 2022, the DOT issued a further statement referencing the prior Clarification Notice and, among other things, indicating its intention to continue working with the DOJ in its efforts to resolve the ongoing proceedings regarding the NEA.</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No assurances can be given as to any benefits that we may derive from any of the foregoing arrangements or any other arrangements that may ultimately be implemented, or whether regulators will, or if granted continue to, approve or impose material conditions on our business activities.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Other mergers and other forms of airline partnerships, including antitrust immunity grants, may take place and may not involve us as a participant. Depending on which carriers combine or integrate and which assets, if any, are sold or </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65" name="Frame6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otherwise transferred to other carriers in connection with any such transactions, our competitive position relative to the post-transaction carriers or other carriers that acquire such assets could be harmed. In addition, as carriers combine through traditional mergers or integrate their operations through antitrust immunity grants, their route networks will grow, and that growth will result in greater overlap with our network, which in turn could decrease our overall market share and revenues. Such combination or collaboration is not limited to the U.S., but could include further transactions among international carriers in Europe and elsewhere that result in broader networks offered by rival airlines.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Additionally, our AAdvantage loyalty program, which is an important element of our sales and marketing programs, faces significant and increasing competition from the loyalty programs offered by other travel companies, as well as from similar loyalty benefits offered by banks and other financial services companies. Competition among loyalty programs is intense regarding the rewards, fees, required usage, and other terms and conditions of these programs. In addition, we have used certain assets from our AAdvantage loyalty program as collateral for the AAdvantage Financing, which contains covenants that impose restrictions on certain amendments or changes to certain of our AAdvantage program agreements provided as collateral under the AAdvantage Financing and other aspects of the AAdvantage loyalty program. These competitive factors and covenants (to the extent applicable) may affect our ability to attract and retain customers, increase usage of our loyalty program and maximize the revenue generated by our loyalty program.</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We may also be impacted by competition regulations affecting certain of our major commercial partners, including our co-branded credit card partners. For example, there has previously been bipartisan legislation proposed in Congress called the Credit Card Competition Act designed to increase credit card transaction routing options for merchants which, if enacted, could result in a reduction of the fees levied on credit card transactions. If this legislation were successful, it could fundamentally alter the profitability of our agreements with co-branded credit card partners and the benefits we provide to our consumers through the co-branded credit cards issued by these partners.</w:t>
      </w:r>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The commercial relationships that we have with other companies, including any related equity investments, may not produce the returns or results we expect.</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An important part of our strategy to expand our network has been to initiate or expand our commercial relationships with other airlines, such as by entering into global alliance, joint business and codeshare relationships, and, in certain instances, including China Southern Airlines Company Limited, GOL Linhas Aéreas Inteligentes S.A. and JetSmart Airlines SpA, by making an equity investment in another airline in connection with initiating or expanding such a commercial relationship. We may explore additional investments in, and joint ventures and strategic alliances with, other carriers as part of our global business strategy. We face competition in forming and maintaining these commercial relationships since there are a limited number of potential arrangements and other airlines are looking to enter into similar relationships, and our inability to form or maintain these relationships or inability to form as many of these relationships as our competitors may have an adverse effect on our business. Any such existing or future investment could involve significant challenges and risks, including that we may not realize a satisfactory return on our investment or that they may not generate the expected revenue synergies, and they may distract management focus from our operations or other strategic options. We may also be subject to consequences from any illegal conduct of joint business partners as well as to any political or regulatory change that negatively impacts or prohibits our arrangements with any such business partners. In addition, as a result of the COVID-19 pandemic and subsequent economic recovery, the industry experienced significant volatility in demand for air travel both internationally and domestically, which is expected to continue into the foreseeable future and could materially disrupt our partners’ abilities to provide air service, the timely execution of our strategic operating plans, including the finalization, approval and implementation of new strategic relationships or the maintenance or expansion of existing relationships. If any carriers with which we partner or in which we hold an equity stake were to cease trading or be declared insolvent, we could lose the value of any such investment or experience significant operational disruption. These events could have a material adverse effect on our business, results of operations and financial condition.</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We may also from time to time pursue commercial relationships with companies outside the airline industry, which relationships may include equity investments or other financial commitments. Any such relationship or related investment could involve unique risks, particularly where these relationships involve new industry participants, emerging technologies or industries with which we are unfamiliar.</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66" name="Frame6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Our 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Our operating results are materially impacted by changes in the availability, price volatility and cost of aircraft fuel, which represents one of the largest single cost items in our business and thus is a significant factor in the price of airline tickets. Market prices for aircraft fuel have fluctuated substantially over the past several years and prices continue to be highly volatile, with market spot prices ranging from a low of approximately $0.37 per gallon to a high of approximately $4.40 per gallon during the period from January 1, 2020 to March 31, 2023. </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Because of the amount of fuel needed to operate our business, even a relatively small increase or decrease in the price of fuel can have a material effect on our operating results and liquidity. Due to the competitive nature of the airline industry and unpredictability of the market for air travel, we can offer no assurance that we may be able to increase our fares, impose fuel surcharges or otherwise increase revenues or decrease other operating costs sufficiently to offset fuel price increases. Similarly, we cannot predict actions that may be taken by our competitors in response to changes in fuel prices.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We cannot predict the future availability, price volatility or cost of aircraft fuel. Natural disasters (including hurricanes or similar events in the U.S. Southeast and on the Gulf Coast where a significant portion of domestic refining capacity is located), political disruptions or wars involving oil-producing countries, changes in production levels of individual nations or associations of oil-producing states, economic sanctions imposed against oil-producing countries or specific industry participants, changes in fuel-related governmental policy, the strength of the U.S. dollar against foreign currencies, changes in the cost to transport or store petroleum products and any related staffing or transportation equipment shortages, changes in access to petroleum product pipelines and terminals, speculation in the energy futures markets, changes in aircraft fuel production capacity, environmental concerns and other unpredictable events, may result in fuel supply shortages, distribution challenges, additional fuel price volatility and cost increases in the future. Any of these factors or events could cause a disruption in or increased demands on oil production, refinery operations, pipeline capacity or terminal access and possibly result in significant increases in the price of aircraft fuel and diminished availability of aircraft fuel supply.</w:t>
      </w:r>
    </w:p>
    <w:p>
      <w:pPr>
        <w:pStyle w:val="TextBody"/>
        <w:spacing w:lineRule="auto" w:line="288" w:before="180" w:after="283"/>
        <w:ind w:left="0" w:right="0" w:firstLine="270"/>
        <w:jc w:val="both"/>
        <w:rPr/>
      </w:pPr>
      <w:r>
        <w:rPr>
          <w:rFonts w:ascii="Arial;sans-serif" w:hAnsi="Arial;sans-serif"/>
          <w:b w:val="false"/>
          <w:color w:val="000000"/>
          <w:sz w:val="20"/>
        </w:rPr>
        <w:t xml:space="preserve">Our aviation fuel purchase contracts generally do not provide meaningful price protection against increases in fuel costs. Our current policy is not to enter into transactions to hedge our fuel consumption, although we review this policy from time to time based on market conditions and other factors. Accordingly, as of March 31, 2023, we did not have any fuel hedging contracts outstanding to hedge our fuel consumption. As such, and assuming we do not enter into any future transactions to hedge our fuel consumption, we will continue to be fully exposed to fluctuations in fuel prices. See also the discussion in Part I, Item 3. Quantitative and Qualitative Disclosures About Market Risk – </w:t>
      </w:r>
      <w:r>
        <w:rPr>
          <w:color w:val="000000"/>
        </w:rPr>
        <w:t>“</w:t>
      </w:r>
      <w:r>
        <w:rPr>
          <w:rFonts w:ascii="Arial;sans-serif" w:hAnsi="Arial;sans-serif"/>
          <w:b w:val="false"/>
          <w:i/>
          <w:color w:val="000000"/>
          <w:sz w:val="20"/>
        </w:rPr>
        <w:t>Aircraft Fuel.”</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addition, as part of our emissions reduction targets, we and other airlines have committed to increasing the use of sustainable aviation fuel (SAF) in our fleet. Currently, industrial production of SAF is small in scale and inadequate to meet growing industry demand, and while additional production capacity is expected to come online in coming years, we anticipate that competition for SAF among industry participants will remain intense. As a result, we may need to pay a significant premium for SAF above the price we would pay for conventional jet fuel. To secure future SAF supply, we have entered into multiple agreements for the purchase of future SAF production, and continue to engage with producers regarding potential future SAF purchases, which may include investments to support these producers. Certain existing or potential future agreements pertain to SAF production from facilities that are planned but not yet operational, and which may utilize technology that has not been proven at commercial scale. There is no assurance that these facilities will be built or that they will meet contracted production timelines and volumes. In the event that the SAF is not delivered on schedule or in sufficient volumes, there can be no assurance that we will be able to source a supply of SAF sufficient to meet our stated goals, or that we will be able to do so on favorable economic terms.</w:t>
      </w:r>
    </w:p>
    <w:p>
      <w:pPr>
        <w:pStyle w:val="TextBody"/>
        <w:spacing w:lineRule="auto" w:line="288" w:before="270" w:after="283"/>
        <w:jc w:val="both"/>
        <w:rPr>
          <w:rFonts w:ascii="Arial;sans-serif" w:hAnsi="Arial;sans-serif"/>
          <w:b/>
          <w:i/>
          <w:color w:val="000000"/>
          <w:sz w:val="20"/>
        </w:rPr>
      </w:pPr>
      <w:bookmarkStart w:id="1" w:name="i438b0280ec8242f5bc2a674165ceb614_356340"/>
      <w:bookmarkEnd w:id="1"/>
      <w:r>
        <w:rPr>
          <w:rFonts w:ascii="Arial;sans-serif" w:hAnsi="Arial;sans-serif"/>
          <w:b/>
          <w:i/>
          <w:color w:val="000000"/>
          <w:sz w:val="20"/>
        </w:rPr>
        <w:t>Our business is subject to extensive government regulation, which may result in increases in our costs, disruptions to our operations, limits on our operating flexibility, reductions in the demand for air travel, and competitive disadvantages.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Airlines are subject to extensive domestic and international regulatory requirements. In the last several years, Congress and state and local governments have passed laws and regulatory initiatives, and the DOT, the Federal Aviation Administration (FAA), the Transportation Security Administration and several of their respective international counterparts have issued regulations and a number of other directives, that affect the airline industry. These requirements impose substantial costs on us and restrict the ways we may conduct our business.</w:t>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67" name="Frame6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180" w:after="283"/>
        <w:ind w:left="0" w:right="0" w:firstLine="270"/>
        <w:jc w:val="both"/>
        <w:rPr/>
      </w:pPr>
      <w:r>
        <w:rPr>
          <w:rFonts w:ascii="Arial;sans-serif" w:hAnsi="Arial;sans-serif"/>
          <w:b w:val="false"/>
          <w:color w:val="000000"/>
          <w:sz w:val="20"/>
        </w:rPr>
        <w:t>For example, the FAA from time to time issues directives and other regulations relating to the maintenance and operation of aircraft that require significant expenditures or operational restrictions. These requirements can be issued with little or no notice, or can otherwise impact our ability to efficiently or fully utilize our aircraft, and in some instances have resulted in the temporary and prolonged grounding of aircraft types altogether (including, for example, the March 2019 grounding of all Boeing 737 MAX Family aircraft, which was not lifted in the United States until November 2020), or otherwise caused substantial disruption and resulted in material costs to us and lost revenues. The recent telecom industry roll-out of 5G technology, and concerns regarding its possible interference with aircraft navigation systems, also resulted in regulatory uncertainty and the potential for operational impacts, including possible suspension of service to certain airports or the operation of certain aircraft. See “</w:t>
      </w:r>
      <w:r>
        <w:rPr>
          <w:rFonts w:ascii="Arial;sans-serif" w:hAnsi="Arial;sans-serif"/>
          <w:b w:val="false"/>
          <w:i/>
          <w:color w:val="000000"/>
          <w:sz w:val="20"/>
        </w:rPr>
        <w:t>We rely heavily on technology and automated systems to operate our business, and any failure of these technologies or systems could harm our business, results of operations and financial condition.”</w:t>
      </w:r>
      <w:r>
        <w:rPr>
          <w:color w:val="000000"/>
        </w:rPr>
        <w:t xml:space="preserve"> </w:t>
      </w:r>
      <w:r>
        <w:rPr>
          <w:rFonts w:ascii="Arial;sans-serif" w:hAnsi="Arial;sans-serif"/>
          <w:b w:val="false"/>
          <w:color w:val="000000"/>
          <w:sz w:val="20"/>
        </w:rPr>
        <w:t>The FAA also exercises comprehensive regulatory authority over nearly all technical aspects of our operations. Our failure to comply with such requirements has in the past and may in the future result in fines and other enforcement actions by the FAA or other regulators. The FAA recently issued a final rule implementing flight attendant duty and rest periods, which will impact our scheduling flexibility. In the future, any new regulatory requirements, particularly requirements that limit our ability to operate or price our products, could have a material adverse effect on us and the industry.</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2018, Congress passed a five-year funding authorization for the FAA which is scheduled to expire in September 2023. The legislative process to renew this authorization (the FAA Authorization Renewal) could impact us, and commercial aviation more generally, in numerous ways. As part of the FAA Authorization Renewal, Congress could seek to impose new rules or regulations concerning, among other things, customer service, aviation safety, labor requirements, investments in FAA staffing and resources, improvements to the ATC system and managing new entrants in the U.S. national airspace system, as well as new or increased fees or taxes intended to fund these policies. Any new or enhanced requirements resulting from the FAA Authorization Renewal have the potential to increase our costs or impact our operation. Congressional action on the FAA Authorization Renewal has already begun and Congress has indicated that their goal is to pass the bill in advance of the expiration in September 2023. If Congress fails to pass the FAA Authorization Renewal, we expect passage of an extension of current law to prevent a lapse in authorities.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DOT consumer rules, and rules promulgated by certain analogous agencies in other countries we serve, dictate procedures for many aspects of our customer’s journey, including at the time of ticket purchase, at the airport, and onboard the aircraft. DOT requires multiple disclosures of airline fares, taxes and baggage fees and is further changing these requirements to increase the number of disclosures and the time at which they must be disclosed. DOT also recently issued a proposed rule mandating refunds in certain circumstances, such as a global pandemic. DOT has also proposed rules requiring disclosure of certain ancillary fees by air carriers and travel agents. Finally, DOT will be proposing and implementing a number of new disability regulations that will impact us, including rules for accessible lavatories on single-aisle aircraft, wheelchair damage and prompt wheelchair assistance.</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Aviation and Transportation Security Act mandates the federalization of certain airport security procedures and imposes additional security requirements on airports and airlines, most of which are funded by a per-ticket tax on passengers and a tax on airlines. Present and potential future security requirements can have the effect of imposing costs and inconvenience on travelers, potentially reducing the demand for air travel.</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Similarly, there are a number of legislative and regulatory initiatives and reforms at the state and local levels. These initiatives include increasingly stringent laws to protect the environment, wage/hour requirements, mandatory paid sick or family leave, and healthcare mandates. These laws could affect our relationship with our workforce and the vendors that serve our airline and cause our expenses to increase without an ability to pass through these costs. In recent years, the airline industry has experienced an increase in litigation over the application of state and local employment laws, particularly in California. Application of these laws may result in operational disruption, increased litigation risk and impact our negotiated labor agreements. For example, we are currently involved in legal proceedings brought by flight attendants and certain other work groups in California concerning alleged violations of the state’s labor code including, among other things, violations of certain meal and rest break laws, and an adverse determination in any of these cases could adversely impact our operational flexibility and result in the imposition of damages and fines, which could potentially be significant. Additionally, in September 2021, the Biden Administration issued an executive order mandating a COVID-19 vaccination requirement for federal contractors. Due to a number of our agreements, American is classified as a government contractor. Consistent with this executive order and guidance from the Safer Federal Workforce Task Force responsible for implementing the order, we announced that the federal vaccine mandate would require all of American’s U.S.-based team members and certain international crew members to be vaccinated or be exempt due to an accommodation for a medical disability or sincerely held religious belief. Enforcement of the federal contractor vaccine mandate has been on </w:t>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68" name="Frame6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hold amid multiple ongoing legal challenges. Given the uncertainty of its viability in the courts, the timing of implementation and availability of accommodations, we cannot predict the ultimate impact of this federal vaccination requirement on our business should the federal government move to reinstate and enforce it. Moreover, we may be subject to state and local vaccine mandates and other COVID-19-related requirements governing airports where we operate. While the Occupational Health and Safety Administration (OSHA) has withdrawn its overarching COVID-19 Emergency Temporary Standard, the U.S. Supreme Court has acknowledged that OSHA may issue a revised COVID-19 standard targeted to high-risk occupations or workplaces, which could impact our regional carriers and other service providers.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results of our operations, demand for air travel, and the manner in which we conduct business each may be affected by changes in law and future actions taken by governmental agencies, including:</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changes in law that affect the services that can be offered by airlines in particular markets and at particular airports, or the types of fares offered or fees that can be charged to passengers;</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the granting and timing of certain governmental approvals (including antitrust or foreign government approvals) needed for codesharing alliances, joint businesses and other arrangements with other airlines, and the imposition of regulatory investigations or commencement of litigation related to any of the foregoing (including our arrangements with JetBlue);</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restrictions on competitive practices (for example, court orders, or agency regulations or orders, that would curtail an airline’s ability to respond to a competitor);</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the adoption of new passenger security standards or regulations that impact customer service standards;</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restrictions on airport operations, such as restrictions on the use of slots at airports or the auction or reallocation of slot rights currently held by us;</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the adoption of more restrictive locally-imposed noise restrictions; and</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restrictions on travel or special guidelines regarding aircraft occupancy or hygiene in response to outbreaks of illness, such as occurred during the COVID-19 pandemic, including the imposition of preflight testing regimes or vaccination confirmation requirements which have in the past and may in the future have the effect of reducing demand for air travel in the markets where such requirements are imposed.</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Each additional regulation or other form of regulatory oversight increases costs and adds greater complexity to airline operations and, in some cases, may reduce the demand for air travel. There can be no assurance that the increased costs or greater complexity associated with our compliance with new rules, anticipated rules or other forms of regulatory oversight will not have a material adverse effect on us.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Any significant reduction in air traffic capacity at and in the airspace serving key airports in the U.S. or overseas could have a material adverse effect on our business, results of operations and financial condition. In addition, the ATC system is not successfully modernizing to meet the growing demand for U.S. air travel. Air traffic controllers rely on outdated procedures and technologies that routinely compel airlines, including ourselves, to fly inefficient routes or take significant delays on the ground. The ATC system’s inability to manage existing travel demand has led government agencies to implement short-term capacity constraints during peak travel periods or adverse weather conditions in certain markets, resulting in delays and disruptions of air traffic. The outdated technologies also cause the ATC system to be less resilient in the event of a failure, and past system disruptions have resulted in large-scale flight cancellations and delays. We experienced this challenge in January 2023 when an outage in the ATC Notice to Air Missions system led to a nationwide ground-stop for nearly two hours, resulting in significant operational disruption throughout the day.</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the early 2000s, the FAA embarked on a path to modernize the national airspace system, including migration from the current radar-based ATC system to a GPS-based system. This modernization of the ATC system, generally referred to as “NextGen,” has been plagued by delays and cost overruns, and it remains uncertain when the full array of benefits expected from this modernization will be available to the public and the airlines, including ourselves. Failure to update the ATC system and the substantial costs that may be imposed on airlines, including ourselves, to fund a modernized ATC system may have a material adverse effect on our business.</w:t>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69" name="Frame6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Further, our business has been adversely impacted when government agencies have ceased to operate as expected, including due to partial shut-downs, sequestrations or similar events and the COVID-19 pandemic. These events have resulted in, among other things, reduced demand for air travel, an actual or perceived reduction in air traffic control and security screening resources and related travel delays, as well as disruption in the ability of the FAA to grant required regulatory approvals, such as those that are involved when a new aircraft is first placed into service.</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Our operating authority in international markets is subject to aviation agreements between the U.S. and the respective countries or governmental authorities, such as the EU, and in some cases, fares and schedules require the approval of the DOT and/or the relevant foreign governments. Moreover, alliances with international carriers may be subject to the jurisdiction and regulations of various foreign agencies. The U.S. government has negotiated “open skies” agreements with 130 trading partners, which agreements allow unrestricted route authority access between the U.S. and the foreign markets. While the U.S. has worked to increase the number of countries with which open skies agreements are in effect, a number of markets important to us, including China, do not have open skies agreements. For example, the open skies air services agreement between the U.S. and the EU, which took effect in March 2008, provides airlines from the U.S. and EU member states open access to each other’s markets, with freedom of pricing and unlimited rights to fly from the U.S. to any airport in the EU. As a result of the agreement and a subsequent open skies agreement involving the U.S. and the United Kingdom, which was agreed in anticipation of Brexit, we face increased competition in these markets, including LHR. Bilateral and multilateral agreements among the U.S. and various foreign governments of countries we serve but which are not covered by an open skies treaty are subject to periodic renegotiation. We currently operate a number of international routes under government arrangements that limit the number of airlines permitted to operate on the route, the capacity of the airlines providing services on the route, or the number of airlines allowed access to particular airports. If an open skies policy were to be adopted for any of these markets, it could adversely impact us and could result in impairments of our related tangible and intangible assets. In addition, competition from foreign airlines, revenue-sharing joint ventures, joint business agreements, and other alliance arrangements by and among other airlines could impair the value of our business and assets on the open skies routes.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On May 1, 2021 the EU and United Kingdom entered into a new trade and cooperation agreement (the EU-UK Trade and Cooperation Agreement) to govern certain aspects of their relationship following Brexit. We face risks associated with Brexit, notably given the extent of our passenger and cargo traffic and that of our joint business partners that flows through LHR in the United Kingdom. The EU-UK Trade and Cooperation Agreement includes provisions in relation to commercial air service that we expect to be sufficient to sustain our current services under the transatlantic joint business. However, the scope of traffic rights under the EU-UK Trade and Cooperation Agreement is less extensive than before Brexit and therefore the full impact of the EU-UK Trade and Cooperation Agreement is uncertain. As a result, the continuation of our current services, and those of our partners could be disrupted. This could materially adversely affect our business, results of operations and financial condition. More generally, changes in U.S. or foreign government aviation policies could result in the alteration or termination of such agreements, diminish the value of route authorities, slots or other assets located abroad, or otherwise adversely affect our international operations.</w:t>
      </w:r>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We operate a global business with significant operations outside of the U.S. Our current international activities and prospects have been, and in the future could be, adversely affected by government policies, reversals or delays in the opening of foreign markets, increased competition in international markets, the performance of our alliance, joint business and codeshare partners in a given market, exchange controls or other restrictions on repatriation of funds, currency and political risks (including changes in exchange rates and currency devaluations), environmental regulation, increases in taxes and fees and changes in international governmental regulation of our operations, including the inability to obtain or retain needed route authorities and/or slots. In particular, the COVID-19 pandemic severely impacted the demand for international travel for a prolonged period, and resulted in the imposition of significant governmental restrictions on commercial air service to or from certain regions. We responded by temporarily suspending a significant portion of our long-haul international flights and delaying the introduction of certain new long-haul international routes. While many countries have largely eliminated their pandemic restrictions, or are in the process of doing so, we can provide no assurance as to when demand for international travel will return to pre-COVID-19 pandemic levels, if at all, or whether certain international destinations we previously served will be economical in the future. </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We are subject to varying registration requirements and ongoing reporting obligations in the countries where we operate. Our permission to continue doing business in these countries may depend on our ability to timely fulfil or remedy any noncompliance with these and other governmental requirements. We may also be subject to the risk that relevant </w:t>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0" name="Frame7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government agencies will be delayed in granting or renewing required approvals, including as a result of shutdowns (such as occurred in certain jurisdictions during the COVID-19 pandemic), cybersecurity incidents or other events. Any lapse, revocation, suspension or delay in approval of our authority to do business in a given jurisdiction may prevent us from serving certain destinations and could adversely impact our business, financial condition and results of operations.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More generally, our industry may be affected by any deterioration in global trade relations, including shifts in the trade policies of individual nations. For example, much of the demand for international air travel is the result of business travel in support of global trade. Should protectionist governmental policies, such as increased tariff or other trade barriers, travel limitations and other regulatory actions, have the effect of reducing global commercial activity, the result could be a material decrease in the demand for international air travel. Additionally, certain of the products and services that we purchase, including certain of our aircraft and related parts, are sourced from suppliers located outside the U.S., and the imposition of new tariffs, or any increase in existing tariffs, by the U.S. government in respect of the importation of such products could materially increase the amounts we pay for them.</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We face risks associated with Brexit, notably given the extent of our passenger and cargo traffic and that of our joint business partners that flows through LHR in the United Kingdom. The EU-UK Trade and Cooperation Agreement includes provisions in relation to commercial air service that we expect to be sufficient to sustain our current services under the transatlantic joint business. However, the scope of traffic rights under the EU-UK Trade and Cooperation Agreement is less extensive than before Brexit and therefore the full impact of the EU-UK Trade and Cooperation Agreement is uncertain. As a result, the continuation of our current services, and those of our partners could be disrupted. Moreover, Brexit has created uncertainty as to the future trade relationship between the EU and the United Kingdom, including air traffic services. LHR is presently a very important element of our international network, however it may become less desirable as a destination or as a hub location after Brexit when compared to other airports in Europe. This could materially adversely affect our business, results of operations and financial condition.</w:t>
      </w:r>
    </w:p>
    <w:p>
      <w:pPr>
        <w:pStyle w:val="TextBody"/>
        <w:spacing w:lineRule="auto" w:line="288" w:before="180" w:after="283"/>
        <w:ind w:left="0" w:right="0" w:firstLine="270"/>
        <w:jc w:val="both"/>
        <w:rPr/>
      </w:pPr>
      <w:r>
        <w:rPr>
          <w:rFonts w:ascii="Arial;sans-serif" w:hAnsi="Arial;sans-serif"/>
          <w:b w:val="false"/>
          <w:color w:val="000000"/>
          <w:sz w:val="20"/>
        </w:rPr>
        <w:t xml:space="preserve">Brexit has also led to legal and regulatory uncertainty such as the identity of the relevant regulators, new regulatory action and/or potentially divergent treaties, laws and regulations as the United Kingdom determines which EU treaties, laws and regulations to replace or replicate, including those governing aviation, labor, environmental, data protection/privacy, competition and other matters applicable to the provision of air transportation services by us or our alliance, joint business or codeshare partners. For example, the Retained EU Law (Revocation and Reform) Bill which is currently before the UK Parliament would, if enacted in its current form, “sunset” at the end of 2023 a large part of retained EU legislation that has continued in force in the UK post-Brexit, unless specific action is taken to preserve or delay the “sunset” of individual retained EU legislation. The extent of any such specific action, and therefore the specific retained EU legislation that would “sunset” at the end of 2023, is currently unknown. The impact on our business of any treaties, laws and regulations that replace the existing EU counterparts, or other governmental or regulatory actions taken by the United Kingdom or the EU in connection with or subsequent to Brexit, cannot be predicted, including whether or not regulators will continue to approve or impose material conditions on our business activities such as the transatlantic joint business. See also </w:t>
      </w:r>
      <w:r>
        <w:rPr>
          <w:color w:val="000000"/>
        </w:rPr>
        <w:t>“</w:t>
      </w:r>
      <w:r>
        <w:rPr>
          <w:rFonts w:ascii="Arial;sans-serif" w:hAnsi="Arial;sans-serif"/>
          <w:b w:val="false"/>
          <w:i/>
          <w:color w:val="000000"/>
          <w:sz w:val="20"/>
        </w:rPr>
        <w:t>The airline industry is intensely competitive and dynamic.”</w:t>
      </w:r>
      <w:r>
        <w:rPr>
          <w:color w:val="000000"/>
        </w:rPr>
        <w:t xml:space="preserve"> </w:t>
      </w:r>
      <w:r>
        <w:rPr>
          <w:rFonts w:ascii="Arial;sans-serif" w:hAnsi="Arial;sans-serif"/>
          <w:b w:val="false"/>
          <w:color w:val="000000"/>
          <w:sz w:val="20"/>
        </w:rPr>
        <w:t>Any of these effects, and others we cannot anticipate, could materially adversely affect our business, results of operations and financial condition.</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Additionally, fluctuations in foreign currencies, including devaluations, exchange controls and other restrictions on the repatriation of funds, have significantly affected and may continue to significantly affect our operating performance, liquidity and the value of any cash held outside the U.S. in local currency. Such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w:t>
      </w:r>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We may be adversely affected by conflicts overseas or terrorist attacks; the travel industry continues to face ongoing security concerns.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Acts of terrorism or fear of such attacks, including elevated national threat warnings, wars or other military conflicts, may depress air travel, particularly on international routes, and cause declines in revenues and increases in costs. The attacks of September 11, 2001 and continuing terrorist threats, attacks and attempted attacks materially impacted and continue to impact air travel. Increased security procedures introduced at airports since the attacks of September 11, 2001 and any other such measures that may be introduced in the future generate higher operating costs for airlines. The Aviation and Transportation Security Act mandated improved flight deck security, deployment of federal air marshals on-board flights, improved airport perimeter access security, airline crew security training, enhanced security screening of passengers, baggage, cargo, mail, employees and vendors, enhanced training and qualifications of security screening personnel, additional provision of passenger data to the U.S. Customs and Border Protection Agency and enhanced </w:t>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1" name="Frame7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90" w:after="283"/>
        <w:jc w:val="both"/>
        <w:rPr>
          <w:rFonts w:ascii="Arial;sans-serif" w:hAnsi="Arial;sans-serif"/>
          <w:b w:val="false"/>
          <w:color w:val="000000"/>
          <w:sz w:val="20"/>
        </w:rPr>
      </w:pPr>
      <w:r>
        <w:rPr>
          <w:rFonts w:ascii="Arial;sans-serif" w:hAnsi="Arial;sans-serif"/>
          <w:b w:val="false"/>
          <w:color w:val="000000"/>
          <w:sz w:val="20"/>
        </w:rPr>
        <w:t>background checks. A concurrent increase in airport security charges and procedures, such as restrictions on carry-on baggage, has also had and may continue to have a disproportionate impact on short-haul travel, which constitutes a significant portion of our flying and revenue. Implementation of and compliance with increasingly complex security and customs requirements will continue to result in increased costs for us and our passengers, and have caused and likely will continue to cause periodic service disruptions and delays. We have at times found it necessary or desirable to make significant expenditures to comply with security-related requirements while seeking to reduce their impact on our customers, such as expenditures for automated security screening lines at airports. As a result of competitive pressure, and the need to improve security screening throughput to support the pace of our operations, it is unlikely that we will be able to capture all security-related costs through increased fares. We cannot forecast what new security requirements may be imposed in the future, or their impact on our business. In addition, avoiding areas of armed conflict or locations inaccessible to us due to geopolitical factors can impact our operations and financial results. For instance, airspace closures or restrictions may require us to alter flight paths, thereby increasing the distance, duration and amount of fuel required to operate certain international flights, in particular relative to competitors not subject to these airspace restrictions.</w:t>
      </w:r>
    </w:p>
    <w:p>
      <w:pPr>
        <w:pStyle w:val="TextBody"/>
        <w:spacing w:lineRule="auto" w:line="288" w:before="270" w:after="283"/>
        <w:jc w:val="both"/>
        <w:rPr/>
      </w:pPr>
      <w:bookmarkStart w:id="2" w:name="i438b0280ec8242f5bc2a674165ceb614_356349"/>
      <w:bookmarkEnd w:id="2"/>
      <w:r>
        <w:rPr>
          <w:rFonts w:ascii="Arial;sans-serif" w:hAnsi="Arial;sans-serif"/>
          <w:b/>
          <w:i/>
          <w:color w:val="000000"/>
          <w:sz w:val="20"/>
        </w:rPr>
        <w:t>We are subject to risks associated with climate change, including increased regulation of our CO</w:t>
      </w:r>
      <w:r>
        <w:rPr>
          <w:rFonts w:ascii="Arial;sans-serif" w:hAnsi="Arial;sans-serif"/>
          <w:b/>
          <w:i/>
          <w:color w:val="000000"/>
          <w:sz w:val="13"/>
        </w:rPr>
        <w:t xml:space="preserve">2 </w:t>
      </w:r>
      <w:r>
        <w:rPr>
          <w:rFonts w:ascii="Arial;sans-serif" w:hAnsi="Arial;sans-serif"/>
          <w:b/>
          <w:i/>
          <w:color w:val="000000"/>
          <w:sz w:val="20"/>
        </w:rPr>
        <w:t>emissions, changing consumer preferences and the potential increased impacts of severe weather events on our operations and infrastructure.</w:t>
      </w:r>
    </w:p>
    <w:p>
      <w:pPr>
        <w:pStyle w:val="TextBody"/>
        <w:spacing w:lineRule="auto" w:line="288" w:before="90" w:after="283"/>
        <w:ind w:left="0" w:right="0" w:firstLine="270"/>
        <w:jc w:val="both"/>
        <w:rPr/>
      </w:pPr>
      <w:r>
        <w:rPr>
          <w:rFonts w:ascii="Arial;sans-serif" w:hAnsi="Arial;sans-serif"/>
          <w:b w:val="false"/>
          <w:color w:val="000000"/>
          <w:sz w:val="20"/>
        </w:rPr>
        <w:t>Efforts to transition to a low-carbon future have increased the focus by global, regional and national regulators on climate change and greenhouse gas (GHG) emissions, including carbon dioxide (CO</w:t>
      </w:r>
      <w:r>
        <w:rPr>
          <w:rFonts w:ascii="Arial;sans-serif" w:hAnsi="Arial;sans-serif"/>
          <w:b w:val="false"/>
          <w:color w:val="000000"/>
          <w:sz w:val="13"/>
        </w:rPr>
        <w:t>2</w:t>
      </w:r>
      <w:r>
        <w:rPr>
          <w:rFonts w:ascii="Arial;sans-serif" w:hAnsi="Arial;sans-serif"/>
          <w:b w:val="false"/>
          <w:color w:val="000000"/>
          <w:sz w:val="20"/>
        </w:rPr>
        <w:t>) emissions. In particular, the International Civil Aviation Organization (ICAO) has adopted rules, including those pertaining to the Carbon Offsetting and Reduction Scheme for International Aviation (CORSIA), which will require us to mitigate the growth in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 xml:space="preserve">emissions associated with a significant majority of our international flights. For more information on CORSIA, see </w:t>
      </w:r>
      <w:r>
        <w:rPr>
          <w:color w:val="000000"/>
        </w:rPr>
        <w:t>“</w:t>
      </w:r>
      <w:r>
        <w:rPr>
          <w:rFonts w:ascii="Arial;sans-serif" w:hAnsi="Arial;sans-serif"/>
          <w:b w:val="false"/>
          <w:i/>
          <w:color w:val="000000"/>
          <w:sz w:val="20"/>
        </w:rPr>
        <w:t>Aircraft Emissions and Climate Change Requirements”</w:t>
      </w:r>
      <w:r>
        <w:rPr>
          <w:color w:val="000000"/>
        </w:rPr>
        <w:t xml:space="preserve"> </w:t>
      </w:r>
      <w:r>
        <w:rPr>
          <w:rFonts w:ascii="Arial;sans-serif" w:hAnsi="Arial;sans-serif"/>
          <w:b w:val="false"/>
          <w:color w:val="000000"/>
          <w:sz w:val="20"/>
        </w:rPr>
        <w:t>under Item 1. Business – “</w:t>
      </w:r>
      <w:r>
        <w:rPr>
          <w:rFonts w:ascii="Arial;sans-serif" w:hAnsi="Arial;sans-serif"/>
          <w:b w:val="false"/>
          <w:i/>
          <w:color w:val="000000"/>
          <w:sz w:val="20"/>
        </w:rPr>
        <w:t>Domestic and Global Regulatory Landscape – Environmental Matters”</w:t>
      </w:r>
      <w:r>
        <w:rPr>
          <w:color w:val="000000"/>
        </w:rPr>
        <w:t xml:space="preserve"> </w:t>
      </w:r>
      <w:r>
        <w:rPr>
          <w:rFonts w:ascii="Arial;sans-serif" w:hAnsi="Arial;sans-serif"/>
          <w:b w:val="false"/>
          <w:color w:val="000000"/>
          <w:sz w:val="20"/>
        </w:rPr>
        <w:t>in our 2022 Form 10-K.</w:t>
      </w:r>
    </w:p>
    <w:p>
      <w:pPr>
        <w:pStyle w:val="TextBody"/>
        <w:spacing w:lineRule="auto" w:line="288" w:before="180" w:after="283"/>
        <w:ind w:left="0" w:right="0" w:firstLine="270"/>
        <w:jc w:val="both"/>
        <w:rPr/>
      </w:pPr>
      <w:r>
        <w:rPr>
          <w:rFonts w:ascii="Arial;sans-serif" w:hAnsi="Arial;sans-serif"/>
          <w:b w:val="false"/>
          <w:color w:val="000000"/>
          <w:sz w:val="20"/>
        </w:rPr>
        <w:t>At this time, the costs of complying with our future obligations under CORSIA are uncertain, primarily due to continued volatility in demand for international air travel in the recovery from the COVID-19 pandemic and because there is significant uncertainty with respect to the future supply and price of eligible carbon offset credits and lower-carbon aircraft fuels.</w:t>
      </w:r>
      <w:r>
        <w:rPr>
          <w:color w:val="000000"/>
        </w:rPr>
        <w:t xml:space="preserve"> </w:t>
      </w:r>
      <w:r>
        <w:rPr>
          <w:rFonts w:ascii="Arial;sans-serif" w:hAnsi="Arial;sans-serif"/>
          <w:b w:val="false"/>
          <w:color w:val="000000"/>
          <w:sz w:val="20"/>
        </w:rPr>
        <w:t>In addition, our future CORSIA obligations are uncertain because those obligations are based on the growth in emissions of the global aviation sector and our individual airline emissions will not be incorporated into our CORSIA obligations until 2033. Due to the competitive nature of the airline industry and unpredictability of the market for air travel, we can offer no assurance that we may be able to increase our fares, impose surcharges or otherwise increase revenues or decrease other operating costs sufficiently to offset our costs of meeting obligations under CORSIA.</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CORSIA is a global market-based measure that offers a harmonized way to reduce emissions from international aviation. In the event CORSIA does not come into force as expected or is terminated for whatever reason, we and other airlines could become subject to an unpredictable and inconsistent array of national or regional emissions restrictions, creating a patchwork of complex regulatory requirements that could lead to increased expense related to the emissions of our flights.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Concerns over climate change are likely to result in continued attempts by governments to adopt requirements or change business environments related to aviation that, if successful, may result in increased costs to the airline industry and us. In addition, several countries and U.S. states have adopted or are considering adopting programs, including new taxes, to regulate domestic GHG emissions. Finally, certain airports have adopted, and others could in the future adopt, GHG emission or climate-related goals that could impact our operations or require us to make changes or investments in our infrastructure.</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January 2021, the U.S. Environmental Protection Agency (EPA) adopted GHG emission standards for new aircraft engines, which are aligned with the 2017 ICAO aircraft engine GHG emission standards. Like the ICAO standards, the final EPA standards for new aircraft engines would not apply retroactively to engines already on in-service aircraft. These final standards have been challenged by several states and environmental groups, and the Biden Administration has issued an executive order requiring a review of these final standards. On November 15, 2021, the EPA announced that it would not rewrite the existing aircraft engine GHG emissions standards but would seek more ambitious new aircraft GHG emission standards within the ICAO process. No progress in this regard has been reported to date. The outcome of the legal challenge and the potential impact of the development of new aircraft GHG emissions standards cannot be predicted at this time.</w:t>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72" name="Frame7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EC’s ReFuelEU Aviation initiative (part of its “Fit for 55” program) included a proposal for the creation of a SAF blending mandate for aviation fuel suppliers set at 2% beginning in 2025 and rising to 63% by 2050, among other requirements. The European Parliament (which has proposed stricter targets in relation to SAF blending percentages for 2050) and the European Council have adopted initial negotiating positions with respect to the ReFuelEU Aviation initiative and are currently in negotiations in relation to the final text of the proposed regulation. Individual EU member states have been developing their own requirements including, for example, a 1% SAF mandate in France that came into force on January 1, 2022. Whether and in what form these regulations will be finalized and the potential effects on our business are uncertain at this time.</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Climate change-related regulatory activity and developments may adversely affect our business and financial results by requiring us to reduce our emissions before cost-effective emissions reduction technologies are available, for example through requirements to make capital investments to purchase specific types of equipment or technologies, purchase carbon offset credits, or otherwise incur additional costs related to our emissions. Such activity may also impact us indirectly by increasing our operating costs, including fuel costs.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addition, as part of our emissions reduction targets, we and other airlines have committed to increasing the use of SAF in our fleet. Currently, industrial production of SAF is small in scale and inadequate to meet growing industry demand, and while additional production capacity is expected to come online in coming years, we anticipate that competition for SAF among industry participants will remain intense. As a result, we may need to pay a significant premium for SAF above the price we would pay for conventional jet fuel. To secure future SAF supply, we have entered into multiple agreements for the purchase of future SAF production, and we continue to engage with producers regarding potential future SAF purchases, which may include investments to support these producers. Certain existing or potential future agreements pertain to SAF production from facilities that are planned but not yet operational and which may utilize technology that has not been proven at commercial scale. There is no assurance that these facilities will be built or that they will meet contracted production timelines and volumes. In the event that the SAF is not delivered on schedule or in sufficient volumes, there can be no assurance that we will be able to source a supply of SAF sufficient to meet our stated goals, or that we will be able to do so on favorable economic terms.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Growing recognition among consumers of the dangers of climate change may mean some customers choose to fly less frequently or fly on an airline they perceive as operating in a manner that is more sustainable to the climate. Business customers may choose to use alternatives to travel, such as virtual meetings and workspaces. Greater development of high-speed rail in markets now served by short-haul flights could provide passengers with lower-carbon alternatives to flying with us. Our collateral to secure loans, in the form of aircraft, spare parts and airport slots, could lose value as customer demand shifts and economies move to low-carbon alternatives, which may increase our financing cost.</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Finally, the potential acute and chronic physical effects of climate change, such as increased frequency and severity of storms, floods, fires, sea-level rise, excessive heat, longer-term changes in weather patterns and other climate-related events, could affect our operations, infrastructure and financial results. Operational impacts, such as more frequent or widespread flight cancellations, could result in loss of revenue. We could incur significant costs to improve the climate resiliency of our infrastructure and otherwise prepare for, respond to, and mitigate such physical effects of climate change. We are not able to predict accurately the materiality of any potential losses or costs associated with the physical effects of climate change.</w:t>
      </w:r>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We are subject to many forms of environmental and noise regulation and may incur substantial costs as a result.</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We are subject to a number of increasingly stringent federal, state, local and foreign laws, regulations and ordinances relating to the protection of human health and the environment and noise reduction, including those relating to emissions to the air, discharges to land and surface and subsurface waters, safe drinking water, and the management of hazardous substances, oils and waste materials. This universe of substances is evolving to encompass many substances not previously regulated. Compliance with environmental laws and regulations can require significant expenditures, and violations can lead to significant fines and penalties, as well as civil liability.</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We are also subject to other environmental laws and regulations, including those that require us to investigate and remediate soil or groundwater to meet certain remediation standards. Under federal law, generators of waste materials, and current and former owners or operators of facilities, can be subject to liability for investigation and remediation costs at locations that have been identified as requiring response actions. Liability under these laws may be retroactive, strict, joint and several, meaning that we could be liable for the costs of cleaning up environmental contamination regardless of </w:t>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73" name="Frame7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when it occurred, fault or the amount of waste directly attributable to us. We have liability for investigation and remediation costs at various sites, although such costs currently are not expected to have a material adverse effect on our business.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Governmental authorities in the U.S. and abroad are increasingly focused on potential contamination resulting from the use of certain chemicals, most notably per- and polyfluoroalkyl, substances (PFAS). Products containing PFAS have been used in manufacturing, industrial, and consumer applications over many decades, including those related to aviation. Among other things, recent changes to federal requirements for firefighting foams containing PFAS, as well as related state regulations affecting their use, will require operational changes. On August 26, 2022, the EPA published for public comment a new rulemaking that would designate two PFAS substances (perfluorooctanoic acid and perfluorooctanesulfonic acid) as hazardous substances under the Comprehensive Environmental Response, Compensation, and Liability Act. This rulemaking would require entities to immediately report current and past releases that meet or exceed the reportable quantity for such substances to EPA’s National Response Center. Depending on the final outcome of this rulemaking and the introduction of any additional state or federal regulations, we may incur costs in connection with reporting obligations and costs related to historic usage of PFAS-containing materials, transitioning away from the usage of PFAS-containing products, disposing of PFAS-containing waste or remediating any residual environmental impacts.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We have various leases and agreements with respect to real property, tanks and pipelines with airports and other operators. Under these leases and agreements, we have agreed to indemnify the lessor or operator against environmental liabilities associated with the real property or operations described under the agreement, even in certain cases where we are not the party responsible for the initial event that caused the environmental damage. We also participate in leases with other airlines in fuel consortiums and fuel committees at airports, and such indemnities are generally joint and several among the participating airlines.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Governmental authorities in several U.S. and foreign cities are also considering, or have already implemented, aircraft noise reduction programs, including the imposition of nighttime curfews and limitations on daytime take offs and landings. We have been able to accommodate local noise restrictions imposed to date, but our operations could be adversely affected if locally-imposed regulations become more restrictive or widespread. The FAA is also currently evaluating possible changes to how aircraft noise is measured, and the resulting standards that are based on them. Ultimately, these changes could have an impact on, or limit, our operations, or make it more difficult for the FAA to modernize and increase the efficiency of the airspace and airports we utilize.</w:t>
      </w:r>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A higher than normal number of pilot retirements, more stringent duty time regulations, increased flight hour requirements for commercial airline pilots, reductions in the number of military pilots entering the commercial workforce, increased training requirements and other factors have caused a shortage of pilots that could materially adversely affect our business.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Large numbers of pilots in the industry accepted early retirement during the COVID-19 pandemic or are approaching the FAA’s mandatory retirement age of 65. Our pilots and other employees are subject to rigorous certification standards, and our pilots and other crew members must adhere to flight time and rest requirements. Commencing in 2013, the minimum flight hour requirement to achieve a commercial pilot’s license in the United States increased from 250 to 1,500 hours, thereby significantly increasing the time and cost commitment required to become licensed to fly commercial aircraft. Additionally, the number of military pilots being trained by the U.S. armed forces and available as commercial pilots upon their retirement from military service has been decreasing. Further, in the course of the domestic airline industry rapidly restoring capacity during the recovery from the COVID-19 pandemic, the significant training requirements to return large numbers of pilots to active flying have been time consuming and disruptive. </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These and other factors have contributed to a shortage of qualified, entry-level pilots, shortages of experienced pilots trained and ready for duty, and increased compensation costs materially for pilots throughout the industry. The foregoing factors have also led to increased competition from large, mainline carriers attempting to meet their hiring needs and significant further proposed increases in mainline pilot compensation. We believe that this industry-wide pilot shortage will remain a significant problem for airlines in the United States for the foreseeable future. Our regional airline subsidiaries and other regional partners have recently been unable to hire adequate numbers of pilots to meet their needs, resulting in a reduction in the number of flights offered, disruptions, increased compensation expense and costs of operations, financial difficulties and other adverse effects, and these circumstances may become more severe in the future and thereby cause a material adverse effect on our business.</w:t>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74" name="Frame7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270" w:after="283"/>
        <w:ind w:left="0" w:right="0" w:firstLine="270"/>
        <w:jc w:val="both"/>
        <w:rPr>
          <w:rFonts w:ascii="Arial;sans-serif" w:hAnsi="Arial;sans-serif"/>
          <w:b/>
          <w:i/>
          <w:color w:val="000000"/>
          <w:sz w:val="20"/>
        </w:rPr>
      </w:pPr>
      <w:r>
        <w:rPr>
          <w:rFonts w:ascii="Arial;sans-serif" w:hAnsi="Arial;sans-serif"/>
          <w:b/>
          <w:i/>
          <w:color w:val="000000"/>
          <w:sz w:val="20"/>
        </w:rPr>
        <w:t>We depend on a limited number of suppliers for aircraft, aircraft engines and parts.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We depend on a limited number of suppliers for aircraft, aircraft engines and many aircraft and engine parts. For example, as of the end of 2022, all of our mainline aircraft were manufactured by either Airbus S.A.S. (Airbus) or The Boeing Company (Boeing) and all of our regional aircraft were manufactured by either Bombardier or Embraer. Further, our supplier base continues to consolidate as evidenced by recent transactions involving Airbus and Bombardier and Mitsubishi and Bombardier, and the cessation of production of certain Bombardier regional aircraft that we and our regional partners currently operate in large numbers. Due to the limited number of these suppliers, we are vulnerable to any problems associated with the performance of their obligation to supply key aircraft, parts and engines, including design defects, mechanical problems, contractual performance by suppliers, adverse perception by the public that would result in customer avoidance of any of our aircraft or any action by the FAA or any other regulatory authority resulting in an inability to certify or operate our aircraft, even temporarily. For instance, in March 2019, the FAA ordered the grounding of all Boeing 737 MAX Family aircraft, which remained in place for over a year and was not lifted in the United States until November 2020. More recently, regulatory concerns raised by the FAA forced Boeing to temporarily suspend deliveries of certain 787 aircraft, resulting in significant reductions to our planned long-haul flying. The limited number of these suppliers may also result in reduced competition and potentially higher prices than if the supplier base was less concentrated.</w:t>
      </w:r>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Delays in scheduled aircraft deliveries or other loss of anticipated fleet capacity, and failure of new aircraft to perform as expected, may adversely impact our business, results of operations and financial condition.</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success of our business depends on, among other things, effectively managing the number and types of aircraft we operate. If, for any reason, we are unable to accept or secure deliveries of new aircraft on contractually scheduled delivery dates, this could have negative impacts on our business, results of operations and financial condition. Our failure to integrate newly purchased aircraft into our fleet as planned might require us to seek extensions of the terms for some leased aircraft or otherwise delay the exit of certain aircraft from our fleet. Such unanticipated extensions or delays, which recently have been relatively commonplace among manufacturers of commercial aircraft, may require us to operate existing aircraft beyond the point at which it is economically optimal to retire them, resulting in increased maintenance costs, or reductions to our schedule, thereby reducing revenues. If new aircraft orders are not filled on a timely basis, we could face higher financing and operating costs than planned. In addition, if the aircraft we receive do not meet expected performance or quality standards, including with respect to fuel efficiency, safety and reliability, we could face higher financing and operating costs than planned and our business, results of operations and financial condition could be adversely impacted. For instance, in March 2019, the FAA grounded all Boeing 737 MAX Family aircraft, including the 24 aircraft in our fleet at the time of the grounding, as a result of which we were unable to take delivery of the Boeing 737 MAX Family aircraft we had on order from Boeing. More recently, regulatory concerns raised by the FAA forced Boeing to temporarily suspend deliveries of 787 aircraft, resulting in significant reductions to our planned long-haul flying. Repeated or prolonged delays in the production, delivery or induction of our new aircraft could require us to scale back our growth plans, reduce frequencies or forgo service entirely to certain markets, which could adversely affect our business, financial condition and results of operations.</w:t>
      </w:r>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We rely heavily on technology and automated systems to operate our business, and any failure of these technologies or systems could harm our business, results of operations and financial condition.</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We are highly dependent on existing and emerging technology and automated systems to operate our business. These technologies and systems include our computerized airline reservation system, flight operations and crew scheduling systems, financial planning, management and accounting systems, telecommunications systems, website, maintenance systems and check-in kiosks. In order for our operations to work efficiently, our website and reservation system must be able to accommodate a high volume of traffic, maintain secure information and deliver flight information, as well as issue electronic tickets and process critical financial information in a timely manner. Substantially all of our tickets are issued to passengers as electronic tickets. We depend on our reservation system, which is hosted and maintained under a long-term contract by a third-party service provider, to be able to issue, track and accept these electronic tickets. If our technologies or automated systems are not functioning or if our third-party service providers were to fail to adequately provide technical support, system maintenance or timely software upgrades for any one of our key existing systems, we could experience service disruptions or delays, which could harm our business and result in the loss of important data, increase our expenses and decrease our revenues. Furthermore, certain critical aspects of our operation rely on legacy technological systems which may grow more difficult or expensive to support and maintain over time, and such systems may fail to perform as required or become more vulnerable to malfunction or failure over time. In the event that one or more of our primary technology or systems vendors goes into bankruptcy, ceases operations or fails to perform as </w:t>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75" name="Frame7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90" w:after="283"/>
        <w:jc w:val="both"/>
        <w:rPr>
          <w:rFonts w:ascii="Arial;sans-serif" w:hAnsi="Arial;sans-serif"/>
          <w:b w:val="false"/>
          <w:color w:val="000000"/>
          <w:sz w:val="20"/>
        </w:rPr>
      </w:pPr>
      <w:r>
        <w:rPr>
          <w:rFonts w:ascii="Arial;sans-serif" w:hAnsi="Arial;sans-serif"/>
          <w:b w:val="false"/>
          <w:color w:val="000000"/>
          <w:sz w:val="20"/>
        </w:rPr>
        <w:t>promised, replacement services may not be readily available on a timely basis, at competitive rates or at all, and any transition time to a new system may be significant.</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Our aircraft employ a number of sophisticated radio and satellite-based navigation and safety technologies, and we are subject to risks associated with the introduction or expansion of technologies that could interfere with the safe operation of these flight systems. For example, telecommunications companies are expanding and increasing the commercial and consumer applications of 5G cellular communication networks, and regulators, manufacturers and operators have expressed concerns that certain 5G applications could interfere with certain flight systems. On December 23, 2021, the FAA issued a special airworthiness information bulletin (SAIB), in which it indicated that further testing and assessment is needed regarding the effects of 5G on certain aircraft equipped with radar altimeters, which measure the aircraft’s altitude and guide pilots during landings. If it were determined that 5G signals posed an interference risk to these altimeters or other systems, the FAA indicated in its SAIB that it could restrict flight operations in areas where such interference could occur. On January 18, 2022, major U.S. telecommunications companies agreed to delay the implementation of 5G near airports until July 5, 2022 while working with the FAA to develop long-term mitigations to support safe aviation operations. While the telecommunications industry agreed to delay the activation of 5G transmitters in close proximity to airports, it did move forward with the activation of a vast majority of 5G transmitters away from airports, and we expect that companies will continue expanding their 5G networks over the next several years. As a result, the FAA has taken precautionary steps to mitigate any remaining interference risks, which have resulted in minimal impacts to our operations, particularly in low-visibility conditions at certain airports and with our regional carriers. While we are working closely with the FAA and other aviation industry participants to develop a long-term strategy that permits the full implementation of the 5G spectrum without disruption to safe aviation operations, any new restrictions imposed to mitigate interference risks would require us to adjust our operating procedures and could impact our ability to operate certain aircraft or to serve certain markets. On June 17, 2022, the FAA announced that major U.S. telecommunications companies have agreed to continue to keep 5G mitigations beyond July 5, 2022, but simultaneously announced their expectation that the U.S. mainline commercial fleet to have radio altimeter retrofits or other enhancements in place by July 2023. We have made clear our commitment to updating our aircraft as soon as possible and we have already completed retrofitting our mainline Airbus A320 fleet with updated radio altimeters. We will continue retrofitting aircraft across both our mainline and regional fleets and currently expect completion by July 2023.</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Our technologies and automated systems are not completely protected against events that are beyond our control, including natural disasters, power failures, terrorist attacks, cyber-attacks, data theft, defects, errors, equipment and software failures, computer viruses or telecommunications failures. When service interruptions occur as a result of any of the aforementioned events, we address them in accordance with applicable laws, rules and regulations. However, substantial or sustained system failures could cause service delays or failures and result in our customers purchasing tickets from other airlines. We cannot assure that our security measures, change control procedures or disaster recovery plans are adequate to prevent disruptions or delays. Disruption in or changes to these technologies or systems could result in a disruption to our business and the loss of important data. Any of the foregoing could result in a material adverse effect on our business, results of operations and financial condition.</w:t>
      </w:r>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Evolving data security and privacy requirements (in particular, compliance with applicable federal, state and foreign laws relating to handling of personal information about individuals) could increase our costs, and any significant data security or privacy incident could disrupt our operations, harm our reputation, expose us to legal risks and otherwise materially adversely affect our business, results of operations and financial condition.</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In the normal course of our business, we collect, process, use and disclose personal information about individuals and rely on third party service providers to host or otherwise process personal information. Many federal, state and foreign governmental bodies and agencies have adopted, or are considering adopting, laws and regulations that impose limits on the collection, processing, use, disclosure and security of personal information about individuals. In some cases, such laws and regulations can be enforced by private parties in addition to government entities. In addition, privacy advocacy and industry groups may propose new and different self-regulatory standards or guidance that may legally or contractually apply to us and our vendors. These non-uniform laws, regulations, standards and guidance are complex and currently evolving and can be subject to significant change and interpretation, and may be inconsistently applied and enforced from one jurisdiction to another. </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Our business requires the secure processing and storage of personal information relating to our customers, employees, business partners and others. However, like any global enterprise operating in today’s digital business environment, we have experienced cybersecurity incidents and data breaches. The threat of cybersecurity incidents continues to increase as the frequency, intensity and sophistication of attacks and intrusions increase around the world. </w:t>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76" name="Frame7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Despite ongoing efforts to maintain and improve the security of digital information, individuals, including employees or contractors, may be able to circumvent the security measures we put in place, and we may be unable to anticipate new techniques used for these attacks and intrusions and implement adequate preventative measures. We and our business partners have been the target of cybersecurity attacks and data breaches in the past and expect that we will continue to be in the future. For example, in March 2021, a sub-set of AAdvantage members as well as members of several other major airline loyalty programs received a notification about a security incident involving a limited amount of loyalty data held by a service provider. As another example, in July 2022, a minor phishing incident resulted in certain employee email accounts being accessed and acquired without authorization that contained personal information about a very limited number of individuals, including travelers (following which we notified the individuals). We react and respond to these cybersecurity attacks in accordance with the applicable legal requirements, our own approved cybersecurity protocols, as well as our commercial partners’ standards, but we cannot ensure that our responses will be sufficient to prevent or mitigate the potential adverse impacts of these incidents, which may be material.</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Geopolitical issues continue to increase our cybersecurity risk and potential for cybersecurity incidents, for example, the conflict involving Russia and Ukraine, which has resulted in a heightened risk of cyberattacks against companies like ours that have operations, vendors and/or supply chain providers located in or around the region of conflict or are otherwise related to the conflict.</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There has been heightened legislative and regulatory focus on data privacy and cybersecurity in the U.S., the EU, China and elsewhere, particularly with respect to critical infrastructure providers, including those in the transportation sector. As a result, we must comply with a proliferating and fast-evolving set of legal requirements in this area, including substantive data privacy and cybersecurity standards as well as requirements for notifying regulators and affected individuals in the event of a data security incident. This regulatory environment is increasingly challenging and may present material obligations and risks to our business, including significantly expanded compliance burdens, costs and enforcement risks.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addition, many of our commercial partners, including credit card companies, have imposed data security standards that we must meet. In particular, we are required by the Payment Card Industry Security Standards Council, founded by the credit card companies, to comply with their highest level of data security standards. While we continue our efforts to meet these standards, new and revised standards may be imposed that may be difficult for us to meet and could increase our costs.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Significant cybersecurity incidents involving us or one of our AAdvantage partners or other business partners have in the past and may in the future result in a range of potentially material negative consequences for us, including unauthorized access to, disclosure, modification, misuse, loss or destruction of company systems or data; theft of sensitive, regulated or confidential data, such as personal information or our intellectual property; the loss of functionality of critical systems through ransomware, denial of service or other attacks; a diminished ability to retain or attract new customers; a deterioration in our relationships with business partners and other third parties; interruptions or failures in our payment related systems; and business delays, service or system disruptions, damage to equipment and injury to persons or property. The methods used to obtain unauthorized access, disable or degrade service or sabotage systems are constantly evolving and may be difficult to anticipate or to detect for long periods of time. The constantly changing nature of the threats means that we cannot and have not been able to prevent all data security breaches or misuse of data. Similarly, we depend on the ability of our key commercial partners, including AAdvantage partners, other business partners, our regional carriers, distribution partners and technology vendors, to conduct their businesses in a manner that complies with applicable security standards and assures their ability to perform on a timely basis. A security failure, including a failure to meet relevant payment security standards, breach or other significant cybersecurity incident affecting one of our partners, interruptions or failures in our payment related systems, could result in potentially material negative consequences for us, including loss of critical data, service interruptions and the potential for fines, restrictions and expulsion from card acceptance programs. In addition, we use third-party service providers to help us deliver services to customers. These service providers may store personal information, credit card information and/or other confidential information. Such information may be the target of unauthorized access or subject to security breaches because of third-party action, employee error, malfeasance or otherwise. Any of these could (a) result in the loss of information, litigation, indemnity obligations, expensive and inconsistent cybersecurity incident and data breach notification requirements, damage to our reputation, regulatory scrutiny, and other liability, or (b) have a material adverse effect on our business, financial condition and results of operations.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The costs and operational consequences of defending against, preparing for, responding to and remediating an incident of cybersecurity breach may be substantial. As cybersecurity threats become more frequent, intense and sophisticated, costs of proactive defense measures are increasing. Further, we could be exposed to litigation, regulatory </w:t>
      </w: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77" name="Frame7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enforcement or other legal action as a result of an incident, carrying the potential for damages, fines, sanctions or other penalties, as well as injunctive relief and enforcement actions requiring costly compliance measures. A significant number of recent privacy and data security incidents, including those involving other large airlines, have resulted in very substantial adverse financial consequences to those companies. A cybersecurity incident could also impact our brand, including that of the AAdvantage program, harm our reputation and adversely impact our relationship with our customers, employees and stockholders. The increased regulatory focus on data privacy practices apart from how personal data is secured, such as how personal data is collected, used for marketing purposes, and shared with third parties, also may require changes to our processes and increase compliance costs. There is also an increased risk to our business in the event of a significant data privacy violation, including additional compliance costs, reputational harm, disruption to the manner in which we provide our services, including the geographies we service, and being subject to complaints and/or regulatory investigations, significant monetary liability, fines, penalties, regulatory enforcement, individual or class action lawsuits, public criticism, loss of customers, loss of goodwill or other additional liabilities, such as claims by industry groups or other third parties. Accordingly, failure to appropriately address data privacy and cybersecurity issues could result in material financial and other liabilities and cause significant reputational harm to our company.</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addition, litigation, claims and enforcement related to privacy, biometrics and other provisions of state privacy laws may involve new interpretations of privacy laws. Compliance with these laws and regulations may be inconsistent from jurisdiction to jurisdiction, increasing the cost of compliance and our risk of liability from litigation. Any litigation, claims or enforcement actions to which we are or become a party could potentially result in substantial monetary damages or fines.</w:t>
      </w:r>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We rely on third-party distribution channels and must manage effectively the costs, rights and functionality of these channels.</w:t>
      </w:r>
    </w:p>
    <w:p>
      <w:pPr>
        <w:pStyle w:val="TextBody"/>
        <w:spacing w:lineRule="auto" w:line="288" w:before="90" w:after="283"/>
        <w:ind w:left="0" w:right="0" w:firstLine="270"/>
        <w:jc w:val="both"/>
        <w:rPr/>
      </w:pPr>
      <w:r>
        <w:rPr>
          <w:rFonts w:ascii="Arial;sans-serif" w:hAnsi="Arial;sans-serif"/>
          <w:b w:val="false"/>
          <w:color w:val="000000"/>
          <w:sz w:val="20"/>
        </w:rPr>
        <w:t>We rely on third-party distribution channels, including those provided by or through global distribution systems (GDSs) (e.g., Amadeus, Sabre and Travelport), conventional travel agents</w:t>
      </w:r>
      <w:r>
        <w:rPr>
          <w:rFonts w:ascii="Times New Roman;sans-serif" w:hAnsi="Times New Roman;sans-serif"/>
          <w:b w:val="false"/>
          <w:color w:val="000000"/>
          <w:sz w:val="20"/>
        </w:rPr>
        <w:t>,</w:t>
      </w:r>
      <w:r>
        <w:rPr>
          <w:color w:val="000000"/>
        </w:rPr>
        <w:t xml:space="preserve"> </w:t>
      </w:r>
      <w:r>
        <w:rPr>
          <w:rFonts w:ascii="Arial;sans-serif" w:hAnsi="Arial;sans-serif"/>
          <w:b w:val="false"/>
          <w:color w:val="000000"/>
          <w:sz w:val="20"/>
        </w:rPr>
        <w:t xml:space="preserve">travel management companies and online travel agents (OTAs) (e.g., Expedia, including its booking sites Orbitz and Travelocity, and Booking Holdings, including its booking sites Kayak and Priceline), to distribute a significant portion of our airline tickets, and we expect in the future to continue to rely on these channels. We are also dependent upon the ability and willingness of these distribution channels to expand their ability to distribute and collect revenues for ancillary products (e.g., fees for selective seating). These distribution channels are more expensive and at present have less functionality in respect of ancillary product offerings than those we operate ourselves, such as our website at </w:t>
      </w:r>
      <w:r>
        <w:rPr>
          <w:rFonts w:ascii="Arial;sans-serif" w:hAnsi="Arial;sans-serif"/>
          <w:b w:val="false"/>
          <w:i/>
          <w:color w:val="000000"/>
          <w:sz w:val="20"/>
        </w:rPr>
        <w:t>www.aa.com</w:t>
      </w:r>
      <w:r>
        <w:rPr>
          <w:rFonts w:ascii="Arial;sans-serif" w:hAnsi="Arial;sans-serif"/>
          <w:b w:val="false"/>
          <w:color w:val="000000"/>
          <w:sz w:val="20"/>
        </w:rPr>
        <w:t xml:space="preserve">. Certain of these distribution channels also effectively restrict the manner in which we distribute our products generally. </w:t>
      </w:r>
    </w:p>
    <w:p>
      <w:pPr>
        <w:pStyle w:val="TextBody"/>
        <w:spacing w:lineRule="auto" w:line="288" w:before="180" w:after="283"/>
        <w:ind w:left="0" w:right="0" w:firstLine="270"/>
        <w:jc w:val="both"/>
        <w:rPr/>
      </w:pPr>
      <w:r>
        <w:rPr>
          <w:rFonts w:ascii="Arial;sans-serif" w:hAnsi="Arial;sans-serif"/>
          <w:b w:val="false"/>
          <w:color w:val="000000"/>
          <w:sz w:val="20"/>
        </w:rPr>
        <w:t>To remain competitive, we will need to manage successfully our distribution costs and rights, increase our distribution flexibility and improve the functionality of our distribution channels, while maintaining an industry-competitive cost structure. Further, as distribution technology changes we will need to continue to update our technology by acquiring new technology from third parties, building the functionality ourselves, or a combination, which in any event will likely entail significant technological and commercial risk and involve potentially material investments. These imperatives may affect our relationships with conventional travel agents</w:t>
      </w:r>
      <w:r>
        <w:rPr>
          <w:rFonts w:ascii="Times New Roman;sans-serif" w:hAnsi="Times New Roman;sans-serif"/>
          <w:b w:val="false"/>
          <w:color w:val="000000"/>
          <w:sz w:val="20"/>
        </w:rPr>
        <w:t>,</w:t>
      </w:r>
      <w:r>
        <w:rPr>
          <w:color w:val="000000"/>
        </w:rPr>
        <w:t xml:space="preserve"> </w:t>
      </w:r>
      <w:r>
        <w:rPr>
          <w:rFonts w:ascii="Arial;sans-serif" w:hAnsi="Arial;sans-serif"/>
          <w:b w:val="false"/>
          <w:color w:val="000000"/>
          <w:sz w:val="20"/>
        </w:rPr>
        <w:t>travel management companies, GDSs and OTAs, including if consolidation of conventional travel agents, travel management companies, GDSs or OTAs continues, or should any of these parties seek to acquire other technology providers thereby potentially limiting our technology alternatives. Any inability to manage our third-party distribution costs, rights and functionality at a competitive level or any material diminishment or disruption in the distribution of our tickets could have a material adverse effect on our business, results of operations and financial condition.</w:t>
      </w:r>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order to operate our existing and proposed flight schedule and, where desirable, add service along new or existing routes, we must be able to maintain and/or obtain adequate gates, check-in counters, operations areas, operations control facilities and administrative support space. As airports around the world become more congested, it may not be possible for us to ensure that our plans for new service can be implemented in a commercially viable manner, given operating constraints at airports throughout our network, including those imposed by inadequate facilities at desirable airports.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In light of constraints on existing facilities, there is presently a significant amount of capital spending underway at major airports in the United States, including large projects underway at a number of airports where we have significant operations, such as Chicago O’Hare International Airport (ORD), Dallas/Fort Worth International Airport, JFK and Los Angeles International Airport (LAX). This spending is expected to result in increased costs to airlines and the traveling </w:t>
      </w: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78" name="Frame7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180" w:after="283"/>
        <w:jc w:val="both"/>
        <w:rPr/>
      </w:pPr>
      <w:r>
        <w:rPr>
          <w:rFonts w:ascii="Arial;sans-serif" w:hAnsi="Arial;sans-serif"/>
          <w:b w:val="false"/>
          <w:color w:val="000000"/>
          <w:sz w:val="20"/>
        </w:rPr>
        <w:t>public that use those facilities as the airports seek to recover their investments through increased rental, landing and other facility costs. In some circumstances, such costs could be imposed by the relevant airport authority without our approval. Accordingly, our operating costs are expected to increase significantly at many airports at which we operate, including a number of our hubs and gateways, as a result of capital spending projects currently underway and additional projects that we expect to commence over the next several years</w:t>
      </w:r>
      <w:r>
        <w:rPr>
          <w:rFonts w:ascii="Times New Roman;sans-serif" w:hAnsi="Times New Roman;sans-serif"/>
          <w:b w:val="false"/>
          <w:color w:val="000000"/>
          <w:sz w:val="20"/>
        </w:rPr>
        <w:t>.</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addition, operations at three major domestic airports, certain smaller domestic airports and many foreign airports we serve are regulated by governmental entities through allocations of slots or similar regulatory mechanisms that limit the rights of carriers to conduct operations at those airports. Each slot represents the authorization to land at or take off from the particular airport during a specified time period and may impose other operational restrictions as well. In the U.S., the DOT and the FAA currently regulate the allocation of slots or slot exemptions at DCA and two New York City airports: JFK and LGA. Our operations at these airports generally require the allocation of slots or similar regulatory authority. In addition to slot restrictions, operations at DCA and LGA are also limited based on a so-called “perimeter rule” which generally limits the stage length of the flights that can be operated from those airports to 1,250 and 1,500 miles, respectively. Similarly, our operations at LHR, international airports in Beijing, Frankfurt, Paris, Tokyo and other airports outside the U.S. are regulated by local slot authorities pursuant to the International Airline Trade Association Worldwide Scheduling Guidelines and/or applicable local law. Termination of slot controls at some or all of the foregoing airports could affect our operational performance and competitive position. We currently have sufficient slots or analogous authorizations to operate our existing flights and we have generally, but not always, been able to obtain the rights to expand our operations and to change our schedules. However, there is no assurance that we will be able to obtain sufficient slots or analogous authorizations in the future or as to the cost of acquiring such rights because, among other reasons, such allocations are often sought after by other airlines and are subject to changes in governmental policies. Due to the dramatic reduction in air travel during the COVID-19 pandemic, we relied in many instances on exemptions granted by applicable authorities from the requirement that we continuously use certain slots, gates and routes or risk having such operating rights revoked, and depending on the applicable authority these exemptions can vary in the way they are structured and applied. We cannot predict whether such exemptions will continue to be made available, whether they will be granted on the same or similar terms, or whether we ultimately could be at risk of losing valuable operating rights. If we are forced to surrender slots, we may be unable to provide our desired level of service to or from certain destinations in the future. We cannot provide any assurance that regulatory changes resulting in changes in the application of slot controls or the allocation of or any reallocation of existing slots, the continued enforcement or termination of a perimeter rule or similar regulatory regime will not have a material adverse impact on our operations.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Our ability to provide service can also be impaired at airports, such as LAX and ORD where the airport gates and other facilities are currently inadequate to accommodate all of the service that we would like to provide, or airports such as Dallas Love Field Airport where we have no access to gates at all.</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Any limitation on our ability to acquire or maintain adequate gates, ticketing facilities, operations areas, operations control facilities, slots (where applicable), or office space could have a material adverse effect on our business, results of operations and financial condition.</w:t>
      </w:r>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Interruptions or disruptions in service at one of our key facilities could have a material adverse impact on our operations.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We operate principally through our hubs in Charlotte, Chicago, Dallas/Fort Worth, Los Angeles, Miami, New York, Philadelphia, Phoenix and Washington, D.C. and partner gateways including London Heathrow (among others). Substantially all of our flights either originate at or fly into one of these locations. A significant interruption or disruption in service at one of our hubs, gateways or other airports where we have a significant presence, resulting from air traffic control delays, weather conditions, natural disasters, growth constraints, performance by third-party service providers (such as electric utility or telecommunications providers), failure of computer systems, disruptions at airport facilities or other key facilities used by us to manage our operations (including as a result of social or environmental activism), labor relations, power supplies, fuel supplies, terrorist activities, or otherwise could result in the cancellation or delay of a significant portion of our flights and, as a result, could have a severe impact on our business, results of operations and financial condition. We have limited control, particularly in the short term, over the operation, quality or maintenance of many of the services on which our operations depend and over whether vendors of such services will improve or continue to provide services that are essential to our business.</w:t>
      </w: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79" name="Frame7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Increases in insurance costs or reductions in insurance coverage may adversely impact our operations and financial results.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terrorist attacks of September 11, 2001 led to a significant increase in insurance premiums and a decrease in the insurance coverage available to commercial air carriers. Accordingly, our insurance costs increased significantly, and our ability to continue to obtain insurance even at current prices remains uncertain. The occurrence or persistence of certain events, including armed conflicts, could also impact our ability to obtain commercial insurance coverage against certain risks, or to obtain such insurance on commercially acceptable terms. If we are unable to maintain adequate insurance coverage or to secure suitable alternatives outside the commercial insurance markets, our business could be materially and adversely affected. Additionally, severe disruptions in the domestic and global financial markets could adversely impact the claims paying ability of some insurers. Future downgrades in the ratings of enough insurers could adversely impact both the availability of appropriate insurance coverage and its cost. Because of competitive pressures in our industry, our ability to pass along additional insurance costs to passengers is limited. As a result, further increases in insurance costs or reductions in available insurance coverage could have an adverse impact on our financial results.</w:t>
      </w:r>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The airline industry is heavily taxed.</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per-passenger facility charge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our operating expenses, they represent an additional cost to our customers. There are continuing efforts in Congress and in other countries to raise different portions of the various taxes, fees, and charges imposed on airlines and their passengers, including the passenger facility charge, and we may not be able to recover all of these charges from our customers. Increases in such taxes, fees and charges could negatively impact our business, results of operations and financial condition.</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Under DOT regulations,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pStyle w:val="TextBody"/>
        <w:spacing w:lineRule="auto" w:line="288" w:before="270" w:after="283"/>
        <w:jc w:val="both"/>
        <w:rPr>
          <w:rFonts w:ascii="Arial;sans-serif" w:hAnsi="Arial;sans-serif"/>
          <w:b/>
          <w:color w:val="000000"/>
          <w:sz w:val="20"/>
          <w:u w:val="single"/>
        </w:rPr>
      </w:pPr>
      <w:r>
        <w:rPr>
          <w:rFonts w:ascii="Arial;sans-serif" w:hAnsi="Arial;sans-serif"/>
          <w:b/>
          <w:color w:val="000000"/>
          <w:sz w:val="20"/>
          <w:u w:val="single"/>
        </w:rPr>
        <w:t>Risks Related to Ownership of AAG Common Stock and Convertible Notes</w:t>
      </w:r>
    </w:p>
    <w:p>
      <w:pPr>
        <w:pStyle w:val="TextBody"/>
        <w:spacing w:lineRule="auto" w:line="288" w:before="90" w:after="283"/>
        <w:jc w:val="both"/>
        <w:rPr>
          <w:rFonts w:ascii="Arial;sans-serif" w:hAnsi="Arial;sans-serif"/>
          <w:b/>
          <w:i/>
          <w:color w:val="000000"/>
          <w:sz w:val="20"/>
        </w:rPr>
      </w:pPr>
      <w:r>
        <w:rPr>
          <w:rFonts w:ascii="Arial;sans-serif" w:hAnsi="Arial;sans-serif"/>
          <w:b/>
          <w:i/>
          <w:color w:val="000000"/>
          <w:sz w:val="20"/>
        </w:rPr>
        <w:t>The price of AAG common stock has been and may in the future be volatile.</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market price of AAG common stock has fluctuated substantially in the past, and may fluctuate substantially in the future, due to a variety of factors, many of which are beyond our control, including:</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the effects of the COVID-19 pandemic on our business or the U.S. and global economies;</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macro-economic conditions, including the price of fuel;</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changes in market values of airline companies as well as general market conditions;</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our operating and financial results failing to meet the expectations of securities analysts or investors;</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changes in financial estimates or recommendations by securities analysts;</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changes in our level of outstanding indebtedness and other obligations;</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changes in our credit ratings;</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material announcements by us or our competitors;</w:t>
      </w: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0" name="Frame8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expectations regarding any future capital deployment program, including share repurchase programs and any future dividend payments that may be declared by our Board of Directors, or any subsequent determination to cease repurchasing stock or paying dividends;</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new regulatory pronouncements and changes in regulatory guidelines;</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general and industry-specific economic conditions;</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changes in our key personnel;</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public or private sales of a substantial number of shares of AAG common stock or issuances of AAG common stock upon the exercise or conversion of restricted stock unit awards, stock appreciation rights, or other securities that may be issued from time to time, including warrants we have issued in connection with our receipt of funds under the CARES Act, the PSP Extension Law and the ARP;</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increases or decreases in reported holdings by insiders or other significant stockholders;</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fluctuations in trading volume; and</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technical factors in the public trading market for our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securities, access to margin debt, trading in options and other derivatives on our common stock and any related hedging and other technical trading factors.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The closing price of our common stock on the Nasdaq Global Select Market varied from $11.86 to $20.22 during 2022 and $12.74 to $17.08 during 2023 year-to-date through April 21, 2023. At times, fluctuations in our stock price have been rapid, imposing risks on investors due to the possibility of significant, short-term price volatility. While we believe that in recent years this wide range of trading prices has largely reflected the changing prospects for a large airline facing the challenges imposed by the COVID-19 pandemic, we also believe, based in part on the commentary of market analysts, that the trading price of our common stock has at times been influenced by the technical trading factors discussed in the last bullet above. On some occasions, market analysts have explained fluctuations in our stock price by reference to purported “short squeeze” activity. A “short squeeze” is a technical market condition that occurs when the price of a stock increases substantially, forcing market participants who had taken a position that its price would fall (i.e., who had sold the stock “short”), to buy it, which in turn may create significant, short-term demand for the stock not for fundamental reasons, but rather due to the need for such market participants to acquire the stock in order to forestall the risk of even greater losses. A “short squeeze” condition in the market for a stock can lead to short-term conditions involving very high volatility and trading that may or may not track fundamental valuation models. </w:t>
      </w:r>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If we do decide to make repurchases of or pay dividends on our common stock, we cannot guarantee that we will continue to do so or that such a capital deployment program will enhance long-term stockholder value.</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connection with the financial assistance provided under PSP1, PSP2 and PSP3, we agreed not to repurchase shares of AAG common stock through September 30, 2022. Following the expiration of these restrictions, if we determine to make any share repurchases in the future, such repurchases may be made through a variety of methods, which may include open market purchases, privately negotiated transactions, block trades or accelerated share repurchase transactions. Our future repurchases of AAG common stock, if any, may be limited, suspended or discontinued at any time at our discretion and without prior notice.</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connection with the financial assistance provided under PSP1, PSP2 and PSP3, we also agreed not to pay dividends on AAG common stock through September 30, 2022. Following the expiration of these restrictions, if we determine to make any dividends in the future, such dividends that may be declared and paid from time to time will be subject to market and economic conditions, applicable legal requirements and other relevant factors. The amount and timing of any future dividends, if any, may vary, and the payment of any dividend does not assure that we will pay dividends in the future.</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In addition, any future repurchases of AAG common stock or payment of dividends, or any determination to cease repurchasing stock or paying dividends, could affect our stock price and increase its volatility. The existence of a future share repurchase program and any future dividends could cause our stock price to be higher than it would otherwise be and could potentially reduce the market liquidity for our stock. Additionally, any future repurchases of AAG common stock </w:t>
      </w: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1" name="Frame8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or payment of dividends will diminish our cash reserves, which may impact our ability to finance future growth and to pursue possible future strategic opportunities and acquisitions. Further, our repurchase of AAG common stock may fluctuate such that our cash flow may be insufficient to fully cover our share repurchases. Under the recently enacted IRA, we may become subject to an excise tax on the fair market value of AAG common stock repurchased after December 31, 2022, which may adversely affect our financial condition. Although our share repurchase programs are intended to enhance long-term stockholder value, there is no assurance that they will do so.</w:t>
      </w:r>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AAG’s Certificate of Incorporation, Bylaws and Tax Benefit Preservation Plan include provisions that limit voting and acquisition and disposition of our equity interests and specify an exclusive forum for certain stockholder disputes.</w:t>
      </w:r>
    </w:p>
    <w:p>
      <w:pPr>
        <w:pStyle w:val="TextBody"/>
        <w:spacing w:lineRule="auto" w:line="288" w:before="90" w:after="283"/>
        <w:ind w:left="0" w:right="0" w:firstLine="270"/>
        <w:jc w:val="both"/>
        <w:rPr/>
      </w:pPr>
      <w:r>
        <w:rPr>
          <w:rFonts w:ascii="Arial;sans-serif" w:hAnsi="Arial;sans-serif"/>
          <w:b w:val="false"/>
          <w:color w:val="000000"/>
          <w:sz w:val="20"/>
        </w:rPr>
        <w:t>Our Certificate of Incorporation and Bylaws include significant provisions that limit voting and ownership and disposition of our equity interests as described in Part II, Item 5. Market for American Airlines Group’s Common Stock, Related Stockholder Matters and Issuer Purchases of Equity Securities – “</w:t>
      </w:r>
      <w:r>
        <w:rPr>
          <w:rFonts w:ascii="Arial;sans-serif" w:hAnsi="Arial;sans-serif"/>
          <w:b w:val="false"/>
          <w:i/>
          <w:color w:val="000000"/>
          <w:sz w:val="20"/>
        </w:rPr>
        <w:t>Ownership Restrictions”</w:t>
      </w:r>
      <w:r>
        <w:rPr>
          <w:color w:val="000000"/>
        </w:rPr>
        <w:t xml:space="preserve"> </w:t>
      </w:r>
      <w:r>
        <w:rPr>
          <w:rFonts w:ascii="Arial;sans-serif" w:hAnsi="Arial;sans-serif"/>
          <w:b w:val="false"/>
          <w:color w:val="000000"/>
          <w:sz w:val="20"/>
        </w:rPr>
        <w:t>and AAG’s Description of the Registrants’ Securities Registered Pursuant to Section 12 of the Securities Exchange Act of 1934, which is filed as Exhibit 4.1 in our 2022 Form 10-K. Further restrictions are set forth in our Tax Benefit Preservation Plan. These restrictions may adversely affect the ability of certain holders of AAG common stock and our other equity interests to vote such interests and adversely affect the ability of persons to acquire shares of AAG common stock and our other equity interests.</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Our Certificate of Incorporation also specifies that the Court of Chancery of the State of Delaware shall be the exclusive forum for substantially all disputes between us and our stockholders. Because the applicability of the exclusive forum provision is limited to the extent permitted by applicable law, we do not intend for the exclusive forum provision to apply to suits brought to enforce any duty or liability created by the Exchange Act or any other claim for which the federal courts have exclusive jurisdiction, and acknowledge that federal courts have concurrent jurisdiction over all suits brought to enforce any duty or liability created by the Securities Act of 1933, as amended (Securities Act). We note that there is uncertainty as to whether a court would enforce the provision as it applies to the Securities Act and that investors cannot waive compliance with the federal securities laws and the rules and regulations thereunder. This provision may have the effect of discouraging lawsuits against our directors and officers.</w:t>
      </w:r>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Certain provisions of AAG’s Certificate of Incorporation and Bylaws make it difficult for stockholders to change the composition of our Board of Directors and may discourage takeover attempts that some of our stockholders might consider beneficial.</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Certain provisions of our Certificate of Incorporation and Bylaws, as currently in effect, may have the effect of delaying or preventing changes in control if our Board of Directors determines that such changes in control are not in our best interest and the best interest of our stockholders. These provisions include, among other things, the following:</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advance notice procedures for stockholder proposals to be considered at stockholders’ meetings;</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the ability of our Board of Directors to fill vacancies on the board;</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a prohibition against stockholders taking action by written consent;</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stockholders are restricted from calling a special meeting unless they hold at least 20% of our outstanding shares and follow the procedures provided for in the amended Bylaws;</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a requirement that holders of at least 80% of the voting power of the shares entitled to vote in the election of directors approve any amendment of our Bylaws submitted to stockholders for approval; and</w:t>
      </w:r>
    </w:p>
    <w:p>
      <w:pPr>
        <w:pStyle w:val="TextBody"/>
        <w:spacing w:lineRule="auto" w:line="288" w:before="180" w:after="283"/>
        <w:ind w:left="0" w:right="0" w:hanging="720"/>
        <w:jc w:val="both"/>
        <w:rPr/>
      </w:pPr>
      <w:r>
        <w:rPr>
          <w:color w:val="000000"/>
        </w:rPr>
        <w:t>•</w:t>
      </w:r>
      <w:r>
        <w:rPr>
          <w:rFonts w:ascii="Arial;sans-serif" w:hAnsi="Arial;sans-serif"/>
          <w:b w:val="false"/>
          <w:color w:val="000000"/>
          <w:sz w:val="20"/>
        </w:rPr>
        <w:t>super-majority voting requirements to modify or amend specified provisions of our Certificate of Incorporation.</w:t>
      </w:r>
    </w:p>
    <w:p>
      <w:pPr>
        <w:pStyle w:val="TextBody"/>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These provisions are not intended to prevent a takeover, but are intended to protect and maximize the value of the interests of our stockholders. While these provisions have the effect of encouraging persons seeking to acquire control of our company to negotiate with our Board of Directors, they could enable our Board of Directors to prevent a transaction that some, or a majority, of our stockholders might believe to be in their best interest and, in that case, may prevent or discourage attempts to remove and replace incumbent directors. In addition, we are subject to the provisions of Section 203 of the Delaware General Corporation Law, which prohibits business combinations with interested </w:t>
      </w: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82" name="Frame8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stockholders. Interested stockholders do not include stockholders whose acquisition of our securities is approved by the Board of Directors prior to the investment under Section 203.</w:t>
      </w:r>
    </w:p>
    <w:p>
      <w:pPr>
        <w:pStyle w:val="TextBody"/>
        <w:spacing w:lineRule="auto" w:line="288" w:before="270" w:after="283"/>
        <w:jc w:val="both"/>
        <w:rPr>
          <w:rFonts w:ascii="Arial;sans-serif" w:hAnsi="Arial;sans-serif"/>
          <w:b/>
          <w:i/>
          <w:color w:val="000000"/>
          <w:sz w:val="20"/>
        </w:rPr>
      </w:pPr>
      <w:r>
        <w:rPr>
          <w:rFonts w:ascii="Arial;sans-serif" w:hAnsi="Arial;sans-serif"/>
          <w:b/>
          <w:i/>
          <w:color w:val="000000"/>
          <w:sz w:val="20"/>
        </w:rPr>
        <w:t>The issuance or sale of shares of our common stock, rights to acquire shares of our common stock, or warrants issued to Treasury under the CARES Act, the PSP Extension Law, the ARP, PSP1, PSP2 and PSP3, could depress the trading price of our common stock and the Convertible Notes.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We may conduct future offerings of material amounts of our common stock, preferred stock or other securities that are convertible into or exercisable for our common stock to finance our operations, to fund acquisitions, or for any other purposes at any time and from time to time (including as compensation to the U.S. Government for the proceeds received pursuant to PSP1, PSP2 or PSP3). If these additional shares or securities are issued or sold, or if it is perceived that they will be sold, into the public market or otherwise, the trading price of our common stock and the 6.50% convertible senior notes due 2025 (the Convertible Notes) could decline substantially. If we issue additional shares of our common stock or rights to acquire shares of our common stock, if any of our existing stockholders sells a substantial amount of our common stock, or if the market perceives that such issuances or sales may occur, then the trading price of our common stock and the Convertible Notes could decline substantially.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83" name="Frame8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270" w:after="283"/>
        <w:jc w:val="both"/>
        <w:rPr>
          <w:rFonts w:ascii="Arial;sans-serif" w:hAnsi="Arial;sans-serif"/>
          <w:b/>
          <w:color w:val="000000"/>
          <w:sz w:val="20"/>
        </w:rPr>
      </w:pPr>
      <w:r>
        <w:rPr>
          <w:rFonts w:ascii="Arial;sans-serif" w:hAnsi="Arial;sans-serif"/>
          <w:b/>
          <w:color w:val="000000"/>
          <w:sz w:val="20"/>
        </w:rPr>
        <w:t>ITEM 6. EXHIBITS</w:t>
      </w:r>
    </w:p>
    <w:p>
      <w:pPr>
        <w:pStyle w:val="TextBody"/>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Exhibits required to be filed by Item 601 of Regulation S-K: Where the amount of securities authorized to be issued under any of our long-term debt agreements does not exceed 10% of our assets, pursuant to paragraph (b)(4) of Item 601 of Regulation S-K, in lieu of filing such as an exhibit, we hereby agree to furnish to the Commission upon request a copy of any agreement with respect to such long-term debt.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left"/>
        <w:tblInd w:w="0" w:type="dxa"/>
        <w:tblCellMar>
          <w:top w:w="28" w:type="dxa"/>
          <w:left w:w="28" w:type="dxa"/>
          <w:bottom w:w="28" w:type="dxa"/>
          <w:right w:w="28" w:type="dxa"/>
        </w:tblCellMar>
      </w:tblPr>
      <w:tblGrid>
        <w:gridCol w:w="272"/>
        <w:gridCol w:w="239"/>
        <w:gridCol w:w="240"/>
        <w:gridCol w:w="2888"/>
        <w:gridCol w:w="2708"/>
        <w:gridCol w:w="3858"/>
      </w:tblGrid>
      <w:tr>
        <w:trPr/>
        <w:tc>
          <w:tcPr>
            <w:tcW w:w="27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708" w:type="dxa"/>
            <w:tcBorders/>
            <w:shd w:fill="auto" w:val="clear"/>
            <w:vAlign w:val="center"/>
          </w:tcPr>
          <w:p>
            <w:pPr>
              <w:pStyle w:val="TableContents"/>
              <w:spacing w:before="0" w:after="283"/>
              <w:rPr>
                <w:sz w:val="4"/>
                <w:szCs w:val="4"/>
              </w:rPr>
            </w:pPr>
            <w:r>
              <w:rPr>
                <w:sz w:val="4"/>
                <w:szCs w:val="4"/>
              </w:rPr>
            </w:r>
          </w:p>
        </w:tc>
        <w:tc>
          <w:tcPr>
            <w:tcW w:w="3858" w:type="dxa"/>
            <w:tcBorders/>
            <w:shd w:fill="auto" w:val="cle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Exhibit</w:t>
            </w:r>
          </w:p>
          <w:p>
            <w:pPr>
              <w:pStyle w:val="TableContents"/>
              <w:spacing w:lineRule="auto" w:line="240" w:before="0" w:after="0"/>
              <w:jc w:val="center"/>
              <w:rPr>
                <w:rFonts w:ascii="Arial;sans-serif" w:hAnsi="Arial;sans-serif"/>
                <w:b/>
                <w:color w:val="000000"/>
                <w:sz w:val="16"/>
                <w:u w:val="single"/>
              </w:rPr>
            </w:pPr>
            <w:r>
              <w:rPr>
                <w:rFonts w:ascii="Arial;sans-serif" w:hAnsi="Arial;sans-serif"/>
                <w:b/>
                <w:color w:val="000000"/>
                <w:sz w:val="16"/>
                <w:u w:val="single"/>
              </w:rPr>
              <w:t>Number</w:t>
            </w:r>
          </w:p>
        </w:tc>
        <w:tc>
          <w:tcPr>
            <w:tcW w:w="9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Description</w:t>
            </w:r>
          </w:p>
        </w:tc>
      </w:tr>
      <w:tr>
        <w:trPr/>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9454"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pPr>
            <w:hyperlink r:id="rId2">
              <w:r>
                <w:rPr>
                  <w:rStyle w:val="InternetLink"/>
                  <w:rFonts w:ascii="Arial;sans-serif" w:hAnsi="Arial;sans-serif"/>
                  <w:b w:val="false"/>
                  <w:color w:val="0000FF"/>
                  <w:sz w:val="20"/>
                  <w:u w:val="single"/>
                </w:rPr>
                <w:t>Indenture, dated as of February 15, 2023, by and among American Airlines, Inc., American Airlines Group Inc. and Wilmington Trust, National Association, as trustee and as collateral agent (incorporated by reference to Exhibit 4.1 to AAG’s Current Report on Form 8-K filed on February 15, 2023 (Commission File No. 1-8400)).</w:t>
              </w:r>
            </w:hyperlink>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9454"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pPr>
            <w:hyperlink r:id="rId3">
              <w:r>
                <w:rPr>
                  <w:rStyle w:val="InternetLink"/>
                  <w:rFonts w:ascii="Arial;sans-serif" w:hAnsi="Arial;sans-serif"/>
                  <w:b w:val="false"/>
                  <w:color w:val="0000FF"/>
                  <w:sz w:val="20"/>
                  <w:u w:val="single"/>
                </w:rPr>
                <w:t>Form of 7.25% Senior Secured Notes due 2028 (incorporated by reference to Exhibit A to Exhibit 4.1 AAG’s Current Report on Form 8-K filed on February 15, 2023 (Commission File No. 1-8400)).</w:t>
              </w:r>
            </w:hyperlink>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9454"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pPr>
            <w:hyperlink w:anchor="a101letteragreementdatedja.htm">
              <w:r>
                <w:rPr>
                  <w:rStyle w:val="InternetLink"/>
                  <w:rFonts w:ascii="Arial;sans-serif" w:hAnsi="Arial;sans-serif"/>
                  <w:b w:val="false"/>
                  <w:color w:val="0000FF"/>
                  <w:sz w:val="20"/>
                  <w:u w:val="single"/>
                </w:rPr>
                <w:t>Letter Agreement, dated as of January 19, 2023, to Purchase Agreement No. 3219 dated as of October 15, 2008, by and between American Airlines, Inc. and The Boeing Company.*</w:t>
              </w:r>
            </w:hyperlink>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9454"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pPr>
            <w:hyperlink w:anchor="a102supplementalagreementn.htm">
              <w:r>
                <w:rPr>
                  <w:rStyle w:val="InternetLink"/>
                  <w:rFonts w:ascii="Arial;sans-serif" w:hAnsi="Arial;sans-serif"/>
                  <w:b w:val="false"/>
                  <w:color w:val="0000FF"/>
                  <w:sz w:val="20"/>
                  <w:u w:val="single"/>
                </w:rPr>
                <w:t>Supplemental Agreement No. 18, dated as of February 9, 2023, to Purchase Agreement No. 3219 dated as of October 15, 2008, by and between American Airlines, Inc. and The Boeing Company.*</w:t>
              </w:r>
            </w:hyperlink>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9454"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pPr>
            <w:hyperlink w:anchor="ex311q12310q.htm">
              <w:r>
                <w:rPr>
                  <w:rStyle w:val="InternetLink"/>
                  <w:rFonts w:ascii="Arial;sans-serif" w:hAnsi="Arial;sans-serif"/>
                  <w:b w:val="false"/>
                  <w:color w:val="0000FF"/>
                  <w:sz w:val="20"/>
                  <w:u w:val="single"/>
                </w:rPr>
                <w:t>Certification of AAG Chief Executive Officer pursuant to Rule 13a-14(a).</w:t>
              </w:r>
            </w:hyperlink>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9454"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pPr>
            <w:hyperlink w:anchor="ex312q12310q.htm">
              <w:r>
                <w:rPr>
                  <w:rStyle w:val="InternetLink"/>
                  <w:rFonts w:ascii="Arial;sans-serif" w:hAnsi="Arial;sans-serif"/>
                  <w:b w:val="false"/>
                  <w:color w:val="0000FF"/>
                  <w:sz w:val="20"/>
                  <w:u w:val="single"/>
                </w:rPr>
                <w:t>Certification of AAG Chief Financial Officer pursuant to Rule 13a-14(a).</w:t>
              </w:r>
            </w:hyperlink>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31.3</w:t>
            </w:r>
          </w:p>
        </w:tc>
        <w:tc>
          <w:tcPr>
            <w:tcW w:w="9454"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pPr>
            <w:hyperlink w:anchor="ex313q12310q.htm">
              <w:r>
                <w:rPr>
                  <w:rStyle w:val="InternetLink"/>
                  <w:rFonts w:ascii="Arial;sans-serif" w:hAnsi="Arial;sans-serif"/>
                  <w:b w:val="false"/>
                  <w:color w:val="0000FF"/>
                  <w:sz w:val="20"/>
                  <w:u w:val="single"/>
                </w:rPr>
                <w:t>Certification of American Chief Executive Officer pursuant to Rule 13a-14(a).</w:t>
              </w:r>
            </w:hyperlink>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31.4</w:t>
            </w:r>
          </w:p>
        </w:tc>
        <w:tc>
          <w:tcPr>
            <w:tcW w:w="9454"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pPr>
            <w:hyperlink w:anchor="ex314q12310q.htm">
              <w:r>
                <w:rPr>
                  <w:rStyle w:val="InternetLink"/>
                  <w:rFonts w:ascii="Arial;sans-serif" w:hAnsi="Arial;sans-serif"/>
                  <w:b w:val="false"/>
                  <w:color w:val="0000FF"/>
                  <w:sz w:val="20"/>
                  <w:u w:val="single"/>
                </w:rPr>
                <w:t>Certification of American Chief Financial Officer pursuant to Rule 13a-14(a).</w:t>
              </w:r>
            </w:hyperlink>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9454"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pPr>
            <w:hyperlink w:anchor="ex321q12310q.htm">
              <w:r>
                <w:rPr>
                  <w:rStyle w:val="InternetLink"/>
                  <w:rFonts w:ascii="Arial;sans-serif" w:hAnsi="Arial;sans-serif"/>
                  <w:b w:val="false"/>
                  <w:color w:val="0000FF"/>
                  <w:sz w:val="20"/>
                  <w:u w:val="single"/>
                </w:rPr>
                <w:t>AAG Certification pursuant to Rule 13a-14(b) and section 906 of the Sarbanes-Oxley Act of 2002 (subsections (a) and (b) of section 1350, chapter 63 of title 18, United States Code).</w:t>
              </w:r>
            </w:hyperlink>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32.2</w:t>
            </w:r>
          </w:p>
        </w:tc>
        <w:tc>
          <w:tcPr>
            <w:tcW w:w="9454"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pPr>
            <w:hyperlink w:anchor="ex322q12310q.htm">
              <w:r>
                <w:rPr>
                  <w:rStyle w:val="InternetLink"/>
                  <w:rFonts w:ascii="Arial;sans-serif" w:hAnsi="Arial;sans-serif"/>
                  <w:b w:val="false"/>
                  <w:color w:val="0000FF"/>
                  <w:sz w:val="20"/>
                  <w:u w:val="single"/>
                </w:rPr>
                <w:t>American Certification pursuant to Rule 13a-14(b) and section 906 of the Sarbanes-Oxley Act of 2002 (subsections (a) and (b) of section 1350, chapter 63 of title 18, United States Code).</w:t>
              </w:r>
            </w:hyperlink>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101.1</w:t>
            </w:r>
          </w:p>
        </w:tc>
        <w:tc>
          <w:tcPr>
            <w:tcW w:w="9454"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Arial;sans-serif" w:hAnsi="Arial;sans-serif"/>
                <w:b w:val="false"/>
                <w:color w:val="000000"/>
                <w:sz w:val="20"/>
              </w:rPr>
            </w:pPr>
            <w:r>
              <w:rPr>
                <w:rFonts w:ascii="Arial;sans-serif" w:hAnsi="Arial;sans-serif"/>
                <w:b w:val="false"/>
                <w:color w:val="000000"/>
                <w:sz w:val="20"/>
              </w:rPr>
              <w:t>Interactive data files pursuant to Rule 405 of Regulation S-T, formatted in Inline XBRL (eXtensible Business Reporting Language).</w:t>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104.1</w:t>
            </w:r>
          </w:p>
        </w:tc>
        <w:tc>
          <w:tcPr>
            <w:tcW w:w="9454"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Arial;sans-serif" w:hAnsi="Arial;sans-serif"/>
                <w:b w:val="false"/>
                <w:color w:val="000000"/>
                <w:sz w:val="20"/>
              </w:rPr>
            </w:pPr>
            <w:r>
              <w:rPr>
                <w:rFonts w:ascii="Arial;sans-serif" w:hAnsi="Arial;sans-serif"/>
                <w:b w:val="false"/>
                <w:color w:val="000000"/>
                <w:sz w:val="20"/>
              </w:rPr>
              <w:t>Cover page interactive data file (formatted in Inline XBRL and contained in Exhibit 101.1).</w:t>
            </w:r>
          </w:p>
        </w:tc>
      </w:tr>
      <w:tr>
        <w:trPr/>
        <w:tc>
          <w:tcPr>
            <w:tcW w:w="751" w:type="dxa"/>
            <w:gridSpan w:val="3"/>
            <w:tcBorders/>
            <w:shd w:fill="auto" w:val="clear"/>
            <w:vAlign w:val="center"/>
          </w:tcPr>
          <w:p>
            <w:pPr>
              <w:pStyle w:val="TableContents"/>
              <w:spacing w:before="0" w:after="283"/>
              <w:rPr>
                <w:sz w:val="4"/>
                <w:szCs w:val="4"/>
              </w:rPr>
            </w:pPr>
            <w:r>
              <w:rPr>
                <w:sz w:val="4"/>
                <w:szCs w:val="4"/>
              </w:rPr>
            </w:r>
          </w:p>
        </w:tc>
        <w:tc>
          <w:tcPr>
            <w:tcW w:w="9454" w:type="dxa"/>
            <w:gridSpan w:val="3"/>
            <w:tcBorders/>
            <w:shd w:fill="auto" w:val="clear"/>
            <w:vAlign w:val="center"/>
          </w:tcPr>
          <w:p>
            <w:pPr>
              <w:pStyle w:val="TableContents"/>
              <w:spacing w:before="0" w:after="283"/>
              <w:rPr>
                <w:sz w:val="4"/>
                <w:szCs w:val="4"/>
              </w:rPr>
            </w:pPr>
            <w:r>
              <w:rPr>
                <w:sz w:val="4"/>
                <w:szCs w:val="4"/>
              </w:rPr>
            </w:r>
          </w:p>
        </w:tc>
      </w:tr>
      <w:tr>
        <w:trPr/>
        <w:tc>
          <w:tcPr>
            <w:tcW w:w="751" w:type="dxa"/>
            <w:gridSpan w:val="3"/>
            <w:tcBorders/>
            <w:shd w:fill="auto" w:val="clear"/>
            <w:vAlign w:val="center"/>
          </w:tcPr>
          <w:p>
            <w:pPr>
              <w:pStyle w:val="TableContents"/>
              <w:spacing w:before="0" w:after="283"/>
              <w:rPr>
                <w:sz w:val="4"/>
                <w:szCs w:val="4"/>
              </w:rPr>
            </w:pPr>
            <w:r>
              <w:rPr>
                <w:sz w:val="4"/>
                <w:szCs w:val="4"/>
              </w:rPr>
            </w:r>
          </w:p>
        </w:tc>
        <w:tc>
          <w:tcPr>
            <w:tcW w:w="945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80"/>
        <w:jc w:val="both"/>
        <w:rPr>
          <w:rFonts w:ascii="Arial;sans-serif" w:hAnsi="Arial;sans-serif"/>
          <w:b w:val="false"/>
          <w:color w:val="000000"/>
          <w:sz w:val="20"/>
        </w:rPr>
      </w:pPr>
      <w:r>
        <w:rPr>
          <w:rFonts w:ascii="Arial;sans-serif" w:hAnsi="Arial;sans-serif"/>
          <w:b w:val="false"/>
          <w:color w:val="000000"/>
          <w:sz w:val="20"/>
        </w:rPr>
        <w:t>* Portions of this exhibit have been omitted in accordance with Item 601(b)(10) of Regulation S-K.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84" name="Frame8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83</w:t>
                      </w:r>
                    </w:p>
                  </w:txbxContent>
                </v:textbox>
              </v:rect>
            </w:pict>
          </mc:Fallback>
        </mc:AlternateContent>
      </w:r>
    </w:p>
    <w:p>
      <w:pPr>
        <w:pStyle w:val="TextBody"/>
        <w:spacing w:lineRule="auto" w:line="288" w:before="0" w:after="0"/>
        <w:jc w:val="both"/>
        <w:rPr/>
      </w:pPr>
      <w:hyperlink w:anchor="i46fbc2c07ce748d68317b3440587c97f_7">
        <w:r>
          <w:rPr>
            <w:rStyle w:val="InternetLink"/>
          </w:rPr>
          <w:t>T</w:t>
        </w:r>
      </w:hyperlink>
      <w:hyperlink w:anchor="i46fbc2c07ce748d68317b3440587c97f_7">
        <w:r>
          <w:rPr>
            <w:rStyle w:val="InternetLink"/>
          </w:rPr>
          <w: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lineRule="auto" w:line="288" w:before="0" w:after="0"/>
        <w:jc w:val="both"/>
        <w:rPr>
          <w:color w:val="000000"/>
        </w:rPr>
      </w:pPr>
      <w:r>
        <w:rPr>
          <w:color w:val="000000"/>
        </w:rPr>
        <w:t> </w:t>
      </w:r>
    </w:p>
    <w:tbl>
      <w:tblPr>
        <w:tblW w:w="7540" w:type="dxa"/>
        <w:jc w:val="left"/>
        <w:tblInd w:w="0" w:type="dxa"/>
        <w:tblCellMar>
          <w:top w:w="28" w:type="dxa"/>
          <w:left w:w="28" w:type="dxa"/>
          <w:bottom w:w="28" w:type="dxa"/>
          <w:right w:w="28" w:type="dxa"/>
        </w:tblCellMar>
      </w:tblPr>
      <w:tblGrid>
        <w:gridCol w:w="667"/>
        <w:gridCol w:w="585"/>
        <w:gridCol w:w="592"/>
        <w:gridCol w:w="134"/>
        <w:gridCol w:w="134"/>
        <w:gridCol w:w="136"/>
        <w:gridCol w:w="109"/>
        <w:gridCol w:w="109"/>
        <w:gridCol w:w="109"/>
        <w:gridCol w:w="1452"/>
        <w:gridCol w:w="1452"/>
        <w:gridCol w:w="2061"/>
      </w:tblGrid>
      <w:tr>
        <w:trPr/>
        <w:tc>
          <w:tcPr>
            <w:tcW w:w="667"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2" w:type="dxa"/>
            <w:tcBorders/>
            <w:shd w:fill="auto" w:val="clear"/>
            <w:vAlign w:val="center"/>
          </w:tcPr>
          <w:p>
            <w:pPr>
              <w:pStyle w:val="TableContents"/>
              <w:spacing w:before="0" w:after="283"/>
              <w:rPr>
                <w:sz w:val="4"/>
                <w:szCs w:val="4"/>
              </w:rPr>
            </w:pPr>
            <w:r>
              <w:rPr>
                <w:sz w:val="4"/>
                <w:szCs w:val="4"/>
              </w:rPr>
            </w:r>
          </w:p>
        </w:tc>
        <w:tc>
          <w:tcPr>
            <w:tcW w:w="1452" w:type="dxa"/>
            <w:tcBorders/>
            <w:shd w:fill="auto" w:val="clear"/>
            <w:vAlign w:val="center"/>
          </w:tcPr>
          <w:p>
            <w:pPr>
              <w:pStyle w:val="TableContents"/>
              <w:spacing w:before="0" w:after="283"/>
              <w:rPr>
                <w:sz w:val="4"/>
                <w:szCs w:val="4"/>
              </w:rPr>
            </w:pPr>
            <w:r>
              <w:rPr>
                <w:sz w:val="4"/>
                <w:szCs w:val="4"/>
              </w:rPr>
            </w:r>
          </w:p>
        </w:tc>
        <w:tc>
          <w:tcPr>
            <w:tcW w:w="2061" w:type="dxa"/>
            <w:tcBorders/>
            <w:shd w:fill="auto" w:val="clear"/>
            <w:vAlign w:val="center"/>
          </w:tcPr>
          <w:p>
            <w:pPr>
              <w:pStyle w:val="TableContents"/>
              <w:spacing w:before="0" w:after="283"/>
              <w:rPr>
                <w:sz w:val="4"/>
                <w:szCs w:val="4"/>
              </w:rPr>
            </w:pPr>
            <w:r>
              <w:rPr>
                <w:sz w:val="4"/>
                <w:szCs w:val="4"/>
              </w:rPr>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American Airlines Group Inc.</w:t>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April 27,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Devon E. May</w:t>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Devon E. May</w:t>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(Duly Authorized Officer and Principal Financial Officer)</w:t>
            </w:r>
          </w:p>
        </w:tc>
      </w:tr>
    </w:tbl>
    <w:p>
      <w:pPr>
        <w:pStyle w:val="TextBody"/>
        <w:spacing w:lineRule="auto" w:line="288" w:before="270" w:after="283"/>
        <w:ind w:left="0" w:right="0" w:firstLine="27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lineRule="auto" w:line="288" w:before="0" w:after="0"/>
        <w:jc w:val="both"/>
        <w:rPr>
          <w:color w:val="000000"/>
        </w:rPr>
      </w:pPr>
      <w:r>
        <w:rPr>
          <w:color w:val="000000"/>
        </w:rPr>
        <w:t> </w:t>
      </w:r>
    </w:p>
    <w:tbl>
      <w:tblPr>
        <w:tblW w:w="7539" w:type="dxa"/>
        <w:jc w:val="left"/>
        <w:tblInd w:w="0" w:type="dxa"/>
        <w:tblCellMar>
          <w:top w:w="28" w:type="dxa"/>
          <w:left w:w="28" w:type="dxa"/>
          <w:bottom w:w="28" w:type="dxa"/>
          <w:right w:w="28" w:type="dxa"/>
        </w:tblCellMar>
      </w:tblPr>
      <w:tblGrid>
        <w:gridCol w:w="667"/>
        <w:gridCol w:w="585"/>
        <w:gridCol w:w="592"/>
        <w:gridCol w:w="134"/>
        <w:gridCol w:w="134"/>
        <w:gridCol w:w="136"/>
        <w:gridCol w:w="109"/>
        <w:gridCol w:w="109"/>
        <w:gridCol w:w="109"/>
        <w:gridCol w:w="1452"/>
        <w:gridCol w:w="1452"/>
        <w:gridCol w:w="2060"/>
      </w:tblGrid>
      <w:tr>
        <w:trPr/>
        <w:tc>
          <w:tcPr>
            <w:tcW w:w="667"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2" w:type="dxa"/>
            <w:tcBorders/>
            <w:shd w:fill="auto" w:val="clear"/>
            <w:vAlign w:val="center"/>
          </w:tcPr>
          <w:p>
            <w:pPr>
              <w:pStyle w:val="TableContents"/>
              <w:spacing w:before="0" w:after="283"/>
              <w:rPr>
                <w:sz w:val="4"/>
                <w:szCs w:val="4"/>
              </w:rPr>
            </w:pPr>
            <w:r>
              <w:rPr>
                <w:sz w:val="4"/>
                <w:szCs w:val="4"/>
              </w:rPr>
            </w:r>
          </w:p>
        </w:tc>
        <w:tc>
          <w:tcPr>
            <w:tcW w:w="1452" w:type="dxa"/>
            <w:tcBorders/>
            <w:shd w:fill="auto" w:val="clear"/>
            <w:vAlign w:val="center"/>
          </w:tcPr>
          <w:p>
            <w:pPr>
              <w:pStyle w:val="TableContents"/>
              <w:spacing w:before="0" w:after="283"/>
              <w:rPr>
                <w:sz w:val="4"/>
                <w:szCs w:val="4"/>
              </w:rPr>
            </w:pPr>
            <w:r>
              <w:rPr>
                <w:sz w:val="4"/>
                <w:szCs w:val="4"/>
              </w:rPr>
            </w:r>
          </w:p>
        </w:tc>
        <w:tc>
          <w:tcPr>
            <w:tcW w:w="2060" w:type="dxa"/>
            <w:tcBorders/>
            <w:shd w:fill="auto" w:val="clear"/>
            <w:vAlign w:val="center"/>
          </w:tcPr>
          <w:p>
            <w:pPr>
              <w:pStyle w:val="TableContents"/>
              <w:spacing w:before="0" w:after="283"/>
              <w:rPr>
                <w:sz w:val="4"/>
                <w:szCs w:val="4"/>
              </w:rPr>
            </w:pPr>
            <w:r>
              <w:rPr>
                <w:sz w:val="4"/>
                <w:szCs w:val="4"/>
              </w:rPr>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American Airlines, Inc.</w:t>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April 27,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Devon E. May</w:t>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Devon E. May</w:t>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Executive Vice President and Chief Financial Officer </w:t>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(Duly Authorized Officer and Principal Financial Officer)</w:t>
            </w:r>
          </w:p>
        </w:tc>
      </w:tr>
    </w:tbl>
    <w:p>
      <w:pPr>
        <w:pStyle w:val="TextBody"/>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10.1</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85" name="Frame8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v:textbox>
              </v:rect>
            </w:pict>
          </mc:Fallback>
        </mc:AlternateContent>
      </w:r>
    </w:p>
    <w:tbl>
      <w:tblPr>
        <w:tblW w:w="10205" w:type="dxa"/>
        <w:jc w:val="center"/>
        <w:tblInd w:w="0" w:type="dxa"/>
        <w:tblCellMar>
          <w:top w:w="28" w:type="dxa"/>
          <w:left w:w="28" w:type="dxa"/>
          <w:bottom w:w="28" w:type="dxa"/>
          <w:right w:w="28" w:type="dxa"/>
        </w:tblCellMar>
      </w:tblPr>
      <w:tblGrid>
        <w:gridCol w:w="3267"/>
        <w:gridCol w:w="2873"/>
        <w:gridCol w:w="4065"/>
      </w:tblGrid>
      <w:tr>
        <w:trPr/>
        <w:tc>
          <w:tcPr>
            <w:tcW w:w="3267" w:type="dxa"/>
            <w:tcBorders/>
            <w:shd w:fill="auto" w:val="clear"/>
            <w:vAlign w:val="center"/>
          </w:tcPr>
          <w:p>
            <w:pPr>
              <w:pStyle w:val="TableContents"/>
              <w:spacing w:before="0" w:after="283"/>
              <w:rPr>
                <w:sz w:val="4"/>
                <w:szCs w:val="4"/>
              </w:rPr>
            </w:pPr>
            <w:r>
              <w:rPr>
                <w:sz w:val="4"/>
                <w:szCs w:val="4"/>
              </w:rPr>
            </w:r>
          </w:p>
        </w:tc>
        <w:tc>
          <w:tcPr>
            <w:tcW w:w="2873" w:type="dxa"/>
            <w:tcBorders/>
            <w:shd w:fill="auto" w:val="clear"/>
            <w:vAlign w:val="center"/>
          </w:tcPr>
          <w:p>
            <w:pPr>
              <w:pStyle w:val="TableContents"/>
              <w:spacing w:before="0" w:after="283"/>
              <w:rPr>
                <w:sz w:val="4"/>
                <w:szCs w:val="4"/>
              </w:rPr>
            </w:pPr>
            <w:r>
              <w:rPr>
                <w:sz w:val="4"/>
                <w:szCs w:val="4"/>
              </w:rPr>
            </w:r>
          </w:p>
        </w:tc>
        <w:tc>
          <w:tcPr>
            <w:tcW w:w="4065"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single" w:sz="6" w:space="0" w:color="000000"/>
              <w:left w:val="single" w:sz="6" w:space="0" w:color="000000"/>
              <w:bottom w:val="single" w:sz="6" w:space="0" w:color="000000"/>
              <w:right w:val="single" w:sz="6" w:space="0" w:color="000000"/>
            </w:tcBorders>
            <w:shd w:fill="FFFFFF" w:val="clear"/>
            <w:tcMar>
              <w:top w:w="30" w:type="dxa"/>
              <w:bottom w:w="30" w:type="dxa"/>
            </w:tcMar>
            <w:vAlign w:val="center"/>
          </w:tcPr>
          <w:p>
            <w:pPr>
              <w:pStyle w:val="TableContents"/>
              <w:spacing w:lineRule="auto" w:line="240" w:before="0" w:after="0"/>
              <w:jc w:val="left"/>
              <w:rPr>
                <w:rFonts w:ascii="Arial;sans-serif" w:hAnsi="Arial;sans-serif"/>
                <w:b/>
                <w:color w:val="000000"/>
                <w:sz w:val="20"/>
              </w:rPr>
            </w:pPr>
            <w:r>
              <w:rPr>
                <w:rFonts w:ascii="Arial;sans-serif" w:hAnsi="Arial;sans-serif"/>
                <w:b/>
                <w:color w:val="000000"/>
                <w:sz w:val="20"/>
              </w:rPr>
              <w:t>Certain information contained in this document, marked by brackets, has been omitted because it is both (i) not material and (ii) is the type that the registrant treats as private or confidential.</w:t>
            </w:r>
          </w:p>
        </w:tc>
      </w:tr>
    </w:tbl>
    <w:p>
      <w:pPr>
        <w:pStyle w:val="TextBody"/>
        <w:spacing w:lineRule="auto" w:line="240" w:before="0" w:after="0"/>
        <w:rPr/>
      </w:pPr>
      <w:r>
        <w:rPr/>
        <w:drawing>
          <wp:inline distT="0" distB="63500" distL="0" distR="0">
            <wp:extent cx="1743075" cy="409575"/>
            <wp:effectExtent l="0" t="0" r="0" b="0"/>
            <wp:docPr id="8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1" descr=""/>
                    <pic:cNvPicPr>
                      <a:picLocks noChangeAspect="1" noChangeArrowheads="1"/>
                    </pic:cNvPicPr>
                  </pic:nvPicPr>
                  <pic:blipFill>
                    <a:blip r:embed="rId4"/>
                    <a:stretch>
                      <a:fillRect/>
                    </a:stretch>
                  </pic:blipFill>
                  <pic:spPr bwMode="auto">
                    <a:xfrm>
                      <a:off x="0" y="0"/>
                      <a:ext cx="1743075" cy="409575"/>
                    </a:xfrm>
                    <a:prstGeom prst="rect">
                      <a:avLst/>
                    </a:prstGeom>
                  </pic:spPr>
                </pic:pic>
              </a:graphicData>
            </a:graphic>
          </wp:inline>
        </w:drawing>
      </w:r>
      <w:r>
        <w:rPr>
          <w:color w:val="000000"/>
        </w:rPr>
        <w:t>    </w:t>
      </w:r>
      <w:r>
        <w:rPr>
          <w:rFonts w:ascii="Arial;sans-serif" w:hAnsi="Arial;sans-serif"/>
          <w:b w:val="false"/>
          <w:color w:val="000000"/>
          <w:sz w:val="20"/>
        </w:rPr>
        <w:t>The Boeing Company</w:t>
      </w:r>
    </w:p>
    <w:p>
      <w:pPr>
        <w:pStyle w:val="TextBody"/>
        <w:spacing w:lineRule="auto" w:line="240" w:before="0" w:after="0"/>
        <w:rPr>
          <w:color w:val="000000"/>
        </w:rPr>
      </w:pPr>
      <w:r>
        <w:rPr>
          <w:color w:val="000000"/>
        </w:rPr>
        <w:t>    </w:t>
      </w:r>
      <w:r>
        <w:rPr>
          <w:rFonts w:ascii="Arial;sans-serif" w:hAnsi="Arial;sans-serif"/>
          <w:b w:val="false"/>
          <w:color w:val="000000"/>
          <w:sz w:val="20"/>
        </w:rPr>
        <w:t>P.O. Box 3707</w:t>
      </w:r>
    </w:p>
    <w:p>
      <w:pPr>
        <w:pStyle w:val="TextBody"/>
        <w:spacing w:lineRule="auto" w:line="240" w:before="0" w:after="0"/>
        <w:rPr>
          <w:color w:val="000000"/>
        </w:rPr>
      </w:pPr>
      <w:r>
        <w:rPr>
          <w:color w:val="000000"/>
        </w:rPr>
        <w:t>    </w:t>
      </w:r>
      <w:r>
        <w:rPr>
          <w:rFonts w:ascii="Arial;sans-serif" w:hAnsi="Arial;sans-serif"/>
          <w:b w:val="false"/>
          <w:color w:val="000000"/>
          <w:sz w:val="20"/>
        </w:rPr>
        <w:t>Seattle, WA 98124 2207</w:t>
      </w:r>
    </w:p>
    <w:p>
      <w:pPr>
        <w:pStyle w:val="TextBody"/>
        <w:spacing w:lineRule="auto" w:line="240" w:before="240" w:after="283"/>
        <w:rPr>
          <w:rFonts w:ascii="Arial;sans-serif" w:hAnsi="Arial;sans-serif"/>
          <w:b w:val="false"/>
          <w:color w:val="000000"/>
          <w:sz w:val="24"/>
        </w:rPr>
      </w:pPr>
      <w:r>
        <w:rPr>
          <w:rFonts w:ascii="Arial;sans-serif" w:hAnsi="Arial;sans-serif"/>
          <w:b w:val="false"/>
          <w:color w:val="000000"/>
          <w:sz w:val="24"/>
        </w:rPr>
        <w:t>AAL-LA-2300047</w:t>
      </w:r>
    </w:p>
    <w:p>
      <w:pPr>
        <w:pStyle w:val="TextBody"/>
        <w:spacing w:lineRule="auto" w:line="240" w:before="360" w:after="283"/>
        <w:rPr>
          <w:rFonts w:ascii="Arial;sans-serif" w:hAnsi="Arial;sans-serif"/>
          <w:b w:val="false"/>
          <w:color w:val="000000"/>
          <w:sz w:val="24"/>
        </w:rPr>
      </w:pPr>
      <w:r>
        <w:rPr>
          <w:rFonts w:ascii="Arial;sans-serif" w:hAnsi="Arial;sans-serif"/>
          <w:b w:val="false"/>
          <w:color w:val="000000"/>
          <w:sz w:val="24"/>
        </w:rPr>
        <w:t>American Airlines, Inc.</w:t>
      </w:r>
    </w:p>
    <w:p>
      <w:pPr>
        <w:pStyle w:val="TextBody"/>
        <w:spacing w:lineRule="auto" w:line="240" w:before="0" w:after="0"/>
        <w:rPr>
          <w:rFonts w:ascii="Arial;sans-serif" w:hAnsi="Arial;sans-serif"/>
          <w:b w:val="false"/>
          <w:color w:val="000000"/>
          <w:sz w:val="24"/>
        </w:rPr>
      </w:pPr>
      <w:r>
        <w:rPr>
          <w:rFonts w:ascii="Arial;sans-serif" w:hAnsi="Arial;sans-serif"/>
          <w:b w:val="false"/>
          <w:color w:val="000000"/>
          <w:sz w:val="24"/>
        </w:rPr>
        <w:t>P.O. Box 619616</w:t>
      </w:r>
    </w:p>
    <w:p>
      <w:pPr>
        <w:pStyle w:val="TextBody"/>
        <w:spacing w:lineRule="auto" w:line="240" w:before="0" w:after="0"/>
        <w:rPr>
          <w:rFonts w:ascii="Arial;sans-serif" w:hAnsi="Arial;sans-serif"/>
          <w:b w:val="false"/>
          <w:color w:val="000000"/>
          <w:sz w:val="24"/>
        </w:rPr>
      </w:pPr>
      <w:r>
        <w:rPr>
          <w:rFonts w:ascii="Arial;sans-serif" w:hAnsi="Arial;sans-serif"/>
          <w:b w:val="false"/>
          <w:color w:val="000000"/>
          <w:sz w:val="24"/>
        </w:rPr>
        <w:t>Dallas-Fort Worth Airport</w:t>
      </w:r>
    </w:p>
    <w:p>
      <w:pPr>
        <w:pStyle w:val="TextBody"/>
        <w:spacing w:lineRule="auto" w:line="240" w:before="0" w:after="0"/>
        <w:rPr>
          <w:rFonts w:ascii="Arial;sans-serif" w:hAnsi="Arial;sans-serif"/>
          <w:b w:val="false"/>
          <w:color w:val="000000"/>
          <w:sz w:val="24"/>
        </w:rPr>
      </w:pPr>
      <w:r>
        <w:rPr>
          <w:rFonts w:ascii="Arial;sans-serif" w:hAnsi="Arial;sans-serif"/>
          <w:b w:val="false"/>
          <w:color w:val="000000"/>
          <w:sz w:val="24"/>
        </w:rPr>
        <w:t>Dallas, Texas 75261-9616    </w:t>
      </w:r>
    </w:p>
    <w:p>
      <w:pPr>
        <w:pStyle w:val="TextBody"/>
        <w:spacing w:lineRule="auto" w:line="240" w:before="360" w:after="283"/>
        <w:ind w:left="0" w:right="0" w:hanging="1714"/>
        <w:jc w:val="both"/>
        <w:rPr>
          <w:rFonts w:ascii="Arial;sans-serif" w:hAnsi="Arial;sans-serif"/>
          <w:b w:val="false"/>
          <w:color w:val="000000"/>
          <w:sz w:val="24"/>
        </w:rPr>
      </w:pPr>
      <w:r>
        <w:rPr>
          <w:rFonts w:ascii="Arial;sans-serif" w:hAnsi="Arial;sans-serif"/>
          <w:b w:val="false"/>
          <w:color w:val="000000"/>
          <w:sz w:val="24"/>
        </w:rPr>
        <w:t>Subject:    [****] for 787 [****] (January 2023)</w:t>
      </w:r>
    </w:p>
    <w:p>
      <w:pPr>
        <w:pStyle w:val="TextBody"/>
        <w:spacing w:lineRule="auto" w:line="240" w:before="0" w:after="0"/>
        <w:ind w:left="0" w:right="0" w:hanging="1710"/>
        <w:jc w:val="both"/>
        <w:rPr/>
      </w:pPr>
      <w:r>
        <w:rPr>
          <w:rFonts w:ascii="Arial;sans-serif" w:hAnsi="Arial;sans-serif"/>
          <w:b w:val="false"/>
          <w:color w:val="000000"/>
          <w:sz w:val="24"/>
        </w:rPr>
        <w:t>Reference:    AAL-LA-2100511, [****] for 787 [****], dated March 9, 2021, between American Airlines, Inc. (</w:t>
      </w:r>
      <w:r>
        <w:rPr>
          <w:rFonts w:ascii="Arial;sans-serif" w:hAnsi="Arial;sans-serif"/>
          <w:b/>
          <w:color w:val="000000"/>
          <w:sz w:val="24"/>
        </w:rPr>
        <w:t>Customer</w:t>
      </w:r>
      <w:r>
        <w:rPr>
          <w:rFonts w:ascii="Arial;sans-serif" w:hAnsi="Arial;sans-serif"/>
          <w:b w:val="false"/>
          <w:color w:val="000000"/>
          <w:sz w:val="24"/>
        </w:rPr>
        <w:t>) and The Boeing Company (</w:t>
      </w:r>
      <w:r>
        <w:rPr>
          <w:rFonts w:ascii="Arial;sans-serif" w:hAnsi="Arial;sans-serif"/>
          <w:b/>
          <w:color w:val="000000"/>
          <w:sz w:val="24"/>
        </w:rPr>
        <w:t>Boeing</w:t>
      </w:r>
      <w:r>
        <w:rPr>
          <w:rFonts w:ascii="Arial;sans-serif" w:hAnsi="Arial;sans-serif"/>
          <w:b w:val="false"/>
          <w:color w:val="000000"/>
          <w:sz w:val="24"/>
        </w:rPr>
        <w:t>) (</w:t>
      </w:r>
      <w:r>
        <w:rPr>
          <w:rFonts w:ascii="Arial;sans-serif" w:hAnsi="Arial;sans-serif"/>
          <w:b/>
          <w:color w:val="000000"/>
          <w:sz w:val="24"/>
        </w:rPr>
        <w:t>March 2021 Agreement</w:t>
      </w:r>
      <w:r>
        <w:rPr>
          <w:rFonts w:ascii="Arial;sans-serif" w:hAnsi="Arial;sans-serif"/>
          <w:b w:val="false"/>
          <w:color w:val="000000"/>
          <w:sz w:val="24"/>
        </w:rPr>
        <w:t>)</w:t>
      </w:r>
    </w:p>
    <w:p>
      <w:pPr>
        <w:pStyle w:val="TextBody"/>
        <w:spacing w:before="0" w:after="0"/>
        <w:ind w:left="0" w:right="0" w:firstLine="720"/>
        <w:jc w:val="both"/>
        <w:rPr/>
      </w:pPr>
      <w:r>
        <w:rPr/>
      </w:r>
    </w:p>
    <w:p>
      <w:pPr>
        <w:pStyle w:val="TextBody"/>
        <w:spacing w:lineRule="auto" w:line="240" w:before="0" w:after="0"/>
        <w:jc w:val="both"/>
        <w:rPr/>
      </w:pPr>
      <w:r>
        <w:rPr>
          <w:rFonts w:ascii="Arial;sans-serif" w:hAnsi="Arial;sans-serif"/>
          <w:b w:val="false"/>
          <w:color w:val="000000"/>
          <w:sz w:val="24"/>
        </w:rPr>
        <w:t>This agreement (</w:t>
      </w:r>
      <w:r>
        <w:rPr>
          <w:rFonts w:ascii="Arial;sans-serif" w:hAnsi="Arial;sans-serif"/>
          <w:b/>
          <w:color w:val="000000"/>
          <w:sz w:val="24"/>
        </w:rPr>
        <w:t>Agreement</w:t>
      </w:r>
      <w:r>
        <w:rPr>
          <w:rFonts w:ascii="Arial;sans-serif" w:hAnsi="Arial;sans-serif"/>
          <w:b w:val="false"/>
          <w:color w:val="000000"/>
          <w:sz w:val="24"/>
        </w:rPr>
        <w:t xml:space="preserve">) is between Customer and Boeing. </w:t>
      </w:r>
    </w:p>
    <w:p>
      <w:pPr>
        <w:pStyle w:val="TextBody"/>
        <w:spacing w:before="0" w:after="0"/>
        <w:jc w:val="both"/>
        <w:rPr/>
      </w:pPr>
      <w:r>
        <w:rPr/>
      </w:r>
    </w:p>
    <w:p>
      <w:pPr>
        <w:pStyle w:val="TextBody"/>
        <w:spacing w:lineRule="auto" w:line="240" w:before="0" w:after="0"/>
        <w:jc w:val="both"/>
        <w:rPr>
          <w:rFonts w:ascii="Arial;sans-serif" w:hAnsi="Arial;sans-serif"/>
          <w:b w:val="false"/>
          <w:color w:val="000000"/>
          <w:sz w:val="24"/>
          <w:u w:val="single"/>
        </w:rPr>
      </w:pPr>
      <w:r>
        <w:rPr>
          <w:rFonts w:ascii="Arial;sans-serif" w:hAnsi="Arial;sans-serif"/>
          <w:b w:val="false"/>
          <w:color w:val="000000"/>
          <w:sz w:val="24"/>
          <w:u w:val="single"/>
        </w:rPr>
        <w:t>RECITALS</w:t>
      </w:r>
    </w:p>
    <w:p>
      <w:pPr>
        <w:pStyle w:val="TextBody"/>
        <w:spacing w:before="0" w:after="0"/>
        <w:jc w:val="both"/>
        <w:rPr/>
      </w:pPr>
      <w:r>
        <w:rPr/>
      </w:r>
    </w:p>
    <w:p>
      <w:pPr>
        <w:pStyle w:val="TextBody"/>
        <w:spacing w:lineRule="auto" w:line="240" w:before="0" w:after="0"/>
        <w:jc w:val="both"/>
        <w:rPr/>
      </w:pPr>
      <w:r>
        <w:rPr>
          <w:rFonts w:ascii="Arial;sans-serif" w:hAnsi="Arial;sans-serif"/>
          <w:b w:val="false"/>
          <w:color w:val="000000"/>
          <w:sz w:val="24"/>
        </w:rPr>
        <w:t>Boeing and Customer are parties to Purchase Agreement No. 3219 (</w:t>
      </w:r>
      <w:r>
        <w:rPr>
          <w:rFonts w:ascii="Arial;sans-serif" w:hAnsi="Arial;sans-serif"/>
          <w:b/>
          <w:color w:val="000000"/>
          <w:sz w:val="24"/>
        </w:rPr>
        <w:t>Purchase Agreement</w:t>
      </w:r>
      <w:r>
        <w:rPr>
          <w:rFonts w:ascii="Arial;sans-serif" w:hAnsi="Arial;sans-serif"/>
          <w:b w:val="false"/>
          <w:color w:val="000000"/>
          <w:sz w:val="24"/>
        </w:rPr>
        <w:t>), pursuant to which Customer has committed to purchase from Boeing and Boeing is committed to manufacture and sell to Customer, among other things, seventeen (17) Boeing model 787-8 aircraft as [****] to the Purchase Agreement (</w:t>
      </w:r>
      <w:r>
        <w:rPr>
          <w:rFonts w:ascii="Arial;sans-serif" w:hAnsi="Arial;sans-serif"/>
          <w:b/>
          <w:color w:val="000000"/>
          <w:sz w:val="24"/>
        </w:rPr>
        <w:t xml:space="preserve">787-8 </w:t>
      </w:r>
      <w:r>
        <w:rPr>
          <w:rFonts w:ascii="Arial;sans-serif" w:hAnsi="Arial;sans-serif"/>
          <w:b w:val="false"/>
          <w:color w:val="000000"/>
          <w:sz w:val="24"/>
        </w:rPr>
        <w:t>[****]</w:t>
      </w:r>
      <w:r>
        <w:rPr>
          <w:color w:val="000000"/>
        </w:rPr>
        <w:t xml:space="preserve"> </w:t>
      </w:r>
      <w:r>
        <w:rPr>
          <w:rFonts w:ascii="Arial;sans-serif" w:hAnsi="Arial;sans-serif"/>
          <w:b/>
          <w:color w:val="000000"/>
          <w:sz w:val="24"/>
        </w:rPr>
        <w:t>Aircraft</w:t>
      </w:r>
      <w:r>
        <w:rPr>
          <w:rFonts w:ascii="Arial;sans-serif" w:hAnsi="Arial;sans-serif"/>
          <w:b w:val="false"/>
          <w:color w:val="000000"/>
          <w:sz w:val="24"/>
        </w:rPr>
        <w:t>). Capitalized terms used in this Agreement without definitions have the meanings specified to them in the Purchase Agreement.</w:t>
      </w:r>
    </w:p>
    <w:p>
      <w:pPr>
        <w:pStyle w:val="TextBody"/>
        <w:spacing w:before="0" w:after="0"/>
        <w:jc w:val="both"/>
        <w:rPr/>
      </w:pPr>
      <w:r>
        <w:rPr/>
      </w:r>
    </w:p>
    <w:p>
      <w:pPr>
        <w:pStyle w:val="TextBody"/>
        <w:spacing w:lineRule="auto" w:line="240" w:before="0" w:after="0"/>
        <w:jc w:val="both"/>
        <w:rPr/>
      </w:pPr>
      <w:r>
        <w:rPr>
          <w:rFonts w:ascii="Arial;sans-serif" w:hAnsi="Arial;sans-serif"/>
          <w:b w:val="false"/>
          <w:color w:val="000000"/>
          <w:sz w:val="24"/>
        </w:rPr>
        <w:t>Customer has taken delivery of the thirteen (13) 787-8 [****] Aircraft [****] (</w:t>
      </w:r>
      <w:r>
        <w:rPr>
          <w:rFonts w:ascii="Arial;sans-serif" w:hAnsi="Arial;sans-serif"/>
          <w:b/>
          <w:color w:val="000000"/>
          <w:sz w:val="24"/>
        </w:rPr>
        <w:t xml:space="preserve">Delivered 787-8 </w:t>
      </w:r>
      <w:r>
        <w:rPr>
          <w:rFonts w:ascii="Arial;sans-serif" w:hAnsi="Arial;sans-serif"/>
          <w:b w:val="false"/>
          <w:color w:val="000000"/>
          <w:sz w:val="24"/>
        </w:rPr>
        <w:t>[****]</w:t>
      </w:r>
      <w:r>
        <w:rPr>
          <w:color w:val="000000"/>
        </w:rPr>
        <w:t xml:space="preserve"> </w:t>
      </w:r>
      <w:r>
        <w:rPr>
          <w:rFonts w:ascii="Arial;sans-serif" w:hAnsi="Arial;sans-serif"/>
          <w:b/>
          <w:color w:val="000000"/>
          <w:sz w:val="24"/>
        </w:rPr>
        <w:t xml:space="preserve">Aircraft </w:t>
      </w:r>
      <w:r>
        <w:rPr>
          <w:rFonts w:ascii="Arial;sans-serif" w:hAnsi="Arial;sans-serif"/>
          <w:b w:val="false"/>
          <w:color w:val="000000"/>
          <w:sz w:val="24"/>
        </w:rPr>
        <w:t>and</w:t>
      </w:r>
      <w:r>
        <w:rPr>
          <w:color w:val="000000"/>
        </w:rPr>
        <w:t xml:space="preserve"> </w:t>
      </w:r>
      <w:r>
        <w:rPr>
          <w:rFonts w:ascii="Arial;sans-serif" w:hAnsi="Arial;sans-serif"/>
          <w:b w:val="false"/>
          <w:color w:val="000000"/>
          <w:sz w:val="24"/>
        </w:rPr>
        <w:t>[****]</w:t>
      </w:r>
      <w:r>
        <w:rPr>
          <w:color w:val="000000"/>
        </w:rPr>
        <w:t xml:space="preserve"> </w:t>
      </w:r>
      <w:r>
        <w:rPr>
          <w:rFonts w:ascii="Arial;sans-serif" w:hAnsi="Arial;sans-serif"/>
          <w:b/>
          <w:color w:val="000000"/>
          <w:sz w:val="24"/>
        </w:rPr>
        <w:t xml:space="preserve">Delivered 787-8 </w:t>
      </w:r>
      <w:r>
        <w:rPr>
          <w:rFonts w:ascii="Arial;sans-serif" w:hAnsi="Arial;sans-serif"/>
          <w:b w:val="false"/>
          <w:color w:val="000000"/>
          <w:sz w:val="24"/>
        </w:rPr>
        <w:t>[****]</w:t>
      </w:r>
      <w:r>
        <w:rPr>
          <w:color w:val="000000"/>
        </w:rPr>
        <w:t xml:space="preserve"> </w:t>
      </w:r>
      <w:r>
        <w:rPr>
          <w:rFonts w:ascii="Arial;sans-serif" w:hAnsi="Arial;sans-serif"/>
          <w:b/>
          <w:color w:val="000000"/>
          <w:sz w:val="24"/>
        </w:rPr>
        <w:t>Aircraft</w:t>
      </w:r>
      <w:r>
        <w:rPr>
          <w:rFonts w:ascii="Arial;sans-serif" w:hAnsi="Arial;sans-serif"/>
          <w:b w:val="false"/>
          <w:color w:val="000000"/>
          <w:sz w:val="24"/>
        </w:rPr>
        <w:t>, respectively) with four</w:t>
      </w:r>
      <w:r>
        <w:rPr>
          <w:color w:val="000000"/>
        </w:rPr>
        <w:t xml:space="preserve"> </w:t>
      </w:r>
      <w:r>
        <w:rPr>
          <w:rFonts w:ascii="Arial;sans-serif" w:hAnsi="Arial;sans-serif"/>
          <w:b w:val="false"/>
          <w:color w:val="000000"/>
          <w:sz w:val="23"/>
        </w:rPr>
        <w:t xml:space="preserve">(4) 787-8 </w:t>
      </w:r>
      <w:r>
        <w:rPr>
          <w:rFonts w:ascii="Arial;sans-serif" w:hAnsi="Arial;sans-serif"/>
          <w:b w:val="false"/>
          <w:color w:val="000000"/>
          <w:sz w:val="24"/>
        </w:rPr>
        <w:t>[****]</w:t>
      </w:r>
      <w:r>
        <w:rPr>
          <w:color w:val="000000"/>
        </w:rPr>
        <w:t xml:space="preserve"> </w:t>
      </w:r>
      <w:r>
        <w:rPr>
          <w:rFonts w:ascii="Arial;sans-serif" w:hAnsi="Arial;sans-serif"/>
          <w:b w:val="false"/>
          <w:color w:val="000000"/>
          <w:sz w:val="23"/>
        </w:rPr>
        <w:t>Aircraft remaining to be delivered under the Purchase Agreement (</w:t>
      </w:r>
      <w:r>
        <w:rPr>
          <w:rFonts w:ascii="Arial;sans-serif" w:hAnsi="Arial;sans-serif"/>
          <w:b w:val="false"/>
          <w:color w:val="000000"/>
          <w:sz w:val="24"/>
        </w:rPr>
        <w:t>[****]</w:t>
      </w:r>
      <w:r>
        <w:rPr>
          <w:color w:val="000000"/>
        </w:rPr>
        <w:t xml:space="preserve"> </w:t>
      </w:r>
      <w:r>
        <w:rPr>
          <w:rFonts w:ascii="Arial;sans-serif" w:hAnsi="Arial;sans-serif"/>
          <w:b/>
          <w:color w:val="000000"/>
          <w:sz w:val="23"/>
        </w:rPr>
        <w:t xml:space="preserve">Undelivered 787-8 </w:t>
      </w:r>
      <w:r>
        <w:rPr>
          <w:rFonts w:ascii="Arial;sans-serif" w:hAnsi="Arial;sans-serif"/>
          <w:b w:val="false"/>
          <w:color w:val="000000"/>
          <w:sz w:val="24"/>
        </w:rPr>
        <w:t>[****]</w:t>
      </w:r>
      <w:r>
        <w:rPr>
          <w:color w:val="000000"/>
        </w:rPr>
        <w:t xml:space="preserve"> </w:t>
      </w:r>
      <w:r>
        <w:rPr>
          <w:rFonts w:ascii="Arial;sans-serif" w:hAnsi="Arial;sans-serif"/>
          <w:b/>
          <w:color w:val="000000"/>
          <w:sz w:val="23"/>
        </w:rPr>
        <w:t>Aircraft</w:t>
      </w:r>
      <w:r>
        <w:rPr>
          <w:rFonts w:ascii="Arial;sans-serif" w:hAnsi="Arial;sans-serif"/>
          <w:b w:val="false"/>
          <w:color w:val="000000"/>
          <w:sz w:val="23"/>
        </w:rPr>
        <w:t>).</w:t>
      </w:r>
    </w:p>
    <w:p>
      <w:pPr>
        <w:pStyle w:val="TextBody"/>
        <w:spacing w:before="0" w:after="0"/>
        <w:jc w:val="both"/>
        <w:rPr/>
      </w:pPr>
      <w:r>
        <w:rPr/>
      </w:r>
    </w:p>
    <w:p>
      <w:pPr>
        <w:pStyle w:val="TextBody"/>
        <w:spacing w:lineRule="auto" w:line="240" w:before="0" w:after="0"/>
        <w:jc w:val="both"/>
        <w:rPr>
          <w:rFonts w:ascii="Arial;sans-serif" w:hAnsi="Arial;sans-serif"/>
          <w:b w:val="false"/>
          <w:color w:val="000000"/>
          <w:sz w:val="24"/>
        </w:rPr>
      </w:pPr>
      <w:r>
        <w:rPr>
          <w:rFonts w:ascii="Arial;sans-serif" w:hAnsi="Arial;sans-serif"/>
          <w:b w:val="false"/>
          <w:color w:val="000000"/>
          <w:sz w:val="24"/>
        </w:rPr>
        <w:t xml:space="preserve">The [****] of [****] 787-8 [****] Aircraft [****]. After the [****], [****] 787-8 [****] Aircraft [****] set forth in Tables 2 and 3 of Attachment A [****] ([****]). [****]. </w:t>
      </w:r>
    </w:p>
    <w:p>
      <w:pPr>
        <w:pStyle w:val="TextBody"/>
        <w:spacing w:before="0" w:after="0"/>
        <w:jc w:val="both"/>
        <w:rPr/>
      </w:pPr>
      <w:r>
        <w:rPr/>
      </w:r>
    </w:p>
    <w:p>
      <w:pPr>
        <w:pStyle w:val="TextBody"/>
        <w:spacing w:lineRule="auto" w:line="240" w:before="0" w:after="0"/>
        <w:jc w:val="both"/>
        <w:rPr>
          <w:rFonts w:ascii="Arial;sans-serif" w:hAnsi="Arial;sans-serif"/>
          <w:b w:val="false"/>
          <w:color w:val="000000"/>
          <w:sz w:val="24"/>
        </w:rPr>
      </w:pPr>
      <w:r>
        <w:rPr>
          <w:rFonts w:ascii="Arial;sans-serif" w:hAnsi="Arial;sans-serif"/>
          <w:b w:val="false"/>
          <w:color w:val="000000"/>
          <w:sz w:val="24"/>
        </w:rPr>
        <w:t>In [****].</w:t>
      </w:r>
    </w:p>
    <w:p>
      <w:pPr>
        <w:pStyle w:val="TextBody"/>
        <w:spacing w:before="0" w:after="0"/>
        <w:jc w:val="both"/>
        <w:rPr/>
      </w:pPr>
      <w:r>
        <w:rPr/>
      </w:r>
    </w:p>
    <w:p>
      <w:pPr>
        <w:pStyle w:val="TextBody"/>
        <w:spacing w:lineRule="auto" w:line="240" w:before="0" w:after="0"/>
        <w:jc w:val="both"/>
        <w:rPr>
          <w:rFonts w:ascii="Arial;sans-serif" w:hAnsi="Arial;sans-serif"/>
          <w:b w:val="false"/>
          <w:color w:val="000000"/>
          <w:sz w:val="24"/>
          <w:u w:val="single"/>
        </w:rPr>
      </w:pPr>
      <w:r>
        <w:rPr>
          <w:rFonts w:ascii="Arial;sans-serif" w:hAnsi="Arial;sans-serif"/>
          <w:b w:val="false"/>
          <w:color w:val="000000"/>
          <w:sz w:val="24"/>
          <w:u w:val="single"/>
        </w:rPr>
        <w:t>AGREEMENTS</w:t>
      </w:r>
    </w:p>
    <w:p>
      <w:pPr>
        <w:pStyle w:val="TextBody"/>
        <w:spacing w:before="0" w:after="0"/>
        <w:jc w:val="both"/>
        <w:rPr/>
      </w:pPr>
      <w:r>
        <w:rPr/>
      </w:r>
    </w:p>
    <w:p>
      <w:pPr>
        <w:pStyle w:val="TextBody"/>
        <w:spacing w:lineRule="auto" w:line="240" w:before="0" w:after="0"/>
        <w:jc w:val="both"/>
        <w:rPr>
          <w:rFonts w:ascii="Arial;sans-serif" w:hAnsi="Arial;sans-serif"/>
          <w:b w:val="false"/>
          <w:color w:val="000000"/>
          <w:sz w:val="24"/>
        </w:rPr>
      </w:pPr>
      <w:r>
        <w:rPr>
          <w:rFonts w:ascii="Arial;sans-serif" w:hAnsi="Arial;sans-serif"/>
          <w:b w:val="false"/>
          <w:color w:val="000000"/>
          <w:sz w:val="24"/>
        </w:rPr>
        <w:t>Boeing and Customer have agreed to [****] for the [****] Undelivered 787-8 [****] Aircraft [****].</w:t>
      </w:r>
    </w:p>
    <w:p>
      <w:pPr>
        <w:pStyle w:val="TextBody"/>
        <w:spacing w:before="0" w:after="0"/>
        <w:jc w:val="both"/>
        <w:rPr/>
      </w:pPr>
      <w:r>
        <w:rPr/>
      </w:r>
    </w:p>
    <w:p>
      <w:pPr>
        <w:pStyle w:val="TextBody"/>
        <w:spacing w:lineRule="auto" w:line="240" w:before="0" w:after="0"/>
        <w:jc w:val="both"/>
        <w:rPr>
          <w:rFonts w:ascii="Arial;sans-serif" w:hAnsi="Arial;sans-serif"/>
          <w:b w:val="false"/>
          <w:color w:val="000000"/>
          <w:sz w:val="24"/>
        </w:rPr>
      </w:pPr>
      <w:r>
        <w:rPr>
          <w:rFonts w:ascii="Arial;sans-serif" w:hAnsi="Arial;sans-serif"/>
          <w:b w:val="false"/>
          <w:color w:val="000000"/>
          <w:sz w:val="24"/>
        </w:rPr>
        <w:t xml:space="preserve">Attachment A contains [****] of (i) the [****] Scheduled Delivery Months [****] and the [****] for the Delivered 787-8 [****] Aircraft [****], (ii) the [****] Scheduled Delivery Months [****], the [****] Scheduled Delivery Month, and the [****] for the [****] Delivered 787-8 [****] Aircraft [****] and (iii) the [****] Scheduled Delivery Months [****], the [****] Scheduled Delivery Month, and the [****] Scheduled Delivery Month for the [****] Undelivered 787-8 [****] Aircraft [****]. </w:t>
      </w:r>
    </w:p>
    <w:p>
      <w:pPr>
        <w:pStyle w:val="TextBody"/>
        <w:spacing w:before="0" w:after="0"/>
        <w:jc w:val="both"/>
        <w:rPr/>
      </w:pPr>
      <w:r>
        <w:rPr/>
      </w:r>
    </w:p>
    <w:p>
      <w:pPr>
        <w:pStyle w:val="TextBody"/>
        <w:spacing w:lineRule="auto" w:line="240"/>
        <w:jc w:val="both"/>
        <w:rPr/>
      </w:pPr>
      <w:r>
        <w:rPr>
          <w:rFonts w:ascii="Arial;sans-serif" w:hAnsi="Arial;sans-serif"/>
          <w:b w:val="false"/>
          <w:color w:val="000000"/>
          <w:sz w:val="24"/>
        </w:rPr>
        <w:t xml:space="preserve">The [****], [****] in this Agreement will [****]. Boeing [****] with Section 4 below. These [****], subject to and in accordance with this Agreement and the Purchase Agreement, ([****]), and b) Customer’s [****] under this Agreement and the Purchase Agreement including as such [****] are modified by this Agreement, </w:t>
      </w:r>
      <w:r>
        <w:rPr>
          <w:rFonts w:ascii="Arial;sans-serif" w:hAnsi="Arial;sans-serif"/>
          <w:b w:val="false"/>
          <w:color w:val="000000"/>
          <w:sz w:val="23"/>
        </w:rPr>
        <w:t xml:space="preserve">and are subject to </w:t>
      </w:r>
      <w:r>
        <w:rPr>
          <w:rFonts w:ascii="Arial;sans-serif" w:hAnsi="Arial;sans-serif"/>
          <w:b w:val="false"/>
          <w:color w:val="000000"/>
          <w:sz w:val="24"/>
        </w:rPr>
        <w:t>[****]</w:t>
      </w:r>
      <w:r>
        <w:rPr>
          <w:color w:val="000000"/>
        </w:rPr>
        <w:t xml:space="preserve"> </w:t>
      </w:r>
      <w:r>
        <w:rPr>
          <w:rFonts w:ascii="Arial;sans-serif" w:hAnsi="Arial;sans-serif"/>
          <w:b w:val="false"/>
          <w:color w:val="000000"/>
          <w:sz w:val="23"/>
        </w:rPr>
        <w:t xml:space="preserve">set forth </w:t>
      </w:r>
      <w:r>
        <w:br w:type="page"/>
      </w:r>
    </w:p>
    <w:p>
      <w:pPr>
        <w:pStyle w:val="TextBody"/>
        <w:spacing w:lineRule="auto" w:line="240" w:before="0" w:after="0"/>
        <w:rPr/>
      </w:pPr>
      <w:r>
        <w:rPr/>
        <w:drawing>
          <wp:inline distT="0" distB="63500" distL="0" distR="0">
            <wp:extent cx="1743075" cy="409575"/>
            <wp:effectExtent l="0" t="0" r="0" b="0"/>
            <wp:docPr id="8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2" descr=""/>
                    <pic:cNvPicPr>
                      <a:picLocks noChangeAspect="1" noChangeArrowheads="1"/>
                    </pic:cNvPicPr>
                  </pic:nvPicPr>
                  <pic:blipFill>
                    <a:blip r:embed="rId5"/>
                    <a:stretch>
                      <a:fillRect/>
                    </a:stretch>
                  </pic:blipFill>
                  <pic:spPr bwMode="auto">
                    <a:xfrm>
                      <a:off x="0" y="0"/>
                      <a:ext cx="1743075" cy="409575"/>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525780"/>
                <wp:effectExtent l="0" t="0" r="0" b="0"/>
                <wp:wrapNone/>
                <wp:docPr id="88" name="Frame86"/>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rPr>
                                <w:rFonts w:ascii="Arial;sans-serif" w:hAnsi="Arial;sans-serif"/>
                                <w:b w:val="false"/>
                                <w:color w:val="000000"/>
                                <w:sz w:val="24"/>
                              </w:rPr>
                            </w:pPr>
                            <w:r>
                              <w:rPr>
                                <w:rFonts w:ascii="Arial;sans-serif" w:hAnsi="Arial;sans-serif"/>
                                <w:b w:val="false"/>
                                <w:color w:val="000000"/>
                                <w:sz w:val="24"/>
                              </w:rPr>
                              <w:t>AAL-LA-2300047</w:t>
                            </w:r>
                          </w:p>
                          <w:p>
                            <w:pPr>
                              <w:pStyle w:val="TextBody"/>
                              <w:spacing w:lineRule="auto" w:line="240" w:before="0" w:after="0"/>
                              <w:rPr>
                                <w:rFonts w:ascii="Arial;sans-serif" w:hAnsi="Arial;sans-serif"/>
                                <w:b w:val="false"/>
                                <w:color w:val="000000"/>
                                <w:sz w:val="24"/>
                              </w:rPr>
                            </w:pPr>
                            <w:r>
                              <w:rPr>
                                <w:rFonts w:ascii="Arial;sans-serif" w:hAnsi="Arial;sans-serif"/>
                                <w:b w:val="false"/>
                                <w:color w:val="000000"/>
                                <w:sz w:val="24"/>
                              </w:rPr>
                              <w:t>[****] Accommodations for 787 [****] (January 2023)    Page 1</w:t>
                            </w:r>
                          </w:p>
                          <w:p>
                            <w:pPr>
                              <w:pStyle w:val="TextBody"/>
                              <w:spacing w:lineRule="auto" w:line="240" w:before="0" w:after="0"/>
                              <w:jc w:val="center"/>
                              <w:rPr>
                                <w:rFonts w:ascii="Arial;sans-serif" w:hAnsi="Arial;sans-serif"/>
                                <w:b/>
                                <w:color w:val="000000"/>
                                <w:sz w:val="24"/>
                              </w:rPr>
                            </w:pPr>
                            <w:r>
                              <w:rPr>
                                <w:rFonts w:ascii="Arial;sans-serif" w:hAnsi="Arial;sans-serif"/>
                                <w:b/>
                                <w:color w:val="000000"/>
                                <w:sz w:val="24"/>
                              </w:rPr>
                              <w:t>BOEING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rFonts w:ascii="Arial;sans-serif" w:hAnsi="Arial;sans-serif"/>
                          <w:b w:val="false"/>
                          <w:color w:val="000000"/>
                          <w:sz w:val="24"/>
                        </w:rPr>
                      </w:pPr>
                      <w:r>
                        <w:rPr>
                          <w:rFonts w:ascii="Arial;sans-serif" w:hAnsi="Arial;sans-serif"/>
                          <w:b w:val="false"/>
                          <w:color w:val="000000"/>
                          <w:sz w:val="24"/>
                        </w:rPr>
                        <w:t>AAL-LA-2300047</w:t>
                      </w:r>
                    </w:p>
                    <w:p>
                      <w:pPr>
                        <w:pStyle w:val="TextBody"/>
                        <w:spacing w:lineRule="auto" w:line="240" w:before="0" w:after="0"/>
                        <w:rPr>
                          <w:rFonts w:ascii="Arial;sans-serif" w:hAnsi="Arial;sans-serif"/>
                          <w:b w:val="false"/>
                          <w:color w:val="000000"/>
                          <w:sz w:val="24"/>
                        </w:rPr>
                      </w:pPr>
                      <w:r>
                        <w:rPr>
                          <w:rFonts w:ascii="Arial;sans-serif" w:hAnsi="Arial;sans-serif"/>
                          <w:b w:val="false"/>
                          <w:color w:val="000000"/>
                          <w:sz w:val="24"/>
                        </w:rPr>
                        <w:t>[****] Accommodations for 787 [****] (January 2023)    Page 1</w:t>
                      </w:r>
                    </w:p>
                    <w:p>
                      <w:pPr>
                        <w:pStyle w:val="TextBody"/>
                        <w:spacing w:lineRule="auto" w:line="240" w:before="0" w:after="0"/>
                        <w:jc w:val="center"/>
                        <w:rPr>
                          <w:rFonts w:ascii="Arial;sans-serif" w:hAnsi="Arial;sans-serif"/>
                          <w:b/>
                          <w:color w:val="000000"/>
                          <w:sz w:val="24"/>
                        </w:rPr>
                      </w:pPr>
                      <w:r>
                        <w:rPr>
                          <w:rFonts w:ascii="Arial;sans-serif" w:hAnsi="Arial;sans-serif"/>
                          <w:b/>
                          <w:color w:val="000000"/>
                          <w:sz w:val="24"/>
                        </w:rPr>
                        <w:t>BOEING PROPRIETARY</w:t>
                      </w:r>
                    </w:p>
                  </w:txbxContent>
                </v:textbox>
              </v:rect>
            </w:pict>
          </mc:Fallback>
        </mc:AlternateContent>
      </w:r>
    </w:p>
    <w:p>
      <w:pPr>
        <w:pStyle w:val="TextBody"/>
        <w:spacing w:lineRule="auto" w:line="240" w:before="0" w:after="0"/>
        <w:jc w:val="both"/>
        <w:rPr/>
      </w:pPr>
      <w:r>
        <w:rPr>
          <w:rFonts w:ascii="Arial;sans-serif" w:hAnsi="Arial;sans-serif"/>
          <w:b w:val="false"/>
          <w:color w:val="000000"/>
          <w:sz w:val="23"/>
        </w:rPr>
        <w:t xml:space="preserve">under this Agreement and the Purchase Agreement, including as such </w:t>
      </w:r>
      <w:r>
        <w:rPr>
          <w:rFonts w:ascii="Arial;sans-serif" w:hAnsi="Arial;sans-serif"/>
          <w:b w:val="false"/>
          <w:color w:val="000000"/>
          <w:sz w:val="24"/>
        </w:rPr>
        <w:t>[****]</w:t>
      </w:r>
      <w:r>
        <w:rPr>
          <w:color w:val="000000"/>
        </w:rPr>
        <w:t xml:space="preserve"> </w:t>
      </w:r>
      <w:r>
        <w:rPr>
          <w:rFonts w:ascii="Arial;sans-serif" w:hAnsi="Arial;sans-serif"/>
          <w:b w:val="false"/>
          <w:color w:val="000000"/>
          <w:sz w:val="23"/>
        </w:rPr>
        <w:t>are modified under this Agreement</w:t>
      </w:r>
      <w:r>
        <w:rPr>
          <w:rFonts w:ascii="Arial;sans-serif" w:hAnsi="Arial;sans-serif"/>
          <w:b w:val="false"/>
          <w:color w:val="000000"/>
          <w:sz w:val="24"/>
        </w:rPr>
        <w:t xml:space="preserve">. </w:t>
      </w:r>
    </w:p>
    <w:p>
      <w:pPr>
        <w:pStyle w:val="TextBody"/>
        <w:spacing w:before="0" w:after="0"/>
        <w:rPr/>
      </w:pPr>
      <w:r>
        <w:rPr/>
      </w:r>
    </w:p>
    <w:p>
      <w:pPr>
        <w:pStyle w:val="TextBody"/>
        <w:spacing w:lineRule="auto" w:line="240" w:before="0" w:after="0"/>
        <w:ind w:left="0" w:right="0" w:hanging="720"/>
        <w:rPr/>
      </w:pPr>
      <w:r>
        <w:rPr>
          <w:rFonts w:ascii="Arial;sans-serif" w:hAnsi="Arial;sans-serif"/>
          <w:b w:val="false"/>
          <w:color w:val="000000"/>
          <w:sz w:val="24"/>
        </w:rPr>
        <w:t>1.</w:t>
      </w:r>
      <w:r>
        <w:rPr>
          <w:rFonts w:ascii="Arial;sans-serif" w:hAnsi="Arial;sans-serif"/>
          <w:b w:val="false"/>
          <w:color w:val="000000"/>
          <w:sz w:val="24"/>
          <w:u w:val="single"/>
        </w:rPr>
        <w:t xml:space="preserve">[****] for the [****] Undelivered [****] Exercised Aircraft </w:t>
      </w:r>
    </w:p>
    <w:p>
      <w:pPr>
        <w:pStyle w:val="TextBody"/>
        <w:spacing w:before="0" w:after="0"/>
        <w:rPr/>
      </w:pPr>
      <w:r>
        <w:rPr/>
      </w:r>
    </w:p>
    <w:p>
      <w:pPr>
        <w:pStyle w:val="TextBody"/>
        <w:spacing w:lineRule="auto" w:line="240" w:before="0" w:after="0"/>
        <w:ind w:left="0" w:right="0" w:firstLine="720"/>
        <w:jc w:val="both"/>
        <w:rPr>
          <w:rFonts w:ascii="Arial;sans-serif" w:hAnsi="Arial;sans-serif"/>
          <w:b w:val="false"/>
          <w:color w:val="000000"/>
          <w:sz w:val="24"/>
        </w:rPr>
      </w:pPr>
      <w:r>
        <w:rPr>
          <w:rFonts w:ascii="Arial;sans-serif" w:hAnsi="Arial;sans-serif"/>
          <w:b w:val="false"/>
          <w:color w:val="000000"/>
          <w:sz w:val="24"/>
        </w:rPr>
        <w:t>Boeing and Customer [****] that the [****] Undelivered 2018 787-8 [****] Aircraft are [****] as set forth on Attachment A.</w:t>
      </w:r>
    </w:p>
    <w:p>
      <w:pPr>
        <w:pStyle w:val="TextBody"/>
        <w:spacing w:before="0" w:after="0"/>
        <w:jc w:val="both"/>
        <w:rPr/>
      </w:pPr>
      <w:r>
        <w:rPr/>
      </w:r>
    </w:p>
    <w:p>
      <w:pPr>
        <w:pStyle w:val="TextBody"/>
        <w:spacing w:lineRule="auto" w:line="240" w:before="0" w:after="0"/>
        <w:ind w:left="0" w:right="0" w:hanging="1080"/>
        <w:jc w:val="both"/>
        <w:rPr/>
      </w:pPr>
      <w:r>
        <w:rPr>
          <w:rFonts w:ascii="Arial;sans-serif" w:hAnsi="Arial;sans-serif"/>
          <w:b w:val="false"/>
          <w:color w:val="000000"/>
          <w:sz w:val="24"/>
        </w:rPr>
        <w:t>2.</w:t>
      </w:r>
      <w:r>
        <w:rPr>
          <w:rFonts w:ascii="Arial;sans-serif" w:hAnsi="Arial;sans-serif"/>
          <w:b w:val="false"/>
          <w:color w:val="000000"/>
          <w:sz w:val="24"/>
          <w:u w:val="single"/>
        </w:rPr>
        <w:t>[****]</w:t>
      </w:r>
      <w:r>
        <w:rPr>
          <w:rFonts w:ascii="Arial;sans-serif" w:hAnsi="Arial;sans-serif"/>
          <w:b w:val="false"/>
          <w:color w:val="000000"/>
          <w:sz w:val="24"/>
        </w:rPr>
        <w:t>.</w:t>
      </w:r>
    </w:p>
    <w:p>
      <w:pPr>
        <w:pStyle w:val="TextBody"/>
        <w:spacing w:lineRule="auto" w:line="240" w:before="240" w:after="120"/>
        <w:ind w:left="0" w:right="0" w:firstLine="720"/>
        <w:jc w:val="both"/>
        <w:rPr/>
      </w:pPr>
      <w:r>
        <w:rPr>
          <w:rFonts w:ascii="Arial;sans-serif" w:hAnsi="Arial;sans-serif"/>
          <w:b w:val="false"/>
          <w:color w:val="000000"/>
          <w:sz w:val="24"/>
        </w:rPr>
        <w:t>2.1    </w:t>
      </w:r>
      <w:r>
        <w:rPr>
          <w:rFonts w:ascii="Arial;sans-serif" w:hAnsi="Arial;sans-serif"/>
          <w:b w:val="false"/>
          <w:color w:val="000000"/>
          <w:sz w:val="24"/>
          <w:u w:val="single"/>
        </w:rPr>
        <w:t>[****]</w:t>
      </w:r>
      <w:r>
        <w:rPr>
          <w:rFonts w:ascii="Arial;sans-serif" w:hAnsi="Arial;sans-serif"/>
          <w:b w:val="false"/>
          <w:color w:val="000000"/>
          <w:sz w:val="24"/>
        </w:rPr>
        <w:t xml:space="preserve">. Prior to the date of this Agreement, Boeing [****] Customer [****] of Letter Agreement No. 6-1162-TRW-0670R1 to the Purchase Agreement entitled </w:t>
      </w:r>
      <w:r>
        <w:rPr>
          <w:rFonts w:ascii="Arial;sans-serif" w:hAnsi="Arial;sans-serif"/>
          <w:b w:val="false"/>
          <w:color w:val="000000"/>
          <w:sz w:val="24"/>
          <w:u w:val="single"/>
        </w:rPr>
        <w:t>Miscellaneous Commitments for Model 787 Aircraft</w:t>
      </w:r>
      <w:r>
        <w:rPr>
          <w:rFonts w:ascii="Arial;sans-serif" w:hAnsi="Arial;sans-serif"/>
          <w:b w:val="false"/>
          <w:color w:val="000000"/>
          <w:sz w:val="24"/>
        </w:rPr>
        <w:t xml:space="preserve">, [****] shown in the table below ([****]), and Customer will [****] to Boeing. The Parties agree that as of the date of this Agreement Boeing [****] Delivered 787-8 [****] Aircraft and [****] Undelivered 787-8 [****] Aircraft [****] to Customer as [****] Scheduled Delivery Months of such [****] 2018 [****] Aircraft or [****] Undelivered 787-8 [****] Aircraft. </w:t>
      </w:r>
    </w:p>
    <w:p>
      <w:pPr>
        <w:pStyle w:val="TextBody"/>
        <w:spacing w:before="0" w:after="120"/>
        <w:ind w:left="0" w:right="0" w:firstLine="720"/>
        <w:jc w:val="both"/>
        <w:rPr/>
      </w:pPr>
      <w:r>
        <w:rPr/>
      </w:r>
    </w:p>
    <w:tbl>
      <w:tblPr>
        <w:tblW w:w="6673" w:type="dxa"/>
        <w:jc w:val="left"/>
        <w:tblInd w:w="0" w:type="dxa"/>
        <w:tblCellMar>
          <w:top w:w="28" w:type="dxa"/>
          <w:left w:w="28" w:type="dxa"/>
          <w:bottom w:w="28" w:type="dxa"/>
          <w:right w:w="28" w:type="dxa"/>
        </w:tblCellMar>
      </w:tblPr>
      <w:tblGrid>
        <w:gridCol w:w="803"/>
        <w:gridCol w:w="705"/>
        <w:gridCol w:w="711"/>
        <w:gridCol w:w="1272"/>
        <w:gridCol w:w="1272"/>
        <w:gridCol w:w="1281"/>
        <w:gridCol w:w="184"/>
        <w:gridCol w:w="184"/>
        <w:gridCol w:w="261"/>
      </w:tblGrid>
      <w:tr>
        <w:trPr/>
        <w:tc>
          <w:tcPr>
            <w:tcW w:w="803"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Arial;sans-serif" w:hAnsi="Arial;sans-serif"/>
                <w:b w:val="false"/>
                <w:color w:val="000000"/>
                <w:sz w:val="24"/>
              </w:rPr>
            </w:pPr>
            <w:r>
              <w:rPr>
                <w:rFonts w:ascii="Arial;sans-serif" w:hAnsi="Arial;sans-serif"/>
                <w:b w:val="false"/>
                <w:color w:val="000000"/>
                <w:sz w:val="24"/>
              </w:rPr>
              <w:t>MSN and Block No.</w:t>
            </w:r>
          </w:p>
        </w:tc>
        <w:tc>
          <w:tcPr>
            <w:tcW w:w="382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Category</w:t>
            </w:r>
          </w:p>
        </w:tc>
        <w:tc>
          <w:tcPr>
            <w:tcW w:w="62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221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Arial;sans-serif" w:hAnsi="Arial;sans-serif"/>
                <w:b w:val="false"/>
                <w:color w:val="000000"/>
                <w:sz w:val="24"/>
              </w:rPr>
            </w:pPr>
            <w:r>
              <w:rPr>
                <w:rFonts w:ascii="Arial;sans-serif" w:hAnsi="Arial;sans-serif"/>
                <w:b w:val="false"/>
                <w:color w:val="000000"/>
                <w:sz w:val="24"/>
              </w:rPr>
              <w:t>[****]</w:t>
            </w:r>
          </w:p>
        </w:tc>
        <w:tc>
          <w:tcPr>
            <w:tcW w:w="382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 Delivered 787-8 [****] Aircraft</w:t>
            </w:r>
          </w:p>
        </w:tc>
        <w:tc>
          <w:tcPr>
            <w:tcW w:w="62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221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Arial;sans-serif" w:hAnsi="Arial;sans-serif"/>
                <w:b w:val="false"/>
                <w:color w:val="000000"/>
                <w:sz w:val="24"/>
              </w:rPr>
            </w:pPr>
            <w:r>
              <w:rPr>
                <w:rFonts w:ascii="Arial;sans-serif" w:hAnsi="Arial;sans-serif"/>
                <w:b w:val="false"/>
                <w:color w:val="000000"/>
                <w:sz w:val="24"/>
              </w:rPr>
              <w:t>[****]</w:t>
            </w:r>
          </w:p>
        </w:tc>
        <w:tc>
          <w:tcPr>
            <w:tcW w:w="382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 Delivered 787-8 [****] Aircraft</w:t>
            </w:r>
          </w:p>
        </w:tc>
        <w:tc>
          <w:tcPr>
            <w:tcW w:w="62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221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Arial;sans-serif" w:hAnsi="Arial;sans-serif"/>
                <w:b w:val="false"/>
                <w:color w:val="000000"/>
                <w:sz w:val="24"/>
              </w:rPr>
            </w:pPr>
            <w:r>
              <w:rPr>
                <w:rFonts w:ascii="Arial;sans-serif" w:hAnsi="Arial;sans-serif"/>
                <w:b w:val="false"/>
                <w:color w:val="000000"/>
                <w:sz w:val="24"/>
              </w:rPr>
              <w:t>[****]</w:t>
            </w:r>
          </w:p>
        </w:tc>
        <w:tc>
          <w:tcPr>
            <w:tcW w:w="382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 Delivered 787-8 [****] Aircraft t</w:t>
            </w:r>
          </w:p>
        </w:tc>
        <w:tc>
          <w:tcPr>
            <w:tcW w:w="62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221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Arial;sans-serif" w:hAnsi="Arial;sans-serif"/>
                <w:b w:val="false"/>
                <w:color w:val="000000"/>
                <w:sz w:val="24"/>
              </w:rPr>
            </w:pPr>
            <w:r>
              <w:rPr>
                <w:rFonts w:ascii="Arial;sans-serif" w:hAnsi="Arial;sans-serif"/>
                <w:b w:val="false"/>
                <w:color w:val="000000"/>
                <w:sz w:val="24"/>
              </w:rPr>
              <w:t>[****]</w:t>
            </w:r>
          </w:p>
        </w:tc>
        <w:tc>
          <w:tcPr>
            <w:tcW w:w="382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 Delivered 787-8 [****] Aircraft</w:t>
            </w:r>
          </w:p>
        </w:tc>
        <w:tc>
          <w:tcPr>
            <w:tcW w:w="62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221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Arial;sans-serif" w:hAnsi="Arial;sans-serif"/>
                <w:b w:val="false"/>
                <w:color w:val="000000"/>
                <w:sz w:val="24"/>
              </w:rPr>
            </w:pPr>
            <w:r>
              <w:rPr>
                <w:rFonts w:ascii="Arial;sans-serif" w:hAnsi="Arial;sans-serif"/>
                <w:b w:val="false"/>
                <w:color w:val="000000"/>
                <w:sz w:val="24"/>
              </w:rPr>
              <w:t>[****]</w:t>
            </w:r>
          </w:p>
        </w:tc>
        <w:tc>
          <w:tcPr>
            <w:tcW w:w="382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 Delivered 787-8 [****] Aircraft</w:t>
            </w:r>
          </w:p>
        </w:tc>
        <w:tc>
          <w:tcPr>
            <w:tcW w:w="62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221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Arial;sans-serif" w:hAnsi="Arial;sans-serif"/>
                <w:b w:val="false"/>
                <w:color w:val="000000"/>
                <w:sz w:val="24"/>
              </w:rPr>
            </w:pPr>
            <w:r>
              <w:rPr>
                <w:rFonts w:ascii="Arial;sans-serif" w:hAnsi="Arial;sans-serif"/>
                <w:b w:val="false"/>
                <w:color w:val="000000"/>
                <w:sz w:val="24"/>
              </w:rPr>
              <w:t>[****]</w:t>
            </w:r>
          </w:p>
        </w:tc>
        <w:tc>
          <w:tcPr>
            <w:tcW w:w="382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 Delivered 787-8 [****] Aircraft</w:t>
            </w:r>
          </w:p>
        </w:tc>
        <w:tc>
          <w:tcPr>
            <w:tcW w:w="62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221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Arial;sans-serif" w:hAnsi="Arial;sans-serif"/>
                <w:b w:val="false"/>
                <w:color w:val="000000"/>
                <w:sz w:val="24"/>
              </w:rPr>
            </w:pPr>
            <w:r>
              <w:rPr>
                <w:rFonts w:ascii="Arial;sans-serif" w:hAnsi="Arial;sans-serif"/>
                <w:b w:val="false"/>
                <w:color w:val="000000"/>
                <w:sz w:val="24"/>
              </w:rPr>
              <w:t>[****]</w:t>
            </w:r>
          </w:p>
        </w:tc>
        <w:tc>
          <w:tcPr>
            <w:tcW w:w="382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 Delivered 787-8 [****] Aircraft</w:t>
            </w:r>
          </w:p>
        </w:tc>
        <w:tc>
          <w:tcPr>
            <w:tcW w:w="62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221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Arial;sans-serif" w:hAnsi="Arial;sans-serif"/>
                <w:b w:val="false"/>
                <w:color w:val="000000"/>
                <w:sz w:val="24"/>
              </w:rPr>
            </w:pPr>
            <w:r>
              <w:rPr>
                <w:rFonts w:ascii="Arial;sans-serif" w:hAnsi="Arial;sans-serif"/>
                <w:b w:val="false"/>
                <w:color w:val="000000"/>
                <w:sz w:val="24"/>
              </w:rPr>
              <w:t>[****]</w:t>
            </w:r>
          </w:p>
        </w:tc>
        <w:tc>
          <w:tcPr>
            <w:tcW w:w="382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 Delivered 787-8 [****] Aircraft</w:t>
            </w:r>
          </w:p>
        </w:tc>
        <w:tc>
          <w:tcPr>
            <w:tcW w:w="62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2219"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both"/>
              <w:rPr>
                <w:rFonts w:ascii="Arial;sans-serif" w:hAnsi="Arial;sans-serif"/>
                <w:b w:val="false"/>
                <w:color w:val="000000"/>
                <w:sz w:val="24"/>
              </w:rPr>
            </w:pPr>
            <w:r>
              <w:rPr>
                <w:rFonts w:ascii="Arial;sans-serif" w:hAnsi="Arial;sans-serif"/>
                <w:b w:val="false"/>
                <w:color w:val="000000"/>
                <w:sz w:val="24"/>
              </w:rPr>
              <w:t>[****]</w:t>
            </w:r>
          </w:p>
        </w:tc>
        <w:tc>
          <w:tcPr>
            <w:tcW w:w="3825"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 Delivered 787-8 [****] Aircraft</w:t>
            </w:r>
          </w:p>
        </w:tc>
        <w:tc>
          <w:tcPr>
            <w:tcW w:w="629"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bl>
    <w:p>
      <w:pPr>
        <w:pStyle w:val="TextBody"/>
        <w:spacing w:lineRule="auto" w:line="240" w:before="0" w:after="0"/>
        <w:rPr/>
      </w:pPr>
      <w:r>
        <w:br w:type="page"/>
      </w:r>
      <w:r>
        <w:rPr/>
        <w:drawing>
          <wp:inline distT="0" distB="63500" distL="0" distR="0">
            <wp:extent cx="1743075" cy="409575"/>
            <wp:effectExtent l="0" t="0" r="0" b="0"/>
            <wp:docPr id="8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 descr=""/>
                    <pic:cNvPicPr>
                      <a:picLocks noChangeAspect="1" noChangeArrowheads="1"/>
                    </pic:cNvPicPr>
                  </pic:nvPicPr>
                  <pic:blipFill>
                    <a:blip r:embed="rId6"/>
                    <a:stretch>
                      <a:fillRect/>
                    </a:stretch>
                  </pic:blipFill>
                  <pic:spPr bwMode="auto">
                    <a:xfrm>
                      <a:off x="0" y="0"/>
                      <a:ext cx="1743075" cy="409575"/>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525780"/>
                <wp:effectExtent l="0" t="0" r="0" b="0"/>
                <wp:wrapNone/>
                <wp:docPr id="90" name="Frame87"/>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rPr>
                                <w:rFonts w:ascii="Arial;sans-serif" w:hAnsi="Arial;sans-serif"/>
                                <w:b w:val="false"/>
                                <w:color w:val="000000"/>
                                <w:sz w:val="24"/>
                              </w:rPr>
                            </w:pPr>
                            <w:r>
                              <w:rPr>
                                <w:rFonts w:ascii="Arial;sans-serif" w:hAnsi="Arial;sans-serif"/>
                                <w:b w:val="false"/>
                                <w:color w:val="000000"/>
                                <w:sz w:val="24"/>
                              </w:rPr>
                              <w:t>AAL-LA-2300047</w:t>
                            </w:r>
                          </w:p>
                          <w:p>
                            <w:pPr>
                              <w:pStyle w:val="TextBody"/>
                              <w:spacing w:lineRule="auto" w:line="240" w:before="0" w:after="0"/>
                              <w:rPr>
                                <w:rFonts w:ascii="Arial;sans-serif" w:hAnsi="Arial;sans-serif"/>
                                <w:b w:val="false"/>
                                <w:color w:val="000000"/>
                                <w:sz w:val="24"/>
                              </w:rPr>
                            </w:pPr>
                            <w:r>
                              <w:rPr>
                                <w:rFonts w:ascii="Arial;sans-serif" w:hAnsi="Arial;sans-serif"/>
                                <w:b w:val="false"/>
                                <w:color w:val="000000"/>
                                <w:sz w:val="24"/>
                              </w:rPr>
                              <w:t>[****] for 787 [****] (January 2023)    Page 2</w:t>
                            </w:r>
                          </w:p>
                          <w:p>
                            <w:pPr>
                              <w:pStyle w:val="TextBody"/>
                              <w:spacing w:lineRule="auto" w:line="240" w:before="0" w:after="0"/>
                              <w:jc w:val="center"/>
                              <w:rPr>
                                <w:rFonts w:ascii="Arial;sans-serif" w:hAnsi="Arial;sans-serif"/>
                                <w:b/>
                                <w:color w:val="000000"/>
                                <w:sz w:val="24"/>
                              </w:rPr>
                            </w:pPr>
                            <w:r>
                              <w:rPr>
                                <w:rFonts w:ascii="Arial;sans-serif" w:hAnsi="Arial;sans-serif"/>
                                <w:b/>
                                <w:color w:val="000000"/>
                                <w:sz w:val="24"/>
                              </w:rPr>
                              <w:t>BOEING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rFonts w:ascii="Arial;sans-serif" w:hAnsi="Arial;sans-serif"/>
                          <w:b w:val="false"/>
                          <w:color w:val="000000"/>
                          <w:sz w:val="24"/>
                        </w:rPr>
                      </w:pPr>
                      <w:r>
                        <w:rPr>
                          <w:rFonts w:ascii="Arial;sans-serif" w:hAnsi="Arial;sans-serif"/>
                          <w:b w:val="false"/>
                          <w:color w:val="000000"/>
                          <w:sz w:val="24"/>
                        </w:rPr>
                        <w:t>AAL-LA-2300047</w:t>
                      </w:r>
                    </w:p>
                    <w:p>
                      <w:pPr>
                        <w:pStyle w:val="TextBody"/>
                        <w:spacing w:lineRule="auto" w:line="240" w:before="0" w:after="0"/>
                        <w:rPr>
                          <w:rFonts w:ascii="Arial;sans-serif" w:hAnsi="Arial;sans-serif"/>
                          <w:b w:val="false"/>
                          <w:color w:val="000000"/>
                          <w:sz w:val="24"/>
                        </w:rPr>
                      </w:pPr>
                      <w:r>
                        <w:rPr>
                          <w:rFonts w:ascii="Arial;sans-serif" w:hAnsi="Arial;sans-serif"/>
                          <w:b w:val="false"/>
                          <w:color w:val="000000"/>
                          <w:sz w:val="24"/>
                        </w:rPr>
                        <w:t>[****] for 787 [****] (January 2023)    Page 2</w:t>
                      </w:r>
                    </w:p>
                    <w:p>
                      <w:pPr>
                        <w:pStyle w:val="TextBody"/>
                        <w:spacing w:lineRule="auto" w:line="240" w:before="0" w:after="0"/>
                        <w:jc w:val="center"/>
                        <w:rPr>
                          <w:rFonts w:ascii="Arial;sans-serif" w:hAnsi="Arial;sans-serif"/>
                          <w:b/>
                          <w:color w:val="000000"/>
                          <w:sz w:val="24"/>
                        </w:rPr>
                      </w:pPr>
                      <w:r>
                        <w:rPr>
                          <w:rFonts w:ascii="Arial;sans-serif" w:hAnsi="Arial;sans-serif"/>
                          <w:b/>
                          <w:color w:val="000000"/>
                          <w:sz w:val="24"/>
                        </w:rPr>
                        <w:t>BOEING PROPRIETARY</w:t>
                      </w:r>
                    </w:p>
                  </w:txbxContent>
                </v:textbox>
              </v:rect>
            </w:pict>
          </mc:Fallback>
        </mc:AlternateContent>
      </w:r>
    </w:p>
    <w:tbl>
      <w:tblPr>
        <w:tblW w:w="5202" w:type="dxa"/>
        <w:jc w:val="left"/>
        <w:tblInd w:w="0" w:type="dxa"/>
        <w:tblCellMar>
          <w:top w:w="28" w:type="dxa"/>
          <w:left w:w="28" w:type="dxa"/>
          <w:bottom w:w="28" w:type="dxa"/>
          <w:right w:w="28" w:type="dxa"/>
        </w:tblCellMar>
      </w:tblPr>
      <w:tblGrid>
        <w:gridCol w:w="217"/>
        <w:gridCol w:w="191"/>
        <w:gridCol w:w="191"/>
        <w:gridCol w:w="1324"/>
        <w:gridCol w:w="1324"/>
        <w:gridCol w:w="1326"/>
        <w:gridCol w:w="184"/>
        <w:gridCol w:w="184"/>
        <w:gridCol w:w="261"/>
      </w:tblGrid>
      <w:tr>
        <w:trPr/>
        <w:tc>
          <w:tcPr>
            <w:tcW w:w="21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324" w:type="dxa"/>
            <w:tcBorders/>
            <w:shd w:fill="auto" w:val="clear"/>
            <w:vAlign w:val="center"/>
          </w:tcPr>
          <w:p>
            <w:pPr>
              <w:pStyle w:val="TableContents"/>
              <w:spacing w:before="0" w:after="283"/>
              <w:rPr>
                <w:sz w:val="4"/>
                <w:szCs w:val="4"/>
              </w:rPr>
            </w:pPr>
            <w:r>
              <w:rPr>
                <w:sz w:val="4"/>
                <w:szCs w:val="4"/>
              </w:rPr>
            </w:r>
          </w:p>
        </w:tc>
        <w:tc>
          <w:tcPr>
            <w:tcW w:w="1324" w:type="dxa"/>
            <w:tcBorders/>
            <w:shd w:fill="auto" w:val="clear"/>
            <w:vAlign w:val="center"/>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r>
      <w:tr>
        <w:trPr/>
        <w:tc>
          <w:tcPr>
            <w:tcW w:w="59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Arial;sans-serif" w:hAnsi="Arial;sans-serif"/>
                <w:b w:val="false"/>
                <w:color w:val="000000"/>
                <w:sz w:val="24"/>
              </w:rPr>
            </w:pPr>
            <w:r>
              <w:rPr>
                <w:rFonts w:ascii="Arial;sans-serif" w:hAnsi="Arial;sans-serif"/>
                <w:b w:val="false"/>
                <w:color w:val="000000"/>
                <w:sz w:val="24"/>
              </w:rPr>
              <w:t>[****]</w:t>
            </w:r>
          </w:p>
        </w:tc>
        <w:tc>
          <w:tcPr>
            <w:tcW w:w="397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 Undelivered 787-8 [****] Aircraft</w:t>
            </w:r>
          </w:p>
        </w:tc>
        <w:tc>
          <w:tcPr>
            <w:tcW w:w="62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Arial;sans-serif" w:hAnsi="Arial;sans-serif"/>
                <w:b w:val="false"/>
                <w:color w:val="000000"/>
                <w:sz w:val="24"/>
              </w:rPr>
            </w:pPr>
            <w:r>
              <w:rPr>
                <w:rFonts w:ascii="Arial;sans-serif" w:hAnsi="Arial;sans-serif"/>
                <w:b w:val="false"/>
                <w:color w:val="000000"/>
                <w:sz w:val="24"/>
              </w:rPr>
              <w:t>[****]</w:t>
            </w:r>
          </w:p>
        </w:tc>
        <w:tc>
          <w:tcPr>
            <w:tcW w:w="397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 Undelivered 787-8 [****] Aircraft</w:t>
            </w:r>
          </w:p>
        </w:tc>
        <w:tc>
          <w:tcPr>
            <w:tcW w:w="62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Arial;sans-serif" w:hAnsi="Arial;sans-serif"/>
                <w:b w:val="false"/>
                <w:color w:val="000000"/>
                <w:sz w:val="24"/>
              </w:rPr>
            </w:pPr>
            <w:r>
              <w:rPr>
                <w:rFonts w:ascii="Arial;sans-serif" w:hAnsi="Arial;sans-serif"/>
                <w:b w:val="false"/>
                <w:color w:val="000000"/>
                <w:sz w:val="24"/>
              </w:rPr>
              <w:t>[****]</w:t>
            </w:r>
          </w:p>
        </w:tc>
        <w:tc>
          <w:tcPr>
            <w:tcW w:w="397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 Undelivered 787-8 [****] Aircraft</w:t>
            </w:r>
          </w:p>
        </w:tc>
        <w:tc>
          <w:tcPr>
            <w:tcW w:w="62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Arial;sans-serif" w:hAnsi="Arial;sans-serif"/>
                <w:b w:val="false"/>
                <w:color w:val="000000"/>
                <w:sz w:val="24"/>
              </w:rPr>
            </w:pPr>
            <w:r>
              <w:rPr>
                <w:rFonts w:ascii="Arial;sans-serif" w:hAnsi="Arial;sans-serif"/>
                <w:b w:val="false"/>
                <w:color w:val="000000"/>
                <w:sz w:val="24"/>
              </w:rPr>
              <w:t>[****]</w:t>
            </w:r>
          </w:p>
        </w:tc>
        <w:tc>
          <w:tcPr>
            <w:tcW w:w="397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 Undelivered 787-8 [****] Aircraft</w:t>
            </w:r>
          </w:p>
        </w:tc>
        <w:tc>
          <w:tcPr>
            <w:tcW w:w="62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both"/>
              <w:rPr>
                <w:rFonts w:ascii="Arial;sans-serif" w:hAnsi="Arial;sans-serif"/>
                <w:b w:val="false"/>
                <w:color w:val="000000"/>
                <w:sz w:val="24"/>
              </w:rPr>
            </w:pPr>
            <w:r>
              <w:rPr>
                <w:rFonts w:ascii="Arial;sans-serif" w:hAnsi="Arial;sans-serif"/>
                <w:b w:val="false"/>
                <w:color w:val="000000"/>
                <w:sz w:val="24"/>
              </w:rPr>
              <w:t>[****]</w:t>
            </w:r>
          </w:p>
        </w:tc>
        <w:tc>
          <w:tcPr>
            <w:tcW w:w="3974" w:type="dxa"/>
            <w:gridSpan w:val="3"/>
            <w:tcBorders>
              <w:top w:val="single" w:sz="4" w:space="0" w:color="000000"/>
              <w:left w:val="single" w:sz="4" w:space="0" w:color="000000"/>
              <w:bottom w:val="single" w:sz="4" w:space="0" w:color="000000"/>
            </w:tcBorders>
            <w:shd w:fill="auto" w:val="clear"/>
            <w:tcMar>
              <w:right w:w="0" w:type="dxa"/>
            </w:tcMar>
            <w:vAlign w:val="center"/>
          </w:tcPr>
          <w:p>
            <w:pPr>
              <w:pStyle w:val="TableContents"/>
              <w:spacing w:before="0" w:after="283"/>
              <w:rPr>
                <w:sz w:val="4"/>
                <w:szCs w:val="4"/>
              </w:rPr>
            </w:pPr>
            <w:r>
              <w:rPr>
                <w:sz w:val="4"/>
                <w:szCs w:val="4"/>
              </w:rPr>
            </w:r>
          </w:p>
        </w:tc>
        <w:tc>
          <w:tcPr>
            <w:tcW w:w="629"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bl>
    <w:p>
      <w:pPr>
        <w:pStyle w:val="TextBody"/>
        <w:spacing w:lineRule="auto" w:line="240" w:before="240" w:after="283"/>
        <w:jc w:val="both"/>
        <w:rPr/>
      </w:pPr>
      <w:r>
        <w:rPr>
          <w:color w:val="000000"/>
        </w:rPr>
        <w:t>    </w:t>
      </w:r>
      <w:r>
        <w:rPr>
          <w:rFonts w:ascii="Arial;sans-serif" w:hAnsi="Arial;sans-serif"/>
          <w:b w:val="false"/>
          <w:color w:val="000000"/>
          <w:sz w:val="24"/>
        </w:rPr>
        <w:t>2.2    </w:t>
      </w:r>
      <w:r>
        <w:rPr>
          <w:rFonts w:ascii="Arial;sans-serif" w:hAnsi="Arial;sans-serif"/>
          <w:b w:val="false"/>
          <w:color w:val="000000"/>
          <w:sz w:val="24"/>
          <w:u w:val="single"/>
        </w:rPr>
        <w:t>[****].</w:t>
      </w:r>
      <w:r>
        <w:rPr>
          <w:color w:val="000000"/>
        </w:rPr>
        <w:t>    </w:t>
      </w:r>
      <w:r>
        <w:rPr>
          <w:rFonts w:ascii="Arial;sans-serif" w:hAnsi="Arial;sans-serif"/>
          <w:b w:val="false"/>
          <w:color w:val="000000"/>
          <w:sz w:val="24"/>
        </w:rPr>
        <w:t>Boeing will [****] ([****]). [****] as follows:</w:t>
      </w:r>
    </w:p>
    <w:p>
      <w:pPr>
        <w:pStyle w:val="TextBody"/>
        <w:spacing w:lineRule="auto" w:line="240" w:before="240" w:after="283"/>
        <w:ind w:left="0" w:right="0" w:firstLine="1440"/>
        <w:jc w:val="both"/>
        <w:rPr>
          <w:rFonts w:ascii="Arial;sans-serif" w:hAnsi="Arial;sans-serif"/>
          <w:b w:val="false"/>
          <w:color w:val="000000"/>
          <w:sz w:val="24"/>
        </w:rPr>
      </w:pPr>
      <w:r>
        <w:rPr>
          <w:rFonts w:ascii="Arial;sans-serif" w:hAnsi="Arial;sans-serif"/>
          <w:b w:val="false"/>
          <w:color w:val="000000"/>
          <w:sz w:val="24"/>
        </w:rPr>
        <w:t>2.2.1 [****].</w:t>
      </w:r>
    </w:p>
    <w:p>
      <w:pPr>
        <w:pStyle w:val="TextBody"/>
        <w:spacing w:lineRule="auto" w:line="240" w:before="240" w:after="283"/>
        <w:ind w:left="0" w:right="0" w:firstLine="1440"/>
        <w:jc w:val="both"/>
        <w:rPr>
          <w:rFonts w:ascii="Arial;sans-serif" w:hAnsi="Arial;sans-serif"/>
          <w:b w:val="false"/>
          <w:color w:val="000000"/>
          <w:sz w:val="24"/>
        </w:rPr>
      </w:pPr>
      <w:r>
        <w:rPr>
          <w:rFonts w:ascii="Arial;sans-serif" w:hAnsi="Arial;sans-serif"/>
          <w:b w:val="false"/>
          <w:color w:val="000000"/>
          <w:sz w:val="24"/>
        </w:rPr>
        <w:t>2.2.2 [****].</w:t>
      </w:r>
    </w:p>
    <w:p>
      <w:pPr>
        <w:pStyle w:val="TextBody"/>
        <w:spacing w:lineRule="auto" w:line="240" w:before="240" w:after="283"/>
        <w:ind w:left="0" w:right="0" w:firstLine="1440"/>
        <w:jc w:val="both"/>
        <w:rPr>
          <w:rFonts w:ascii="Arial;sans-serif" w:hAnsi="Arial;sans-serif"/>
          <w:b w:val="false"/>
          <w:color w:val="000000"/>
          <w:sz w:val="24"/>
        </w:rPr>
      </w:pPr>
      <w:r>
        <w:rPr>
          <w:rFonts w:ascii="Arial;sans-serif" w:hAnsi="Arial;sans-serif"/>
          <w:b w:val="false"/>
          <w:color w:val="000000"/>
          <w:sz w:val="24"/>
        </w:rPr>
        <w:t>2.2.3 [****].</w:t>
      </w:r>
    </w:p>
    <w:p>
      <w:pPr>
        <w:pStyle w:val="TextBody"/>
        <w:spacing w:before="0" w:after="0"/>
        <w:rPr/>
      </w:pPr>
      <w:r>
        <w:rPr/>
      </w:r>
    </w:p>
    <w:p>
      <w:pPr>
        <w:pStyle w:val="TextBody"/>
        <w:spacing w:lineRule="auto" w:line="240" w:before="0" w:after="0"/>
        <w:rPr/>
      </w:pPr>
      <w:r>
        <w:rPr>
          <w:rFonts w:ascii="Arial;sans-serif" w:hAnsi="Arial;sans-serif"/>
          <w:b w:val="false"/>
          <w:color w:val="000000"/>
          <w:sz w:val="24"/>
        </w:rPr>
        <w:t>3.     </w:t>
      </w:r>
      <w:r>
        <w:rPr>
          <w:rFonts w:ascii="Arial;sans-serif" w:hAnsi="Arial;sans-serif"/>
          <w:b w:val="false"/>
          <w:color w:val="000000"/>
          <w:sz w:val="24"/>
          <w:u w:val="single"/>
        </w:rPr>
        <w:t>[****]</w:t>
      </w:r>
      <w:r>
        <w:rPr>
          <w:rFonts w:ascii="Arial;sans-serif" w:hAnsi="Arial;sans-serif"/>
          <w:b w:val="false"/>
          <w:color w:val="000000"/>
          <w:sz w:val="24"/>
        </w:rPr>
        <w:t xml:space="preserve">. </w:t>
      </w:r>
    </w:p>
    <w:p>
      <w:pPr>
        <w:pStyle w:val="TextBody"/>
        <w:spacing w:lineRule="auto" w:line="240" w:before="240" w:after="283"/>
        <w:jc w:val="both"/>
        <w:rPr>
          <w:color w:val="000000"/>
        </w:rPr>
      </w:pPr>
      <w:r>
        <w:rPr>
          <w:color w:val="000000"/>
        </w:rPr>
        <w:t>    </w:t>
      </w:r>
      <w:r>
        <w:rPr>
          <w:rFonts w:ascii="Arial;sans-serif" w:hAnsi="Arial;sans-serif"/>
          <w:b w:val="false"/>
          <w:color w:val="000000"/>
          <w:sz w:val="24"/>
        </w:rPr>
        <w:t>Boeing and Customer agree that the [****] Undelivered 2018 787-8 [****] Aircraft [****].</w:t>
      </w:r>
    </w:p>
    <w:p>
      <w:pPr>
        <w:pStyle w:val="TextBody"/>
        <w:spacing w:before="0" w:after="0"/>
        <w:ind w:left="0" w:right="0" w:firstLine="1440"/>
        <w:jc w:val="both"/>
        <w:rPr/>
      </w:pPr>
      <w:r>
        <w:rPr/>
      </w:r>
    </w:p>
    <w:p>
      <w:pPr>
        <w:pStyle w:val="TextBody"/>
        <w:spacing w:lineRule="auto" w:line="240" w:before="0" w:after="0"/>
        <w:jc w:val="both"/>
        <w:rPr/>
      </w:pPr>
      <w:r>
        <w:rPr>
          <w:rFonts w:ascii="Arial;sans-serif" w:hAnsi="Arial;sans-serif"/>
          <w:b w:val="false"/>
          <w:color w:val="000000"/>
          <w:sz w:val="24"/>
        </w:rPr>
        <w:t>4.    </w:t>
      </w:r>
      <w:r>
        <w:rPr>
          <w:rFonts w:ascii="Arial;sans-serif" w:hAnsi="Arial;sans-serif"/>
          <w:b w:val="false"/>
          <w:color w:val="000000"/>
          <w:sz w:val="24"/>
          <w:u w:val="single"/>
        </w:rPr>
        <w:t>[****]</w:t>
      </w:r>
      <w:r>
        <w:rPr>
          <w:rFonts w:ascii="Arial;sans-serif" w:hAnsi="Arial;sans-serif"/>
          <w:b w:val="false"/>
          <w:color w:val="000000"/>
          <w:sz w:val="24"/>
        </w:rPr>
        <w:t xml:space="preserve">. </w:t>
      </w:r>
    </w:p>
    <w:p>
      <w:pPr>
        <w:pStyle w:val="TextBody"/>
        <w:spacing w:before="0" w:after="0"/>
        <w:rPr/>
      </w:pPr>
      <w:r>
        <w:rPr/>
      </w:r>
    </w:p>
    <w:p>
      <w:pPr>
        <w:pStyle w:val="TextBody"/>
        <w:spacing w:lineRule="auto" w:line="240" w:before="0" w:after="0"/>
        <w:ind w:left="0" w:right="0" w:firstLine="720"/>
        <w:jc w:val="both"/>
        <w:rPr>
          <w:rFonts w:ascii="Arial;sans-serif" w:hAnsi="Arial;sans-serif"/>
          <w:b w:val="false"/>
          <w:color w:val="000000"/>
          <w:sz w:val="24"/>
        </w:rPr>
      </w:pPr>
      <w:r>
        <w:rPr>
          <w:rFonts w:ascii="Arial;sans-serif" w:hAnsi="Arial;sans-serif"/>
          <w:b w:val="false"/>
          <w:color w:val="000000"/>
          <w:sz w:val="24"/>
        </w:rPr>
        <w:t xml:space="preserve">4.1    Customer agrees that, [****], the [****] to Customer as contained in this Agreement [****] by Customer [****], and are [****] Customer may have [****] Boeing, [****] of Boeing’s [****] to Customer with [****]. Customer [****] Boeing and its [****].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Arial;sans-serif" w:hAnsi="Arial;sans-serif"/>
          <w:b w:val="false"/>
          <w:color w:val="000000"/>
          <w:sz w:val="24"/>
        </w:rPr>
      </w:pPr>
      <w:r>
        <w:rPr>
          <w:rFonts w:ascii="Arial;sans-serif" w:hAnsi="Arial;sans-serif"/>
          <w:b w:val="false"/>
          <w:color w:val="000000"/>
          <w:sz w:val="24"/>
        </w:rPr>
        <w:t>4.2    [****] in Section 4.1 above and the provisions of Section 2.1 above, this Agreement [****], and Customer [****], [****] under the Purchase Agreement, or [****] for (a) [****], or (b) [****]. [****].</w:t>
      </w:r>
    </w:p>
    <w:p>
      <w:pPr>
        <w:pStyle w:val="TextBody"/>
        <w:spacing w:before="0" w:after="0"/>
        <w:ind w:left="0" w:right="0" w:firstLine="720"/>
        <w:jc w:val="both"/>
        <w:rPr/>
      </w:pPr>
      <w:r>
        <w:rPr/>
      </w:r>
    </w:p>
    <w:p>
      <w:pPr>
        <w:pStyle w:val="TextBody"/>
        <w:spacing w:lineRule="auto" w:line="240" w:before="0" w:after="0"/>
        <w:rPr/>
      </w:pPr>
      <w:r>
        <w:rPr>
          <w:rFonts w:ascii="Arial;sans-serif" w:hAnsi="Arial;sans-serif"/>
          <w:b w:val="false"/>
          <w:color w:val="000000"/>
          <w:sz w:val="24"/>
        </w:rPr>
        <w:t>5.     </w:t>
      </w:r>
      <w:r>
        <w:rPr>
          <w:rFonts w:ascii="Arial;sans-serif" w:hAnsi="Arial;sans-serif"/>
          <w:b w:val="false"/>
          <w:color w:val="000000"/>
          <w:sz w:val="24"/>
          <w:u w:val="single"/>
        </w:rPr>
        <w:t>Administrative Supplemental Agreement</w:t>
      </w:r>
      <w:r>
        <w:rPr>
          <w:rFonts w:ascii="Arial;sans-serif" w:hAnsi="Arial;sans-serif"/>
          <w:b w:val="false"/>
          <w:color w:val="000000"/>
          <w:sz w:val="24"/>
        </w:rPr>
        <w:t xml:space="preserve">. </w:t>
      </w:r>
    </w:p>
    <w:p>
      <w:pPr>
        <w:pStyle w:val="TextBody"/>
        <w:spacing w:before="0" w:after="0"/>
        <w:rPr/>
      </w:pPr>
      <w:r>
        <w:rPr/>
      </w:r>
    </w:p>
    <w:p>
      <w:pPr>
        <w:pStyle w:val="TextBody"/>
        <w:spacing w:lineRule="auto" w:line="240" w:before="0" w:after="0"/>
        <w:ind w:left="0" w:right="0" w:firstLine="720"/>
        <w:jc w:val="both"/>
        <w:rPr>
          <w:rFonts w:ascii="Arial;sans-serif" w:hAnsi="Arial;sans-serif"/>
          <w:b w:val="false"/>
          <w:color w:val="000000"/>
          <w:sz w:val="24"/>
        </w:rPr>
      </w:pPr>
      <w:r>
        <w:rPr>
          <w:rFonts w:ascii="Arial;sans-serif" w:hAnsi="Arial;sans-serif"/>
          <w:b w:val="false"/>
          <w:color w:val="000000"/>
          <w:sz w:val="24"/>
        </w:rPr>
        <w:t>Boeing and Customer will sign a mutually agreeable supplemental agreement to the Purchase Agreement within [****] calendar days after Boeing has provided Customer a draft of the Supplemental Agreement that administratively incorporates the relevant terms of this Agreement into the Purchase Agreement. Failure to execute a supplemental agreement does not nullify any agreements set forth in this Agreement.</w:t>
      </w:r>
    </w:p>
    <w:p>
      <w:pPr>
        <w:pStyle w:val="TextBody"/>
        <w:spacing w:before="0" w:after="0"/>
        <w:ind w:left="0" w:right="0" w:firstLine="720"/>
        <w:jc w:val="both"/>
        <w:rPr/>
      </w:pPr>
      <w:r>
        <w:rPr/>
      </w:r>
    </w:p>
    <w:p>
      <w:pPr>
        <w:pStyle w:val="TextBody"/>
        <w:spacing w:before="0" w:after="0"/>
        <w:jc w:val="both"/>
        <w:rPr/>
      </w:pPr>
      <w:r>
        <w:rPr/>
      </w:r>
    </w:p>
    <w:p>
      <w:pPr>
        <w:pStyle w:val="TextBody"/>
        <w:jc w:val="both"/>
        <w:rPr/>
      </w:pPr>
      <w:r>
        <w:rPr/>
      </w:r>
      <w:r>
        <w:br w:type="page"/>
      </w:r>
    </w:p>
    <w:p>
      <w:pPr>
        <w:pStyle w:val="TextBody"/>
        <w:spacing w:lineRule="auto" w:line="240" w:before="0" w:after="0"/>
        <w:rPr/>
      </w:pPr>
      <w:r>
        <w:rPr/>
        <w:drawing>
          <wp:inline distT="0" distB="63500" distL="0" distR="0">
            <wp:extent cx="1743075" cy="409575"/>
            <wp:effectExtent l="0" t="0" r="0" b="0"/>
            <wp:docPr id="9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4" descr=""/>
                    <pic:cNvPicPr>
                      <a:picLocks noChangeAspect="1" noChangeArrowheads="1"/>
                    </pic:cNvPicPr>
                  </pic:nvPicPr>
                  <pic:blipFill>
                    <a:blip r:embed="rId7"/>
                    <a:stretch>
                      <a:fillRect/>
                    </a:stretch>
                  </pic:blipFill>
                  <pic:spPr bwMode="auto">
                    <a:xfrm>
                      <a:off x="0" y="0"/>
                      <a:ext cx="1743075" cy="409575"/>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525780"/>
                <wp:effectExtent l="0" t="0" r="0" b="0"/>
                <wp:wrapNone/>
                <wp:docPr id="92" name="Frame88"/>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rPr>
                                <w:rFonts w:ascii="Arial;sans-serif" w:hAnsi="Arial;sans-serif"/>
                                <w:b w:val="false"/>
                                <w:color w:val="000000"/>
                                <w:sz w:val="24"/>
                              </w:rPr>
                            </w:pPr>
                            <w:r>
                              <w:rPr>
                                <w:rFonts w:ascii="Arial;sans-serif" w:hAnsi="Arial;sans-serif"/>
                                <w:b w:val="false"/>
                                <w:color w:val="000000"/>
                                <w:sz w:val="24"/>
                              </w:rPr>
                              <w:t>AAL-LA-2300047</w:t>
                            </w:r>
                          </w:p>
                          <w:p>
                            <w:pPr>
                              <w:pStyle w:val="TextBody"/>
                              <w:spacing w:lineRule="auto" w:line="240" w:before="0" w:after="0"/>
                              <w:rPr>
                                <w:rFonts w:ascii="Arial;sans-serif" w:hAnsi="Arial;sans-serif"/>
                                <w:b w:val="false"/>
                                <w:color w:val="000000"/>
                                <w:sz w:val="24"/>
                              </w:rPr>
                            </w:pPr>
                            <w:r>
                              <w:rPr>
                                <w:rFonts w:ascii="Arial;sans-serif" w:hAnsi="Arial;sans-serif"/>
                                <w:b w:val="false"/>
                                <w:color w:val="000000"/>
                                <w:sz w:val="24"/>
                              </w:rPr>
                              <w:t>[****] for 787 [****] (January 2023)    Page 3</w:t>
                            </w:r>
                          </w:p>
                          <w:p>
                            <w:pPr>
                              <w:pStyle w:val="TextBody"/>
                              <w:spacing w:lineRule="auto" w:line="240" w:before="0" w:after="0"/>
                              <w:jc w:val="center"/>
                              <w:rPr>
                                <w:rFonts w:ascii="Arial;sans-serif" w:hAnsi="Arial;sans-serif"/>
                                <w:b/>
                                <w:color w:val="000000"/>
                                <w:sz w:val="24"/>
                              </w:rPr>
                            </w:pPr>
                            <w:r>
                              <w:rPr>
                                <w:rFonts w:ascii="Arial;sans-serif" w:hAnsi="Arial;sans-serif"/>
                                <w:b/>
                                <w:color w:val="000000"/>
                                <w:sz w:val="24"/>
                              </w:rPr>
                              <w:t>BOEING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rFonts w:ascii="Arial;sans-serif" w:hAnsi="Arial;sans-serif"/>
                          <w:b w:val="false"/>
                          <w:color w:val="000000"/>
                          <w:sz w:val="24"/>
                        </w:rPr>
                      </w:pPr>
                      <w:r>
                        <w:rPr>
                          <w:rFonts w:ascii="Arial;sans-serif" w:hAnsi="Arial;sans-serif"/>
                          <w:b w:val="false"/>
                          <w:color w:val="000000"/>
                          <w:sz w:val="24"/>
                        </w:rPr>
                        <w:t>AAL-LA-2300047</w:t>
                      </w:r>
                    </w:p>
                    <w:p>
                      <w:pPr>
                        <w:pStyle w:val="TextBody"/>
                        <w:spacing w:lineRule="auto" w:line="240" w:before="0" w:after="0"/>
                        <w:rPr>
                          <w:rFonts w:ascii="Arial;sans-serif" w:hAnsi="Arial;sans-serif"/>
                          <w:b w:val="false"/>
                          <w:color w:val="000000"/>
                          <w:sz w:val="24"/>
                        </w:rPr>
                      </w:pPr>
                      <w:r>
                        <w:rPr>
                          <w:rFonts w:ascii="Arial;sans-serif" w:hAnsi="Arial;sans-serif"/>
                          <w:b w:val="false"/>
                          <w:color w:val="000000"/>
                          <w:sz w:val="24"/>
                        </w:rPr>
                        <w:t>[****] for 787 [****] (January 2023)    Page 3</w:t>
                      </w:r>
                    </w:p>
                    <w:p>
                      <w:pPr>
                        <w:pStyle w:val="TextBody"/>
                        <w:spacing w:lineRule="auto" w:line="240" w:before="0" w:after="0"/>
                        <w:jc w:val="center"/>
                        <w:rPr>
                          <w:rFonts w:ascii="Arial;sans-serif" w:hAnsi="Arial;sans-serif"/>
                          <w:b/>
                          <w:color w:val="000000"/>
                          <w:sz w:val="24"/>
                        </w:rPr>
                      </w:pPr>
                      <w:r>
                        <w:rPr>
                          <w:rFonts w:ascii="Arial;sans-serif" w:hAnsi="Arial;sans-serif"/>
                          <w:b/>
                          <w:color w:val="000000"/>
                          <w:sz w:val="24"/>
                        </w:rPr>
                        <w:t>BOEING PROPRIETARY</w:t>
                      </w:r>
                    </w:p>
                  </w:txbxContent>
                </v:textbox>
              </v:rect>
            </w:pict>
          </mc:Fallback>
        </mc:AlternateContent>
      </w:r>
    </w:p>
    <w:p>
      <w:pPr>
        <w:pStyle w:val="TextBody"/>
        <w:spacing w:lineRule="auto" w:line="240" w:before="0" w:after="0"/>
        <w:jc w:val="both"/>
        <w:rPr/>
      </w:pPr>
      <w:r>
        <w:rPr>
          <w:rFonts w:ascii="Arial;sans-serif" w:hAnsi="Arial;sans-serif"/>
          <w:b w:val="false"/>
          <w:color w:val="000000"/>
          <w:sz w:val="24"/>
        </w:rPr>
        <w:t>6.    </w:t>
      </w:r>
      <w:r>
        <w:rPr>
          <w:rFonts w:ascii="Arial;sans-serif" w:hAnsi="Arial;sans-serif"/>
          <w:b w:val="false"/>
          <w:color w:val="000000"/>
          <w:sz w:val="24"/>
          <w:u w:val="single"/>
        </w:rPr>
        <w:t>Governing Law</w:t>
      </w:r>
      <w:r>
        <w:rPr>
          <w:rFonts w:ascii="Arial;sans-serif" w:hAnsi="Arial;sans-serif"/>
          <w:b w:val="false"/>
          <w:color w:val="000000"/>
          <w:sz w:val="24"/>
        </w:rPr>
        <w:t xml:space="preserve">. </w:t>
      </w:r>
    </w:p>
    <w:p>
      <w:pPr>
        <w:pStyle w:val="TextBody"/>
        <w:spacing w:before="0" w:after="0"/>
        <w:rPr/>
      </w:pPr>
      <w:r>
        <w:rPr/>
      </w:r>
    </w:p>
    <w:p>
      <w:pPr>
        <w:pStyle w:val="TextBody"/>
        <w:spacing w:lineRule="auto" w:line="240" w:before="0" w:after="0"/>
        <w:ind w:left="0" w:right="0" w:firstLine="720"/>
        <w:jc w:val="both"/>
        <w:rPr>
          <w:rFonts w:ascii="Arial;sans-serif" w:hAnsi="Arial;sans-serif"/>
          <w:b w:val="false"/>
          <w:color w:val="000000"/>
          <w:sz w:val="24"/>
        </w:rPr>
      </w:pPr>
      <w:r>
        <w:rPr>
          <w:rFonts w:ascii="Arial;sans-serif" w:hAnsi="Arial;sans-serif"/>
          <w:b w:val="false"/>
          <w:color w:val="000000"/>
          <w:sz w:val="24"/>
        </w:rPr>
        <w:t>This Agreement will be interpreted under and governed by the laws of the state of Washington, U.S.A., except that the conflict of laws provisions under Washington law will not be applied for the purpose of making other law applicable.</w:t>
      </w:r>
    </w:p>
    <w:p>
      <w:pPr>
        <w:pStyle w:val="TextBody"/>
        <w:spacing w:before="0" w:after="0"/>
        <w:rPr/>
      </w:pPr>
      <w:r>
        <w:rPr/>
      </w:r>
    </w:p>
    <w:p>
      <w:pPr>
        <w:pStyle w:val="TextBody"/>
        <w:spacing w:lineRule="auto" w:line="240" w:before="0" w:after="0"/>
        <w:jc w:val="both"/>
        <w:rPr/>
      </w:pPr>
      <w:r>
        <w:rPr>
          <w:rFonts w:ascii="Arial;sans-serif" w:hAnsi="Arial;sans-serif"/>
          <w:b w:val="false"/>
          <w:color w:val="000000"/>
          <w:sz w:val="24"/>
        </w:rPr>
        <w:t>7.    </w:t>
      </w:r>
      <w:r>
        <w:rPr>
          <w:rFonts w:ascii="Arial;sans-serif" w:hAnsi="Arial;sans-serif"/>
          <w:b w:val="false"/>
          <w:color w:val="000000"/>
          <w:sz w:val="24"/>
          <w:u w:val="single"/>
        </w:rPr>
        <w:t>Confidentiality</w:t>
      </w:r>
      <w:r>
        <w:rPr>
          <w:rFonts w:ascii="Arial;sans-serif" w:hAnsi="Arial;sans-serif"/>
          <w:b w:val="false"/>
          <w:color w:val="000000"/>
          <w:sz w:val="24"/>
        </w:rPr>
        <w:t xml:space="preserve">. </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Arial;sans-serif" w:hAnsi="Arial;sans-serif"/>
          <w:b w:val="false"/>
          <w:color w:val="000000"/>
          <w:sz w:val="24"/>
        </w:rPr>
        <w:t xml:space="preserve">The information contained herein represents confidential business information and has value precisely because it is not available generally or to other parties. This Agreement will be subject to the terms and conditions of Letter Agreement No. AAL-PA-03735-LA-1106670 to the Purchase Agreement entitled </w:t>
      </w:r>
      <w:r>
        <w:rPr>
          <w:rFonts w:ascii="Arial;sans-serif" w:hAnsi="Arial;sans-serif"/>
          <w:b w:val="false"/>
          <w:color w:val="000000"/>
          <w:sz w:val="24"/>
          <w:u w:val="single"/>
        </w:rPr>
        <w:t>Confidentiality</w:t>
      </w:r>
      <w:r>
        <w:rPr>
          <w:rFonts w:ascii="Arial;sans-serif" w:hAnsi="Arial;sans-serif"/>
          <w:b w:val="false"/>
          <w:color w:val="000000"/>
          <w:sz w:val="24"/>
        </w:rPr>
        <w:t>.</w:t>
      </w:r>
    </w:p>
    <w:p>
      <w:pPr>
        <w:pStyle w:val="TextBody"/>
        <w:spacing w:before="0" w:after="0"/>
        <w:ind w:left="0" w:right="0" w:firstLine="720"/>
        <w:jc w:val="both"/>
        <w:rPr/>
      </w:pPr>
      <w:r>
        <w:rPr/>
      </w:r>
    </w:p>
    <w:p>
      <w:pPr>
        <w:pStyle w:val="TextBody"/>
        <w:spacing w:lineRule="auto" w:line="240" w:before="0" w:after="0"/>
        <w:jc w:val="both"/>
        <w:rPr/>
      </w:pPr>
      <w:r>
        <w:rPr>
          <w:rFonts w:ascii="Arial;sans-serif" w:hAnsi="Arial;sans-serif"/>
          <w:b w:val="false"/>
          <w:color w:val="000000"/>
          <w:sz w:val="24"/>
        </w:rPr>
        <w:t>8.    </w:t>
      </w:r>
      <w:r>
        <w:rPr>
          <w:rFonts w:ascii="Arial;sans-serif" w:hAnsi="Arial;sans-serif"/>
          <w:b w:val="false"/>
          <w:color w:val="000000"/>
          <w:sz w:val="24"/>
          <w:u w:val="single"/>
        </w:rPr>
        <w:t>Effect on Purchase Agreement</w:t>
      </w:r>
      <w:r>
        <w:rPr>
          <w:rFonts w:ascii="Arial;sans-serif" w:hAnsi="Arial;sans-serif"/>
          <w:b w:val="false"/>
          <w:color w:val="000000"/>
          <w:sz w:val="24"/>
        </w:rPr>
        <w:t>.</w:t>
      </w:r>
    </w:p>
    <w:p>
      <w:pPr>
        <w:pStyle w:val="TextBody"/>
        <w:spacing w:before="0" w:after="0"/>
        <w:jc w:val="both"/>
        <w:rPr/>
      </w:pPr>
      <w:r>
        <w:rPr/>
      </w:r>
    </w:p>
    <w:p>
      <w:pPr>
        <w:pStyle w:val="TextBody"/>
        <w:spacing w:lineRule="auto" w:line="240" w:before="0" w:after="0"/>
        <w:ind w:left="0" w:right="0" w:firstLine="720"/>
        <w:jc w:val="both"/>
        <w:rPr>
          <w:rFonts w:ascii="Arial;sans-serif" w:hAnsi="Arial;sans-serif"/>
          <w:b w:val="false"/>
          <w:color w:val="000000"/>
          <w:sz w:val="24"/>
        </w:rPr>
      </w:pPr>
      <w:r>
        <w:rPr>
          <w:rFonts w:ascii="Arial;sans-serif" w:hAnsi="Arial;sans-serif"/>
          <w:b w:val="false"/>
          <w:color w:val="000000"/>
          <w:sz w:val="24"/>
        </w:rPr>
        <w:t>Except as expressly set forth in this Agreement, all terms and provisions contained in the Purchase Agreement will remain in full force and effect. [****] and may be changed only in writing signed by authorized representatives of the parties.</w:t>
      </w:r>
    </w:p>
    <w:p>
      <w:pPr>
        <w:pStyle w:val="TextBody"/>
        <w:spacing w:before="0" w:after="0"/>
        <w:ind w:left="0" w:right="0" w:firstLine="720"/>
        <w:jc w:val="both"/>
        <w:rPr/>
      </w:pPr>
      <w:r>
        <w:rPr/>
      </w:r>
    </w:p>
    <w:tbl>
      <w:tblPr>
        <w:tblW w:w="9297" w:type="dxa"/>
        <w:jc w:val="left"/>
        <w:tblInd w:w="0" w:type="dxa"/>
        <w:tblCellMar>
          <w:top w:w="28" w:type="dxa"/>
          <w:left w:w="28" w:type="dxa"/>
          <w:bottom w:w="28" w:type="dxa"/>
          <w:right w:w="28" w:type="dxa"/>
        </w:tblCellMar>
      </w:tblPr>
      <w:tblGrid>
        <w:gridCol w:w="735"/>
        <w:gridCol w:w="645"/>
        <w:gridCol w:w="645"/>
        <w:gridCol w:w="925"/>
        <w:gridCol w:w="925"/>
        <w:gridCol w:w="940"/>
        <w:gridCol w:w="109"/>
        <w:gridCol w:w="109"/>
        <w:gridCol w:w="109"/>
        <w:gridCol w:w="455"/>
        <w:gridCol w:w="455"/>
        <w:gridCol w:w="455"/>
        <w:gridCol w:w="815"/>
        <w:gridCol w:w="815"/>
        <w:gridCol w:w="1160"/>
      </w:tblGrid>
      <w:tr>
        <w:trPr/>
        <w:tc>
          <w:tcPr>
            <w:tcW w:w="735"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r>
      <w:tr>
        <w:trPr/>
        <w:tc>
          <w:tcPr>
            <w:tcW w:w="481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4"/>
              </w:rPr>
            </w:pPr>
            <w:r>
              <w:rPr>
                <w:rFonts w:ascii="Arial;sans-serif" w:hAnsi="Arial;sans-serif"/>
                <w:b w:val="false"/>
                <w:color w:val="000000"/>
                <w:sz w:val="24"/>
              </w:rPr>
              <w:t>ACCEPTED AND AGREED TO this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4"/>
              </w:rPr>
            </w:pPr>
            <w:r>
              <w:rPr>
                <w:rFonts w:ascii="Arial;sans-serif" w:hAnsi="Arial;sans-serif"/>
                <w:b w:val="false"/>
                <w:color w:val="000000"/>
                <w:sz w:val="24"/>
              </w:rPr>
              <w:t>Date:</w:t>
            </w:r>
          </w:p>
        </w:tc>
        <w:tc>
          <w:tcPr>
            <w:tcW w:w="2790"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319" w:before="0" w:after="0"/>
              <w:ind w:left="0" w:right="0" w:hanging="1"/>
              <w:jc w:val="left"/>
              <w:rPr>
                <w:rFonts w:ascii="Arial;sans-serif" w:hAnsi="Arial;sans-serif"/>
                <w:b w:val="false"/>
                <w:color w:val="000000"/>
                <w:sz w:val="24"/>
              </w:rPr>
            </w:pPr>
            <w:r>
              <w:rPr>
                <w:rFonts w:ascii="Arial;sans-serif" w:hAnsi="Arial;sans-serif"/>
                <w:b w:val="false"/>
                <w:color w:val="000000"/>
                <w:sz w:val="24"/>
              </w:rPr>
              <w:t>January 19,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4"/>
              </w:rPr>
            </w:pPr>
            <w:r>
              <w:rPr>
                <w:rFonts w:ascii="Arial;sans-serif" w:hAnsi="Arial;sans-serif"/>
                <w:b w:val="false"/>
                <w:color w:val="000000"/>
                <w:sz w:val="24"/>
              </w:rPr>
              <w:t>AMERICAN AIRLINES,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4"/>
              </w:rPr>
            </w:pPr>
            <w:r>
              <w:rPr>
                <w:rFonts w:ascii="Arial;sans-serif" w:hAnsi="Arial;sans-serif"/>
                <w:b w:val="false"/>
                <w:color w:val="000000"/>
                <w:sz w:val="24"/>
              </w:rPr>
              <w:t>THE BOEING COMPANY</w:t>
            </w:r>
          </w:p>
        </w:tc>
      </w:tr>
      <w:tr>
        <w:trPr/>
        <w:tc>
          <w:tcPr>
            <w:tcW w:w="481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4"/>
              </w:rPr>
            </w:pPr>
            <w:r>
              <w:rPr>
                <w:rFonts w:ascii="Arial;sans-serif" w:hAnsi="Arial;sans-serif"/>
                <w:b w:val="false"/>
                <w:color w:val="000000"/>
                <w:sz w:val="24"/>
              </w:rPr>
              <w:t>By:</w:t>
            </w:r>
          </w:p>
        </w:tc>
        <w:tc>
          <w:tcPr>
            <w:tcW w:w="2790"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 American Airlines,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4"/>
              </w:rPr>
            </w:pPr>
            <w:r>
              <w:rPr>
                <w:rFonts w:ascii="Arial;sans-serif" w:hAnsi="Arial;sans-serif"/>
                <w:b w:val="false"/>
                <w:color w:val="000000"/>
                <w:sz w:val="24"/>
              </w:rPr>
              <w:t>By:</w:t>
            </w:r>
          </w:p>
        </w:tc>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 The Boeing Company</w:t>
            </w:r>
          </w:p>
        </w:tc>
      </w:tr>
      <w:tr>
        <w:trPr/>
        <w:tc>
          <w:tcPr>
            <w:tcW w:w="481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3"/>
            <w:tcBorders>
              <w:top w:val="single" w:sz="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Name:</w:t>
            </w:r>
          </w:p>
        </w:tc>
        <w:tc>
          <w:tcPr>
            <w:tcW w:w="2790"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4"/>
              </w:rPr>
            </w:pPr>
            <w:r>
              <w:rPr>
                <w:rFonts w:ascii="Arial;sans-serif" w:hAnsi="Arial;sans-serif"/>
                <w:b w:val="false"/>
                <w:color w:val="000000"/>
                <w:sz w:val="24"/>
              </w:rPr>
              <w:t>American Airlines,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Name:</w:t>
            </w:r>
          </w:p>
        </w:tc>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4"/>
              </w:rPr>
            </w:pPr>
            <w:r>
              <w:rPr>
                <w:rFonts w:ascii="Arial;sans-serif" w:hAnsi="Arial;sans-serif"/>
                <w:b w:val="false"/>
                <w:color w:val="000000"/>
                <w:sz w:val="24"/>
              </w:rPr>
              <w:t>The Boeing Company</w:t>
            </w:r>
          </w:p>
        </w:tc>
      </w:tr>
      <w:tr>
        <w:trPr/>
        <w:tc>
          <w:tcPr>
            <w:tcW w:w="481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3"/>
            <w:tcBorders>
              <w:top w:val="single" w:sz="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4"/>
              </w:rPr>
            </w:pPr>
            <w:r>
              <w:rPr>
                <w:rFonts w:ascii="Arial;sans-serif" w:hAnsi="Arial;sans-serif"/>
                <w:b w:val="false"/>
                <w:color w:val="000000"/>
                <w:sz w:val="24"/>
              </w:rPr>
              <w:t>Title:</w:t>
            </w:r>
          </w:p>
        </w:tc>
        <w:tc>
          <w:tcPr>
            <w:tcW w:w="2790"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4"/>
              </w:rPr>
            </w:pPr>
            <w:r>
              <w:rPr>
                <w:rFonts w:ascii="Arial;sans-serif" w:hAnsi="Arial;sans-serif"/>
                <w:b w:val="false"/>
                <w:color w:val="000000"/>
                <w:sz w:val="24"/>
              </w:rPr>
              <w:t>VP, Treasurer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4"/>
              </w:rPr>
            </w:pPr>
            <w:r>
              <w:rPr>
                <w:rFonts w:ascii="Arial;sans-serif" w:hAnsi="Arial;sans-serif"/>
                <w:b w:val="false"/>
                <w:color w:val="000000"/>
                <w:sz w:val="24"/>
              </w:rPr>
              <w:t>Title:</w:t>
            </w:r>
          </w:p>
        </w:tc>
        <w:tc>
          <w:tcPr>
            <w:tcW w:w="2790"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4"/>
              </w:rPr>
            </w:pPr>
            <w:r>
              <w:rPr>
                <w:rFonts w:ascii="Arial;sans-serif" w:hAnsi="Arial;sans-serif"/>
                <w:b w:val="false"/>
                <w:color w:val="000000"/>
                <w:sz w:val="24"/>
              </w:rPr>
              <w:t>Attorney-In-Fact</w:t>
            </w:r>
          </w:p>
        </w:tc>
      </w:tr>
    </w:tbl>
    <w:p>
      <w:pPr>
        <w:pStyle w:val="TextBody"/>
        <w:spacing w:before="0" w:after="0"/>
        <w:rPr/>
      </w:pPr>
      <w:r>
        <w:rPr/>
      </w:r>
    </w:p>
    <w:p>
      <w:pPr>
        <w:pStyle w:val="TextBody"/>
        <w:spacing w:before="0" w:after="0"/>
        <w:rPr/>
      </w:pPr>
      <w:r>
        <w:rPr/>
      </w:r>
    </w:p>
    <w:p>
      <w:pPr>
        <w:pStyle w:val="TextBody"/>
        <w:jc w:val="center"/>
        <w:rPr/>
      </w:pPr>
      <w:r>
        <w:rPr/>
      </w:r>
      <w:r>
        <w:br w:type="page"/>
      </w:r>
    </w:p>
    <w:p>
      <w:pPr>
        <w:pStyle w:val="TextBody"/>
        <w:spacing w:lineRule="auto" w:line="240" w:before="0" w:after="0"/>
        <w:rPr/>
      </w:pPr>
      <w:r>
        <w:rPr/>
        <w:drawing>
          <wp:inline distT="0" distB="63500" distL="0" distR="0">
            <wp:extent cx="1743075" cy="409575"/>
            <wp:effectExtent l="0" t="0" r="0" b="0"/>
            <wp:docPr id="9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5" descr=""/>
                    <pic:cNvPicPr>
                      <a:picLocks noChangeAspect="1" noChangeArrowheads="1"/>
                    </pic:cNvPicPr>
                  </pic:nvPicPr>
                  <pic:blipFill>
                    <a:blip r:embed="rId8"/>
                    <a:stretch>
                      <a:fillRect/>
                    </a:stretch>
                  </pic:blipFill>
                  <pic:spPr bwMode="auto">
                    <a:xfrm>
                      <a:off x="0" y="0"/>
                      <a:ext cx="1743075" cy="409575"/>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525780"/>
                <wp:effectExtent l="0" t="0" r="0" b="0"/>
                <wp:wrapNone/>
                <wp:docPr id="94" name="Frame89"/>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rPr>
                                <w:rFonts w:ascii="Arial;sans-serif" w:hAnsi="Arial;sans-serif"/>
                                <w:b w:val="false"/>
                                <w:color w:val="000000"/>
                                <w:sz w:val="24"/>
                              </w:rPr>
                            </w:pPr>
                            <w:r>
                              <w:rPr>
                                <w:rFonts w:ascii="Arial;sans-serif" w:hAnsi="Arial;sans-serif"/>
                                <w:b w:val="false"/>
                                <w:color w:val="000000"/>
                                <w:sz w:val="24"/>
                              </w:rPr>
                              <w:t>AAL-LA-2300047</w:t>
                            </w:r>
                          </w:p>
                          <w:p>
                            <w:pPr>
                              <w:pStyle w:val="TextBody"/>
                              <w:spacing w:lineRule="auto" w:line="240" w:before="0" w:after="0"/>
                              <w:rPr>
                                <w:rFonts w:ascii="Arial;sans-serif" w:hAnsi="Arial;sans-serif"/>
                                <w:b w:val="false"/>
                                <w:color w:val="000000"/>
                                <w:sz w:val="24"/>
                              </w:rPr>
                            </w:pPr>
                            <w:r>
                              <w:rPr>
                                <w:rFonts w:ascii="Arial;sans-serif" w:hAnsi="Arial;sans-serif"/>
                                <w:b w:val="false"/>
                                <w:color w:val="000000"/>
                                <w:sz w:val="24"/>
                              </w:rPr>
                              <w:t>[****] for 787 [****] (January 2023)    Page 4</w:t>
                            </w:r>
                          </w:p>
                          <w:p>
                            <w:pPr>
                              <w:pStyle w:val="TextBody"/>
                              <w:spacing w:lineRule="auto" w:line="240" w:before="0" w:after="0"/>
                              <w:jc w:val="center"/>
                              <w:rPr>
                                <w:rFonts w:ascii="Arial;sans-serif" w:hAnsi="Arial;sans-serif"/>
                                <w:b/>
                                <w:color w:val="000000"/>
                                <w:sz w:val="24"/>
                              </w:rPr>
                            </w:pPr>
                            <w:r>
                              <w:rPr>
                                <w:rFonts w:ascii="Arial;sans-serif" w:hAnsi="Arial;sans-serif"/>
                                <w:b/>
                                <w:color w:val="000000"/>
                                <w:sz w:val="24"/>
                              </w:rPr>
                              <w:t>BOEING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rFonts w:ascii="Arial;sans-serif" w:hAnsi="Arial;sans-serif"/>
                          <w:b w:val="false"/>
                          <w:color w:val="000000"/>
                          <w:sz w:val="24"/>
                        </w:rPr>
                      </w:pPr>
                      <w:r>
                        <w:rPr>
                          <w:rFonts w:ascii="Arial;sans-serif" w:hAnsi="Arial;sans-serif"/>
                          <w:b w:val="false"/>
                          <w:color w:val="000000"/>
                          <w:sz w:val="24"/>
                        </w:rPr>
                        <w:t>AAL-LA-2300047</w:t>
                      </w:r>
                    </w:p>
                    <w:p>
                      <w:pPr>
                        <w:pStyle w:val="TextBody"/>
                        <w:spacing w:lineRule="auto" w:line="240" w:before="0" w:after="0"/>
                        <w:rPr>
                          <w:rFonts w:ascii="Arial;sans-serif" w:hAnsi="Arial;sans-serif"/>
                          <w:b w:val="false"/>
                          <w:color w:val="000000"/>
                          <w:sz w:val="24"/>
                        </w:rPr>
                      </w:pPr>
                      <w:r>
                        <w:rPr>
                          <w:rFonts w:ascii="Arial;sans-serif" w:hAnsi="Arial;sans-serif"/>
                          <w:b w:val="false"/>
                          <w:color w:val="000000"/>
                          <w:sz w:val="24"/>
                        </w:rPr>
                        <w:t>[****] for 787 [****] (January 2023)    Page 4</w:t>
                      </w:r>
                    </w:p>
                    <w:p>
                      <w:pPr>
                        <w:pStyle w:val="TextBody"/>
                        <w:spacing w:lineRule="auto" w:line="240" w:before="0" w:after="0"/>
                        <w:jc w:val="center"/>
                        <w:rPr>
                          <w:rFonts w:ascii="Arial;sans-serif" w:hAnsi="Arial;sans-serif"/>
                          <w:b/>
                          <w:color w:val="000000"/>
                          <w:sz w:val="24"/>
                        </w:rPr>
                      </w:pPr>
                      <w:r>
                        <w:rPr>
                          <w:rFonts w:ascii="Arial;sans-serif" w:hAnsi="Arial;sans-serif"/>
                          <w:b/>
                          <w:color w:val="000000"/>
                          <w:sz w:val="24"/>
                        </w:rPr>
                        <w:t>BOEING PROPRIETARY</w:t>
                      </w:r>
                    </w:p>
                  </w:txbxContent>
                </v:textbox>
              </v:rect>
            </w:pict>
          </mc:Fallback>
        </mc:AlternateContent>
      </w:r>
    </w:p>
    <w:p>
      <w:pPr>
        <w:pStyle w:val="TextBody"/>
        <w:spacing w:lineRule="auto" w:line="240" w:before="0" w:after="0"/>
        <w:jc w:val="center"/>
        <w:rPr>
          <w:rFonts w:ascii="Arial;sans-serif" w:hAnsi="Arial;sans-serif"/>
          <w:b/>
          <w:color w:val="000000"/>
          <w:sz w:val="24"/>
        </w:rPr>
      </w:pPr>
      <w:r>
        <w:rPr>
          <w:rFonts w:ascii="Arial;sans-serif" w:hAnsi="Arial;sans-serif"/>
          <w:b/>
          <w:color w:val="000000"/>
          <w:sz w:val="24"/>
        </w:rPr>
        <w:t xml:space="preserve">Attachment A </w:t>
      </w:r>
    </w:p>
    <w:p>
      <w:pPr>
        <w:pStyle w:val="TextBody"/>
        <w:spacing w:lineRule="auto" w:line="240" w:before="0" w:after="0"/>
        <w:jc w:val="center"/>
        <w:rPr>
          <w:rFonts w:ascii="Arial;sans-serif" w:hAnsi="Arial;sans-serif"/>
          <w:b/>
          <w:color w:val="000000"/>
          <w:sz w:val="24"/>
        </w:rPr>
      </w:pPr>
      <w:r>
        <w:rPr>
          <w:rFonts w:ascii="Arial;sans-serif" w:hAnsi="Arial;sans-serif"/>
          <w:b/>
          <w:color w:val="000000"/>
          <w:sz w:val="24"/>
        </w:rPr>
        <w:t xml:space="preserve">to </w:t>
      </w:r>
    </w:p>
    <w:p>
      <w:pPr>
        <w:pStyle w:val="TextBody"/>
        <w:spacing w:lineRule="auto" w:line="240" w:before="0" w:after="0"/>
        <w:jc w:val="center"/>
        <w:rPr>
          <w:rFonts w:ascii="Arial;sans-serif" w:hAnsi="Arial;sans-serif"/>
          <w:b/>
          <w:color w:val="000000"/>
          <w:sz w:val="24"/>
        </w:rPr>
      </w:pPr>
      <w:r>
        <w:rPr>
          <w:rFonts w:ascii="Arial;sans-serif" w:hAnsi="Arial;sans-serif"/>
          <w:b/>
          <w:color w:val="000000"/>
          <w:sz w:val="24"/>
        </w:rPr>
        <w:t>AAL-LA-2300047</w:t>
      </w:r>
    </w:p>
    <w:p>
      <w:pPr>
        <w:pStyle w:val="TextBody"/>
        <w:spacing w:before="0" w:after="0"/>
        <w:jc w:val="center"/>
        <w:rPr/>
      </w:pPr>
      <w:r>
        <w:rPr/>
      </w:r>
    </w:p>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4"/>
        </w:rPr>
      </w:pPr>
      <w:r>
        <w:rPr>
          <w:rFonts w:ascii="Arial;sans-serif" w:hAnsi="Arial;sans-serif"/>
          <w:b w:val="false"/>
          <w:color w:val="000000"/>
          <w:sz w:val="24"/>
        </w:rPr>
        <w:t>Table 1</w:t>
      </w:r>
    </w:p>
    <w:p>
      <w:pPr>
        <w:pStyle w:val="TextBody"/>
        <w:spacing w:before="0" w:after="0"/>
        <w:rPr/>
      </w:pPr>
      <w:r>
        <w:rPr/>
      </w:r>
    </w:p>
    <w:tbl>
      <w:tblPr>
        <w:tblW w:w="5161" w:type="dxa"/>
        <w:jc w:val="left"/>
        <w:tblInd w:w="0" w:type="dxa"/>
        <w:tblCellMar>
          <w:top w:w="28" w:type="dxa"/>
          <w:left w:w="28" w:type="dxa"/>
          <w:bottom w:w="28" w:type="dxa"/>
          <w:right w:w="28" w:type="dxa"/>
        </w:tblCellMar>
      </w:tblPr>
      <w:tblGrid>
        <w:gridCol w:w="1259"/>
        <w:gridCol w:w="1109"/>
        <w:gridCol w:w="1111"/>
        <w:gridCol w:w="491"/>
        <w:gridCol w:w="491"/>
        <w:gridCol w:w="700"/>
      </w:tblGrid>
      <w:tr>
        <w:trPr/>
        <w:tc>
          <w:tcPr>
            <w:tcW w:w="1259" w:type="dxa"/>
            <w:tcBorders/>
            <w:shd w:fill="auto" w:val="clear"/>
            <w:vAlign w:val="center"/>
          </w:tcPr>
          <w:p>
            <w:pPr>
              <w:pStyle w:val="TableContents"/>
              <w:spacing w:before="0" w:after="283"/>
              <w:rPr>
                <w:sz w:val="4"/>
                <w:szCs w:val="4"/>
              </w:rPr>
            </w:pPr>
            <w:r>
              <w:rPr>
                <w:sz w:val="4"/>
                <w:szCs w:val="4"/>
              </w:rPr>
            </w:r>
          </w:p>
        </w:tc>
        <w:tc>
          <w:tcPr>
            <w:tcW w:w="1109"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r>
      <w:tr>
        <w:trPr/>
        <w:tc>
          <w:tcPr>
            <w:tcW w:w="5161" w:type="dxa"/>
            <w:gridSpan w:val="6"/>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Delivered 787-8 [****] Aircraft</w:t>
            </w:r>
          </w:p>
        </w:tc>
      </w:tr>
      <w:tr>
        <w:trPr/>
        <w:tc>
          <w:tcPr>
            <w:tcW w:w="347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u w:val="single"/>
              </w:rPr>
            </w:pPr>
            <w:r>
              <w:rPr>
                <w:rFonts w:ascii="Arial;sans-serif" w:hAnsi="Arial;sans-serif"/>
                <w:b w:val="false"/>
                <w:color w:val="000000"/>
                <w:sz w:val="24"/>
                <w:u w:val="single"/>
              </w:rPr>
              <w:t>[****] Scheduled Delivery Month</w:t>
            </w:r>
          </w:p>
        </w:tc>
        <w:tc>
          <w:tcPr>
            <w:tcW w:w="1682"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347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[****]-2020</w:t>
            </w:r>
          </w:p>
        </w:tc>
        <w:tc>
          <w:tcPr>
            <w:tcW w:w="1682"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347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[****]-2020</w:t>
            </w:r>
          </w:p>
        </w:tc>
        <w:tc>
          <w:tcPr>
            <w:tcW w:w="1682"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347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[****]-2020</w:t>
            </w:r>
          </w:p>
        </w:tc>
        <w:tc>
          <w:tcPr>
            <w:tcW w:w="1682"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3479"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 2020</w:t>
            </w:r>
          </w:p>
        </w:tc>
        <w:tc>
          <w:tcPr>
            <w:tcW w:w="1682"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bl>
    <w:p>
      <w:pPr>
        <w:pStyle w:val="TextBody"/>
        <w:spacing w:before="0" w:after="0"/>
        <w:rPr/>
      </w:pPr>
      <w:r>
        <w:rPr/>
      </w:r>
    </w:p>
    <w:p>
      <w:pPr>
        <w:pStyle w:val="TextBody"/>
        <w:spacing w:lineRule="auto" w:line="240" w:before="0" w:after="0"/>
        <w:jc w:val="center"/>
        <w:rPr>
          <w:rFonts w:ascii="Arial;sans-serif" w:hAnsi="Arial;sans-serif"/>
          <w:b w:val="false"/>
          <w:color w:val="000000"/>
          <w:sz w:val="24"/>
        </w:rPr>
      </w:pPr>
      <w:r>
        <w:rPr>
          <w:rFonts w:ascii="Arial;sans-serif" w:hAnsi="Arial;sans-serif"/>
          <w:b w:val="false"/>
          <w:color w:val="000000"/>
          <w:sz w:val="24"/>
        </w:rPr>
        <w:t>Table 2</w:t>
      </w:r>
    </w:p>
    <w:p>
      <w:pPr>
        <w:pStyle w:val="TextBody"/>
        <w:spacing w:before="0" w:after="0"/>
        <w:rPr/>
      </w:pPr>
      <w:r>
        <w:rPr/>
      </w:r>
    </w:p>
    <w:tbl>
      <w:tblPr>
        <w:tblW w:w="6006" w:type="dxa"/>
        <w:jc w:val="left"/>
        <w:tblInd w:w="0" w:type="dxa"/>
        <w:tblCellMar>
          <w:top w:w="28" w:type="dxa"/>
          <w:left w:w="28" w:type="dxa"/>
          <w:bottom w:w="28" w:type="dxa"/>
          <w:right w:w="28" w:type="dxa"/>
        </w:tblCellMar>
      </w:tblPr>
      <w:tblGrid>
        <w:gridCol w:w="1261"/>
        <w:gridCol w:w="1107"/>
        <w:gridCol w:w="1111"/>
        <w:gridCol w:w="393"/>
        <w:gridCol w:w="393"/>
        <w:gridCol w:w="393"/>
        <w:gridCol w:w="393"/>
        <w:gridCol w:w="393"/>
        <w:gridCol w:w="562"/>
      </w:tblGrid>
      <w:tr>
        <w:trPr/>
        <w:tc>
          <w:tcPr>
            <w:tcW w:w="1261"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r>
      <w:tr>
        <w:trPr/>
        <w:tc>
          <w:tcPr>
            <w:tcW w:w="6006" w:type="dxa"/>
            <w:gridSpan w:val="9"/>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 Delivered 787-8 [****] Aircraft</w:t>
            </w:r>
          </w:p>
        </w:tc>
      </w:tr>
      <w:tr>
        <w:trPr/>
        <w:tc>
          <w:tcPr>
            <w:tcW w:w="347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u w:val="single"/>
              </w:rPr>
            </w:pPr>
            <w:r>
              <w:rPr>
                <w:rFonts w:ascii="Arial;sans-serif" w:hAnsi="Arial;sans-serif"/>
                <w:b w:val="false"/>
                <w:color w:val="000000"/>
                <w:sz w:val="24"/>
                <w:u w:val="single"/>
              </w:rPr>
              <w:t>[****] Scheduled Delivery Month</w:t>
            </w:r>
          </w:p>
        </w:tc>
        <w:tc>
          <w:tcPr>
            <w:tcW w:w="117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1348"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347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[****]-2020</w:t>
            </w:r>
          </w:p>
        </w:tc>
        <w:tc>
          <w:tcPr>
            <w:tcW w:w="117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1348"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347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[****]-2020</w:t>
            </w:r>
          </w:p>
        </w:tc>
        <w:tc>
          <w:tcPr>
            <w:tcW w:w="117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1348"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347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[****]-2020</w:t>
            </w:r>
          </w:p>
        </w:tc>
        <w:tc>
          <w:tcPr>
            <w:tcW w:w="117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1348"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347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[****]-2020</w:t>
            </w:r>
          </w:p>
        </w:tc>
        <w:tc>
          <w:tcPr>
            <w:tcW w:w="117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1348"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347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[****]-2020</w:t>
            </w:r>
          </w:p>
        </w:tc>
        <w:tc>
          <w:tcPr>
            <w:tcW w:w="117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1348"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347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[****]-2020</w:t>
            </w:r>
          </w:p>
        </w:tc>
        <w:tc>
          <w:tcPr>
            <w:tcW w:w="117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1348"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347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[****]-2020</w:t>
            </w:r>
          </w:p>
        </w:tc>
        <w:tc>
          <w:tcPr>
            <w:tcW w:w="117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1348"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347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[****]-2020</w:t>
            </w:r>
          </w:p>
        </w:tc>
        <w:tc>
          <w:tcPr>
            <w:tcW w:w="117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1348"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3479"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[****]-2021</w:t>
            </w:r>
          </w:p>
        </w:tc>
        <w:tc>
          <w:tcPr>
            <w:tcW w:w="1179"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1348"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bl>
    <w:p>
      <w:pPr>
        <w:pStyle w:val="TextBody"/>
        <w:spacing w:before="0" w:after="0"/>
        <w:rPr/>
      </w:pPr>
      <w:r>
        <w:rPr/>
      </w:r>
    </w:p>
    <w:p>
      <w:pPr>
        <w:pStyle w:val="TextBody"/>
        <w:spacing w:lineRule="auto" w:line="240" w:before="0" w:after="0"/>
        <w:jc w:val="center"/>
        <w:rPr>
          <w:rFonts w:ascii="Arial;sans-serif" w:hAnsi="Arial;sans-serif"/>
          <w:b w:val="false"/>
          <w:color w:val="000000"/>
          <w:sz w:val="24"/>
        </w:rPr>
      </w:pPr>
      <w:r>
        <w:rPr>
          <w:rFonts w:ascii="Arial;sans-serif" w:hAnsi="Arial;sans-serif"/>
          <w:b w:val="false"/>
          <w:color w:val="000000"/>
          <w:sz w:val="24"/>
        </w:rPr>
        <w:t>Table 3</w:t>
      </w:r>
    </w:p>
    <w:p>
      <w:pPr>
        <w:pStyle w:val="TextBody"/>
        <w:spacing w:before="0" w:after="0"/>
        <w:jc w:val="center"/>
        <w:rPr/>
      </w:pPr>
      <w:r>
        <w:rPr/>
      </w:r>
    </w:p>
    <w:tbl>
      <w:tblPr>
        <w:tblW w:w="6190" w:type="dxa"/>
        <w:jc w:val="left"/>
        <w:tblInd w:w="0" w:type="dxa"/>
        <w:tblCellMar>
          <w:top w:w="28" w:type="dxa"/>
          <w:left w:w="28" w:type="dxa"/>
          <w:bottom w:w="28" w:type="dxa"/>
          <w:right w:w="28" w:type="dxa"/>
        </w:tblCellMar>
      </w:tblPr>
      <w:tblGrid>
        <w:gridCol w:w="1261"/>
        <w:gridCol w:w="1107"/>
        <w:gridCol w:w="1111"/>
        <w:gridCol w:w="421"/>
        <w:gridCol w:w="421"/>
        <w:gridCol w:w="421"/>
        <w:gridCol w:w="421"/>
        <w:gridCol w:w="421"/>
        <w:gridCol w:w="606"/>
      </w:tblGrid>
      <w:tr>
        <w:trPr/>
        <w:tc>
          <w:tcPr>
            <w:tcW w:w="1261"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r>
      <w:tr>
        <w:trPr/>
        <w:tc>
          <w:tcPr>
            <w:tcW w:w="6190" w:type="dxa"/>
            <w:gridSpan w:val="9"/>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 Undelivered 787-8 [****] Aircraft</w:t>
            </w:r>
          </w:p>
        </w:tc>
      </w:tr>
      <w:tr>
        <w:trPr/>
        <w:tc>
          <w:tcPr>
            <w:tcW w:w="347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u w:val="single"/>
              </w:rPr>
            </w:pPr>
            <w:r>
              <w:rPr>
                <w:rFonts w:ascii="Arial;sans-serif" w:hAnsi="Arial;sans-serif"/>
                <w:b w:val="false"/>
                <w:color w:val="000000"/>
                <w:sz w:val="24"/>
                <w:u w:val="single"/>
              </w:rPr>
              <w:t>[****] Scheduled Delivery Month</w:t>
            </w:r>
          </w:p>
        </w:tc>
        <w:tc>
          <w:tcPr>
            <w:tcW w:w="1263"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1448"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347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[****]-2021</w:t>
            </w:r>
          </w:p>
        </w:tc>
        <w:tc>
          <w:tcPr>
            <w:tcW w:w="1263"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1448"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347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[****]-2021</w:t>
            </w:r>
          </w:p>
        </w:tc>
        <w:tc>
          <w:tcPr>
            <w:tcW w:w="1263"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1448"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347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[****]-2021</w:t>
            </w:r>
          </w:p>
        </w:tc>
        <w:tc>
          <w:tcPr>
            <w:tcW w:w="1263"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1448"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3479"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[****]-2021</w:t>
            </w:r>
          </w:p>
        </w:tc>
        <w:tc>
          <w:tcPr>
            <w:tcW w:w="1263"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1448"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bl>
    <w:p>
      <w:pPr>
        <w:pStyle w:val="TextBody"/>
        <w:spacing w:before="0" w:after="0"/>
        <w:jc w:val="center"/>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10.2</w:t>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525780"/>
                <wp:effectExtent l="0" t="0" r="0" b="0"/>
                <wp:wrapNone/>
                <wp:docPr id="95" name="Frame90"/>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rPr>
                                <w:rFonts w:ascii="Arial;sans-serif" w:hAnsi="Arial;sans-serif"/>
                                <w:b w:val="false"/>
                                <w:color w:val="000000"/>
                                <w:sz w:val="24"/>
                              </w:rPr>
                            </w:pPr>
                            <w:r>
                              <w:rPr>
                                <w:rFonts w:ascii="Arial;sans-serif" w:hAnsi="Arial;sans-serif"/>
                                <w:b w:val="false"/>
                                <w:color w:val="000000"/>
                                <w:sz w:val="24"/>
                              </w:rPr>
                              <w:t>AAL-LA-2300047</w:t>
                            </w:r>
                          </w:p>
                          <w:p>
                            <w:pPr>
                              <w:pStyle w:val="TextBody"/>
                              <w:spacing w:lineRule="auto" w:line="240" w:before="0" w:after="0"/>
                              <w:rPr>
                                <w:rFonts w:ascii="Arial;sans-serif" w:hAnsi="Arial;sans-serif"/>
                                <w:b w:val="false"/>
                                <w:color w:val="000000"/>
                                <w:sz w:val="24"/>
                              </w:rPr>
                            </w:pPr>
                            <w:r>
                              <w:rPr>
                                <w:rFonts w:ascii="Arial;sans-serif" w:hAnsi="Arial;sans-serif"/>
                                <w:b w:val="false"/>
                                <w:color w:val="000000"/>
                                <w:sz w:val="24"/>
                              </w:rPr>
                              <w:t>[****] for 787 [****] (January 2023)    Page 5</w:t>
                            </w:r>
                          </w:p>
                          <w:p>
                            <w:pPr>
                              <w:pStyle w:val="TextBody"/>
                              <w:spacing w:lineRule="auto" w:line="240" w:before="0" w:after="0"/>
                              <w:jc w:val="center"/>
                              <w:rPr>
                                <w:rFonts w:ascii="Arial;sans-serif" w:hAnsi="Arial;sans-serif"/>
                                <w:b/>
                                <w:color w:val="000000"/>
                                <w:sz w:val="24"/>
                              </w:rPr>
                            </w:pPr>
                            <w:r>
                              <w:rPr>
                                <w:rFonts w:ascii="Arial;sans-serif" w:hAnsi="Arial;sans-serif"/>
                                <w:b/>
                                <w:color w:val="000000"/>
                                <w:sz w:val="24"/>
                              </w:rPr>
                              <w:t>BOEING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spacing w:lineRule="auto" w:line="240" w:before="0" w:after="0"/>
                        <w:rPr>
                          <w:rFonts w:ascii="Arial;sans-serif" w:hAnsi="Arial;sans-serif"/>
                          <w:b w:val="false"/>
                          <w:color w:val="000000"/>
                          <w:sz w:val="24"/>
                        </w:rPr>
                      </w:pPr>
                      <w:r>
                        <w:rPr>
                          <w:rFonts w:ascii="Arial;sans-serif" w:hAnsi="Arial;sans-serif"/>
                          <w:b w:val="false"/>
                          <w:color w:val="000000"/>
                          <w:sz w:val="24"/>
                        </w:rPr>
                        <w:t>AAL-LA-2300047</w:t>
                      </w:r>
                    </w:p>
                    <w:p>
                      <w:pPr>
                        <w:pStyle w:val="TextBody"/>
                        <w:spacing w:lineRule="auto" w:line="240" w:before="0" w:after="0"/>
                        <w:rPr>
                          <w:rFonts w:ascii="Arial;sans-serif" w:hAnsi="Arial;sans-serif"/>
                          <w:b w:val="false"/>
                          <w:color w:val="000000"/>
                          <w:sz w:val="24"/>
                        </w:rPr>
                      </w:pPr>
                      <w:r>
                        <w:rPr>
                          <w:rFonts w:ascii="Arial;sans-serif" w:hAnsi="Arial;sans-serif"/>
                          <w:b w:val="false"/>
                          <w:color w:val="000000"/>
                          <w:sz w:val="24"/>
                        </w:rPr>
                        <w:t>[****] for 787 [****] (January 2023)    Page 5</w:t>
                      </w:r>
                    </w:p>
                    <w:p>
                      <w:pPr>
                        <w:pStyle w:val="TextBody"/>
                        <w:spacing w:lineRule="auto" w:line="240" w:before="0" w:after="0"/>
                        <w:jc w:val="center"/>
                        <w:rPr>
                          <w:rFonts w:ascii="Arial;sans-serif" w:hAnsi="Arial;sans-serif"/>
                          <w:b/>
                          <w:color w:val="000000"/>
                          <w:sz w:val="24"/>
                        </w:rPr>
                      </w:pPr>
                      <w:r>
                        <w:rPr>
                          <w:rFonts w:ascii="Arial;sans-serif" w:hAnsi="Arial;sans-serif"/>
                          <w:b/>
                          <w:color w:val="000000"/>
                          <w:sz w:val="24"/>
                        </w:rPr>
                        <w:t>BOEING PROPRIETARY</w:t>
                      </w:r>
                    </w:p>
                  </w:txbxContent>
                </v:textbox>
              </v:rect>
            </w:pict>
          </mc:Fallback>
        </mc:AlternateContent>
      </w:r>
    </w:p>
    <w:tbl>
      <w:tblPr>
        <w:tblW w:w="10205" w:type="dxa"/>
        <w:jc w:val="center"/>
        <w:tblInd w:w="0" w:type="dxa"/>
        <w:tblCellMar>
          <w:top w:w="28" w:type="dxa"/>
          <w:left w:w="28" w:type="dxa"/>
          <w:bottom w:w="28" w:type="dxa"/>
          <w:right w:w="28" w:type="dxa"/>
        </w:tblCellMar>
      </w:tblPr>
      <w:tblGrid>
        <w:gridCol w:w="3267"/>
        <w:gridCol w:w="2873"/>
        <w:gridCol w:w="4065"/>
      </w:tblGrid>
      <w:tr>
        <w:trPr/>
        <w:tc>
          <w:tcPr>
            <w:tcW w:w="3267" w:type="dxa"/>
            <w:tcBorders/>
            <w:shd w:fill="auto" w:val="clear"/>
            <w:vAlign w:val="center"/>
          </w:tcPr>
          <w:p>
            <w:pPr>
              <w:pStyle w:val="TableContents"/>
              <w:spacing w:before="0" w:after="283"/>
              <w:rPr>
                <w:sz w:val="4"/>
                <w:szCs w:val="4"/>
              </w:rPr>
            </w:pPr>
            <w:r>
              <w:rPr>
                <w:sz w:val="4"/>
                <w:szCs w:val="4"/>
              </w:rPr>
            </w:r>
          </w:p>
        </w:tc>
        <w:tc>
          <w:tcPr>
            <w:tcW w:w="2873" w:type="dxa"/>
            <w:tcBorders/>
            <w:shd w:fill="auto" w:val="clear"/>
            <w:vAlign w:val="center"/>
          </w:tcPr>
          <w:p>
            <w:pPr>
              <w:pStyle w:val="TableContents"/>
              <w:spacing w:before="0" w:after="283"/>
              <w:rPr>
                <w:sz w:val="4"/>
                <w:szCs w:val="4"/>
              </w:rPr>
            </w:pPr>
            <w:r>
              <w:rPr>
                <w:sz w:val="4"/>
                <w:szCs w:val="4"/>
              </w:rPr>
            </w:r>
          </w:p>
        </w:tc>
        <w:tc>
          <w:tcPr>
            <w:tcW w:w="4065"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single" w:sz="6" w:space="0" w:color="000000"/>
              <w:left w:val="single" w:sz="6" w:space="0" w:color="000000"/>
              <w:bottom w:val="single" w:sz="6" w:space="0" w:color="000000"/>
              <w:right w:val="single" w:sz="6" w:space="0" w:color="000000"/>
            </w:tcBorders>
            <w:shd w:fill="FFFFFF" w:val="clear"/>
            <w:tcMar>
              <w:top w:w="30" w:type="dxa"/>
              <w:bottom w:w="30" w:type="dxa"/>
            </w:tcMar>
            <w:vAlign w:val="center"/>
          </w:tcPr>
          <w:p>
            <w:pPr>
              <w:pStyle w:val="TableContents"/>
              <w:spacing w:lineRule="auto" w:line="240" w:before="0" w:after="0"/>
              <w:jc w:val="left"/>
              <w:rPr>
                <w:rFonts w:ascii="Arial;sans-serif" w:hAnsi="Arial;sans-serif"/>
                <w:b/>
                <w:color w:val="000000"/>
                <w:sz w:val="20"/>
              </w:rPr>
            </w:pPr>
            <w:r>
              <w:rPr>
                <w:rFonts w:ascii="Arial;sans-serif" w:hAnsi="Arial;sans-serif"/>
                <w:b/>
                <w:color w:val="000000"/>
                <w:sz w:val="20"/>
              </w:rPr>
              <w:t>Certain information contained in this document, marked by brackets, has been omitted because it is both (i) not material and (ii) is the type that the registrant treats as private or confidential.</w:t>
            </w:r>
          </w:p>
        </w:tc>
      </w:tr>
    </w:tbl>
    <w:p>
      <w:pPr>
        <w:pStyle w:val="TextBody"/>
        <w:spacing w:before="360" w:after="283"/>
        <w:jc w:val="center"/>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SUPPLEMENTAL AGREEMENT NO. 18</w: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to</w: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Purchase Agreement No. 3219</w: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between</w: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THE BOEING COMPANY</w: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and</w:t>
      </w:r>
    </w:p>
    <w:p>
      <w:pPr>
        <w:pStyle w:val="TextBody"/>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AMERICAN AIRLINES, INC.</w: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Relating to Boeing Model 787 Aircraft</w:t>
      </w:r>
    </w:p>
    <w:p>
      <w:pPr>
        <w:pStyle w:val="TextBody"/>
        <w:spacing w:before="0" w:after="360"/>
        <w:jc w:val="center"/>
        <w:rPr/>
      </w:pPr>
      <w:r>
        <w:rPr/>
      </w:r>
    </w:p>
    <w:p>
      <w:pPr>
        <w:pStyle w:val="TextBody"/>
        <w:spacing w:before="0" w:after="360"/>
        <w:jc w:val="center"/>
        <w:rPr/>
      </w:pPr>
      <w:r>
        <w:rPr/>
      </w:r>
    </w:p>
    <w:p>
      <w:pPr>
        <w:pStyle w:val="TextBody"/>
        <w:spacing w:before="0" w:after="360"/>
        <w:jc w:val="center"/>
        <w:rPr/>
      </w:pPr>
      <w:r>
        <w:rPr/>
      </w:r>
    </w:p>
    <w:p>
      <w:pPr>
        <w:pStyle w:val="TextBody"/>
        <w:spacing w:before="0" w:after="0"/>
        <w:jc w:val="center"/>
        <w:rPr/>
      </w:pPr>
      <w:r>
        <w:rPr/>
      </w:r>
    </w:p>
    <w:p>
      <w:pPr>
        <w:pStyle w:val="TextBody"/>
        <w:spacing w:lineRule="auto" w:line="240" w:before="360" w:after="283"/>
        <w:ind w:left="0" w:right="0" w:firstLine="1080"/>
        <w:jc w:val="both"/>
        <w:rPr/>
      </w:pPr>
      <w:r>
        <w:rPr>
          <w:rFonts w:ascii="Times New Roman;sans-serif" w:hAnsi="Times New Roman;sans-serif"/>
          <w:b w:val="false"/>
          <w:color w:val="000000"/>
          <w:sz w:val="24"/>
        </w:rPr>
        <w:t>THIS SUPPLEMENTAL AGREEMENT No. 18 (</w:t>
      </w:r>
      <w:r>
        <w:rPr>
          <w:rFonts w:ascii="Times New Roman;sans-serif" w:hAnsi="Times New Roman;sans-serif"/>
          <w:b/>
          <w:i/>
          <w:color w:val="000000"/>
          <w:sz w:val="24"/>
        </w:rPr>
        <w:t>SA-18</w:t>
      </w:r>
      <w:r>
        <w:rPr>
          <w:rFonts w:ascii="Times New Roman;sans-serif" w:hAnsi="Times New Roman;sans-serif"/>
          <w:b w:val="false"/>
          <w:color w:val="000000"/>
          <w:sz w:val="24"/>
        </w:rPr>
        <w:t>) is made between THE BOEING COMPANY, a Delaware corporation with offices in Seattle, Washington (</w:t>
      </w:r>
      <w:r>
        <w:rPr>
          <w:rFonts w:ascii="Times New Roman;sans-serif" w:hAnsi="Times New Roman;sans-serif"/>
          <w:b/>
          <w:i/>
          <w:color w:val="000000"/>
          <w:sz w:val="24"/>
        </w:rPr>
        <w:t>Boeing</w:t>
      </w:r>
      <w:r>
        <w:rPr>
          <w:rFonts w:ascii="Times New Roman;sans-serif" w:hAnsi="Times New Roman;sans-serif"/>
          <w:b w:val="false"/>
          <w:color w:val="000000"/>
          <w:sz w:val="24"/>
        </w:rPr>
        <w:t>), and AMERICAN AIRLINES, INC, a Delaware corporation with offices in Fort Worth, Texas, together with its successors and permitted assigns (</w:t>
      </w:r>
      <w:r>
        <w:rPr>
          <w:rFonts w:ascii="Times New Roman;sans-serif" w:hAnsi="Times New Roman;sans-serif"/>
          <w:b/>
          <w:i/>
          <w:color w:val="000000"/>
          <w:sz w:val="24"/>
        </w:rPr>
        <w:t>Customer</w:t>
      </w:r>
      <w:r>
        <w:rPr>
          <w:rFonts w:ascii="Times New Roman;sans-serif" w:hAnsi="Times New Roman;sans-serif"/>
          <w:b w:val="false"/>
          <w:color w:val="000000"/>
          <w:sz w:val="24"/>
        </w:rPr>
        <w:t xml:space="preserve">); </w:t>
      </w:r>
    </w:p>
    <w:p>
      <w:pPr>
        <w:pStyle w:val="TextBody"/>
        <w:spacing w:lineRule="auto" w:line="240" w:before="240" w:after="283"/>
        <w:ind w:left="0" w:right="0" w:firstLine="1080"/>
        <w:jc w:val="both"/>
        <w:rPr/>
      </w:pPr>
      <w:r>
        <w:rPr>
          <w:rFonts w:ascii="Times New Roman;sans-serif" w:hAnsi="Times New Roman;sans-serif"/>
          <w:b w:val="false"/>
          <w:color w:val="000000"/>
          <w:sz w:val="24"/>
        </w:rPr>
        <w:t>WHEREAS, Boeing and Customer entered into Purchase Agreement No. 3219 dated October 15, 2008, relating to Boeing Model 787 aircraft, as amended and supplemented (</w:t>
      </w:r>
      <w:r>
        <w:rPr>
          <w:rFonts w:ascii="Times New Roman;sans-serif" w:hAnsi="Times New Roman;sans-serif"/>
          <w:b/>
          <w:i/>
          <w:color w:val="000000"/>
          <w:sz w:val="24"/>
        </w:rPr>
        <w:t>Purchase Agreement</w:t>
      </w:r>
      <w:r>
        <w:rPr>
          <w:rFonts w:ascii="Times New Roman;sans-serif" w:hAnsi="Times New Roman;sans-serif"/>
          <w:b w:val="false"/>
          <w:color w:val="000000"/>
          <w:sz w:val="24"/>
        </w:rPr>
        <w:t xml:space="preserve">) and capitalized terms used herein without definitions shall have the meanings specified in such Purchase Agreement; </w:t>
      </w:r>
    </w:p>
    <w:p>
      <w:pPr>
        <w:pStyle w:val="TextBody"/>
        <w:spacing w:lineRule="auto" w:line="240" w:before="240" w:after="283"/>
        <w:ind w:left="0" w:right="0" w:firstLine="1080"/>
        <w:jc w:val="both"/>
        <w:rPr>
          <w:rFonts w:ascii="Times New Roman;sans-serif" w:hAnsi="Times New Roman;sans-serif"/>
          <w:b w:val="false"/>
          <w:color w:val="000000"/>
          <w:sz w:val="24"/>
        </w:rPr>
      </w:pPr>
      <w:r>
        <w:rPr>
          <w:rFonts w:ascii="Times New Roman;sans-serif" w:hAnsi="Times New Roman;sans-serif"/>
          <w:b w:val="false"/>
          <w:color w:val="000000"/>
          <w:sz w:val="24"/>
        </w:rPr>
        <w:t>WHEREAS, Customer and Boeing agree to [****] the [****] for certain undelivered 2018 787-8 [****] Aircraft set forth on [****];</w:t>
      </w:r>
    </w:p>
    <w:p>
      <w:pPr>
        <w:pStyle w:val="TextBody"/>
        <w:spacing w:lineRule="auto" w:line="240" w:before="240" w:after="283"/>
        <w:ind w:left="0" w:right="0" w:firstLine="1080"/>
        <w:jc w:val="both"/>
        <w:rPr>
          <w:rFonts w:ascii="Times New Roman;sans-serif" w:hAnsi="Times New Roman;sans-serif"/>
          <w:b w:val="false"/>
          <w:color w:val="000000"/>
          <w:sz w:val="24"/>
        </w:rPr>
      </w:pPr>
      <w:r>
        <w:rPr>
          <w:rFonts w:ascii="Times New Roman;sans-serif" w:hAnsi="Times New Roman;sans-serif"/>
          <w:b w:val="false"/>
          <w:color w:val="000000"/>
          <w:sz w:val="24"/>
        </w:rPr>
        <w:t>WHEREAS, Customer and Boeing agree to [****] to 787 aircraft; and</w:t>
      </w:r>
    </w:p>
    <w:p>
      <w:pPr>
        <w:pStyle w:val="TextBody"/>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the parties agree that the Purchase Agreement is amended as set forth below and otherwise agree as follows:</w:t>
      </w:r>
    </w:p>
    <w:p>
      <w:pPr>
        <w:pStyle w:val="TextBody"/>
        <w:spacing w:lineRule="auto" w:line="240" w:before="180" w:after="283"/>
        <w:jc w:val="both"/>
        <w:rPr/>
      </w:pPr>
      <w:r>
        <w:rPr>
          <w:rFonts w:ascii="Times New Roman;sans-serif" w:hAnsi="Times New Roman;sans-serif"/>
          <w:b/>
          <w:color w:val="000000"/>
          <w:sz w:val="24"/>
        </w:rPr>
        <w:t>1.</w:t>
      </w:r>
      <w:r>
        <w:rPr>
          <w:rFonts w:ascii="Times New Roman;sans-serif" w:hAnsi="Times New Roman;sans-serif"/>
          <w:b/>
          <w:color w:val="000000"/>
          <w:sz w:val="24"/>
          <w:u w:val="single"/>
        </w:rPr>
        <w:t>Table of Contents</w:t>
      </w:r>
      <w:r>
        <w:rPr>
          <w:rFonts w:ascii="Times New Roman;sans-serif" w:hAnsi="Times New Roman;sans-serif"/>
          <w:b/>
          <w:color w:val="000000"/>
          <w:sz w:val="24"/>
        </w:rPr>
        <w:t>.</w:t>
      </w:r>
    </w:p>
    <w:p>
      <w:pPr>
        <w:pStyle w:val="TextBody"/>
        <w:spacing w:before="0" w:after="0"/>
        <w:rPr/>
      </w:pPr>
      <w:r>
        <w:rPr/>
      </w:r>
    </w:p>
    <w:p>
      <w:pPr>
        <w:pStyle w:val="TextBody"/>
        <w:spacing w:lineRule="auto" w:line="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Table of Contents referencing SA-17 in the footer is deleted in its entirety and is replaced with the new Table of Contents (attached hereto) referencing SA-18 in the footer. Such new Table of Contents is hereby incorporated into the Purchase Agreement in replacement of its predecessor.</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682625"/>
                <wp:effectExtent l="0" t="0" r="0" b="0"/>
                <wp:wrapNone/>
                <wp:docPr id="96" name="Frame91"/>
                <a:graphic xmlns:a="http://schemas.openxmlformats.org/drawingml/2006/main">
                  <a:graphicData uri="http://schemas.microsoft.com/office/word/2010/wordprocessingShape">
                    <wps:wsp>
                      <wps:cNvSpPr txBox="1"/>
                      <wps:spPr>
                        <a:xfrm>
                          <a:off x="0" y="0"/>
                          <a:ext cx="6480175" cy="682625"/>
                        </a:xfrm>
                        <a:prstGeom prst="rect"/>
                      </wps:spPr>
                      <wps:txbx>
                        <w:txbxContent>
                          <w:p>
                            <w:pPr>
                              <w:pStyle w:val="TextBody"/>
                              <w:spacing w:lineRule="auto" w:line="240" w:before="240" w:after="283"/>
                              <w:rPr>
                                <w:rFonts w:ascii="Times New Roman;sans-serif" w:hAnsi="Times New Roman;sans-serif"/>
                                <w:b w:val="false"/>
                                <w:color w:val="000000"/>
                                <w:sz w:val="24"/>
                              </w:rPr>
                            </w:pPr>
                            <w:r>
                              <w:rPr>
                                <w:rFonts w:ascii="Times New Roman;sans-serif" w:hAnsi="Times New Roman;sans-serif"/>
                                <w:b w:val="false"/>
                                <w:color w:val="000000"/>
                                <w:sz w:val="24"/>
                              </w:rPr>
                              <w:t>PA 3219    SA-18        Page 1</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BOEING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240" w:after="283"/>
                        <w:rPr>
                          <w:rFonts w:ascii="Times New Roman;sans-serif" w:hAnsi="Times New Roman;sans-serif"/>
                          <w:b w:val="false"/>
                          <w:color w:val="000000"/>
                          <w:sz w:val="24"/>
                        </w:rPr>
                      </w:pPr>
                      <w:r>
                        <w:rPr>
                          <w:rFonts w:ascii="Times New Roman;sans-serif" w:hAnsi="Times New Roman;sans-serif"/>
                          <w:b w:val="false"/>
                          <w:color w:val="000000"/>
                          <w:sz w:val="24"/>
                        </w:rPr>
                        <w:t>PA 3219    SA-18        Page 1</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BOEING PROPRIETARY</w:t>
                      </w:r>
                    </w:p>
                  </w:txbxContent>
                </v:textbox>
              </v:rect>
            </w:pict>
          </mc:Fallback>
        </mc:AlternateContent>
      </w:r>
    </w:p>
    <w:p>
      <w:pPr>
        <w:pStyle w:val="TextBody"/>
        <w:spacing w:lineRule="auto" w:line="240" w:before="180" w:after="283"/>
        <w:jc w:val="both"/>
        <w:rPr/>
      </w:pPr>
      <w:r>
        <w:rPr>
          <w:rFonts w:ascii="Times New Roman;sans-serif" w:hAnsi="Times New Roman;sans-serif"/>
          <w:b/>
          <w:color w:val="000000"/>
          <w:sz w:val="24"/>
        </w:rPr>
        <w:t>2.</w:t>
      </w:r>
      <w:r>
        <w:rPr>
          <w:rFonts w:ascii="Times New Roman;sans-serif" w:hAnsi="Times New Roman;sans-serif"/>
          <w:b/>
          <w:color w:val="000000"/>
          <w:sz w:val="24"/>
          <w:u w:val="single"/>
        </w:rPr>
        <w:t>Tables</w:t>
      </w:r>
      <w:r>
        <w:rPr>
          <w:rFonts w:ascii="Times New Roman;sans-serif" w:hAnsi="Times New Roman;sans-serif"/>
          <w:b/>
          <w:color w:val="000000"/>
          <w:sz w:val="24"/>
        </w:rPr>
        <w:t>.</w:t>
      </w:r>
    </w:p>
    <w:p>
      <w:pPr>
        <w:pStyle w:val="TextBody"/>
        <w:spacing w:before="0" w:after="0"/>
        <w:rPr/>
      </w:pPr>
      <w:r>
        <w:rPr/>
      </w:r>
    </w:p>
    <w:p>
      <w:pPr>
        <w:pStyle w:val="TextBody"/>
        <w:spacing w:lineRule="auto" w:line="240" w:before="120" w:after="120"/>
        <w:ind w:left="0" w:right="0" w:firstLine="720"/>
        <w:jc w:val="both"/>
        <w:rPr/>
      </w:pPr>
      <w:r>
        <w:rPr>
          <w:rFonts w:ascii="Times New Roman;sans-serif" w:hAnsi="Times New Roman;sans-serif"/>
          <w:b w:val="false"/>
          <w:color w:val="000000"/>
          <w:sz w:val="24"/>
          <w:u w:val="single"/>
        </w:rPr>
        <w:t>Table 6R3</w:t>
      </w:r>
      <w:r>
        <w:rPr>
          <w:rFonts w:ascii="Times New Roman;sans-serif" w:hAnsi="Times New Roman;sans-serif"/>
          <w:b w:val="false"/>
          <w:color w:val="000000"/>
          <w:sz w:val="24"/>
        </w:rPr>
        <w:t>. Table 6R2 entitled “</w:t>
      </w:r>
      <w:r>
        <w:rPr>
          <w:rFonts w:ascii="Times New Roman;sans-serif" w:hAnsi="Times New Roman;sans-serif"/>
          <w:b w:val="false"/>
          <w:color w:val="000000"/>
          <w:sz w:val="24"/>
          <w:u w:val="single"/>
        </w:rPr>
        <w:t>787-8 [****] Aircraft, Aircraft Delivery, Description, Price and Advance Payments</w:t>
      </w:r>
      <w:r>
        <w:rPr>
          <w:color w:val="000000"/>
        </w:rPr>
        <w:t xml:space="preserve">” </w:t>
      </w:r>
      <w:r>
        <w:rPr>
          <w:rFonts w:ascii="Times New Roman;sans-serif" w:hAnsi="Times New Roman;sans-serif"/>
          <w:b w:val="false"/>
          <w:color w:val="000000"/>
          <w:sz w:val="24"/>
        </w:rPr>
        <w:t>referencing SA-16 in the footer is deleted in its entirety and is replaced with the similarly titled Table 6R3 (attached hereto) referencing SA-18 in the footer. Table 6R3 is hereby incorporated into the Purchase Agreement in replacement of Table 6R2.</w:t>
      </w:r>
    </w:p>
    <w:p>
      <w:pPr>
        <w:pStyle w:val="TextBody"/>
        <w:spacing w:lineRule="auto" w:line="240" w:before="360" w:after="360"/>
        <w:jc w:val="both"/>
        <w:rPr/>
      </w:pPr>
      <w:r>
        <w:rPr>
          <w:rFonts w:ascii="Times New Roman;sans-serif" w:hAnsi="Times New Roman;sans-serif"/>
          <w:b/>
          <w:color w:val="000000"/>
          <w:sz w:val="24"/>
        </w:rPr>
        <w:t>3.</w:t>
      </w:r>
      <w:r>
        <w:rPr>
          <w:rFonts w:ascii="Times New Roman;sans-serif" w:hAnsi="Times New Roman;sans-serif"/>
          <w:b/>
          <w:color w:val="000000"/>
          <w:sz w:val="24"/>
          <w:u w:val="single"/>
        </w:rPr>
        <w:t>Letter Agreements</w:t>
      </w:r>
      <w:r>
        <w:rPr>
          <w:rFonts w:ascii="Times New Roman;sans-serif" w:hAnsi="Times New Roman;sans-serif"/>
          <w:b/>
          <w:color w:val="000000"/>
          <w:sz w:val="24"/>
        </w:rPr>
        <w:t>.</w: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Letter Agreement AAL-PA-3219-2300600 entitled “[****]” is hereby incorporated into the Purchase Agreement.    </w:t>
      </w:r>
    </w:p>
    <w:p>
      <w:pPr>
        <w:pStyle w:val="TextBody"/>
        <w:spacing w:lineRule="auto" w:line="240" w:before="360" w:after="360"/>
        <w:jc w:val="both"/>
        <w:rPr/>
      </w:pPr>
      <w:r>
        <w:rPr>
          <w:rFonts w:ascii="Times New Roman;sans-serif" w:hAnsi="Times New Roman;sans-serif"/>
          <w:b/>
          <w:color w:val="000000"/>
          <w:sz w:val="24"/>
        </w:rPr>
        <w:t>4.</w:t>
      </w:r>
      <w:r>
        <w:rPr>
          <w:rFonts w:ascii="Times New Roman;sans-serif" w:hAnsi="Times New Roman;sans-serif"/>
          <w:b/>
          <w:color w:val="000000"/>
          <w:sz w:val="24"/>
          <w:u w:val="single"/>
        </w:rPr>
        <w:t>Effect on Purchase Agreement</w:t>
      </w:r>
      <w:r>
        <w:rPr>
          <w:rFonts w:ascii="Times New Roman;sans-serif" w:hAnsi="Times New Roman;sans-serif"/>
          <w:b w:val="false"/>
          <w:color w:val="000000"/>
          <w:sz w:val="24"/>
        </w:rPr>
        <w:t>.</w:t>
      </w:r>
      <w:r>
        <w:rPr>
          <w:color w:val="000000"/>
        </w:rPr>
        <w:t xml:space="preserve"> </w:t>
      </w:r>
    </w:p>
    <w:p>
      <w:pPr>
        <w:pStyle w:val="TextBody"/>
        <w:spacing w:lineRule="auto" w:line="240" w:before="120" w:after="120"/>
        <w:ind w:left="0" w:right="0" w:firstLine="720"/>
        <w:jc w:val="both"/>
        <w:rPr/>
      </w:pPr>
      <w:r>
        <w:rPr>
          <w:rFonts w:ascii="Times New Roman;sans-serif" w:hAnsi="Times New Roman;sans-serif"/>
          <w:b w:val="false"/>
          <w:color w:val="000000"/>
          <w:sz w:val="24"/>
        </w:rPr>
        <w:t>4.1</w:t>
      </w:r>
      <w:r>
        <w:rPr>
          <w:rFonts w:ascii="Times New Roman;sans-serif" w:hAnsi="Times New Roman;sans-serif"/>
          <w:b w:val="false"/>
          <w:color w:val="000000"/>
          <w:sz w:val="24"/>
          <w:u w:val="single"/>
        </w:rPr>
        <w:t>Table 6 Reference Clarifications</w:t>
      </w:r>
      <w:r>
        <w:rPr>
          <w:rFonts w:ascii="Times New Roman;sans-serif" w:hAnsi="Times New Roman;sans-serif"/>
          <w:b w:val="false"/>
          <w:color w:val="000000"/>
          <w:sz w:val="24"/>
        </w:rPr>
        <w:t xml:space="preserve">. </w:t>
      </w:r>
    </w:p>
    <w:p>
      <w:pPr>
        <w:pStyle w:val="TextBody"/>
        <w:spacing w:lineRule="auto" w:line="240" w:before="12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following references in the Purchase Agreement and the associated exhibits, supplemental exhibits, and letter agreements to the Purchase Agreement to “Table 6R2” is now deemed to refer to “Table 6R3”. Specifically, the locations of such references are (but may not be limited to) as follows:</w:t>
      </w:r>
    </w:p>
    <w:tbl>
      <w:tblPr>
        <w:tblW w:w="10205" w:type="dxa"/>
        <w:jc w:val="left"/>
        <w:tblInd w:w="0" w:type="dxa"/>
        <w:tblCellMar>
          <w:top w:w="28" w:type="dxa"/>
          <w:left w:w="28" w:type="dxa"/>
          <w:bottom w:w="28" w:type="dxa"/>
          <w:right w:w="28" w:type="dxa"/>
        </w:tblCellMar>
      </w:tblPr>
      <w:tblGrid>
        <w:gridCol w:w="3292"/>
        <w:gridCol w:w="2861"/>
        <w:gridCol w:w="4052"/>
      </w:tblGrid>
      <w:tr>
        <w:trPr/>
        <w:tc>
          <w:tcPr>
            <w:tcW w:w="3292" w:type="dxa"/>
            <w:tcBorders/>
            <w:shd w:fill="auto" w:val="clear"/>
            <w:vAlign w:val="center"/>
          </w:tcPr>
          <w:p>
            <w:pPr>
              <w:pStyle w:val="TableContents"/>
              <w:spacing w:before="0" w:after="283"/>
              <w:rPr>
                <w:sz w:val="4"/>
                <w:szCs w:val="4"/>
              </w:rPr>
            </w:pPr>
            <w:r>
              <w:rPr>
                <w:sz w:val="4"/>
                <w:szCs w:val="4"/>
              </w:rPr>
            </w:r>
          </w:p>
        </w:tc>
        <w:tc>
          <w:tcPr>
            <w:tcW w:w="2861" w:type="dxa"/>
            <w:tcBorders/>
            <w:shd w:fill="auto" w:val="clear"/>
            <w:vAlign w:val="center"/>
          </w:tcPr>
          <w:p>
            <w:pPr>
              <w:pStyle w:val="TableContents"/>
              <w:spacing w:before="0" w:after="283"/>
              <w:rPr>
                <w:sz w:val="4"/>
                <w:szCs w:val="4"/>
              </w:rPr>
            </w:pPr>
            <w:r>
              <w:rPr>
                <w:sz w:val="4"/>
                <w:szCs w:val="4"/>
              </w:rPr>
            </w:r>
          </w:p>
        </w:tc>
        <w:tc>
          <w:tcPr>
            <w:tcW w:w="4052"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120" w:after="120"/>
              <w:ind w:left="0" w:right="0" w:firstLine="7"/>
              <w:jc w:val="center"/>
              <w:rPr/>
            </w:pPr>
            <w:r>
              <w:rPr>
                <w:rFonts w:ascii="Times New Roman;sans-serif" w:hAnsi="Times New Roman;sans-serif"/>
                <w:b/>
                <w:color w:val="000000"/>
                <w:sz w:val="24"/>
                <w:u w:val="single"/>
              </w:rPr>
              <w:t>Location of References</w:t>
            </w:r>
            <w:r>
              <w:rPr>
                <w:rFonts w:ascii="Times New Roman;sans-serif" w:hAnsi="Times New Roman;sans-serif"/>
                <w:b/>
                <w:color w:val="000000"/>
                <w:sz w:val="24"/>
              </w:rPr>
              <w:t>*</w:t>
            </w:r>
          </w:p>
        </w:tc>
      </w:tr>
      <w:tr>
        <w:trPr/>
        <w:tc>
          <w:tcPr>
            <w:tcW w:w="1020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Articles 1, 2, 3 (all sections), 4 (all sections), and Section 5.1 of the Basic Articles</w:t>
            </w:r>
          </w:p>
        </w:tc>
      </w:tr>
      <w:tr>
        <w:trPr/>
        <w:tc>
          <w:tcPr>
            <w:tcW w:w="1020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80" w:after="80"/>
              <w:ind w:left="0" w:right="0" w:hanging="1422"/>
              <w:jc w:val="both"/>
              <w:rPr>
                <w:rFonts w:ascii="Times New Roman;sans-serif" w:hAnsi="Times New Roman;sans-serif"/>
                <w:b w:val="false"/>
                <w:color w:val="000000"/>
                <w:sz w:val="24"/>
              </w:rPr>
            </w:pPr>
            <w:r>
              <w:rPr>
                <w:rFonts w:ascii="Times New Roman;sans-serif" w:hAnsi="Times New Roman;sans-serif"/>
                <w:b w:val="false"/>
                <w:color w:val="000000"/>
                <w:sz w:val="24"/>
              </w:rPr>
              <w:t>Exhibit C(R1), Definitions of “Aircraft” and “Engine”</w:t>
            </w:r>
          </w:p>
        </w:tc>
      </w:tr>
      <w:tr>
        <w:trPr/>
        <w:tc>
          <w:tcPr>
            <w:tcW w:w="1020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80" w:after="80"/>
              <w:ind w:left="0" w:right="0" w:hanging="1422"/>
              <w:jc w:val="both"/>
              <w:rPr>
                <w:rFonts w:ascii="Times New Roman;sans-serif" w:hAnsi="Times New Roman;sans-serif"/>
                <w:b w:val="false"/>
                <w:color w:val="000000"/>
                <w:sz w:val="24"/>
              </w:rPr>
            </w:pPr>
            <w:r>
              <w:rPr>
                <w:rFonts w:ascii="Times New Roman;sans-serif" w:hAnsi="Times New Roman;sans-serif"/>
                <w:b w:val="false"/>
                <w:color w:val="000000"/>
                <w:sz w:val="24"/>
              </w:rPr>
              <w:t>Section 1 of Supplemental Exhibit AE1</w:t>
            </w:r>
          </w:p>
        </w:tc>
      </w:tr>
      <w:tr>
        <w:trPr/>
        <w:tc>
          <w:tcPr>
            <w:tcW w:w="1020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80" w:after="80"/>
              <w:jc w:val="both"/>
              <w:rPr/>
            </w:pPr>
            <w:r>
              <w:rPr>
                <w:rFonts w:ascii="Times New Roman;sans-serif" w:hAnsi="Times New Roman;sans-serif"/>
                <w:b w:val="false"/>
                <w:color w:val="000000"/>
                <w:sz w:val="24"/>
              </w:rPr>
              <w:t>Section 1 (definition of “</w:t>
            </w:r>
            <w:r>
              <w:rPr>
                <w:rFonts w:ascii="Times New Roman;sans-serif" w:hAnsi="Times New Roman;sans-serif"/>
                <w:b w:val="false"/>
                <w:color w:val="000000"/>
                <w:sz w:val="22"/>
              </w:rPr>
              <w:t>[****]</w:t>
            </w:r>
            <w:r>
              <w:rPr>
                <w:color w:val="000000"/>
              </w:rPr>
              <w:t>”</w:t>
            </w:r>
            <w:r>
              <w:rPr>
                <w:rFonts w:ascii="Times New Roman;sans-serif" w:hAnsi="Times New Roman;sans-serif"/>
                <w:b w:val="false"/>
                <w:color w:val="000000"/>
                <w:sz w:val="24"/>
              </w:rPr>
              <w:t>) and Attachment C(R4) of Letter Agreement 6-1162-TRW-0664R2 entitled “</w:t>
            </w:r>
            <w:r>
              <w:rPr>
                <w:rFonts w:ascii="Times New Roman;sans-serif" w:hAnsi="Times New Roman;sans-serif"/>
                <w:b w:val="false"/>
                <w:color w:val="000000"/>
                <w:sz w:val="22"/>
              </w:rPr>
              <w:t>[****]</w:t>
            </w:r>
            <w:r>
              <w:rPr>
                <w:color w:val="000000"/>
              </w:rPr>
              <w:t>”</w:t>
            </w:r>
          </w:p>
        </w:tc>
      </w:tr>
      <w:tr>
        <w:trPr/>
        <w:tc>
          <w:tcPr>
            <w:tcW w:w="1020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80" w:after="80"/>
              <w:jc w:val="both"/>
              <w:rPr/>
            </w:pPr>
            <w:r>
              <w:rPr>
                <w:rFonts w:ascii="Times New Roman;sans-serif" w:hAnsi="Times New Roman;sans-serif"/>
                <w:b w:val="false"/>
                <w:color w:val="000000"/>
                <w:sz w:val="24"/>
              </w:rPr>
              <w:t>Section 1.4.1 of Letter Agreement 6-1162-CLO-1047R4 entitled “</w:t>
            </w:r>
            <w:r>
              <w:rPr>
                <w:rFonts w:ascii="Times New Roman;sans-serif" w:hAnsi="Times New Roman;sans-serif"/>
                <w:b w:val="false"/>
                <w:color w:val="000000"/>
                <w:sz w:val="22"/>
              </w:rPr>
              <w:t>[****]</w:t>
            </w:r>
            <w:r>
              <w:rPr>
                <w:color w:val="000000"/>
              </w:rPr>
              <w:t>”</w:t>
            </w:r>
          </w:p>
        </w:tc>
      </w:tr>
      <w:tr>
        <w:trPr/>
        <w:tc>
          <w:tcPr>
            <w:tcW w:w="1020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80" w:after="80"/>
              <w:jc w:val="both"/>
              <w:rPr/>
            </w:pPr>
            <w:r>
              <w:rPr>
                <w:rFonts w:ascii="Times New Roman;sans-serif" w:hAnsi="Times New Roman;sans-serif"/>
                <w:b w:val="false"/>
                <w:color w:val="000000"/>
                <w:sz w:val="24"/>
              </w:rPr>
              <w:t>Section 1.1 of LA 6-1162-TRW-0672R1 entitled “</w:t>
            </w:r>
            <w:r>
              <w:rPr>
                <w:rFonts w:ascii="Times New Roman;sans-serif" w:hAnsi="Times New Roman;sans-serif"/>
                <w:b w:val="false"/>
                <w:color w:val="000000"/>
                <w:sz w:val="24"/>
                <w:u w:val="single"/>
              </w:rPr>
              <w:t>Promotional Support Agreement</w:t>
            </w:r>
            <w:r>
              <w:rPr>
                <w:color w:val="000000"/>
              </w:rPr>
              <w:t>”</w:t>
            </w:r>
          </w:p>
        </w:tc>
      </w:tr>
      <w:tr>
        <w:trPr/>
        <w:tc>
          <w:tcPr>
            <w:tcW w:w="1020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80" w:after="80"/>
              <w:jc w:val="both"/>
              <w:rPr/>
            </w:pPr>
            <w:r>
              <w:rPr>
                <w:rFonts w:ascii="Times New Roman;sans-serif" w:hAnsi="Times New Roman;sans-serif"/>
                <w:b w:val="false"/>
                <w:color w:val="000000"/>
                <w:sz w:val="24"/>
              </w:rPr>
              <w:t>Section 9.2 of Letter Agreement 6-1162-TRW-0674R4 entitled “</w:t>
            </w:r>
            <w:r>
              <w:rPr>
                <w:rFonts w:ascii="Times New Roman;sans-serif" w:hAnsi="Times New Roman;sans-serif"/>
                <w:b w:val="false"/>
                <w:color w:val="000000"/>
                <w:sz w:val="24"/>
                <w:u w:val="single"/>
              </w:rPr>
              <w:t>Business Considerations</w:t>
            </w:r>
            <w:r>
              <w:rPr>
                <w:color w:val="000000"/>
              </w:rPr>
              <w:t>”</w:t>
            </w:r>
          </w:p>
        </w:tc>
      </w:tr>
      <w:tr>
        <w:trPr/>
        <w:tc>
          <w:tcPr>
            <w:tcW w:w="10205"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80" w:after="80"/>
              <w:jc w:val="both"/>
              <w:rPr/>
            </w:pPr>
            <w:r>
              <w:rPr>
                <w:rFonts w:ascii="Times New Roman;sans-serif" w:hAnsi="Times New Roman;sans-serif"/>
                <w:b w:val="false"/>
                <w:color w:val="000000"/>
                <w:sz w:val="24"/>
              </w:rPr>
              <w:t>Section 1.1 of Letter Agreement AAL-PA-3219-LA1802492 entitled “</w:t>
            </w:r>
            <w:r>
              <w:rPr>
                <w:rFonts w:ascii="Times New Roman;sans-serif" w:hAnsi="Times New Roman;sans-serif"/>
                <w:b w:val="false"/>
                <w:color w:val="000000"/>
                <w:sz w:val="24"/>
                <w:u w:val="single"/>
              </w:rPr>
              <w:t>Open Configuration Matters</w:t>
            </w:r>
            <w:r>
              <w:rPr>
                <w:color w:val="000000"/>
              </w:rPr>
              <w:t>”</w:t>
            </w:r>
          </w:p>
        </w:tc>
      </w:tr>
    </w:tbl>
    <w:p>
      <w:pPr>
        <w:pStyle w:val="TextBody"/>
        <w:spacing w:before="0" w:after="0"/>
        <w:jc w:val="center"/>
        <w:rPr/>
      </w:pPr>
      <w:r>
        <w:br w:type="page"/>
      </w: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189990"/>
                <wp:effectExtent l="0" t="0" r="0" b="0"/>
                <wp:wrapNone/>
                <wp:docPr id="97" name="Frame92"/>
                <a:graphic xmlns:a="http://schemas.openxmlformats.org/drawingml/2006/main">
                  <a:graphicData uri="http://schemas.microsoft.com/office/word/2010/wordprocessingShape">
                    <wps:wsp>
                      <wps:cNvSpPr txBox="1"/>
                      <wps:spPr>
                        <a:xfrm>
                          <a:off x="0" y="0"/>
                          <a:ext cx="6480175" cy="1189990"/>
                        </a:xfrm>
                        <a:prstGeom prst="rect"/>
                      </wps:spPr>
                      <wps:txbx>
                        <w:txbxContent>
                          <w:p>
                            <w:pPr>
                              <w:pStyle w:val="TextBody"/>
                              <w:spacing w:lineRule="auto" w:line="240" w:before="240" w:after="283"/>
                              <w:rPr>
                                <w:rFonts w:ascii="Times New Roman;sans-serif" w:hAnsi="Times New Roman;sans-serif"/>
                                <w:b w:val="false"/>
                                <w:color w:val="000000"/>
                                <w:sz w:val="24"/>
                              </w:rPr>
                            </w:pPr>
                            <w:r>
                              <w:rPr>
                                <w:rFonts w:ascii="Times New Roman;sans-serif" w:hAnsi="Times New Roman;sans-serif"/>
                                <w:b w:val="false"/>
                                <w:color w:val="000000"/>
                                <w:sz w:val="24"/>
                              </w:rPr>
                              <w:t>PA 3219    SA-18    Page 2</w:t>
                            </w:r>
                          </w:p>
                          <w:p>
                            <w:pPr>
                              <w:pStyle w:val="TextBody"/>
                              <w:spacing w:before="240" w:after="283"/>
                              <w:rPr/>
                            </w:pPr>
                            <w:r>
                              <w:rPr/>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BOEING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7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240" w:after="283"/>
                        <w:rPr>
                          <w:rFonts w:ascii="Times New Roman;sans-serif" w:hAnsi="Times New Roman;sans-serif"/>
                          <w:b w:val="false"/>
                          <w:color w:val="000000"/>
                          <w:sz w:val="24"/>
                        </w:rPr>
                      </w:pPr>
                      <w:r>
                        <w:rPr>
                          <w:rFonts w:ascii="Times New Roman;sans-serif" w:hAnsi="Times New Roman;sans-serif"/>
                          <w:b w:val="false"/>
                          <w:color w:val="000000"/>
                          <w:sz w:val="24"/>
                        </w:rPr>
                        <w:t>PA 3219    SA-18    Page 2</w:t>
                      </w:r>
                    </w:p>
                    <w:p>
                      <w:pPr>
                        <w:pStyle w:val="TextBody"/>
                        <w:spacing w:before="240" w:after="283"/>
                        <w:rPr/>
                      </w:pPr>
                      <w:r>
                        <w:rPr/>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BOEING PROPRIETARY</w:t>
                      </w:r>
                    </w:p>
                  </w:txbxContent>
                </v:textbox>
              </v:rect>
            </w:pict>
          </mc:Fallback>
        </mc:AlternateContent>
      </w:r>
    </w:p>
    <w:tbl>
      <w:tblPr>
        <w:tblW w:w="8219" w:type="dxa"/>
        <w:jc w:val="left"/>
        <w:tblInd w:w="0" w:type="dxa"/>
        <w:tblCellMar>
          <w:top w:w="28" w:type="dxa"/>
          <w:left w:w="28" w:type="dxa"/>
          <w:bottom w:w="28" w:type="dxa"/>
          <w:right w:w="28" w:type="dxa"/>
        </w:tblCellMar>
      </w:tblPr>
      <w:tblGrid>
        <w:gridCol w:w="2629"/>
        <w:gridCol w:w="2312"/>
        <w:gridCol w:w="3278"/>
      </w:tblGrid>
      <w:tr>
        <w:trPr/>
        <w:tc>
          <w:tcPr>
            <w:tcW w:w="2629" w:type="dxa"/>
            <w:tcBorders/>
            <w:shd w:fill="auto" w:val="clear"/>
            <w:vAlign w:val="center"/>
          </w:tcPr>
          <w:p>
            <w:pPr>
              <w:pStyle w:val="TableContents"/>
              <w:spacing w:before="0" w:after="283"/>
              <w:rPr>
                <w:sz w:val="4"/>
                <w:szCs w:val="4"/>
              </w:rPr>
            </w:pPr>
            <w:r>
              <w:rPr>
                <w:sz w:val="4"/>
                <w:szCs w:val="4"/>
              </w:rPr>
            </w:r>
          </w:p>
        </w:tc>
        <w:tc>
          <w:tcPr>
            <w:tcW w:w="2312" w:type="dxa"/>
            <w:tcBorders/>
            <w:shd w:fill="auto" w:val="clear"/>
            <w:vAlign w:val="center"/>
          </w:tcPr>
          <w:p>
            <w:pPr>
              <w:pStyle w:val="TableContents"/>
              <w:spacing w:before="0" w:after="283"/>
              <w:rPr>
                <w:sz w:val="4"/>
                <w:szCs w:val="4"/>
              </w:rPr>
            </w:pPr>
            <w:r>
              <w:rPr>
                <w:sz w:val="4"/>
                <w:szCs w:val="4"/>
              </w:rPr>
            </w:r>
          </w:p>
        </w:tc>
        <w:tc>
          <w:tcPr>
            <w:tcW w:w="3278" w:type="dxa"/>
            <w:tcBorders/>
            <w:shd w:fill="auto" w:val="clear"/>
            <w:vAlign w:val="center"/>
          </w:tcPr>
          <w:p>
            <w:pPr>
              <w:pStyle w:val="TableContents"/>
              <w:spacing w:before="0" w:after="283"/>
              <w:rPr>
                <w:sz w:val="4"/>
                <w:szCs w:val="4"/>
              </w:rPr>
            </w:pPr>
            <w:r>
              <w:rPr>
                <w:sz w:val="4"/>
                <w:szCs w:val="4"/>
              </w:rPr>
            </w:r>
          </w:p>
        </w:tc>
      </w:tr>
      <w:tr>
        <w:trPr/>
        <w:tc>
          <w:tcPr>
            <w:tcW w:w="821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80" w:after="80"/>
              <w:jc w:val="both"/>
              <w:rPr/>
            </w:pPr>
            <w:r>
              <w:rPr>
                <w:rFonts w:ascii="Times New Roman;sans-serif" w:hAnsi="Times New Roman;sans-serif"/>
                <w:b w:val="false"/>
                <w:color w:val="000000"/>
                <w:sz w:val="24"/>
              </w:rPr>
              <w:t>The 2</w:t>
            </w:r>
            <w:r>
              <w:rPr>
                <w:rFonts w:ascii="Times New Roman;sans-serif" w:hAnsi="Times New Roman;sans-serif"/>
                <w:b w:val="false"/>
                <w:color w:val="000000"/>
                <w:sz w:val="16"/>
              </w:rPr>
              <w:t>nd</w:t>
            </w:r>
            <w:r>
              <w:rPr>
                <w:color w:val="000000"/>
              </w:rPr>
              <w:t xml:space="preserve"> </w:t>
            </w:r>
            <w:r>
              <w:rPr>
                <w:rFonts w:ascii="Times New Roman;sans-serif" w:hAnsi="Times New Roman;sans-serif"/>
                <w:b w:val="false"/>
                <w:color w:val="000000"/>
                <w:sz w:val="24"/>
              </w:rPr>
              <w:t>paragraph of Letter Agreement AAL-PA-3219-LA-201170 entitled “</w:t>
            </w:r>
            <w:r>
              <w:rPr>
                <w:rFonts w:ascii="Times New Roman;sans-serif" w:hAnsi="Times New Roman;sans-serif"/>
                <w:b w:val="false"/>
                <w:color w:val="000000"/>
                <w:sz w:val="22"/>
              </w:rPr>
              <w:t>[****]</w:t>
            </w:r>
            <w:r>
              <w:rPr>
                <w:color w:val="000000"/>
              </w:rPr>
              <w:t>”</w:t>
            </w:r>
          </w:p>
        </w:tc>
      </w:tr>
      <w:tr>
        <w:trPr/>
        <w:tc>
          <w:tcPr>
            <w:tcW w:w="821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80" w:after="80"/>
              <w:ind w:left="0" w:right="0" w:hanging="1422"/>
              <w:jc w:val="both"/>
              <w:rPr>
                <w:rFonts w:ascii="Times New Roman;sans-serif" w:hAnsi="Times New Roman;sans-serif"/>
                <w:b w:val="false"/>
                <w:color w:val="000000"/>
                <w:sz w:val="24"/>
              </w:rPr>
            </w:pPr>
            <w:r>
              <w:rPr>
                <w:rFonts w:ascii="Times New Roman;sans-serif" w:hAnsi="Times New Roman;sans-serif"/>
                <w:b w:val="false"/>
                <w:color w:val="000000"/>
                <w:sz w:val="24"/>
              </w:rPr>
              <w:t>Sections 6 and 7 of Supplemental Agreement No. 11</w:t>
            </w:r>
          </w:p>
        </w:tc>
      </w:tr>
      <w:tr>
        <w:trPr/>
        <w:tc>
          <w:tcPr>
            <w:tcW w:w="8219"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80" w:after="80"/>
              <w:ind w:left="0" w:right="0" w:hanging="1422"/>
              <w:jc w:val="both"/>
              <w:rPr>
                <w:rFonts w:ascii="Times New Roman;sans-serif" w:hAnsi="Times New Roman;sans-serif"/>
                <w:b w:val="false"/>
                <w:color w:val="000000"/>
                <w:sz w:val="24"/>
              </w:rPr>
            </w:pPr>
            <w:r>
              <w:rPr>
                <w:rFonts w:ascii="Times New Roman;sans-serif" w:hAnsi="Times New Roman;sans-serif"/>
                <w:b w:val="false"/>
                <w:color w:val="000000"/>
                <w:sz w:val="24"/>
              </w:rPr>
              <w:t>Supplemental Exhibit EE2</w:t>
            </w:r>
          </w:p>
        </w:tc>
      </w:tr>
    </w:tbl>
    <w:p>
      <w:pPr>
        <w:pStyle w:val="TextBody"/>
        <w:spacing w:before="0" w:after="0"/>
        <w:ind w:left="0" w:right="0" w:firstLine="1170"/>
        <w:jc w:val="both"/>
        <w:rPr/>
      </w:pPr>
      <w:r>
        <w:rPr/>
      </w:r>
    </w:p>
    <w:p>
      <w:pPr>
        <w:pStyle w:val="TextBody"/>
        <w:spacing w:lineRule="auto" w:line="240" w:before="0" w:after="0"/>
        <w:ind w:left="0" w:right="0" w:firstLine="1170"/>
        <w:jc w:val="both"/>
        <w:rPr>
          <w:rFonts w:ascii="Times New Roman;sans-serif" w:hAnsi="Times New Roman;sans-serif"/>
          <w:b w:val="false"/>
          <w:color w:val="000000"/>
          <w:sz w:val="24"/>
        </w:rPr>
      </w:pPr>
      <w:r>
        <w:rPr>
          <w:rFonts w:ascii="Times New Roman;sans-serif" w:hAnsi="Times New Roman;sans-serif"/>
          <w:b w:val="false"/>
          <w:color w:val="000000"/>
          <w:sz w:val="24"/>
        </w:rPr>
        <w:t>4.2    Except as expressly set forth herein, all terms and provisions contained in the Purchase Agreement shall remain in full force and effect. This Agreement contains the entire agreement between the parties with respect to the subject matter hereof and supersedes all previous proposals, and agreements, understandings, commitments or representations whatsoever, oral or written, with respect to the subject matter hereof and may be changed only in writing signed by authorized representatives of the parties.</w:t>
      </w:r>
    </w:p>
    <w:p>
      <w:pPr>
        <w:pStyle w:val="TextBody"/>
        <w:spacing w:before="0" w:after="0"/>
        <w:jc w:val="both"/>
        <w:rPr/>
      </w:pPr>
      <w:r>
        <w:rPr/>
      </w:r>
    </w:p>
    <w:p>
      <w:pPr>
        <w:pStyle w:val="TextBody"/>
        <w:spacing w:before="240" w:after="240"/>
        <w:ind w:left="0" w:right="0" w:firstLine="1166"/>
        <w:jc w:val="both"/>
        <w:rPr/>
      </w:pPr>
      <w:r>
        <w:rPr/>
      </w:r>
    </w:p>
    <w:p>
      <w:pPr>
        <w:pStyle w:val="TextBody"/>
        <w:spacing w:before="0" w:after="0"/>
        <w:ind w:left="0" w:right="0" w:firstLine="1166"/>
        <w:rPr/>
      </w:pPr>
      <w:r>
        <w:rPr/>
      </w:r>
    </w:p>
    <w:tbl>
      <w:tblPr>
        <w:tblW w:w="7359" w:type="dxa"/>
        <w:jc w:val="left"/>
        <w:tblInd w:w="0" w:type="dxa"/>
        <w:tblCellMar>
          <w:top w:w="28" w:type="dxa"/>
          <w:left w:w="28" w:type="dxa"/>
          <w:bottom w:w="28" w:type="dxa"/>
          <w:right w:w="28" w:type="dxa"/>
        </w:tblCellMar>
      </w:tblPr>
      <w:tblGrid>
        <w:gridCol w:w="1083"/>
        <w:gridCol w:w="951"/>
        <w:gridCol w:w="951"/>
        <w:gridCol w:w="323"/>
        <w:gridCol w:w="323"/>
        <w:gridCol w:w="323"/>
        <w:gridCol w:w="981"/>
        <w:gridCol w:w="981"/>
        <w:gridCol w:w="1443"/>
      </w:tblGrid>
      <w:tr>
        <w:trPr/>
        <w:tc>
          <w:tcPr>
            <w:tcW w:w="1083"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1443" w:type="dxa"/>
            <w:tcBorders/>
            <w:shd w:fill="auto" w:val="clear"/>
            <w:vAlign w:val="center"/>
          </w:tcPr>
          <w:p>
            <w:pPr>
              <w:pStyle w:val="TableContents"/>
              <w:spacing w:before="0" w:after="283"/>
              <w:rPr>
                <w:sz w:val="4"/>
                <w:szCs w:val="4"/>
              </w:rPr>
            </w:pPr>
            <w:r>
              <w:rPr>
                <w:sz w:val="4"/>
                <w:szCs w:val="4"/>
              </w:rPr>
            </w:r>
          </w:p>
        </w:tc>
      </w:tr>
      <w:tr>
        <w:trPr/>
        <w:tc>
          <w:tcPr>
            <w:tcW w:w="7359" w:type="dxa"/>
            <w:gridSpan w:val="9"/>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AGREED AND ACCEPTED</w:t>
            </w:r>
          </w:p>
        </w:tc>
      </w:tr>
      <w:tr>
        <w:trPr/>
        <w:tc>
          <w:tcPr>
            <w:tcW w:w="2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February 9, 2023</w:t>
            </w:r>
          </w:p>
        </w:tc>
        <w:tc>
          <w:tcPr>
            <w:tcW w:w="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tc>
        <w:tc>
          <w:tcPr>
            <w:tcW w:w="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4"/>
              </w:rPr>
            </w:pPr>
            <w:r>
              <w:rPr>
                <w:rFonts w:ascii="Times New Roman;sans-serif" w:hAnsi="Times New Roman;sans-serif"/>
                <w:b/>
                <w:color w:val="000000"/>
                <w:sz w:val="24"/>
              </w:rPr>
              <w:t>THE BOEING COMPANY</w:t>
            </w:r>
          </w:p>
        </w:tc>
        <w:tc>
          <w:tcPr>
            <w:tcW w:w="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5"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4"/>
              </w:rPr>
            </w:pPr>
            <w:r>
              <w:rPr>
                <w:rFonts w:ascii="Times New Roman;sans-serif" w:hAnsi="Times New Roman;sans-serif"/>
                <w:b/>
                <w:color w:val="000000"/>
                <w:sz w:val="24"/>
              </w:rPr>
              <w:t>AMERICAN AIRLINES, INC.</w:t>
            </w:r>
          </w:p>
        </w:tc>
      </w:tr>
      <w:tr>
        <w:trPr/>
        <w:tc>
          <w:tcPr>
            <w:tcW w:w="2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The Boeing Company</w:t>
            </w:r>
          </w:p>
        </w:tc>
        <w:tc>
          <w:tcPr>
            <w:tcW w:w="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5"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American Airlines, Inc.</w:t>
            </w:r>
          </w:p>
        </w:tc>
      </w:tr>
      <w:tr>
        <w:trPr/>
        <w:tc>
          <w:tcPr>
            <w:tcW w:w="298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Signature</w:t>
            </w:r>
          </w:p>
        </w:tc>
        <w:tc>
          <w:tcPr>
            <w:tcW w:w="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Signature</w:t>
            </w:r>
          </w:p>
        </w:tc>
      </w:tr>
      <w:tr>
        <w:trPr/>
        <w:tc>
          <w:tcPr>
            <w:tcW w:w="2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Boeing Company</w:t>
            </w:r>
          </w:p>
        </w:tc>
        <w:tc>
          <w:tcPr>
            <w:tcW w:w="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5"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American Airlines, Inc.</w:t>
            </w:r>
          </w:p>
        </w:tc>
      </w:tr>
      <w:tr>
        <w:trPr/>
        <w:tc>
          <w:tcPr>
            <w:tcW w:w="298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Printed name</w:t>
            </w:r>
          </w:p>
        </w:tc>
        <w:tc>
          <w:tcPr>
            <w:tcW w:w="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Printed name</w:t>
            </w:r>
          </w:p>
        </w:tc>
      </w:tr>
      <w:tr>
        <w:trPr/>
        <w:tc>
          <w:tcPr>
            <w:tcW w:w="2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Attorney-in-Fact</w:t>
            </w:r>
          </w:p>
        </w:tc>
        <w:tc>
          <w:tcPr>
            <w:tcW w:w="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5"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VP, Treasurer</w:t>
            </w:r>
          </w:p>
        </w:tc>
      </w:tr>
      <w:tr>
        <w:trPr/>
        <w:tc>
          <w:tcPr>
            <w:tcW w:w="298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189990"/>
                <wp:effectExtent l="0" t="0" r="0" b="0"/>
                <wp:wrapNone/>
                <wp:docPr id="98" name="Frame93"/>
                <a:graphic xmlns:a="http://schemas.openxmlformats.org/drawingml/2006/main">
                  <a:graphicData uri="http://schemas.microsoft.com/office/word/2010/wordprocessingShape">
                    <wps:wsp>
                      <wps:cNvSpPr txBox="1"/>
                      <wps:spPr>
                        <a:xfrm>
                          <a:off x="0" y="0"/>
                          <a:ext cx="6480175" cy="1189990"/>
                        </a:xfrm>
                        <a:prstGeom prst="rect"/>
                      </wps:spPr>
                      <wps:txbx>
                        <w:txbxContent>
                          <w:p>
                            <w:pPr>
                              <w:pStyle w:val="TextBody"/>
                              <w:spacing w:lineRule="auto" w:line="240" w:before="240" w:after="283"/>
                              <w:rPr>
                                <w:rFonts w:ascii="Times New Roman;sans-serif" w:hAnsi="Times New Roman;sans-serif"/>
                                <w:b w:val="false"/>
                                <w:color w:val="000000"/>
                                <w:sz w:val="24"/>
                              </w:rPr>
                            </w:pPr>
                            <w:r>
                              <w:rPr>
                                <w:rFonts w:ascii="Times New Roman;sans-serif" w:hAnsi="Times New Roman;sans-serif"/>
                                <w:b w:val="false"/>
                                <w:color w:val="000000"/>
                                <w:sz w:val="24"/>
                              </w:rPr>
                              <w:t>PA 3219    SA-18    Page 3</w:t>
                            </w:r>
                          </w:p>
                          <w:p>
                            <w:pPr>
                              <w:pStyle w:val="TextBody"/>
                              <w:spacing w:before="240" w:after="283"/>
                              <w:rPr/>
                            </w:pPr>
                            <w:r>
                              <w:rPr/>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BOEING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rPr>
                          <w:rFonts w:ascii="Times New Roman;sans-serif" w:hAnsi="Times New Roman;sans-serif"/>
                          <w:b w:val="false"/>
                          <w:color w:val="000000"/>
                          <w:sz w:val="24"/>
                        </w:rPr>
                      </w:pPr>
                      <w:r>
                        <w:rPr>
                          <w:rFonts w:ascii="Times New Roman;sans-serif" w:hAnsi="Times New Roman;sans-serif"/>
                          <w:b w:val="false"/>
                          <w:color w:val="000000"/>
                          <w:sz w:val="24"/>
                        </w:rPr>
                        <w:t>PA 3219    SA-18    Page 3</w:t>
                      </w:r>
                    </w:p>
                    <w:p>
                      <w:pPr>
                        <w:pStyle w:val="TextBody"/>
                        <w:spacing w:before="240" w:after="283"/>
                        <w:rPr/>
                      </w:pPr>
                      <w:r>
                        <w:rPr/>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BOEING PROPRIETARY</w:t>
                      </w:r>
                    </w:p>
                  </w:txbxContent>
                </v:textbox>
              </v:rect>
            </w:pict>
          </mc:Fallback>
        </mc:AlternateContent>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TABLE OF CONTENTS</w:t>
      </w:r>
    </w:p>
    <w:tbl>
      <w:tblPr>
        <w:tblW w:w="10205" w:type="dxa"/>
        <w:jc w:val="left"/>
        <w:tblInd w:w="0" w:type="dxa"/>
        <w:tblCellMar>
          <w:top w:w="28" w:type="dxa"/>
          <w:left w:w="28" w:type="dxa"/>
          <w:bottom w:w="28" w:type="dxa"/>
          <w:right w:w="28" w:type="dxa"/>
        </w:tblCellMar>
      </w:tblPr>
      <w:tblGrid>
        <w:gridCol w:w="464"/>
        <w:gridCol w:w="408"/>
        <w:gridCol w:w="411"/>
        <w:gridCol w:w="1121"/>
        <w:gridCol w:w="1116"/>
        <w:gridCol w:w="1115"/>
        <w:gridCol w:w="1456"/>
        <w:gridCol w:w="1450"/>
        <w:gridCol w:w="1459"/>
        <w:gridCol w:w="351"/>
        <w:gridCol w:w="351"/>
        <w:gridCol w:w="503"/>
      </w:tblGrid>
      <w:tr>
        <w:trPr/>
        <w:tc>
          <w:tcPr>
            <w:tcW w:w="464"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spacing w:before="0" w:after="283"/>
              <w:rPr>
                <w:sz w:val="4"/>
                <w:szCs w:val="4"/>
              </w:rPr>
            </w:pPr>
            <w:r>
              <w:rPr>
                <w:sz w:val="4"/>
                <w:szCs w:val="4"/>
              </w:rPr>
            </w:r>
          </w:p>
        </w:tc>
        <w:tc>
          <w:tcPr>
            <w:tcW w:w="1450" w:type="dxa"/>
            <w:tcBorders/>
            <w:shd w:fill="auto" w:val="clear"/>
            <w:vAlign w:val="center"/>
          </w:tcPr>
          <w:p>
            <w:pPr>
              <w:pStyle w:val="TableContents"/>
              <w:spacing w:before="0" w:after="283"/>
              <w:rPr>
                <w:sz w:val="4"/>
                <w:szCs w:val="4"/>
              </w:rPr>
            </w:pPr>
            <w:r>
              <w:rPr>
                <w:sz w:val="4"/>
                <w:szCs w:val="4"/>
              </w:rPr>
            </w:r>
          </w:p>
        </w:tc>
        <w:tc>
          <w:tcPr>
            <w:tcW w:w="145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r>
      <w:tr>
        <w:trPr/>
        <w:tc>
          <w:tcPr>
            <w:tcW w:w="128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br/>
              <w:t>ARTICLES</w:t>
            </w:r>
          </w:p>
        </w:tc>
        <w:tc>
          <w:tcPr>
            <w:tcW w:w="7717" w:type="dxa"/>
            <w:gridSpan w:val="6"/>
            <w:tcBorders/>
            <w:shd w:fill="auto" w:val="clear"/>
            <w:tcMar>
              <w:top w:w="0" w:type="dxa"/>
              <w:left w:w="0" w:type="dxa"/>
              <w:bottom w:w="0" w:type="dxa"/>
              <w:right w:w="0" w:type="dxa"/>
            </w:tcMar>
            <w:vAlign w:val="center"/>
          </w:tcPr>
          <w:p>
            <w:pPr>
              <w:pStyle w:val="TableContents"/>
              <w:spacing w:before="0" w:after="0"/>
              <w:ind w:left="0" w:right="0" w:hanging="360"/>
              <w:jc w:val="center"/>
              <w:rPr/>
            </w:pPr>
            <w:r>
              <w:rPr/>
            </w:r>
          </w:p>
        </w:tc>
        <w:tc>
          <w:tcPr>
            <w:tcW w:w="120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4"/>
              </w:rPr>
              <w:t>SA</w:t>
              <w:br/>
            </w:r>
            <w:r>
              <w:rPr>
                <w:rFonts w:ascii="Times New Roman;sans-serif" w:hAnsi="Times New Roman;sans-serif"/>
                <w:b w:val="false"/>
                <w:color w:val="000000"/>
                <w:sz w:val="24"/>
                <w:u w:val="single"/>
              </w:rPr>
              <w:t>NUMBER</w:t>
            </w:r>
          </w:p>
        </w:tc>
      </w:tr>
      <w:tr>
        <w:trPr/>
        <w:tc>
          <w:tcPr>
            <w:tcW w:w="128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7717" w:type="dxa"/>
            <w:gridSpan w:val="6"/>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Quantity, Model and Description</w:t>
            </w:r>
          </w:p>
        </w:tc>
        <w:tc>
          <w:tcPr>
            <w:tcW w:w="1205"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SA-3</w:t>
            </w:r>
          </w:p>
        </w:tc>
      </w:tr>
      <w:tr>
        <w:trPr/>
        <w:tc>
          <w:tcPr>
            <w:tcW w:w="128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7717" w:type="dxa"/>
            <w:gridSpan w:val="6"/>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Delivery Schedule</w:t>
            </w:r>
          </w:p>
        </w:tc>
        <w:tc>
          <w:tcPr>
            <w:tcW w:w="1205"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SA-3</w:t>
            </w:r>
          </w:p>
        </w:tc>
      </w:tr>
      <w:tr>
        <w:trPr/>
        <w:tc>
          <w:tcPr>
            <w:tcW w:w="128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7717" w:type="dxa"/>
            <w:gridSpan w:val="6"/>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Price</w:t>
            </w:r>
          </w:p>
        </w:tc>
        <w:tc>
          <w:tcPr>
            <w:tcW w:w="1205"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SA-3</w:t>
            </w:r>
          </w:p>
        </w:tc>
      </w:tr>
      <w:tr>
        <w:trPr/>
        <w:tc>
          <w:tcPr>
            <w:tcW w:w="128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7717" w:type="dxa"/>
            <w:gridSpan w:val="6"/>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Payment</w:t>
            </w:r>
          </w:p>
        </w:tc>
        <w:tc>
          <w:tcPr>
            <w:tcW w:w="1205"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SA-3</w:t>
            </w:r>
          </w:p>
        </w:tc>
      </w:tr>
      <w:tr>
        <w:trPr/>
        <w:tc>
          <w:tcPr>
            <w:tcW w:w="128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7717" w:type="dxa"/>
            <w:gridSpan w:val="6"/>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Miscellaneous</w:t>
            </w:r>
          </w:p>
        </w:tc>
        <w:tc>
          <w:tcPr>
            <w:tcW w:w="1205"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SA-3</w:t>
            </w:r>
          </w:p>
        </w:tc>
      </w:tr>
      <w:tr>
        <w:trPr/>
        <w:tc>
          <w:tcPr>
            <w:tcW w:w="128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c>
        <w:tc>
          <w:tcPr>
            <w:tcW w:w="7717" w:type="dxa"/>
            <w:gridSpan w:val="6"/>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Confidential Treatment</w:t>
            </w:r>
          </w:p>
        </w:tc>
        <w:tc>
          <w:tcPr>
            <w:tcW w:w="1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3" w:type="dxa"/>
            <w:gridSpan w:val="3"/>
            <w:tcBorders/>
            <w:shd w:fill="auto" w:val="clear"/>
            <w:tcMar>
              <w:top w:w="0" w:type="dxa"/>
              <w:left w:w="0" w:type="dxa"/>
              <w:bottom w:w="0" w:type="dxa"/>
              <w:right w:w="0" w:type="dxa"/>
            </w:tcMar>
            <w:vAlign w:val="center"/>
          </w:tcPr>
          <w:p>
            <w:pPr>
              <w:pStyle w:val="TableContents"/>
              <w:spacing w:before="0" w:after="0"/>
              <w:ind w:left="0" w:right="0" w:hanging="360"/>
              <w:jc w:val="center"/>
              <w:rPr/>
            </w:pPr>
            <w:r>
              <w:rPr/>
            </w:r>
          </w:p>
        </w:tc>
        <w:tc>
          <w:tcPr>
            <w:tcW w:w="7717" w:type="dxa"/>
            <w:gridSpan w:val="6"/>
            <w:tcBorders/>
            <w:shd w:fill="auto" w:val="clear"/>
            <w:tcMar>
              <w:top w:w="0" w:type="dxa"/>
              <w:left w:w="0" w:type="dxa"/>
              <w:bottom w:w="0" w:type="dxa"/>
              <w:right w:w="0" w:type="dxa"/>
            </w:tcMar>
            <w:vAlign w:val="center"/>
          </w:tcPr>
          <w:p>
            <w:pPr>
              <w:pStyle w:val="TableContents"/>
              <w:spacing w:before="0" w:after="0"/>
              <w:ind w:left="0" w:right="0" w:hanging="360"/>
              <w:rPr/>
            </w:pPr>
            <w:r>
              <w:rPr/>
            </w:r>
          </w:p>
        </w:tc>
        <w:tc>
          <w:tcPr>
            <w:tcW w:w="1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TABLE</w:t>
            </w:r>
          </w:p>
        </w:tc>
        <w:tc>
          <w:tcPr>
            <w:tcW w:w="7717" w:type="dxa"/>
            <w:gridSpan w:val="6"/>
            <w:tcBorders/>
            <w:shd w:fill="auto" w:val="clear"/>
            <w:tcMar>
              <w:top w:w="0" w:type="dxa"/>
              <w:left w:w="0" w:type="dxa"/>
              <w:bottom w:w="0" w:type="dxa"/>
              <w:right w:w="0" w:type="dxa"/>
            </w:tcMar>
            <w:vAlign w:val="center"/>
          </w:tcPr>
          <w:p>
            <w:pPr>
              <w:pStyle w:val="TableContents"/>
              <w:spacing w:before="0" w:after="0"/>
              <w:ind w:left="0" w:right="0" w:hanging="360"/>
              <w:rPr/>
            </w:pPr>
            <w:r>
              <w:rPr/>
            </w:r>
          </w:p>
        </w:tc>
        <w:tc>
          <w:tcPr>
            <w:tcW w:w="1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3" w:type="dxa"/>
            <w:gridSpan w:val="3"/>
            <w:tcBorders/>
            <w:shd w:fill="auto" w:val="clear"/>
            <w:tcMar>
              <w:top w:w="0" w:type="dxa"/>
              <w:left w:w="0" w:type="dxa"/>
              <w:bottom w:w="0" w:type="dxa"/>
              <w:right w:w="0" w:type="dxa"/>
            </w:tcMar>
            <w:vAlign w:val="center"/>
          </w:tcPr>
          <w:p>
            <w:pPr>
              <w:pStyle w:val="TableContents"/>
              <w:spacing w:lineRule="auto" w:line="240" w:before="0" w:after="100"/>
              <w:ind w:left="0" w:right="0" w:hanging="360"/>
              <w:jc w:val="center"/>
              <w:rPr>
                <w:rFonts w:ascii="Times New Roman;sans-serif" w:hAnsi="Times New Roman;sans-serif"/>
                <w:b w:val="false"/>
                <w:strike/>
                <w:color w:val="000000"/>
                <w:sz w:val="24"/>
              </w:rPr>
            </w:pPr>
            <w:r>
              <w:rPr>
                <w:rFonts w:ascii="Times New Roman;sans-serif" w:hAnsi="Times New Roman;sans-serif"/>
                <w:b w:val="false"/>
                <w:strike/>
                <w:color w:val="000000"/>
                <w:sz w:val="24"/>
              </w:rPr>
              <w:t>1.</w:t>
            </w:r>
          </w:p>
        </w:tc>
        <w:tc>
          <w:tcPr>
            <w:tcW w:w="7717" w:type="dxa"/>
            <w:gridSpan w:val="6"/>
            <w:tcBorders/>
            <w:shd w:fill="auto" w:val="clear"/>
            <w:tcMar>
              <w:top w:w="0" w:type="dxa"/>
              <w:left w:w="0" w:type="dxa"/>
              <w:bottom w:w="0" w:type="dxa"/>
              <w:right w:w="0" w:type="dxa"/>
            </w:tcMar>
            <w:vAlign w:val="center"/>
          </w:tcPr>
          <w:p>
            <w:pPr>
              <w:pStyle w:val="TableContents"/>
              <w:spacing w:lineRule="auto" w:line="240" w:before="0" w:after="100"/>
              <w:ind w:left="0" w:right="0" w:hanging="360"/>
              <w:jc w:val="left"/>
              <w:rPr/>
            </w:pPr>
            <w:r>
              <w:rPr>
                <w:rFonts w:ascii="Times New Roman;sans-serif" w:hAnsi="Times New Roman;sans-serif"/>
                <w:b w:val="false"/>
                <w:strike/>
                <w:color w:val="000000"/>
                <w:sz w:val="24"/>
              </w:rPr>
              <w:t xml:space="preserve">Aircraft Information Table – TRENT </w:t>
            </w:r>
            <w:r>
              <w:rPr>
                <w:rFonts w:ascii="Times New Roman;sans-serif" w:hAnsi="Times New Roman;sans-serif"/>
                <w:b w:val="false"/>
                <w:color w:val="000000"/>
                <w:sz w:val="24"/>
              </w:rPr>
              <w:t>WITHDRAWN</w:t>
            </w:r>
          </w:p>
        </w:tc>
        <w:tc>
          <w:tcPr>
            <w:tcW w:w="1205"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SA-2</w:t>
            </w:r>
          </w:p>
        </w:tc>
      </w:tr>
      <w:tr>
        <w:trPr/>
        <w:tc>
          <w:tcPr>
            <w:tcW w:w="1283" w:type="dxa"/>
            <w:gridSpan w:val="3"/>
            <w:tcBorders/>
            <w:shd w:fill="auto" w:val="clear"/>
            <w:tcMar>
              <w:top w:w="0" w:type="dxa"/>
              <w:left w:w="0" w:type="dxa"/>
              <w:bottom w:w="0" w:type="dxa"/>
              <w:right w:w="0" w:type="dxa"/>
            </w:tcMar>
            <w:vAlign w:val="center"/>
          </w:tcPr>
          <w:p>
            <w:pPr>
              <w:pStyle w:val="TableContents"/>
              <w:spacing w:lineRule="auto" w:line="240" w:before="120" w:after="100"/>
              <w:ind w:left="0" w:right="0" w:hanging="360"/>
              <w:jc w:val="center"/>
              <w:rPr>
                <w:rFonts w:ascii="Times New Roman;sans-serif" w:hAnsi="Times New Roman;sans-serif"/>
                <w:b w:val="false"/>
                <w:color w:val="000000"/>
                <w:sz w:val="22"/>
              </w:rPr>
            </w:pPr>
            <w:r>
              <w:rPr>
                <w:rFonts w:ascii="Times New Roman;sans-serif" w:hAnsi="Times New Roman;sans-serif"/>
                <w:b w:val="false"/>
                <w:color w:val="000000"/>
                <w:sz w:val="22"/>
              </w:rPr>
              <w:t>1(R7)</w:t>
            </w:r>
          </w:p>
        </w:tc>
        <w:tc>
          <w:tcPr>
            <w:tcW w:w="7717" w:type="dxa"/>
            <w:gridSpan w:val="6"/>
            <w:tcBorders/>
            <w:shd w:fill="auto" w:val="clear"/>
            <w:tcMar>
              <w:top w:w="0" w:type="dxa"/>
              <w:left w:w="0" w:type="dxa"/>
              <w:bottom w:w="0" w:type="dxa"/>
              <w:right w:w="0" w:type="dxa"/>
            </w:tcMar>
            <w:vAlign w:val="center"/>
          </w:tcPr>
          <w:p>
            <w:pPr>
              <w:pStyle w:val="TableContents"/>
              <w:spacing w:lineRule="auto" w:line="240" w:before="120" w:after="10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787-9 Aircraft Information Table – GENX </w:t>
            </w:r>
          </w:p>
        </w:tc>
        <w:tc>
          <w:tcPr>
            <w:tcW w:w="1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3" w:type="dxa"/>
            <w:gridSpan w:val="3"/>
            <w:tcBorders/>
            <w:shd w:fill="auto" w:val="clear"/>
            <w:tcMar>
              <w:top w:w="0" w:type="dxa"/>
              <w:left w:w="0" w:type="dxa"/>
              <w:bottom w:w="0" w:type="dxa"/>
              <w:right w:w="0" w:type="dxa"/>
            </w:tcMar>
            <w:vAlign w:val="center"/>
          </w:tcPr>
          <w:p>
            <w:pPr>
              <w:pStyle w:val="TableContents"/>
              <w:spacing w:lineRule="auto" w:line="240" w:before="120" w:after="100"/>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2(R1)</w:t>
            </w:r>
          </w:p>
        </w:tc>
        <w:tc>
          <w:tcPr>
            <w:tcW w:w="7717" w:type="dxa"/>
            <w:gridSpan w:val="6"/>
            <w:tcBorders/>
            <w:shd w:fill="auto" w:val="clear"/>
            <w:tcMar>
              <w:top w:w="0" w:type="dxa"/>
              <w:left w:w="0" w:type="dxa"/>
              <w:bottom w:w="0" w:type="dxa"/>
              <w:right w:w="0" w:type="dxa"/>
            </w:tcMar>
            <w:vAlign w:val="center"/>
          </w:tcPr>
          <w:p>
            <w:pPr>
              <w:pStyle w:val="TableContents"/>
              <w:spacing w:lineRule="auto" w:line="240" w:before="120" w:after="100"/>
              <w:ind w:left="0" w:right="0" w:hanging="360"/>
              <w:jc w:val="left"/>
              <w:rPr/>
            </w:pPr>
            <w:r>
              <w:rPr>
                <w:rFonts w:ascii="Times New Roman;sans-serif" w:hAnsi="Times New Roman;sans-serif"/>
                <w:b w:val="false"/>
                <w:color w:val="000000"/>
                <w:sz w:val="24"/>
              </w:rPr>
              <w:t>787-8 Aircraft Information Table – GENX</w:t>
              <w:br/>
              <w: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4"/>
              </w:rPr>
              <w:t>(12) 787-8 Aircraft)</w:t>
            </w:r>
          </w:p>
        </w:tc>
        <w:tc>
          <w:tcPr>
            <w:tcW w:w="1205"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SA-5</w:t>
            </w:r>
          </w:p>
        </w:tc>
      </w:tr>
      <w:tr>
        <w:trPr/>
        <w:tc>
          <w:tcPr>
            <w:tcW w:w="1283" w:type="dxa"/>
            <w:gridSpan w:val="3"/>
            <w:tcBorders/>
            <w:shd w:fill="auto" w:val="clear"/>
            <w:tcMar>
              <w:top w:w="0" w:type="dxa"/>
              <w:left w:w="0" w:type="dxa"/>
              <w:bottom w:w="0" w:type="dxa"/>
              <w:right w:w="0" w:type="dxa"/>
            </w:tcMar>
            <w:vAlign w:val="center"/>
          </w:tcPr>
          <w:p>
            <w:pPr>
              <w:pStyle w:val="TableContents"/>
              <w:spacing w:lineRule="auto" w:line="240" w:before="120" w:after="100"/>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3(R1)</w:t>
            </w:r>
          </w:p>
        </w:tc>
        <w:tc>
          <w:tcPr>
            <w:tcW w:w="7717" w:type="dxa"/>
            <w:gridSpan w:val="6"/>
            <w:tcBorders/>
            <w:shd w:fill="auto" w:val="clear"/>
            <w:tcMar>
              <w:top w:w="0" w:type="dxa"/>
              <w:left w:w="0" w:type="dxa"/>
              <w:bottom w:w="0" w:type="dxa"/>
              <w:right w:w="0" w:type="dxa"/>
            </w:tcMar>
            <w:vAlign w:val="center"/>
          </w:tcPr>
          <w:p>
            <w:pPr>
              <w:pStyle w:val="TableContents"/>
              <w:spacing w:lineRule="auto" w:line="240" w:before="120" w:after="100"/>
              <w:ind w:left="0" w:right="0" w:hanging="360"/>
              <w:jc w:val="left"/>
              <w:rPr/>
            </w:pPr>
            <w:r>
              <w:rPr>
                <w:rFonts w:ascii="Times New Roman;sans-serif" w:hAnsi="Times New Roman;sans-serif"/>
                <w:b w:val="false"/>
                <w:color w:val="000000"/>
                <w:sz w:val="24"/>
              </w:rPr>
              <w:t xml:space="preserve">787-8 Aircraft Information Table – GENX </w:t>
              <w:br/>
              <w: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4"/>
              </w:rPr>
              <w:t xml:space="preserve">Eight (8) 787-8 Aircraft, yielding Twenty (20) 787-8 Aircraft) </w:t>
            </w:r>
          </w:p>
        </w:tc>
        <w:tc>
          <w:tcPr>
            <w:tcW w:w="1205"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SA-5</w:t>
            </w:r>
          </w:p>
        </w:tc>
      </w:tr>
      <w:tr>
        <w:trPr/>
        <w:tc>
          <w:tcPr>
            <w:tcW w:w="1283" w:type="dxa"/>
            <w:gridSpan w:val="3"/>
            <w:tcBorders/>
            <w:shd w:fill="auto" w:val="clear"/>
            <w:tcMar>
              <w:top w:w="0" w:type="dxa"/>
              <w:left w:w="0" w:type="dxa"/>
              <w:bottom w:w="0" w:type="dxa"/>
              <w:right w:w="0" w:type="dxa"/>
            </w:tcMar>
            <w:vAlign w:val="center"/>
          </w:tcPr>
          <w:p>
            <w:pPr>
              <w:pStyle w:val="TableContents"/>
              <w:spacing w:lineRule="auto" w:line="240" w:before="120" w:after="100"/>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7717" w:type="dxa"/>
            <w:gridSpan w:val="6"/>
            <w:tcBorders/>
            <w:shd w:fill="auto" w:val="clear"/>
            <w:tcMar>
              <w:top w:w="0" w:type="dxa"/>
              <w:left w:w="0" w:type="dxa"/>
              <w:bottom w:w="0" w:type="dxa"/>
              <w:right w:w="0" w:type="dxa"/>
            </w:tcMar>
            <w:vAlign w:val="center"/>
          </w:tcPr>
          <w:p>
            <w:pPr>
              <w:pStyle w:val="TableContents"/>
              <w:spacing w:lineRule="auto" w:line="240" w:before="120" w:after="1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WITHDRAWN</w:t>
            </w:r>
          </w:p>
        </w:tc>
        <w:tc>
          <w:tcPr>
            <w:tcW w:w="1205"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SA-6</w:t>
            </w:r>
          </w:p>
        </w:tc>
      </w:tr>
      <w:tr>
        <w:trPr/>
        <w:tc>
          <w:tcPr>
            <w:tcW w:w="1283" w:type="dxa"/>
            <w:gridSpan w:val="3"/>
            <w:tcBorders/>
            <w:shd w:fill="auto" w:val="clear"/>
            <w:tcMar>
              <w:top w:w="0" w:type="dxa"/>
              <w:left w:w="0" w:type="dxa"/>
              <w:bottom w:w="0" w:type="dxa"/>
              <w:right w:w="0" w:type="dxa"/>
            </w:tcMar>
            <w:vAlign w:val="center"/>
          </w:tcPr>
          <w:p>
            <w:pPr>
              <w:pStyle w:val="TableContents"/>
              <w:spacing w:lineRule="auto" w:line="240" w:before="120" w:after="100"/>
              <w:ind w:left="0" w:right="0" w:hanging="360"/>
              <w:jc w:val="center"/>
              <w:rPr>
                <w:rFonts w:ascii="Times New Roman;sans-serif" w:hAnsi="Times New Roman;sans-serif"/>
                <w:b w:val="false"/>
                <w:color w:val="000000"/>
                <w:sz w:val="22"/>
              </w:rPr>
            </w:pPr>
            <w:r>
              <w:rPr>
                <w:rFonts w:ascii="Times New Roman;sans-serif" w:hAnsi="Times New Roman;sans-serif"/>
                <w:b w:val="false"/>
                <w:color w:val="000000"/>
                <w:sz w:val="22"/>
              </w:rPr>
              <w:t>5(R1)</w:t>
            </w:r>
          </w:p>
          <w:p>
            <w:pPr>
              <w:pStyle w:val="TableContents"/>
              <w:spacing w:lineRule="auto" w:line="240" w:before="300" w:after="283"/>
              <w:ind w:left="0" w:right="0" w:hanging="360"/>
              <w:jc w:val="center"/>
              <w:rPr>
                <w:rFonts w:ascii="Times New Roman;sans-serif" w:hAnsi="Times New Roman;sans-serif"/>
                <w:b/>
                <w:color w:val="000000"/>
                <w:sz w:val="22"/>
              </w:rPr>
            </w:pPr>
            <w:r>
              <w:rPr>
                <w:rFonts w:ascii="Times New Roman;sans-serif" w:hAnsi="Times New Roman;sans-serif"/>
                <w:b/>
                <w:color w:val="000000"/>
                <w:sz w:val="22"/>
              </w:rPr>
              <w:t>6R3</w:t>
            </w:r>
          </w:p>
          <w:p>
            <w:pPr>
              <w:pStyle w:val="TableContents"/>
              <w:spacing w:lineRule="auto" w:line="240" w:before="300" w:after="100"/>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c>
        <w:tc>
          <w:tcPr>
            <w:tcW w:w="7717" w:type="dxa"/>
            <w:gridSpan w:val="6"/>
            <w:tcBorders/>
            <w:shd w:fill="auto" w:val="clear"/>
            <w:tcMar>
              <w:top w:w="0" w:type="dxa"/>
              <w:left w:w="0" w:type="dxa"/>
              <w:bottom w:w="0" w:type="dxa"/>
              <w:right w:w="0" w:type="dxa"/>
            </w:tcMar>
            <w:vAlign w:val="center"/>
          </w:tcPr>
          <w:p>
            <w:pPr>
              <w:pStyle w:val="TableContents"/>
              <w:spacing w:lineRule="auto" w:line="240" w:before="120" w:after="10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2018 787-9 [****] Aircraft Information Table – GENX</w:t>
            </w:r>
          </w:p>
          <w:p>
            <w:pPr>
              <w:pStyle w:val="TableContents"/>
              <w:spacing w:lineRule="auto" w:line="240" w:before="300" w:after="283"/>
              <w:ind w:left="0" w:right="0" w:hanging="360"/>
              <w:jc w:val="left"/>
              <w:rPr/>
            </w:pPr>
            <w:r>
              <w:rPr>
                <w:rFonts w:ascii="Times New Roman;sans-serif" w:hAnsi="Times New Roman;sans-serif"/>
                <w:b/>
                <w:color w:val="000000"/>
                <w:sz w:val="22"/>
              </w:rPr>
              <w:t xml:space="preserve">2018 787-8 </w:t>
            </w:r>
            <w:r>
              <w:rPr>
                <w:rFonts w:ascii="Times New Roman;sans-serif" w:hAnsi="Times New Roman;sans-serif"/>
                <w:b w:val="false"/>
                <w:color w:val="000000"/>
                <w:sz w:val="22"/>
              </w:rPr>
              <w:t>[****]</w:t>
            </w:r>
            <w:r>
              <w:rPr>
                <w:color w:val="000000"/>
              </w:rPr>
              <w:t xml:space="preserve"> </w:t>
            </w:r>
            <w:r>
              <w:rPr>
                <w:rFonts w:ascii="Times New Roman;sans-serif" w:hAnsi="Times New Roman;sans-serif"/>
                <w:b/>
                <w:color w:val="000000"/>
                <w:sz w:val="22"/>
              </w:rPr>
              <w:t>Aircraft Information Table-GENX</w:t>
            </w:r>
          </w:p>
          <w:p>
            <w:pPr>
              <w:pStyle w:val="TableContents"/>
              <w:spacing w:lineRule="auto" w:line="240" w:before="300" w:after="10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2018 787-9 [****] Aircraft Information Table – GENX</w:t>
            </w:r>
          </w:p>
        </w:tc>
        <w:tc>
          <w:tcPr>
            <w:tcW w:w="1205" w:type="dxa"/>
            <w:gridSpan w:val="3"/>
            <w:tcBorders/>
            <w:shd w:fill="auto" w:val="clear"/>
            <w:tcMar>
              <w:top w:w="0" w:type="dxa"/>
              <w:left w:w="0" w:type="dxa"/>
              <w:bottom w:w="0" w:type="dxa"/>
              <w:right w:w="0" w:type="dxa"/>
            </w:tcMar>
            <w:vAlign w:val="center"/>
          </w:tcPr>
          <w:p>
            <w:pPr>
              <w:pStyle w:val="TableContents"/>
              <w:spacing w:lineRule="auto" w:line="240" w:before="120" w:after="100"/>
              <w:jc w:val="center"/>
              <w:rPr>
                <w:rFonts w:ascii="Times New Roman;sans-serif" w:hAnsi="Times New Roman;sans-serif"/>
                <w:b w:val="false"/>
                <w:color w:val="000000"/>
                <w:sz w:val="24"/>
              </w:rPr>
            </w:pPr>
            <w:r>
              <w:rPr>
                <w:rFonts w:ascii="Times New Roman;sans-serif" w:hAnsi="Times New Roman;sans-serif"/>
                <w:b w:val="false"/>
                <w:color w:val="000000"/>
                <w:sz w:val="24"/>
              </w:rPr>
              <w:t>SA-16</w:t>
            </w:r>
          </w:p>
          <w:p>
            <w:pPr>
              <w:pStyle w:val="TableContents"/>
              <w:spacing w:lineRule="auto" w:line="240" w:before="300" w:after="283"/>
              <w:jc w:val="center"/>
              <w:rPr>
                <w:rFonts w:ascii="Times New Roman;sans-serif" w:hAnsi="Times New Roman;sans-serif"/>
                <w:b/>
                <w:color w:val="000000"/>
                <w:sz w:val="24"/>
              </w:rPr>
            </w:pPr>
            <w:r>
              <w:rPr>
                <w:rFonts w:ascii="Times New Roman;sans-serif" w:hAnsi="Times New Roman;sans-serif"/>
                <w:b/>
                <w:color w:val="000000"/>
                <w:sz w:val="24"/>
              </w:rPr>
              <w:t>SA-18</w:t>
            </w:r>
          </w:p>
          <w:p>
            <w:pPr>
              <w:pStyle w:val="TableContents"/>
              <w:spacing w:lineRule="auto" w:line="240" w:before="30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SA-16</w:t>
            </w:r>
          </w:p>
        </w:tc>
      </w:tr>
      <w:tr>
        <w:trPr/>
        <w:tc>
          <w:tcPr>
            <w:tcW w:w="12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3" w:type="dxa"/>
            <w:gridSpan w:val="3"/>
            <w:tcBorders/>
            <w:shd w:fill="auto" w:val="clear"/>
            <w:tcMar>
              <w:top w:w="0" w:type="dxa"/>
              <w:left w:w="0" w:type="dxa"/>
              <w:bottom w:w="0" w:type="dxa"/>
              <w:right w:w="0" w:type="dxa"/>
            </w:tcMar>
            <w:vAlign w:val="center"/>
          </w:tcPr>
          <w:p>
            <w:pPr>
              <w:pStyle w:val="TableContents"/>
              <w:spacing w:before="0" w:after="0"/>
              <w:ind w:left="0" w:right="0" w:hanging="360"/>
              <w:jc w:val="center"/>
              <w:rPr/>
            </w:pPr>
            <w:r>
              <w:rPr/>
            </w:r>
          </w:p>
        </w:tc>
        <w:tc>
          <w:tcPr>
            <w:tcW w:w="7717" w:type="dxa"/>
            <w:gridSpan w:val="6"/>
            <w:tcBorders/>
            <w:shd w:fill="auto" w:val="clear"/>
            <w:tcMar>
              <w:top w:w="0" w:type="dxa"/>
              <w:left w:w="0" w:type="dxa"/>
              <w:bottom w:w="0" w:type="dxa"/>
              <w:right w:w="0" w:type="dxa"/>
            </w:tcMar>
            <w:vAlign w:val="center"/>
          </w:tcPr>
          <w:p>
            <w:pPr>
              <w:pStyle w:val="TableContents"/>
              <w:spacing w:before="0" w:after="0"/>
              <w:ind w:left="0" w:right="0" w:hanging="360"/>
              <w:rPr/>
            </w:pPr>
            <w:r>
              <w:rPr/>
            </w:r>
          </w:p>
        </w:tc>
        <w:tc>
          <w:tcPr>
            <w:tcW w:w="1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3" w:type="dxa"/>
            <w:gridSpan w:val="3"/>
            <w:tcBorders/>
            <w:shd w:fill="auto" w:val="clear"/>
            <w:tcMar>
              <w:top w:w="0" w:type="dxa"/>
              <w:left w:w="0" w:type="dxa"/>
              <w:bottom w:w="0" w:type="dxa"/>
              <w:right w:w="0" w:type="dxa"/>
            </w:tcMar>
            <w:vAlign w:val="center"/>
          </w:tcPr>
          <w:p>
            <w:pPr>
              <w:pStyle w:val="TableContents"/>
              <w:spacing w:lineRule="auto" w:line="240" w:before="0" w:after="60"/>
              <w:ind w:left="0" w:right="0" w:hanging="36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w:t>
            </w:r>
          </w:p>
        </w:tc>
        <w:tc>
          <w:tcPr>
            <w:tcW w:w="7717" w:type="dxa"/>
            <w:gridSpan w:val="6"/>
            <w:tcBorders/>
            <w:shd w:fill="auto" w:val="clear"/>
            <w:tcMar>
              <w:top w:w="0" w:type="dxa"/>
              <w:left w:w="0" w:type="dxa"/>
              <w:bottom w:w="0" w:type="dxa"/>
              <w:right w:w="0" w:type="dxa"/>
            </w:tcMar>
            <w:vAlign w:val="center"/>
          </w:tcPr>
          <w:p>
            <w:pPr>
              <w:pStyle w:val="TableContents"/>
              <w:spacing w:before="0" w:after="60"/>
              <w:ind w:left="0" w:right="0" w:hanging="360"/>
              <w:rPr/>
            </w:pPr>
            <w:r>
              <w:rPr/>
            </w:r>
          </w:p>
        </w:tc>
        <w:tc>
          <w:tcPr>
            <w:tcW w:w="1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3" w:type="dxa"/>
            <w:gridSpan w:val="3"/>
            <w:tcBorders/>
            <w:shd w:fill="auto" w:val="clear"/>
            <w:tcMar>
              <w:top w:w="0" w:type="dxa"/>
              <w:left w:w="0" w:type="dxa"/>
              <w:bottom w:w="0" w:type="dxa"/>
              <w:right w:w="0" w:type="dxa"/>
            </w:tcMar>
            <w:vAlign w:val="center"/>
          </w:tcPr>
          <w:p>
            <w:pPr>
              <w:pStyle w:val="TableContents"/>
              <w:spacing w:lineRule="auto" w:line="240" w:before="0" w:after="60"/>
              <w:ind w:left="0" w:right="0" w:hanging="360"/>
              <w:jc w:val="center"/>
              <w:rPr>
                <w:rFonts w:ascii="Times New Roman;sans-serif" w:hAnsi="Times New Roman;sans-serif"/>
                <w:b w:val="false"/>
                <w:color w:val="000000"/>
                <w:sz w:val="22"/>
              </w:rPr>
            </w:pPr>
            <w:r>
              <w:rPr>
                <w:rFonts w:ascii="Times New Roman;sans-serif" w:hAnsi="Times New Roman;sans-serif"/>
                <w:b w:val="false"/>
                <w:color w:val="000000"/>
                <w:sz w:val="22"/>
              </w:rPr>
              <w:t>A(R3).</w:t>
            </w:r>
          </w:p>
        </w:tc>
        <w:tc>
          <w:tcPr>
            <w:tcW w:w="7717" w:type="dxa"/>
            <w:gridSpan w:val="6"/>
            <w:tcBorders/>
            <w:shd w:fill="auto" w:val="clear"/>
            <w:tcMar>
              <w:top w:w="0" w:type="dxa"/>
              <w:left w:w="0" w:type="dxa"/>
              <w:bottom w:w="0" w:type="dxa"/>
              <w:right w:w="0" w:type="dxa"/>
            </w:tcMar>
            <w:vAlign w:val="center"/>
          </w:tcPr>
          <w:p>
            <w:pPr>
              <w:pStyle w:val="TableContents"/>
              <w:spacing w:lineRule="auto" w:line="240" w:before="0" w:after="6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Aircraft Configuration for [****] Aircraft</w:t>
            </w:r>
          </w:p>
        </w:tc>
        <w:tc>
          <w:tcPr>
            <w:tcW w:w="1205"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SA-11</w:t>
            </w:r>
          </w:p>
        </w:tc>
      </w:tr>
      <w:tr>
        <w:trPr/>
        <w:tc>
          <w:tcPr>
            <w:tcW w:w="1283" w:type="dxa"/>
            <w:gridSpan w:val="3"/>
            <w:tcBorders/>
            <w:shd w:fill="auto" w:val="clear"/>
            <w:tcMar>
              <w:top w:w="0" w:type="dxa"/>
              <w:left w:w="0" w:type="dxa"/>
              <w:bottom w:w="0" w:type="dxa"/>
              <w:right w:w="0" w:type="dxa"/>
            </w:tcMar>
            <w:vAlign w:val="center"/>
          </w:tcPr>
          <w:p>
            <w:pPr>
              <w:pStyle w:val="TableContents"/>
              <w:spacing w:lineRule="auto" w:line="240" w:before="0" w:after="100"/>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A2(R5)</w:t>
            </w:r>
          </w:p>
        </w:tc>
        <w:tc>
          <w:tcPr>
            <w:tcW w:w="7717" w:type="dxa"/>
            <w:gridSpan w:val="6"/>
            <w:tcBorders/>
            <w:shd w:fill="auto" w:val="clear"/>
            <w:tcMar>
              <w:top w:w="0" w:type="dxa"/>
              <w:left w:w="0" w:type="dxa"/>
              <w:bottom w:w="0" w:type="dxa"/>
              <w:right w:w="0" w:type="dxa"/>
            </w:tcMar>
            <w:vAlign w:val="center"/>
          </w:tcPr>
          <w:p>
            <w:pPr>
              <w:pStyle w:val="TableContents"/>
              <w:spacing w:lineRule="auto" w:line="240" w:before="0" w:after="60"/>
              <w:ind w:left="0" w:right="0" w:hanging="360"/>
              <w:jc w:val="left"/>
              <w:rPr/>
            </w:pPr>
            <w:r>
              <w:rPr>
                <w:rFonts w:ascii="Times New Roman;sans-serif" w:hAnsi="Times New Roman;sans-serif"/>
                <w:b w:val="false"/>
                <w:color w:val="000000"/>
                <w:sz w:val="24"/>
              </w:rPr>
              <w:t xml:space="preserve">Aircraft Configuration for </w:t>
            </w:r>
            <w:r>
              <w:rPr>
                <w:rFonts w:ascii="Times New Roman;sans-serif" w:hAnsi="Times New Roman;sans-serif"/>
                <w:b w:val="false"/>
                <w:color w:val="000000"/>
                <w:sz w:val="22"/>
              </w:rPr>
              <w:t xml:space="preserve">[****] </w:t>
            </w:r>
            <w:r>
              <w:rPr>
                <w:rFonts w:ascii="Times New Roman;sans-serif" w:hAnsi="Times New Roman;sans-serif"/>
                <w:b w:val="false"/>
                <w:color w:val="000000"/>
                <w:sz w:val="24"/>
              </w:rPr>
              <w:t>Aircraft</w:t>
            </w:r>
          </w:p>
        </w:tc>
        <w:tc>
          <w:tcPr>
            <w:tcW w:w="1205"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SA-12</w:t>
            </w:r>
          </w:p>
        </w:tc>
      </w:tr>
      <w:tr>
        <w:trPr/>
        <w:tc>
          <w:tcPr>
            <w:tcW w:w="1283" w:type="dxa"/>
            <w:gridSpan w:val="3"/>
            <w:tcBorders/>
            <w:shd w:fill="auto" w:val="clear"/>
            <w:tcMar>
              <w:top w:w="0" w:type="dxa"/>
              <w:left w:w="0" w:type="dxa"/>
              <w:bottom w:w="0" w:type="dxa"/>
              <w:right w:w="0" w:type="dxa"/>
            </w:tcMar>
            <w:vAlign w:val="center"/>
          </w:tcPr>
          <w:p>
            <w:pPr>
              <w:pStyle w:val="TableContents"/>
              <w:spacing w:lineRule="auto" w:line="240" w:before="0" w:after="60"/>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B(R1).</w:t>
            </w:r>
          </w:p>
        </w:tc>
        <w:tc>
          <w:tcPr>
            <w:tcW w:w="7717" w:type="dxa"/>
            <w:gridSpan w:val="6"/>
            <w:tcBorders/>
            <w:shd w:fill="auto" w:val="clear"/>
            <w:tcMar>
              <w:top w:w="0" w:type="dxa"/>
              <w:left w:w="0" w:type="dxa"/>
              <w:bottom w:w="0" w:type="dxa"/>
              <w:right w:w="0" w:type="dxa"/>
            </w:tcMar>
            <w:vAlign w:val="center"/>
          </w:tcPr>
          <w:p>
            <w:pPr>
              <w:pStyle w:val="TableContents"/>
              <w:spacing w:lineRule="auto" w:line="240" w:before="0" w:after="6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Aircraft Delivery Requirements and Responsibilities</w:t>
            </w:r>
          </w:p>
        </w:tc>
        <w:tc>
          <w:tcPr>
            <w:tcW w:w="1205"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SA-3</w:t>
            </w:r>
          </w:p>
        </w:tc>
      </w:tr>
      <w:tr>
        <w:trPr/>
        <w:tc>
          <w:tcPr>
            <w:tcW w:w="128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C(R1).</w:t>
            </w:r>
          </w:p>
        </w:tc>
        <w:tc>
          <w:tcPr>
            <w:tcW w:w="7717" w:type="dxa"/>
            <w:gridSpan w:val="6"/>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Defined Terms</w:t>
            </w:r>
          </w:p>
        </w:tc>
        <w:tc>
          <w:tcPr>
            <w:tcW w:w="1205"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SA-3</w:t>
            </w:r>
          </w:p>
        </w:tc>
      </w:tr>
      <w:tr>
        <w:trPr/>
        <w:tc>
          <w:tcPr>
            <w:tcW w:w="9000" w:type="dxa"/>
            <w:gridSpan w:val="9"/>
            <w:tcBorders/>
            <w:shd w:fill="auto" w:val="clear"/>
            <w:tcMar>
              <w:top w:w="0" w:type="dxa"/>
              <w:left w:w="0" w:type="dxa"/>
              <w:bottom w:w="0" w:type="dxa"/>
              <w:right w:w="0" w:type="dxa"/>
            </w:tcMar>
            <w:vAlign w:val="center"/>
          </w:tcPr>
          <w:p>
            <w:pPr>
              <w:pStyle w:val="TableContents"/>
              <w:spacing w:before="240" w:after="100"/>
              <w:ind w:left="0" w:right="0" w:hanging="360"/>
              <w:rPr/>
            </w:pPr>
            <w:r>
              <w:rPr/>
            </w:r>
          </w:p>
        </w:tc>
        <w:tc>
          <w:tcPr>
            <w:tcW w:w="1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5" w:type="dxa"/>
            <w:gridSpan w:val="6"/>
            <w:tcBorders/>
            <w:shd w:fill="auto" w:val="clear"/>
            <w:tcMar>
              <w:top w:w="0" w:type="dxa"/>
              <w:left w:w="0" w:type="dxa"/>
              <w:bottom w:w="0" w:type="dxa"/>
              <w:right w:w="0" w:type="dxa"/>
            </w:tcMar>
            <w:vAlign w:val="center"/>
          </w:tcPr>
          <w:p>
            <w:pPr>
              <w:pStyle w:val="TableContents"/>
              <w:spacing w:lineRule="auto" w:line="240" w:before="0" w:after="100"/>
              <w:ind w:left="0" w:right="0" w:hanging="36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SUPPLEMENTAL EXHIBITS</w:t>
            </w:r>
          </w:p>
        </w:tc>
        <w:tc>
          <w:tcPr>
            <w:tcW w:w="4365" w:type="dxa"/>
            <w:gridSpan w:val="3"/>
            <w:tcBorders/>
            <w:shd w:fill="auto" w:val="clear"/>
            <w:tcMar>
              <w:top w:w="0" w:type="dxa"/>
              <w:left w:w="0" w:type="dxa"/>
              <w:bottom w:w="0" w:type="dxa"/>
              <w:right w:w="0" w:type="dxa"/>
            </w:tcMar>
            <w:vAlign w:val="center"/>
          </w:tcPr>
          <w:p>
            <w:pPr>
              <w:pStyle w:val="TableContents"/>
              <w:spacing w:before="0" w:after="100"/>
              <w:ind w:left="0" w:right="0" w:hanging="360"/>
              <w:rPr/>
            </w:pPr>
            <w:r>
              <w:rPr/>
            </w:r>
          </w:p>
        </w:tc>
        <w:tc>
          <w:tcPr>
            <w:tcW w:w="1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5" w:type="dxa"/>
            <w:gridSpan w:val="6"/>
            <w:tcBorders/>
            <w:shd w:fill="auto" w:val="clear"/>
            <w:tcMar>
              <w:top w:w="0" w:type="dxa"/>
              <w:left w:w="0" w:type="dxa"/>
              <w:bottom w:w="0" w:type="dxa"/>
              <w:right w:w="0" w:type="dxa"/>
            </w:tcMar>
            <w:vAlign w:val="center"/>
          </w:tcPr>
          <w:p>
            <w:pPr>
              <w:pStyle w:val="TableContents"/>
              <w:spacing w:lineRule="auto" w:line="240" w:before="80" w:after="100"/>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AE1.</w:t>
            </w:r>
          </w:p>
        </w:tc>
        <w:tc>
          <w:tcPr>
            <w:tcW w:w="4365" w:type="dxa"/>
            <w:gridSpan w:val="3"/>
            <w:tcBorders/>
            <w:shd w:fill="auto" w:val="clear"/>
            <w:tcMar>
              <w:top w:w="0" w:type="dxa"/>
              <w:left w:w="0" w:type="dxa"/>
              <w:bottom w:w="0" w:type="dxa"/>
              <w:right w:w="0" w:type="dxa"/>
            </w:tcMar>
            <w:vAlign w:val="center"/>
          </w:tcPr>
          <w:p>
            <w:pPr>
              <w:pStyle w:val="TableContents"/>
              <w:spacing w:lineRule="auto" w:line="240" w:before="80" w:after="10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5" w:type="dxa"/>
            <w:gridSpan w:val="6"/>
            <w:tcBorders/>
            <w:shd w:fill="auto" w:val="clear"/>
            <w:tcMar>
              <w:top w:w="0" w:type="dxa"/>
              <w:left w:w="0" w:type="dxa"/>
              <w:bottom w:w="0" w:type="dxa"/>
              <w:right w:w="0" w:type="dxa"/>
            </w:tcMar>
            <w:vAlign w:val="center"/>
          </w:tcPr>
          <w:p>
            <w:pPr>
              <w:pStyle w:val="TableContents"/>
              <w:spacing w:lineRule="auto" w:line="240" w:before="80" w:after="100"/>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BFE1(R1).</w:t>
            </w:r>
          </w:p>
        </w:tc>
        <w:tc>
          <w:tcPr>
            <w:tcW w:w="4365" w:type="dxa"/>
            <w:gridSpan w:val="3"/>
            <w:tcBorders/>
            <w:shd w:fill="auto" w:val="clear"/>
            <w:tcMar>
              <w:top w:w="0" w:type="dxa"/>
              <w:left w:w="0" w:type="dxa"/>
              <w:bottom w:w="0" w:type="dxa"/>
              <w:right w:w="0" w:type="dxa"/>
            </w:tcMar>
            <w:vAlign w:val="center"/>
          </w:tcPr>
          <w:p>
            <w:pPr>
              <w:pStyle w:val="TableContents"/>
              <w:spacing w:lineRule="auto" w:line="240" w:before="80" w:after="1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Buyer Furnished Equipment Variables 787-9 </w:t>
            </w:r>
          </w:p>
        </w:tc>
        <w:tc>
          <w:tcPr>
            <w:tcW w:w="1205"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SA-3</w:t>
            </w:r>
          </w:p>
        </w:tc>
      </w:tr>
      <w:tr>
        <w:trPr/>
        <w:tc>
          <w:tcPr>
            <w:tcW w:w="4635" w:type="dxa"/>
            <w:gridSpan w:val="6"/>
            <w:tcBorders/>
            <w:shd w:fill="auto" w:val="clear"/>
            <w:tcMar>
              <w:top w:w="0" w:type="dxa"/>
              <w:left w:w="0" w:type="dxa"/>
              <w:bottom w:w="0" w:type="dxa"/>
              <w:right w:w="0" w:type="dxa"/>
            </w:tcMar>
            <w:vAlign w:val="center"/>
          </w:tcPr>
          <w:p>
            <w:pPr>
              <w:pStyle w:val="TableContents"/>
              <w:spacing w:lineRule="auto" w:line="240" w:before="80" w:after="100"/>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BFE2.</w:t>
            </w:r>
          </w:p>
        </w:tc>
        <w:tc>
          <w:tcPr>
            <w:tcW w:w="4365" w:type="dxa"/>
            <w:gridSpan w:val="3"/>
            <w:tcBorders/>
            <w:shd w:fill="auto" w:val="clear"/>
            <w:tcMar>
              <w:top w:w="0" w:type="dxa"/>
              <w:left w:w="0" w:type="dxa"/>
              <w:bottom w:w="0" w:type="dxa"/>
              <w:right w:w="0" w:type="dxa"/>
            </w:tcMar>
            <w:vAlign w:val="center"/>
          </w:tcPr>
          <w:p>
            <w:pPr>
              <w:pStyle w:val="TableContents"/>
              <w:spacing w:lineRule="auto" w:line="240" w:before="80" w:after="1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Buyer Furnished Equipment Variables 787-8</w:t>
            </w:r>
          </w:p>
        </w:tc>
        <w:tc>
          <w:tcPr>
            <w:tcW w:w="1205"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SA-3</w:t>
            </w:r>
          </w:p>
        </w:tc>
      </w:tr>
      <w:tr>
        <w:trPr/>
        <w:tc>
          <w:tcPr>
            <w:tcW w:w="4635" w:type="dxa"/>
            <w:gridSpan w:val="6"/>
            <w:tcBorders/>
            <w:shd w:fill="auto" w:val="clear"/>
            <w:tcMar>
              <w:top w:w="0" w:type="dxa"/>
              <w:left w:w="0" w:type="dxa"/>
              <w:bottom w:w="0" w:type="dxa"/>
              <w:right w:w="0" w:type="dxa"/>
            </w:tcMar>
            <w:vAlign w:val="center"/>
          </w:tcPr>
          <w:p>
            <w:pPr>
              <w:pStyle w:val="TableContents"/>
              <w:spacing w:lineRule="auto" w:line="240" w:before="80" w:after="100"/>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CS1.</w:t>
            </w:r>
          </w:p>
        </w:tc>
        <w:tc>
          <w:tcPr>
            <w:tcW w:w="4365" w:type="dxa"/>
            <w:gridSpan w:val="3"/>
            <w:tcBorders/>
            <w:shd w:fill="auto" w:val="clear"/>
            <w:tcMar>
              <w:top w:w="0" w:type="dxa"/>
              <w:left w:w="0" w:type="dxa"/>
              <w:bottom w:w="0" w:type="dxa"/>
              <w:right w:w="0" w:type="dxa"/>
            </w:tcMar>
            <w:vAlign w:val="center"/>
          </w:tcPr>
          <w:p>
            <w:pPr>
              <w:pStyle w:val="TableContents"/>
              <w:spacing w:lineRule="auto" w:line="240" w:before="80" w:after="1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787 Customer Support Document</w:t>
            </w:r>
          </w:p>
        </w:tc>
        <w:tc>
          <w:tcPr>
            <w:tcW w:w="1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5" w:type="dxa"/>
            <w:gridSpan w:val="6"/>
            <w:tcBorders/>
            <w:shd w:fill="auto" w:val="clear"/>
            <w:tcMar>
              <w:top w:w="0" w:type="dxa"/>
              <w:left w:w="0" w:type="dxa"/>
              <w:bottom w:w="0" w:type="dxa"/>
              <w:right w:w="0" w:type="dxa"/>
            </w:tcMar>
            <w:vAlign w:val="center"/>
          </w:tcPr>
          <w:p>
            <w:pPr>
              <w:pStyle w:val="TableContents"/>
              <w:spacing w:lineRule="auto" w:line="240" w:before="80" w:after="100"/>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EE1.</w:t>
            </w:r>
          </w:p>
        </w:tc>
        <w:tc>
          <w:tcPr>
            <w:tcW w:w="4365" w:type="dxa"/>
            <w:gridSpan w:val="3"/>
            <w:tcBorders/>
            <w:shd w:fill="auto" w:val="clear"/>
            <w:tcMar>
              <w:top w:w="0" w:type="dxa"/>
              <w:left w:w="0" w:type="dxa"/>
              <w:bottom w:w="0" w:type="dxa"/>
              <w:right w:w="0" w:type="dxa"/>
            </w:tcMar>
            <w:vAlign w:val="center"/>
          </w:tcPr>
          <w:p>
            <w:pPr>
              <w:pStyle w:val="TableContents"/>
              <w:spacing w:lineRule="auto" w:line="240" w:before="80" w:after="10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240" w:after="283"/>
        <w:jc w:val="center"/>
        <w:rPr>
          <w:rFonts w:ascii="Times New Roman;sans-serif" w:hAnsi="Times New Roman;sans-serif"/>
          <w:b w:val="false"/>
          <w:color w:val="000000"/>
          <w:sz w:val="24"/>
        </w:rPr>
      </w:pPr>
      <w:r>
        <w:br w:type="page"/>
      </w:r>
      <w:r>
        <w:rPr>
          <w:rFonts w:ascii="Times New Roman;sans-serif" w:hAnsi="Times New Roman;sans-serif"/>
          <w:b w:val="false"/>
          <w:color w:val="000000"/>
          <w:sz w:val="24"/>
        </w:rPr>
        <w:t>T</w:t>
      </w:r>
      <w:r>
        <w:rPr>
          <w:rFonts w:ascii="Times New Roman;sans-serif" w:hAnsi="Times New Roman;sans-serif"/>
          <w:b w:val="false"/>
          <w:color w:val="000000"/>
          <w:sz w:val="24"/>
        </w:rPr>
        <w:t>ABLE OF CONTENTS, continued</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857885"/>
                <wp:effectExtent l="0" t="0" r="0" b="0"/>
                <wp:wrapNone/>
                <wp:docPr id="99" name="Frame94"/>
                <a:graphic xmlns:a="http://schemas.openxmlformats.org/drawingml/2006/main">
                  <a:graphicData uri="http://schemas.microsoft.com/office/word/2010/wordprocessingShape">
                    <wps:wsp>
                      <wps:cNvSpPr txBox="1"/>
                      <wps:spPr>
                        <a:xfrm>
                          <a:off x="0" y="0"/>
                          <a:ext cx="6480175" cy="857885"/>
                        </a:xfrm>
                        <a:prstGeom prst="rect"/>
                      </wps:spPr>
                      <wps:txbx>
                        <w:txbxContent>
                          <w:p>
                            <w:pPr>
                              <w:pStyle w:val="TextBody"/>
                              <w:spacing w:lineRule="auto" w:line="240" w:before="240" w:after="283"/>
                              <w:rPr>
                                <w:rFonts w:ascii="Times New Roman;sans-serif" w:hAnsi="Times New Roman;sans-serif"/>
                                <w:b w:val="false"/>
                                <w:color w:val="000000"/>
                                <w:sz w:val="24"/>
                              </w:rPr>
                            </w:pPr>
                            <w:r>
                              <w:rPr>
                                <w:rFonts w:ascii="Times New Roman;sans-serif" w:hAnsi="Times New Roman;sans-serif"/>
                                <w:b w:val="false"/>
                                <w:color w:val="000000"/>
                                <w:sz w:val="24"/>
                              </w:rPr>
                              <w:t>P.A. No. 3219     SA-18</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Table of Contents         Page 1</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BOEING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5pt;mso-wrap-distance-left:0pt;mso-wrap-distance-right:0pt;mso-wrap-distance-top:0pt;mso-wrap-distance-bottom:0pt;margin-top:0pt;mso-position-vertical:top;mso-position-vertical-relative:text;margin-left:-138.85pt;mso-position-horizontal:left;mso-position-horizontal-relative:text">
                <v:textbox>
                  <w:txbxContent>
                    <w:p>
                      <w:pPr>
                        <w:pStyle w:val="TextBody"/>
                        <w:spacing w:lineRule="auto" w:line="240" w:before="240" w:after="283"/>
                        <w:rPr>
                          <w:rFonts w:ascii="Times New Roman;sans-serif" w:hAnsi="Times New Roman;sans-serif"/>
                          <w:b w:val="false"/>
                          <w:color w:val="000000"/>
                          <w:sz w:val="24"/>
                        </w:rPr>
                      </w:pPr>
                      <w:r>
                        <w:rPr>
                          <w:rFonts w:ascii="Times New Roman;sans-serif" w:hAnsi="Times New Roman;sans-serif"/>
                          <w:b w:val="false"/>
                          <w:color w:val="000000"/>
                          <w:sz w:val="24"/>
                        </w:rPr>
                        <w:t>P.A. No. 3219     SA-18</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Table of Contents         Page 1</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BOEING PROPRIETARY</w:t>
                      </w:r>
                    </w:p>
                  </w:txbxContent>
                </v:textbox>
              </v:rect>
            </w:pict>
          </mc:Fallback>
        </mc:AlternateContent>
      </w:r>
    </w:p>
    <w:p>
      <w:pPr>
        <w:pStyle w:val="TextBody"/>
        <w:spacing w:before="0" w:after="0"/>
        <w:rPr/>
      </w:pPr>
      <w:r>
        <w:rPr/>
      </w:r>
    </w:p>
    <w:tbl>
      <w:tblPr>
        <w:tblW w:w="9853" w:type="dxa"/>
        <w:jc w:val="left"/>
        <w:tblInd w:w="0" w:type="dxa"/>
        <w:tblCellMar>
          <w:top w:w="28" w:type="dxa"/>
          <w:left w:w="28" w:type="dxa"/>
          <w:bottom w:w="28" w:type="dxa"/>
          <w:right w:w="28" w:type="dxa"/>
        </w:tblCellMar>
      </w:tblPr>
      <w:tblGrid>
        <w:gridCol w:w="507"/>
        <w:gridCol w:w="445"/>
        <w:gridCol w:w="445"/>
        <w:gridCol w:w="445"/>
        <w:gridCol w:w="445"/>
        <w:gridCol w:w="455"/>
        <w:gridCol w:w="1968"/>
        <w:gridCol w:w="1968"/>
        <w:gridCol w:w="1974"/>
        <w:gridCol w:w="350"/>
        <w:gridCol w:w="350"/>
        <w:gridCol w:w="501"/>
      </w:tblGrid>
      <w:tr>
        <w:trPr/>
        <w:tc>
          <w:tcPr>
            <w:tcW w:w="507"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968" w:type="dxa"/>
            <w:tcBorders/>
            <w:shd w:fill="auto" w:val="clear"/>
            <w:vAlign w:val="center"/>
          </w:tcPr>
          <w:p>
            <w:pPr>
              <w:pStyle w:val="TableContents"/>
              <w:spacing w:before="0" w:after="283"/>
              <w:rPr>
                <w:sz w:val="4"/>
                <w:szCs w:val="4"/>
              </w:rPr>
            </w:pPr>
            <w:r>
              <w:rPr>
                <w:sz w:val="4"/>
                <w:szCs w:val="4"/>
              </w:rPr>
            </w:r>
          </w:p>
        </w:tc>
        <w:tc>
          <w:tcPr>
            <w:tcW w:w="1968" w:type="dxa"/>
            <w:tcBorders/>
            <w:shd w:fill="auto" w:val="clear"/>
            <w:vAlign w:val="center"/>
          </w:tcPr>
          <w:p>
            <w:pPr>
              <w:pStyle w:val="TableContents"/>
              <w:spacing w:before="0" w:after="283"/>
              <w:rPr>
                <w:sz w:val="4"/>
                <w:szCs w:val="4"/>
              </w:rPr>
            </w:pPr>
            <w:r>
              <w:rPr>
                <w:sz w:val="4"/>
                <w:szCs w:val="4"/>
              </w:rPr>
            </w:r>
          </w:p>
        </w:tc>
        <w:tc>
          <w:tcPr>
            <w:tcW w:w="1974"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r>
      <w:tr>
        <w:trPr/>
        <w:tc>
          <w:tcPr>
            <w:tcW w:w="2742" w:type="dxa"/>
            <w:gridSpan w:val="6"/>
            <w:tcBorders/>
            <w:shd w:fill="auto" w:val="clear"/>
            <w:tcMar>
              <w:top w:w="0" w:type="dxa"/>
              <w:left w:w="0" w:type="dxa"/>
              <w:bottom w:w="0" w:type="dxa"/>
              <w:right w:w="0" w:type="dxa"/>
            </w:tcMar>
            <w:vAlign w:val="center"/>
          </w:tcPr>
          <w:p>
            <w:pPr>
              <w:pStyle w:val="TableContents"/>
              <w:spacing w:lineRule="auto" w:line="240" w:before="80" w:after="100"/>
              <w:ind w:left="0" w:right="0" w:hanging="360"/>
              <w:jc w:val="center"/>
              <w:rPr/>
            </w:pPr>
            <w:r>
              <w:rPr>
                <w:rFonts w:ascii="Times New Roman;sans-serif" w:hAnsi="Times New Roman;sans-serif"/>
                <w:b w:val="false"/>
                <w:strike/>
                <w:color w:val="000000"/>
                <w:sz w:val="24"/>
              </w:rPr>
              <w:t>EE1</w:t>
            </w:r>
            <w:r>
              <w:rPr>
                <w:rFonts w:ascii="Times New Roman;sans-serif" w:hAnsi="Times New Roman;sans-serif"/>
                <w:b w:val="false"/>
                <w:color w:val="000000"/>
                <w:sz w:val="24"/>
              </w:rPr>
              <w:t>.</w:t>
            </w:r>
          </w:p>
        </w:tc>
        <w:tc>
          <w:tcPr>
            <w:tcW w:w="5910" w:type="dxa"/>
            <w:gridSpan w:val="3"/>
            <w:tcBorders/>
            <w:shd w:fill="auto" w:val="clear"/>
            <w:tcMar>
              <w:top w:w="0" w:type="dxa"/>
              <w:left w:w="0" w:type="dxa"/>
              <w:bottom w:w="0" w:type="dxa"/>
              <w:right w:w="0" w:type="dxa"/>
            </w:tcMar>
            <w:vAlign w:val="center"/>
          </w:tcPr>
          <w:p>
            <w:pPr>
              <w:pStyle w:val="TableContents"/>
              <w:spacing w:lineRule="auto" w:line="240" w:before="80" w:after="100"/>
              <w:ind w:left="0" w:right="0" w:hanging="360"/>
              <w:jc w:val="left"/>
              <w:rPr/>
            </w:pPr>
            <w:r>
              <w:rPr>
                <w:rFonts w:ascii="Times New Roman;sans-serif" w:hAnsi="Times New Roman;sans-serif"/>
                <w:b w:val="false"/>
                <w:color w:val="000000"/>
                <w:sz w:val="22"/>
              </w:rPr>
              <w:t xml:space="preserve">[****] </w:t>
            </w:r>
            <w:r>
              <w:rPr>
                <w:rFonts w:ascii="Times New Roman;sans-serif" w:hAnsi="Times New Roman;sans-serif"/>
                <w:b w:val="false"/>
                <w:color w:val="000000"/>
                <w:sz w:val="24"/>
              </w:rPr>
              <w:t>WITHDRAWN</w:t>
            </w:r>
          </w:p>
        </w:tc>
        <w:tc>
          <w:tcPr>
            <w:tcW w:w="1201"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SA-2</w:t>
            </w:r>
          </w:p>
        </w:tc>
      </w:tr>
      <w:tr>
        <w:trPr/>
        <w:tc>
          <w:tcPr>
            <w:tcW w:w="2742" w:type="dxa"/>
            <w:gridSpan w:val="6"/>
            <w:tcBorders/>
            <w:shd w:fill="auto" w:val="clear"/>
            <w:tcMar>
              <w:top w:w="0" w:type="dxa"/>
              <w:left w:w="0" w:type="dxa"/>
              <w:bottom w:w="0" w:type="dxa"/>
              <w:right w:w="0" w:type="dxa"/>
            </w:tcMar>
            <w:vAlign w:val="center"/>
          </w:tcPr>
          <w:p>
            <w:pPr>
              <w:pStyle w:val="TableContents"/>
              <w:spacing w:lineRule="auto" w:line="240" w:before="80" w:after="100"/>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EE2.</w:t>
            </w:r>
          </w:p>
        </w:tc>
        <w:tc>
          <w:tcPr>
            <w:tcW w:w="5910" w:type="dxa"/>
            <w:gridSpan w:val="3"/>
            <w:tcBorders/>
            <w:shd w:fill="auto" w:val="clear"/>
            <w:tcMar>
              <w:top w:w="0" w:type="dxa"/>
              <w:left w:w="0" w:type="dxa"/>
              <w:bottom w:w="0" w:type="dxa"/>
              <w:right w:w="0" w:type="dxa"/>
            </w:tcMar>
            <w:vAlign w:val="center"/>
          </w:tcPr>
          <w:p>
            <w:pPr>
              <w:pStyle w:val="TableContents"/>
              <w:spacing w:lineRule="auto" w:line="240" w:before="80" w:after="10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01"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SA-4</w:t>
            </w:r>
          </w:p>
        </w:tc>
      </w:tr>
      <w:tr>
        <w:trPr/>
        <w:tc>
          <w:tcPr>
            <w:tcW w:w="2742" w:type="dxa"/>
            <w:gridSpan w:val="6"/>
            <w:tcBorders/>
            <w:shd w:fill="auto" w:val="clear"/>
            <w:tcMar>
              <w:top w:w="0" w:type="dxa"/>
              <w:left w:w="0" w:type="dxa"/>
              <w:bottom w:w="0" w:type="dxa"/>
              <w:right w:w="0" w:type="dxa"/>
            </w:tcMar>
            <w:vAlign w:val="center"/>
          </w:tcPr>
          <w:p>
            <w:pPr>
              <w:pStyle w:val="TableContents"/>
              <w:spacing w:lineRule="auto" w:line="240" w:before="0" w:after="0"/>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SLP1.</w:t>
            </w:r>
          </w:p>
        </w:tc>
        <w:tc>
          <w:tcPr>
            <w:tcW w:w="591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Service Life Policy Components</w:t>
            </w:r>
          </w:p>
        </w:tc>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52" w:type="dxa"/>
            <w:gridSpan w:val="9"/>
            <w:tcBorders/>
            <w:shd w:fill="auto" w:val="clear"/>
            <w:tcMar>
              <w:top w:w="0" w:type="dxa"/>
              <w:left w:w="0" w:type="dxa"/>
              <w:bottom w:w="0" w:type="dxa"/>
              <w:right w:w="0" w:type="dxa"/>
            </w:tcMar>
            <w:vAlign w:val="center"/>
          </w:tcPr>
          <w:p>
            <w:pPr>
              <w:pStyle w:val="TableContents"/>
              <w:spacing w:before="240" w:after="100"/>
              <w:ind w:left="0" w:right="0" w:hanging="360"/>
              <w:rPr/>
            </w:pPr>
            <w:r>
              <w:rPr/>
            </w:r>
          </w:p>
        </w:tc>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2" w:type="dxa"/>
            <w:gridSpan w:val="6"/>
            <w:tcBorders/>
            <w:shd w:fill="auto" w:val="clear"/>
            <w:tcMar>
              <w:top w:w="0" w:type="dxa"/>
              <w:left w:w="0" w:type="dxa"/>
              <w:bottom w:w="0" w:type="dxa"/>
              <w:right w:w="0" w:type="dxa"/>
            </w:tcMar>
            <w:vAlign w:val="center"/>
          </w:tcPr>
          <w:p>
            <w:pPr>
              <w:pStyle w:val="TableContents"/>
              <w:spacing w:lineRule="auto" w:line="240" w:before="0" w:after="100"/>
              <w:ind w:left="0" w:right="0" w:hanging="36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LETTER AGREEMENTS</w:t>
            </w:r>
          </w:p>
        </w:tc>
        <w:tc>
          <w:tcPr>
            <w:tcW w:w="5910" w:type="dxa"/>
            <w:gridSpan w:val="3"/>
            <w:tcBorders/>
            <w:shd w:fill="auto" w:val="clear"/>
            <w:tcMar>
              <w:top w:w="0" w:type="dxa"/>
              <w:left w:w="0" w:type="dxa"/>
              <w:bottom w:w="0" w:type="dxa"/>
              <w:right w:w="0" w:type="dxa"/>
            </w:tcMar>
            <w:vAlign w:val="center"/>
          </w:tcPr>
          <w:p>
            <w:pPr>
              <w:pStyle w:val="TableContents"/>
              <w:spacing w:before="0" w:after="100"/>
              <w:ind w:left="0" w:right="0" w:firstLine="378"/>
              <w:rPr/>
            </w:pPr>
            <w:r>
              <w:rPr/>
            </w:r>
          </w:p>
        </w:tc>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SA</w:t>
            </w:r>
          </w:p>
          <w:p>
            <w:pPr>
              <w:pStyle w:val="TableContents"/>
              <w:spacing w:lineRule="auto" w:line="240" w:before="0" w:after="100"/>
              <w:jc w:val="center"/>
              <w:rPr>
                <w:rFonts w:ascii="Times New Roman;sans-serif" w:hAnsi="Times New Roman;sans-serif"/>
                <w:b w:val="false"/>
                <w:color w:val="000000"/>
                <w:sz w:val="24"/>
              </w:rPr>
            </w:pPr>
            <w:r>
              <w:rPr>
                <w:rFonts w:ascii="Times New Roman;sans-serif" w:hAnsi="Times New Roman;sans-serif"/>
                <w:b w:val="false"/>
                <w:color w:val="000000"/>
                <w:sz w:val="24"/>
              </w:rPr>
              <w:t>NUMBER</w:t>
            </w:r>
          </w:p>
        </w:tc>
      </w:tr>
      <w:tr>
        <w:trPr/>
        <w:tc>
          <w:tcPr>
            <w:tcW w:w="2742" w:type="dxa"/>
            <w:gridSpan w:val="6"/>
            <w:tcBorders/>
            <w:shd w:fill="auto" w:val="clear"/>
            <w:tcMar>
              <w:top w:w="0" w:type="dxa"/>
              <w:left w:w="0" w:type="dxa"/>
              <w:bottom w:w="0" w:type="dxa"/>
              <w:right w:w="0" w:type="dxa"/>
            </w:tcMar>
            <w:vAlign w:val="center"/>
          </w:tcPr>
          <w:p>
            <w:pPr>
              <w:pStyle w:val="TableContents"/>
              <w:spacing w:lineRule="auto" w:line="240" w:before="120" w:after="1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3219-01</w:t>
            </w:r>
          </w:p>
        </w:tc>
        <w:tc>
          <w:tcPr>
            <w:tcW w:w="5910" w:type="dxa"/>
            <w:gridSpan w:val="3"/>
            <w:tcBorders/>
            <w:shd w:fill="auto" w:val="clear"/>
            <w:tcMar>
              <w:top w:w="0" w:type="dxa"/>
              <w:left w:w="0" w:type="dxa"/>
              <w:bottom w:w="0" w:type="dxa"/>
              <w:right w:w="0" w:type="dxa"/>
            </w:tcMar>
            <w:vAlign w:val="center"/>
          </w:tcPr>
          <w:p>
            <w:pPr>
              <w:pStyle w:val="TableContents"/>
              <w:spacing w:lineRule="auto" w:line="240" w:before="120" w:after="10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2" w:type="dxa"/>
            <w:gridSpan w:val="6"/>
            <w:tcBorders/>
            <w:shd w:fill="auto" w:val="clear"/>
            <w:tcMar>
              <w:top w:w="0" w:type="dxa"/>
              <w:left w:w="0" w:type="dxa"/>
              <w:bottom w:w="0" w:type="dxa"/>
              <w:right w:w="0" w:type="dxa"/>
            </w:tcMar>
            <w:vAlign w:val="center"/>
          </w:tcPr>
          <w:p>
            <w:pPr>
              <w:pStyle w:val="TableContents"/>
              <w:spacing w:lineRule="auto" w:line="240" w:before="120" w:after="1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3219-02</w:t>
            </w:r>
          </w:p>
        </w:tc>
        <w:tc>
          <w:tcPr>
            <w:tcW w:w="5910" w:type="dxa"/>
            <w:gridSpan w:val="3"/>
            <w:tcBorders/>
            <w:shd w:fill="auto" w:val="clear"/>
            <w:tcMar>
              <w:top w:w="0" w:type="dxa"/>
              <w:left w:w="0" w:type="dxa"/>
              <w:bottom w:w="0" w:type="dxa"/>
              <w:right w:w="0" w:type="dxa"/>
            </w:tcMar>
            <w:vAlign w:val="center"/>
          </w:tcPr>
          <w:p>
            <w:pPr>
              <w:pStyle w:val="TableContents"/>
              <w:spacing w:lineRule="auto" w:line="240" w:before="120" w:after="1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Special Terms – Seats and In-Flight Entertainment</w:t>
            </w:r>
          </w:p>
        </w:tc>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2" w:type="dxa"/>
            <w:gridSpan w:val="6"/>
            <w:tcBorders/>
            <w:shd w:fill="auto" w:val="clear"/>
            <w:tcMar>
              <w:top w:w="0" w:type="dxa"/>
              <w:left w:w="0" w:type="dxa"/>
              <w:bottom w:w="0" w:type="dxa"/>
              <w:right w:w="0" w:type="dxa"/>
            </w:tcMar>
            <w:vAlign w:val="center"/>
          </w:tcPr>
          <w:p>
            <w:pPr>
              <w:pStyle w:val="TableContents"/>
              <w:spacing w:lineRule="auto" w:line="240" w:before="120" w:after="1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3219-04</w:t>
            </w:r>
          </w:p>
        </w:tc>
        <w:tc>
          <w:tcPr>
            <w:tcW w:w="5910" w:type="dxa"/>
            <w:gridSpan w:val="3"/>
            <w:tcBorders/>
            <w:shd w:fill="auto" w:val="clear"/>
            <w:tcMar>
              <w:top w:w="0" w:type="dxa"/>
              <w:left w:w="0" w:type="dxa"/>
              <w:bottom w:w="0" w:type="dxa"/>
              <w:right w:w="0" w:type="dxa"/>
            </w:tcMar>
            <w:vAlign w:val="center"/>
          </w:tcPr>
          <w:p>
            <w:pPr>
              <w:pStyle w:val="TableContents"/>
              <w:spacing w:lineRule="auto" w:line="240" w:before="120" w:after="10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2" w:type="dxa"/>
            <w:gridSpan w:val="6"/>
            <w:tcBorders/>
            <w:shd w:fill="auto" w:val="clear"/>
            <w:tcMar>
              <w:top w:w="0" w:type="dxa"/>
              <w:left w:w="0" w:type="dxa"/>
              <w:bottom w:w="0" w:type="dxa"/>
              <w:right w:w="0" w:type="dxa"/>
            </w:tcMar>
            <w:vAlign w:val="center"/>
          </w:tcPr>
          <w:p>
            <w:pPr>
              <w:pStyle w:val="TableContents"/>
              <w:spacing w:lineRule="auto" w:line="240" w:before="120" w:after="1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3219-05R1</w:t>
            </w:r>
          </w:p>
        </w:tc>
        <w:tc>
          <w:tcPr>
            <w:tcW w:w="5910" w:type="dxa"/>
            <w:gridSpan w:val="3"/>
            <w:tcBorders/>
            <w:shd w:fill="auto" w:val="clear"/>
            <w:tcMar>
              <w:top w:w="0" w:type="dxa"/>
              <w:left w:w="0" w:type="dxa"/>
              <w:bottom w:w="0" w:type="dxa"/>
              <w:right w:w="0" w:type="dxa"/>
            </w:tcMar>
            <w:vAlign w:val="center"/>
          </w:tcPr>
          <w:p>
            <w:pPr>
              <w:pStyle w:val="TableContents"/>
              <w:spacing w:lineRule="auto" w:line="240" w:before="120" w:after="1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Spare Parts Commitments</w:t>
            </w:r>
          </w:p>
        </w:tc>
        <w:tc>
          <w:tcPr>
            <w:tcW w:w="1201"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SA-3</w:t>
            </w:r>
          </w:p>
        </w:tc>
      </w:tr>
      <w:tr>
        <w:trPr/>
        <w:tc>
          <w:tcPr>
            <w:tcW w:w="2742" w:type="dxa"/>
            <w:gridSpan w:val="6"/>
            <w:tcBorders/>
            <w:shd w:fill="auto" w:val="clear"/>
            <w:tcMar>
              <w:top w:w="0" w:type="dxa"/>
              <w:left w:w="0" w:type="dxa"/>
              <w:bottom w:w="0" w:type="dxa"/>
              <w:right w:w="0" w:type="dxa"/>
            </w:tcMar>
            <w:vAlign w:val="center"/>
          </w:tcPr>
          <w:p>
            <w:pPr>
              <w:pStyle w:val="TableContents"/>
              <w:spacing w:lineRule="auto" w:line="240" w:before="120" w:after="1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3219-06R1</w:t>
            </w:r>
          </w:p>
        </w:tc>
        <w:tc>
          <w:tcPr>
            <w:tcW w:w="5910" w:type="dxa"/>
            <w:gridSpan w:val="3"/>
            <w:tcBorders/>
            <w:shd w:fill="auto" w:val="clear"/>
            <w:tcMar>
              <w:top w:w="0" w:type="dxa"/>
              <w:left w:w="0" w:type="dxa"/>
              <w:bottom w:w="0" w:type="dxa"/>
              <w:right w:w="0" w:type="dxa"/>
            </w:tcMar>
            <w:vAlign w:val="center"/>
          </w:tcPr>
          <w:p>
            <w:pPr>
              <w:pStyle w:val="TableContents"/>
              <w:spacing w:lineRule="auto" w:line="240" w:before="120" w:after="1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Spare Parts Initial Provisioning</w:t>
            </w:r>
          </w:p>
        </w:tc>
        <w:tc>
          <w:tcPr>
            <w:tcW w:w="1201"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SA-3</w:t>
            </w:r>
          </w:p>
        </w:tc>
      </w:tr>
      <w:tr>
        <w:trPr/>
        <w:tc>
          <w:tcPr>
            <w:tcW w:w="2742" w:type="dxa"/>
            <w:gridSpan w:val="6"/>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strike/>
                <w:color w:val="000000"/>
                <w:sz w:val="24"/>
              </w:rPr>
            </w:pPr>
            <w:r>
              <w:rPr>
                <w:rFonts w:ascii="Times New Roman;sans-serif" w:hAnsi="Times New Roman;sans-serif"/>
                <w:b w:val="false"/>
                <w:strike/>
                <w:color w:val="000000"/>
                <w:sz w:val="24"/>
              </w:rPr>
              <w:t>3219-08R2</w:t>
            </w:r>
          </w:p>
        </w:tc>
        <w:tc>
          <w:tcPr>
            <w:tcW w:w="5910"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pPr>
            <w:r>
              <w:rPr>
                <w:rFonts w:ascii="Times New Roman;sans-serif" w:hAnsi="Times New Roman;sans-serif"/>
                <w:b w:val="false"/>
                <w:strike/>
                <w:color w:val="000000"/>
                <w:sz w:val="24"/>
              </w:rPr>
              <w:t>Open Configuration Matters</w:t>
            </w:r>
            <w:r>
              <w:rPr>
                <w:color w:val="000000"/>
              </w:rPr>
              <w:t xml:space="preserve"> </w:t>
            </w:r>
            <w:r>
              <w:rPr>
                <w:rFonts w:ascii="Times New Roman;sans-serif" w:hAnsi="Times New Roman;sans-serif"/>
                <w:b w:val="false"/>
                <w:color w:val="000000"/>
                <w:sz w:val="24"/>
              </w:rPr>
              <w:t>WITHDRAWN</w:t>
            </w:r>
          </w:p>
        </w:tc>
        <w:tc>
          <w:tcPr>
            <w:tcW w:w="1201"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SA-8</w:t>
            </w:r>
          </w:p>
        </w:tc>
      </w:tr>
      <w:tr>
        <w:trPr/>
        <w:tc>
          <w:tcPr>
            <w:tcW w:w="2742" w:type="dxa"/>
            <w:gridSpan w:val="6"/>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strike/>
                <w:color w:val="000000"/>
                <w:sz w:val="24"/>
              </w:rPr>
            </w:pPr>
            <w:r>
              <w:rPr>
                <w:rFonts w:ascii="Times New Roman;sans-serif" w:hAnsi="Times New Roman;sans-serif"/>
                <w:b w:val="false"/>
                <w:strike/>
                <w:color w:val="000000"/>
                <w:sz w:val="24"/>
              </w:rPr>
              <w:t>6-1162-AKP-071R1</w:t>
            </w:r>
          </w:p>
        </w:tc>
        <w:tc>
          <w:tcPr>
            <w:tcW w:w="5910"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pPr>
            <w:r>
              <w:rPr>
                <w:rFonts w:ascii="Times New Roman;sans-serif" w:hAnsi="Times New Roman;sans-serif"/>
                <w:b w:val="false"/>
                <w:color w:val="000000"/>
                <w:sz w:val="22"/>
              </w:rPr>
              <w:t>[****]</w:t>
            </w:r>
            <w:r>
              <w:rPr>
                <w:rFonts w:ascii="Times New Roman;sans-serif" w:hAnsi="Times New Roman;sans-serif"/>
                <w:b w:val="false"/>
                <w:strike/>
                <w:color w:val="000000"/>
                <w:sz w:val="24"/>
              </w:rPr>
              <w:br/>
            </w:r>
            <w:r>
              <w:rPr>
                <w:rFonts w:ascii="Times New Roman;sans-serif" w:hAnsi="Times New Roman;sans-serif"/>
                <w:b w:val="false"/>
                <w:color w:val="000000"/>
                <w:sz w:val="24"/>
              </w:rPr>
              <w:t>Terminated per AAL-PA-1977-LA-1105595</w:t>
            </w:r>
          </w:p>
        </w:tc>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2" w:type="dxa"/>
            <w:gridSpan w:val="6"/>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strike/>
                <w:color w:val="000000"/>
                <w:sz w:val="24"/>
              </w:rPr>
            </w:pPr>
            <w:r>
              <w:rPr>
                <w:rFonts w:ascii="Times New Roman;sans-serif" w:hAnsi="Times New Roman;sans-serif"/>
                <w:b w:val="false"/>
                <w:strike/>
                <w:color w:val="000000"/>
                <w:sz w:val="24"/>
              </w:rPr>
              <w:t>6-1162-AKP-072R2</w:t>
            </w:r>
          </w:p>
        </w:tc>
        <w:tc>
          <w:tcPr>
            <w:tcW w:w="5910"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pPr>
            <w:r>
              <w:rPr>
                <w:rFonts w:ascii="Times New Roman;sans-serif" w:hAnsi="Times New Roman;sans-serif"/>
                <w:b w:val="false"/>
                <w:color w:val="000000"/>
                <w:sz w:val="22"/>
              </w:rPr>
              <w:t>[****]</w:t>
            </w:r>
            <w:r>
              <w:rPr>
                <w:rFonts w:ascii="Times New Roman;sans-serif" w:hAnsi="Times New Roman;sans-serif"/>
                <w:b w:val="false"/>
                <w:strike/>
                <w:color w:val="000000"/>
                <w:sz w:val="24"/>
              </w:rPr>
              <w:br/>
            </w:r>
            <w:r>
              <w:rPr>
                <w:rFonts w:ascii="Times New Roman;sans-serif" w:hAnsi="Times New Roman;sans-serif"/>
                <w:b w:val="false"/>
                <w:color w:val="000000"/>
                <w:sz w:val="24"/>
              </w:rPr>
              <w:t>Terminated per AAL-PA-1977-LA-1105595</w:t>
            </w:r>
          </w:p>
        </w:tc>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2" w:type="dxa"/>
            <w:gridSpan w:val="6"/>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6-1162-AKP-073R1</w:t>
            </w:r>
          </w:p>
        </w:tc>
        <w:tc>
          <w:tcPr>
            <w:tcW w:w="5910" w:type="dxa"/>
            <w:gridSpan w:val="3"/>
            <w:tcBorders/>
            <w:shd w:fill="auto" w:val="clear"/>
            <w:tcMar>
              <w:top w:w="0" w:type="dxa"/>
              <w:left w:w="0" w:type="dxa"/>
              <w:bottom w:w="0" w:type="dxa"/>
              <w:right w:w="0" w:type="dxa"/>
            </w:tcMar>
            <w:vAlign w:val="center"/>
          </w:tcPr>
          <w:p>
            <w:pPr>
              <w:pStyle w:val="TableContents"/>
              <w:spacing w:lineRule="auto" w:line="240" w:before="120" w:after="12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Accident Claims and Litigation</w:t>
            </w:r>
          </w:p>
        </w:tc>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2" w:type="dxa"/>
            <w:gridSpan w:val="6"/>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strike/>
                <w:color w:val="000000"/>
                <w:sz w:val="24"/>
              </w:rPr>
            </w:pPr>
            <w:r>
              <w:rPr>
                <w:rFonts w:ascii="Times New Roman;sans-serif" w:hAnsi="Times New Roman;sans-serif"/>
                <w:b w:val="false"/>
                <w:strike/>
                <w:color w:val="000000"/>
                <w:sz w:val="24"/>
              </w:rPr>
              <w:t>6-1162-CLO-1031R1</w:t>
            </w:r>
          </w:p>
        </w:tc>
        <w:tc>
          <w:tcPr>
            <w:tcW w:w="5910"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WITHDRAWN </w:t>
            </w:r>
          </w:p>
        </w:tc>
        <w:tc>
          <w:tcPr>
            <w:tcW w:w="1201" w:type="dxa"/>
            <w:gridSpan w:val="3"/>
            <w:tcBorders/>
            <w:shd w:fill="auto" w:val="clear"/>
            <w:tcMar>
              <w:top w:w="0" w:type="dxa"/>
              <w:left w:w="0" w:type="dxa"/>
              <w:bottom w:w="0" w:type="dxa"/>
              <w:right w:w="0" w:type="dxa"/>
            </w:tcMar>
            <w:vAlign w:val="center"/>
          </w:tcPr>
          <w:p>
            <w:pPr>
              <w:pStyle w:val="TableContents"/>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SA-2</w:t>
            </w:r>
          </w:p>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SA-3</w:t>
            </w:r>
          </w:p>
        </w:tc>
      </w:tr>
      <w:tr>
        <w:trPr/>
        <w:tc>
          <w:tcPr>
            <w:tcW w:w="2742" w:type="dxa"/>
            <w:gridSpan w:val="6"/>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strike/>
                <w:color w:val="000000"/>
                <w:sz w:val="24"/>
              </w:rPr>
            </w:pPr>
            <w:r>
              <w:rPr>
                <w:rFonts w:ascii="Times New Roman;sans-serif" w:hAnsi="Times New Roman;sans-serif"/>
                <w:b w:val="false"/>
                <w:strike/>
                <w:color w:val="000000"/>
                <w:sz w:val="24"/>
              </w:rPr>
              <w:t>6-1162-CLO-1032R1</w:t>
            </w:r>
          </w:p>
        </w:tc>
        <w:tc>
          <w:tcPr>
            <w:tcW w:w="5910"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pPr>
            <w:r>
              <w:rPr>
                <w:rFonts w:ascii="Times New Roman;sans-serif" w:hAnsi="Times New Roman;sans-serif"/>
                <w:b w:val="false"/>
                <w:color w:val="000000"/>
                <w:sz w:val="22"/>
              </w:rPr>
              <w:t>[****]</w:t>
            </w:r>
            <w:r>
              <w:rPr>
                <w:rFonts w:ascii="Times New Roman;sans-serif" w:hAnsi="Times New Roman;sans-serif"/>
                <w:b w:val="false"/>
                <w:color w:val="000000"/>
                <w:sz w:val="24"/>
              </w:rPr>
              <w:br/>
              <w:t>Terminated</w:t>
            </w:r>
          </w:p>
        </w:tc>
        <w:tc>
          <w:tcPr>
            <w:tcW w:w="1201"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SA-3</w:t>
            </w:r>
          </w:p>
        </w:tc>
      </w:tr>
      <w:tr>
        <w:trPr/>
        <w:tc>
          <w:tcPr>
            <w:tcW w:w="2742" w:type="dxa"/>
            <w:gridSpan w:val="6"/>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6-1162-CLO-1039</w:t>
            </w:r>
          </w:p>
        </w:tc>
        <w:tc>
          <w:tcPr>
            <w:tcW w:w="5910"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2" w:type="dxa"/>
            <w:gridSpan w:val="6"/>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6-1162-CLO-1042</w:t>
            </w:r>
          </w:p>
        </w:tc>
        <w:tc>
          <w:tcPr>
            <w:tcW w:w="5910"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2" w:type="dxa"/>
            <w:gridSpan w:val="6"/>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6-1162-CLO-1043R1</w:t>
            </w:r>
          </w:p>
        </w:tc>
        <w:tc>
          <w:tcPr>
            <w:tcW w:w="5910"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787 Inspection Process</w:t>
            </w:r>
          </w:p>
        </w:tc>
        <w:tc>
          <w:tcPr>
            <w:tcW w:w="1201"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SA-3</w:t>
            </w:r>
          </w:p>
        </w:tc>
      </w:tr>
      <w:tr>
        <w:trPr/>
        <w:tc>
          <w:tcPr>
            <w:tcW w:w="2742" w:type="dxa"/>
            <w:gridSpan w:val="6"/>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6-1162-CLO-1045R1</w:t>
            </w:r>
          </w:p>
        </w:tc>
        <w:tc>
          <w:tcPr>
            <w:tcW w:w="5910" w:type="dxa"/>
            <w:gridSpan w:val="3"/>
            <w:tcBorders/>
            <w:shd w:fill="auto" w:val="clear"/>
            <w:tcMar>
              <w:top w:w="0" w:type="dxa"/>
              <w:left w:w="0" w:type="dxa"/>
              <w:bottom w:w="0" w:type="dxa"/>
              <w:right w:w="0" w:type="dxa"/>
            </w:tcMar>
            <w:vAlign w:val="center"/>
          </w:tcPr>
          <w:p>
            <w:pPr>
              <w:pStyle w:val="TableContents"/>
              <w:spacing w:lineRule="auto" w:line="240" w:before="60" w:after="283"/>
              <w:ind w:left="0" w:right="0" w:hanging="738"/>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01"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SA-2</w:t>
            </w:r>
          </w:p>
        </w:tc>
      </w:tr>
      <w:tr>
        <w:trPr/>
        <w:tc>
          <w:tcPr>
            <w:tcW w:w="2742" w:type="dxa"/>
            <w:gridSpan w:val="6"/>
            <w:tcBorders/>
            <w:shd w:fill="auto" w:val="clear"/>
            <w:tcMar>
              <w:top w:w="0" w:type="dxa"/>
              <w:left w:w="0" w:type="dxa"/>
              <w:bottom w:w="0" w:type="dxa"/>
              <w:right w:w="0" w:type="dxa"/>
            </w:tcMar>
            <w:vAlign w:val="center"/>
          </w:tcPr>
          <w:p>
            <w:pPr>
              <w:pStyle w:val="TableContents"/>
              <w:spacing w:lineRule="auto" w:line="240" w:before="60" w:after="283"/>
              <w:ind w:left="0" w:right="0" w:hanging="360"/>
              <w:jc w:val="left"/>
              <w:rPr>
                <w:rFonts w:ascii="Times New Roman;sans-serif" w:hAnsi="Times New Roman;sans-serif"/>
                <w:b w:val="false"/>
                <w:strike/>
                <w:color w:val="000000"/>
                <w:sz w:val="24"/>
              </w:rPr>
            </w:pPr>
            <w:r>
              <w:rPr>
                <w:rFonts w:ascii="Times New Roman;sans-serif" w:hAnsi="Times New Roman;sans-serif"/>
                <w:b w:val="false"/>
                <w:strike/>
                <w:color w:val="000000"/>
                <w:sz w:val="24"/>
              </w:rPr>
              <w:t>6-1162-CLO-1046</w:t>
            </w:r>
          </w:p>
        </w:tc>
        <w:tc>
          <w:tcPr>
            <w:tcW w:w="5910"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strike/>
                <w:color w:val="000000"/>
                <w:sz w:val="24"/>
              </w:rPr>
            </w:pPr>
            <w:r>
              <w:rPr>
                <w:rFonts w:ascii="Times New Roman;sans-serif" w:hAnsi="Times New Roman;sans-serif"/>
                <w:b w:val="false"/>
                <w:strike/>
                <w:color w:val="000000"/>
                <w:sz w:val="24"/>
              </w:rPr>
              <w:t>SA-eE, COTS Software and End User License Matters</w:t>
            </w:r>
          </w:p>
          <w:p>
            <w:pPr>
              <w:pStyle w:val="TableContents"/>
              <w:spacing w:lineRule="auto" w:line="240" w:before="6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WITHDRAWN</w:t>
            </w:r>
          </w:p>
        </w:tc>
        <w:tc>
          <w:tcPr>
            <w:tcW w:w="1201"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SA-3</w:t>
            </w:r>
          </w:p>
        </w:tc>
      </w:tr>
      <w:tr>
        <w:trPr/>
        <w:tc>
          <w:tcPr>
            <w:tcW w:w="2742" w:type="dxa"/>
            <w:gridSpan w:val="6"/>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6-1162-CLO-1047R4</w:t>
            </w:r>
          </w:p>
        </w:tc>
        <w:tc>
          <w:tcPr>
            <w:tcW w:w="5910"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01"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SA-11</w:t>
            </w:r>
          </w:p>
        </w:tc>
      </w:tr>
      <w:tr>
        <w:trPr/>
        <w:tc>
          <w:tcPr>
            <w:tcW w:w="2742" w:type="dxa"/>
            <w:gridSpan w:val="6"/>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strike/>
                <w:color w:val="000000"/>
                <w:sz w:val="24"/>
              </w:rPr>
            </w:pPr>
            <w:r>
              <w:rPr>
                <w:rFonts w:ascii="Times New Roman;sans-serif" w:hAnsi="Times New Roman;sans-serif"/>
                <w:b w:val="false"/>
                <w:strike/>
                <w:color w:val="000000"/>
                <w:sz w:val="24"/>
              </w:rPr>
              <w:t>6-1162-CLO-1048</w:t>
            </w:r>
          </w:p>
        </w:tc>
        <w:tc>
          <w:tcPr>
            <w:tcW w:w="5910"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pPr>
            <w:r>
              <w:rPr>
                <w:rFonts w:ascii="Times New Roman;sans-serif" w:hAnsi="Times New Roman;sans-serif"/>
                <w:b w:val="false"/>
                <w:strike/>
                <w:color w:val="000000"/>
                <w:sz w:val="24"/>
              </w:rPr>
              <w:t>Final Matters</w:t>
            </w:r>
            <w:r>
              <w:rPr>
                <w:color w:val="000000"/>
              </w:rPr>
              <w:t>    </w:t>
            </w:r>
            <w:r>
              <w:rPr>
                <w:rFonts w:ascii="Times New Roman;sans-serif" w:hAnsi="Times New Roman;sans-serif"/>
                <w:b w:val="false"/>
                <w:color w:val="000000"/>
                <w:sz w:val="24"/>
              </w:rPr>
              <w:t>WITHDRAWN</w:t>
            </w:r>
          </w:p>
        </w:tc>
        <w:tc>
          <w:tcPr>
            <w:tcW w:w="1201"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SA-2</w:t>
            </w:r>
          </w:p>
        </w:tc>
      </w:tr>
      <w:tr>
        <w:trPr/>
        <w:tc>
          <w:tcPr>
            <w:tcW w:w="2742" w:type="dxa"/>
            <w:gridSpan w:val="6"/>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6-1162-CLO-1049R2</w:t>
            </w:r>
          </w:p>
        </w:tc>
        <w:tc>
          <w:tcPr>
            <w:tcW w:w="5910"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CS1 Matters</w:t>
            </w:r>
          </w:p>
        </w:tc>
        <w:tc>
          <w:tcPr>
            <w:tcW w:w="1201"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SA-6</w:t>
            </w:r>
          </w:p>
        </w:tc>
      </w:tr>
      <w:tr>
        <w:trPr/>
        <w:tc>
          <w:tcPr>
            <w:tcW w:w="2742" w:type="dxa"/>
            <w:gridSpan w:val="6"/>
            <w:tcBorders/>
            <w:shd w:fill="auto" w:val="clear"/>
            <w:tcMar>
              <w:top w:w="0" w:type="dxa"/>
              <w:left w:w="0" w:type="dxa"/>
              <w:bottom w:w="0" w:type="dxa"/>
              <w:right w:w="0" w:type="dxa"/>
            </w:tcMar>
            <w:vAlign w:val="center"/>
          </w:tcPr>
          <w:p>
            <w:pPr>
              <w:pStyle w:val="TableContents"/>
              <w:spacing w:lineRule="auto" w:line="240" w:before="2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6-1162-TRW-0664R2</w:t>
            </w:r>
          </w:p>
        </w:tc>
        <w:tc>
          <w:tcPr>
            <w:tcW w:w="5910" w:type="dxa"/>
            <w:gridSpan w:val="3"/>
            <w:tcBorders/>
            <w:shd w:fill="auto" w:val="clear"/>
            <w:tcMar>
              <w:top w:w="0" w:type="dxa"/>
              <w:left w:w="0" w:type="dxa"/>
              <w:bottom w:w="0" w:type="dxa"/>
              <w:right w:w="0" w:type="dxa"/>
            </w:tcMar>
            <w:vAlign w:val="center"/>
          </w:tcPr>
          <w:p>
            <w:pPr>
              <w:pStyle w:val="TableContents"/>
              <w:spacing w:lineRule="auto" w:line="240" w:before="20" w:after="283"/>
              <w:ind w:left="0" w:right="0" w:hanging="252"/>
              <w:jc w:val="left"/>
              <w:rPr>
                <w:rFonts w:ascii="Times New Roman;sans-serif" w:hAnsi="Times New Roman;sans-serif"/>
                <w:b w:val="false"/>
                <w:color w:val="000000"/>
                <w:sz w:val="24"/>
              </w:rPr>
            </w:pPr>
            <w:r>
              <w:rPr>
                <w:rFonts w:ascii="Times New Roman;sans-serif" w:hAnsi="Times New Roman;sans-serif"/>
                <w:b w:val="false"/>
                <w:color w:val="000000"/>
                <w:sz w:val="24"/>
              </w:rPr>
              <w:t>Aircraft Purchase Rights and Substitution Rights</w:t>
            </w:r>
          </w:p>
        </w:tc>
        <w:tc>
          <w:tcPr>
            <w:tcW w:w="1201"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SA-11</w:t>
            </w:r>
          </w:p>
        </w:tc>
      </w:tr>
      <w:tr>
        <w:trPr/>
        <w:tc>
          <w:tcPr>
            <w:tcW w:w="2742" w:type="dxa"/>
            <w:gridSpan w:val="6"/>
            <w:tcBorders/>
            <w:shd w:fill="auto" w:val="clear"/>
            <w:tcMar>
              <w:top w:w="0" w:type="dxa"/>
              <w:left w:w="0" w:type="dxa"/>
              <w:bottom w:w="0" w:type="dxa"/>
              <w:right w:w="0" w:type="dxa"/>
            </w:tcMar>
            <w:vAlign w:val="center"/>
          </w:tcPr>
          <w:p>
            <w:pPr>
              <w:pStyle w:val="TableContents"/>
              <w:spacing w:before="20" w:after="283"/>
              <w:ind w:left="0" w:right="0" w:hanging="360"/>
              <w:rPr/>
            </w:pPr>
            <w:r>
              <w:rPr/>
            </w:r>
          </w:p>
        </w:tc>
        <w:tc>
          <w:tcPr>
            <w:tcW w:w="5910" w:type="dxa"/>
            <w:gridSpan w:val="3"/>
            <w:tcBorders/>
            <w:shd w:fill="auto" w:val="clear"/>
            <w:tcMar>
              <w:top w:w="0" w:type="dxa"/>
              <w:left w:w="0" w:type="dxa"/>
              <w:bottom w:w="0" w:type="dxa"/>
              <w:right w:w="0" w:type="dxa"/>
            </w:tcMar>
            <w:vAlign w:val="center"/>
          </w:tcPr>
          <w:p>
            <w:pPr>
              <w:pStyle w:val="TableContents"/>
              <w:spacing w:lineRule="auto" w:line="240" w:before="20" w:after="283"/>
              <w:ind w:left="0" w:right="0" w:hanging="252"/>
              <w:jc w:val="left"/>
              <w:rPr/>
            </w:pPr>
            <w:r>
              <w:rPr>
                <w:rFonts w:ascii="Times New Roman;sans-serif" w:hAnsi="Times New Roman;sans-serif"/>
                <w:b w:val="false"/>
                <w:strike/>
                <w:color w:val="000000"/>
                <w:sz w:val="24"/>
              </w:rPr>
              <w:t>Attachment A(R2) – MADP Exercise Dates</w:t>
            </w:r>
            <w:r>
              <w:rPr>
                <w:color w:val="000000"/>
              </w:rPr>
              <w:t xml:space="preserve"> </w:t>
            </w:r>
            <w:r>
              <w:rPr>
                <w:rFonts w:ascii="Times New Roman;sans-serif" w:hAnsi="Times New Roman;sans-serif"/>
                <w:b w:val="false"/>
                <w:color w:val="000000"/>
                <w:sz w:val="24"/>
              </w:rPr>
              <w:t>WITHDRAWN</w:t>
            </w:r>
          </w:p>
        </w:tc>
        <w:tc>
          <w:tcPr>
            <w:tcW w:w="1201"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SA-11</w:t>
            </w:r>
          </w:p>
        </w:tc>
      </w:tr>
    </w:tbl>
    <w:p>
      <w:pPr>
        <w:pStyle w:val="TextBody"/>
        <w:spacing w:lineRule="auto" w:line="240" w:before="240" w:after="283"/>
        <w:jc w:val="center"/>
        <w:rPr>
          <w:rFonts w:ascii="Times New Roman;sans-serif" w:hAnsi="Times New Roman;sans-serif"/>
          <w:b w:val="false"/>
          <w:color w:val="000000"/>
          <w:sz w:val="24"/>
        </w:rPr>
      </w:pPr>
      <w:r>
        <w:br w:type="page"/>
      </w:r>
      <w:r>
        <w:rPr>
          <w:rFonts w:ascii="Times New Roman;sans-serif" w:hAnsi="Times New Roman;sans-serif"/>
          <w:b w:val="false"/>
          <w:color w:val="000000"/>
          <w:sz w:val="24"/>
        </w:rPr>
        <w:t>T</w:t>
      </w:r>
      <w:r>
        <w:rPr>
          <w:rFonts w:ascii="Times New Roman;sans-serif" w:hAnsi="Times New Roman;sans-serif"/>
          <w:b w:val="false"/>
          <w:color w:val="000000"/>
          <w:sz w:val="24"/>
        </w:rPr>
        <w:t>ABLE OF CONTENTS, continued</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857885"/>
                <wp:effectExtent l="0" t="0" r="0" b="0"/>
                <wp:wrapNone/>
                <wp:docPr id="100" name="Frame95"/>
                <a:graphic xmlns:a="http://schemas.openxmlformats.org/drawingml/2006/main">
                  <a:graphicData uri="http://schemas.microsoft.com/office/word/2010/wordprocessingShape">
                    <wps:wsp>
                      <wps:cNvSpPr txBox="1"/>
                      <wps:spPr>
                        <a:xfrm>
                          <a:off x="0" y="0"/>
                          <a:ext cx="6480175" cy="857885"/>
                        </a:xfrm>
                        <a:prstGeom prst="rect"/>
                      </wps:spPr>
                      <wps:txbx>
                        <w:txbxContent>
                          <w:p>
                            <w:pPr>
                              <w:pStyle w:val="TextBody"/>
                              <w:spacing w:lineRule="auto" w:line="240" w:before="240" w:after="283"/>
                              <w:rPr>
                                <w:rFonts w:ascii="Times New Roman;sans-serif" w:hAnsi="Times New Roman;sans-serif"/>
                                <w:b w:val="false"/>
                                <w:color w:val="000000"/>
                                <w:sz w:val="24"/>
                              </w:rPr>
                            </w:pPr>
                            <w:r>
                              <w:rPr>
                                <w:rFonts w:ascii="Times New Roman;sans-serif" w:hAnsi="Times New Roman;sans-serif"/>
                                <w:b w:val="false"/>
                                <w:color w:val="000000"/>
                                <w:sz w:val="24"/>
                              </w:rPr>
                              <w:t>P.A. No. 3219     SA-18</w:t>
                            </w:r>
                          </w:p>
                          <w:p>
                            <w:pPr>
                              <w:pStyle w:val="TextBody"/>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Table of Contents         Page 2</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BOEING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5pt;mso-wrap-distance-left:0pt;mso-wrap-distance-right:0pt;mso-wrap-distance-top:0pt;mso-wrap-distance-bottom:0pt;margin-top:0pt;mso-position-vertical:top;mso-position-vertical-relative:text;margin-left:-138.85pt;mso-position-horizontal:left;mso-position-horizontal-relative:text">
                <v:textbox>
                  <w:txbxContent>
                    <w:p>
                      <w:pPr>
                        <w:pStyle w:val="TextBody"/>
                        <w:spacing w:lineRule="auto" w:line="240" w:before="240" w:after="283"/>
                        <w:rPr>
                          <w:rFonts w:ascii="Times New Roman;sans-serif" w:hAnsi="Times New Roman;sans-serif"/>
                          <w:b w:val="false"/>
                          <w:color w:val="000000"/>
                          <w:sz w:val="24"/>
                        </w:rPr>
                      </w:pPr>
                      <w:r>
                        <w:rPr>
                          <w:rFonts w:ascii="Times New Roman;sans-serif" w:hAnsi="Times New Roman;sans-serif"/>
                          <w:b w:val="false"/>
                          <w:color w:val="000000"/>
                          <w:sz w:val="24"/>
                        </w:rPr>
                        <w:t>P.A. No. 3219     SA-18</w:t>
                      </w:r>
                    </w:p>
                    <w:p>
                      <w:pPr>
                        <w:pStyle w:val="TextBody"/>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Table of Contents         Page 2</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BOEING PROPRIETARY</w:t>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546"/>
        <w:gridCol w:w="435"/>
        <w:gridCol w:w="435"/>
        <w:gridCol w:w="435"/>
        <w:gridCol w:w="435"/>
        <w:gridCol w:w="435"/>
        <w:gridCol w:w="2257"/>
        <w:gridCol w:w="2247"/>
        <w:gridCol w:w="2253"/>
        <w:gridCol w:w="211"/>
        <w:gridCol w:w="211"/>
        <w:gridCol w:w="305"/>
      </w:tblGrid>
      <w:tr>
        <w:trPr/>
        <w:tc>
          <w:tcPr>
            <w:tcW w:w="546"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2257" w:type="dxa"/>
            <w:tcBorders/>
            <w:shd w:fill="auto" w:val="clear"/>
            <w:vAlign w:val="center"/>
          </w:tcPr>
          <w:p>
            <w:pPr>
              <w:pStyle w:val="TableContents"/>
              <w:spacing w:before="0" w:after="283"/>
              <w:rPr>
                <w:sz w:val="4"/>
                <w:szCs w:val="4"/>
              </w:rPr>
            </w:pPr>
            <w:r>
              <w:rPr>
                <w:sz w:val="4"/>
                <w:szCs w:val="4"/>
              </w:rPr>
            </w:r>
          </w:p>
        </w:tc>
        <w:tc>
          <w:tcPr>
            <w:tcW w:w="2247" w:type="dxa"/>
            <w:tcBorders/>
            <w:shd w:fill="auto" w:val="clear"/>
            <w:vAlign w:val="center"/>
          </w:tcPr>
          <w:p>
            <w:pPr>
              <w:pStyle w:val="TableContents"/>
              <w:spacing w:before="0" w:after="283"/>
              <w:rPr>
                <w:sz w:val="4"/>
                <w:szCs w:val="4"/>
              </w:rPr>
            </w:pPr>
            <w:r>
              <w:rPr>
                <w:sz w:val="4"/>
                <w:szCs w:val="4"/>
              </w:rPr>
            </w:r>
          </w:p>
        </w:tc>
        <w:tc>
          <w:tcPr>
            <w:tcW w:w="225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r>
      <w:tr>
        <w:trPr/>
        <w:tc>
          <w:tcPr>
            <w:tcW w:w="2721" w:type="dxa"/>
            <w:gridSpan w:val="6"/>
            <w:tcBorders/>
            <w:shd w:fill="auto" w:val="clear"/>
            <w:tcMar>
              <w:top w:w="0" w:type="dxa"/>
              <w:left w:w="0" w:type="dxa"/>
              <w:bottom w:w="0" w:type="dxa"/>
              <w:right w:w="0" w:type="dxa"/>
            </w:tcMar>
            <w:vAlign w:val="center"/>
          </w:tcPr>
          <w:p>
            <w:pPr>
              <w:pStyle w:val="TableContents"/>
              <w:spacing w:before="20" w:after="283"/>
              <w:ind w:left="0" w:right="0" w:hanging="360"/>
              <w:rPr/>
            </w:pPr>
            <w:r>
              <w:rPr/>
            </w:r>
          </w:p>
        </w:tc>
        <w:tc>
          <w:tcPr>
            <w:tcW w:w="6757" w:type="dxa"/>
            <w:gridSpan w:val="3"/>
            <w:tcBorders/>
            <w:shd w:fill="auto" w:val="clear"/>
            <w:tcMar>
              <w:top w:w="0" w:type="dxa"/>
              <w:left w:w="0" w:type="dxa"/>
              <w:bottom w:w="0" w:type="dxa"/>
              <w:right w:w="0" w:type="dxa"/>
            </w:tcMar>
            <w:vAlign w:val="center"/>
          </w:tcPr>
          <w:p>
            <w:pPr>
              <w:pStyle w:val="TableContents"/>
              <w:spacing w:lineRule="auto" w:line="240" w:before="20" w:after="283"/>
              <w:ind w:left="0" w:right="0" w:hanging="252"/>
              <w:jc w:val="left"/>
              <w:rPr/>
            </w:pPr>
            <w:r>
              <w:rPr>
                <w:rFonts w:ascii="Times New Roman;sans-serif" w:hAnsi="Times New Roman;sans-serif"/>
                <w:b w:val="false"/>
                <w:strike/>
                <w:color w:val="000000"/>
                <w:sz w:val="24"/>
              </w:rPr>
              <w:t>Attachment B(R2) – QADP Exercise Dates</w:t>
            </w:r>
            <w:r>
              <w:rPr>
                <w:color w:val="000000"/>
              </w:rPr>
              <w:t xml:space="preserve"> </w:t>
            </w:r>
            <w:r>
              <w:rPr>
                <w:rFonts w:ascii="Times New Roman;sans-serif" w:hAnsi="Times New Roman;sans-serif"/>
                <w:b w:val="false"/>
                <w:color w:val="000000"/>
                <w:sz w:val="24"/>
              </w:rPr>
              <w:t>WITHDRAWN</w:t>
            </w:r>
          </w:p>
        </w:tc>
        <w:tc>
          <w:tcPr>
            <w:tcW w:w="7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SA-11</w:t>
            </w:r>
          </w:p>
        </w:tc>
      </w:tr>
      <w:tr>
        <w:trPr/>
        <w:tc>
          <w:tcPr>
            <w:tcW w:w="2721" w:type="dxa"/>
            <w:gridSpan w:val="6"/>
            <w:tcBorders/>
            <w:shd w:fill="auto" w:val="clear"/>
            <w:tcMar>
              <w:top w:w="0" w:type="dxa"/>
              <w:left w:w="0" w:type="dxa"/>
              <w:bottom w:w="0" w:type="dxa"/>
              <w:right w:w="0" w:type="dxa"/>
            </w:tcMar>
            <w:vAlign w:val="center"/>
          </w:tcPr>
          <w:p>
            <w:pPr>
              <w:pStyle w:val="TableContents"/>
              <w:spacing w:before="20" w:after="283"/>
              <w:ind w:left="0" w:right="0" w:hanging="360"/>
              <w:rPr/>
            </w:pPr>
            <w:r>
              <w:rPr/>
            </w:r>
          </w:p>
        </w:tc>
        <w:tc>
          <w:tcPr>
            <w:tcW w:w="6757" w:type="dxa"/>
            <w:gridSpan w:val="3"/>
            <w:tcBorders/>
            <w:shd w:fill="auto" w:val="clear"/>
            <w:tcMar>
              <w:top w:w="0" w:type="dxa"/>
              <w:left w:w="0" w:type="dxa"/>
              <w:bottom w:w="0" w:type="dxa"/>
              <w:right w:w="0" w:type="dxa"/>
            </w:tcMar>
            <w:vAlign w:val="center"/>
          </w:tcPr>
          <w:p>
            <w:pPr>
              <w:pStyle w:val="TableContents"/>
              <w:spacing w:lineRule="auto" w:line="240" w:before="20" w:after="283"/>
              <w:ind w:left="0" w:right="0" w:hanging="252"/>
              <w:jc w:val="left"/>
              <w:rPr>
                <w:rFonts w:ascii="Times New Roman;sans-serif" w:hAnsi="Times New Roman;sans-serif"/>
                <w:b w:val="false"/>
                <w:strike/>
                <w:color w:val="000000"/>
                <w:sz w:val="24"/>
              </w:rPr>
            </w:pPr>
            <w:r>
              <w:rPr>
                <w:rFonts w:ascii="Times New Roman;sans-serif" w:hAnsi="Times New Roman;sans-serif"/>
                <w:b w:val="false"/>
                <w:strike/>
                <w:color w:val="000000"/>
                <w:sz w:val="24"/>
              </w:rPr>
              <w:t xml:space="preserve">Attachment C(R3) – MADP &amp; QADP Rights Aircraft: </w:t>
            </w:r>
          </w:p>
          <w:p>
            <w:pPr>
              <w:pStyle w:val="TableContents"/>
              <w:spacing w:lineRule="auto" w:line="240" w:before="20" w:after="283"/>
              <w:ind w:left="0" w:right="0" w:hanging="252"/>
              <w:jc w:val="left"/>
              <w:rPr/>
            </w:pPr>
            <w:r>
              <w:rPr>
                <w:rFonts w:ascii="Times New Roman;sans-serif" w:hAnsi="Times New Roman;sans-serif"/>
                <w:b w:val="false"/>
                <w:strike/>
                <w:color w:val="000000"/>
                <w:sz w:val="24"/>
              </w:rPr>
              <w:t>Description/Price Data</w:t>
            </w:r>
            <w:r>
              <w:rPr>
                <w:color w:val="000000"/>
              </w:rPr>
              <w:t xml:space="preserve"> </w:t>
            </w:r>
            <w:r>
              <w:rPr>
                <w:rFonts w:ascii="Times New Roman;sans-serif" w:hAnsi="Times New Roman;sans-serif"/>
                <w:b w:val="false"/>
                <w:color w:val="000000"/>
                <w:sz w:val="24"/>
              </w:rPr>
              <w:t>Attachment C(R4)</w:t>
            </w:r>
          </w:p>
        </w:tc>
        <w:tc>
          <w:tcPr>
            <w:tcW w:w="7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SA-11</w:t>
            </w:r>
          </w:p>
        </w:tc>
      </w:tr>
      <w:tr>
        <w:trPr/>
        <w:tc>
          <w:tcPr>
            <w:tcW w:w="2721" w:type="dxa"/>
            <w:gridSpan w:val="6"/>
            <w:tcBorders/>
            <w:shd w:fill="auto" w:val="clear"/>
            <w:tcMar>
              <w:top w:w="0" w:type="dxa"/>
              <w:left w:w="0" w:type="dxa"/>
              <w:bottom w:w="0" w:type="dxa"/>
              <w:right w:w="0" w:type="dxa"/>
            </w:tcMar>
            <w:vAlign w:val="center"/>
          </w:tcPr>
          <w:p>
            <w:pPr>
              <w:pStyle w:val="TableContents"/>
              <w:spacing w:before="20" w:after="283"/>
              <w:ind w:left="0" w:right="0" w:hanging="360"/>
              <w:rPr/>
            </w:pPr>
            <w:r>
              <w:rPr/>
            </w:r>
          </w:p>
        </w:tc>
        <w:tc>
          <w:tcPr>
            <w:tcW w:w="6757" w:type="dxa"/>
            <w:gridSpan w:val="3"/>
            <w:tcBorders/>
            <w:shd w:fill="auto" w:val="clear"/>
            <w:tcMar>
              <w:top w:w="0" w:type="dxa"/>
              <w:left w:w="0" w:type="dxa"/>
              <w:bottom w:w="0" w:type="dxa"/>
              <w:right w:w="0" w:type="dxa"/>
            </w:tcMar>
            <w:vAlign w:val="center"/>
          </w:tcPr>
          <w:p>
            <w:pPr>
              <w:pStyle w:val="TableContents"/>
              <w:spacing w:lineRule="auto" w:line="240" w:before="20" w:after="283"/>
              <w:ind w:left="0" w:right="0" w:hanging="252"/>
              <w:jc w:val="left"/>
              <w:rPr>
                <w:rFonts w:ascii="Times New Roman;sans-serif" w:hAnsi="Times New Roman;sans-serif"/>
                <w:b w:val="false"/>
                <w:color w:val="000000"/>
                <w:sz w:val="24"/>
              </w:rPr>
            </w:pPr>
            <w:r>
              <w:rPr>
                <w:rFonts w:ascii="Times New Roman;sans-serif" w:hAnsi="Times New Roman;sans-serif"/>
                <w:b w:val="false"/>
                <w:color w:val="000000"/>
                <w:sz w:val="24"/>
              </w:rPr>
              <w:t>Attachment D – Form of Purchase Agreement Supplement</w:t>
            </w:r>
          </w:p>
        </w:tc>
        <w:tc>
          <w:tcPr>
            <w:tcW w:w="727" w:type="dxa"/>
            <w:gridSpan w:val="3"/>
            <w:tcBorders/>
            <w:shd w:fill="auto" w:val="clear"/>
            <w:tcMar>
              <w:top w:w="0" w:type="dxa"/>
              <w:left w:w="0" w:type="dxa"/>
              <w:bottom w:w="0" w:type="dxa"/>
              <w:right w:w="0" w:type="dxa"/>
            </w:tcMar>
            <w:vAlign w:val="center"/>
          </w:tcPr>
          <w:p>
            <w:pPr>
              <w:pStyle w:val="TableContents"/>
              <w:spacing w:lineRule="auto" w:line="240" w:before="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SA-11</w:t>
            </w:r>
          </w:p>
        </w:tc>
      </w:tr>
      <w:tr>
        <w:trPr/>
        <w:tc>
          <w:tcPr>
            <w:tcW w:w="1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7"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Attachment E – Letter Agreements To Be Included In Purchase Agreement Supplement</w:t>
            </w:r>
          </w:p>
        </w:tc>
        <w:tc>
          <w:tcPr>
            <w:tcW w:w="7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SA-6</w:t>
            </w:r>
          </w:p>
        </w:tc>
      </w:tr>
      <w:tr>
        <w:trPr/>
        <w:tc>
          <w:tcPr>
            <w:tcW w:w="2721" w:type="dxa"/>
            <w:gridSpan w:val="6"/>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strike/>
                <w:color w:val="000000"/>
                <w:sz w:val="24"/>
              </w:rPr>
            </w:pPr>
            <w:r>
              <w:rPr>
                <w:rFonts w:ascii="Times New Roman;sans-serif" w:hAnsi="Times New Roman;sans-serif"/>
                <w:b w:val="false"/>
                <w:strike/>
                <w:color w:val="000000"/>
                <w:sz w:val="24"/>
              </w:rPr>
              <w:t>6-1162-TRW-0665</w:t>
            </w:r>
          </w:p>
        </w:tc>
        <w:tc>
          <w:tcPr>
            <w:tcW w:w="6757"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pP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4"/>
              </w:rPr>
              <w:t>WITHDRAWN</w:t>
            </w:r>
          </w:p>
        </w:tc>
        <w:tc>
          <w:tcPr>
            <w:tcW w:w="7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SA-3</w:t>
            </w:r>
          </w:p>
        </w:tc>
      </w:tr>
      <w:tr>
        <w:trPr/>
        <w:tc>
          <w:tcPr>
            <w:tcW w:w="2721" w:type="dxa"/>
            <w:gridSpan w:val="6"/>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strike/>
                <w:color w:val="000000"/>
                <w:sz w:val="24"/>
              </w:rPr>
            </w:pPr>
            <w:r>
              <w:rPr>
                <w:rFonts w:ascii="Times New Roman;sans-serif" w:hAnsi="Times New Roman;sans-serif"/>
                <w:b w:val="false"/>
                <w:strike/>
                <w:color w:val="000000"/>
                <w:sz w:val="24"/>
              </w:rPr>
              <w:t>6-1162-TRW-0666</w:t>
            </w:r>
          </w:p>
        </w:tc>
        <w:tc>
          <w:tcPr>
            <w:tcW w:w="6757"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pPr>
            <w:r>
              <w:rPr>
                <w:rFonts w:ascii="Times New Roman;sans-serif" w:hAnsi="Times New Roman;sans-serif"/>
                <w:b w:val="false"/>
                <w:color w:val="000000"/>
                <w:sz w:val="22"/>
              </w:rPr>
              <w:t xml:space="preserve">[****] </w:t>
            </w:r>
            <w:r>
              <w:rPr>
                <w:rFonts w:ascii="Times New Roman;sans-serif" w:hAnsi="Times New Roman;sans-serif"/>
                <w:b w:val="false"/>
                <w:color w:val="000000"/>
                <w:sz w:val="24"/>
              </w:rPr>
              <w:t>WITHDRAWN</w:t>
            </w:r>
          </w:p>
        </w:tc>
        <w:tc>
          <w:tcPr>
            <w:tcW w:w="7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SA-3</w:t>
            </w:r>
          </w:p>
        </w:tc>
      </w:tr>
      <w:tr>
        <w:trPr/>
        <w:tc>
          <w:tcPr>
            <w:tcW w:w="2721" w:type="dxa"/>
            <w:gridSpan w:val="6"/>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6-1162-TRW-0667R3</w:t>
            </w:r>
          </w:p>
        </w:tc>
        <w:tc>
          <w:tcPr>
            <w:tcW w:w="6757"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SA-11</w:t>
            </w:r>
          </w:p>
        </w:tc>
      </w:tr>
      <w:tr>
        <w:trPr/>
        <w:tc>
          <w:tcPr>
            <w:tcW w:w="2721" w:type="dxa"/>
            <w:gridSpan w:val="6"/>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6-1162-TRW-0668R1</w:t>
            </w:r>
          </w:p>
        </w:tc>
        <w:tc>
          <w:tcPr>
            <w:tcW w:w="6757"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Special Matters Relating to COTS Software and End User License Agreements</w:t>
            </w:r>
          </w:p>
        </w:tc>
        <w:tc>
          <w:tcPr>
            <w:tcW w:w="7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SA-3</w:t>
            </w:r>
          </w:p>
        </w:tc>
      </w:tr>
      <w:tr>
        <w:trPr/>
        <w:tc>
          <w:tcPr>
            <w:tcW w:w="2721" w:type="dxa"/>
            <w:gridSpan w:val="6"/>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6-1162-TRW-0670R1</w:t>
            </w:r>
          </w:p>
        </w:tc>
        <w:tc>
          <w:tcPr>
            <w:tcW w:w="6757"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Miscellaneous Commitments for Model 787 Aircraft</w:t>
            </w:r>
          </w:p>
        </w:tc>
        <w:tc>
          <w:tcPr>
            <w:tcW w:w="7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SA-3</w:t>
            </w:r>
          </w:p>
        </w:tc>
      </w:tr>
      <w:tr>
        <w:trPr/>
        <w:tc>
          <w:tcPr>
            <w:tcW w:w="2721" w:type="dxa"/>
            <w:gridSpan w:val="6"/>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strike/>
                <w:color w:val="000000"/>
                <w:sz w:val="24"/>
              </w:rPr>
            </w:pPr>
            <w:r>
              <w:rPr>
                <w:rFonts w:ascii="Times New Roman;sans-serif" w:hAnsi="Times New Roman;sans-serif"/>
                <w:b w:val="false"/>
                <w:strike/>
                <w:color w:val="000000"/>
                <w:sz w:val="24"/>
              </w:rPr>
              <w:t>6-1162-TRW-0671</w:t>
            </w:r>
          </w:p>
        </w:tc>
        <w:tc>
          <w:tcPr>
            <w:tcW w:w="6757"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pP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4"/>
              </w:rPr>
              <w:t>WITHDRAWN</w:t>
            </w:r>
          </w:p>
        </w:tc>
        <w:tc>
          <w:tcPr>
            <w:tcW w:w="7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SA-3</w:t>
            </w:r>
          </w:p>
        </w:tc>
      </w:tr>
      <w:tr>
        <w:trPr/>
        <w:tc>
          <w:tcPr>
            <w:tcW w:w="2721" w:type="dxa"/>
            <w:gridSpan w:val="6"/>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6-1162-TRW-0672R1</w:t>
            </w:r>
          </w:p>
        </w:tc>
        <w:tc>
          <w:tcPr>
            <w:tcW w:w="6757"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Promotional Support Agreement</w:t>
            </w:r>
          </w:p>
        </w:tc>
        <w:tc>
          <w:tcPr>
            <w:tcW w:w="7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SA-3</w:t>
            </w:r>
          </w:p>
        </w:tc>
      </w:tr>
      <w:tr>
        <w:trPr/>
        <w:tc>
          <w:tcPr>
            <w:tcW w:w="2721" w:type="dxa"/>
            <w:gridSpan w:val="6"/>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6-1162-TRW-0673R1</w:t>
            </w:r>
          </w:p>
        </w:tc>
        <w:tc>
          <w:tcPr>
            <w:tcW w:w="6757"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Confidentiality</w:t>
            </w:r>
          </w:p>
        </w:tc>
        <w:tc>
          <w:tcPr>
            <w:tcW w:w="7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SA-3</w:t>
            </w:r>
          </w:p>
        </w:tc>
      </w:tr>
      <w:tr>
        <w:trPr/>
        <w:tc>
          <w:tcPr>
            <w:tcW w:w="2721" w:type="dxa"/>
            <w:gridSpan w:val="6"/>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6-1162-TRW-0674R4</w:t>
            </w:r>
          </w:p>
        </w:tc>
        <w:tc>
          <w:tcPr>
            <w:tcW w:w="6757"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Business Considerations</w:t>
            </w:r>
          </w:p>
        </w:tc>
        <w:tc>
          <w:tcPr>
            <w:tcW w:w="7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SA-11</w:t>
            </w:r>
          </w:p>
        </w:tc>
      </w:tr>
      <w:tr>
        <w:trPr/>
        <w:tc>
          <w:tcPr>
            <w:tcW w:w="2721" w:type="dxa"/>
            <w:gridSpan w:val="6"/>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AAL-PA-3219-LA-08836R2</w:t>
            </w:r>
          </w:p>
        </w:tc>
        <w:tc>
          <w:tcPr>
            <w:tcW w:w="6757"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SA-11</w:t>
            </w:r>
          </w:p>
        </w:tc>
      </w:tr>
      <w:tr>
        <w:trPr/>
        <w:tc>
          <w:tcPr>
            <w:tcW w:w="2721" w:type="dxa"/>
            <w:gridSpan w:val="6"/>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AAL-PA-3219-LA-08837R1</w:t>
            </w:r>
          </w:p>
        </w:tc>
        <w:tc>
          <w:tcPr>
            <w:tcW w:w="6757"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SA-6</w:t>
            </w:r>
          </w:p>
        </w:tc>
      </w:tr>
      <w:tr>
        <w:trPr/>
        <w:tc>
          <w:tcPr>
            <w:tcW w:w="2721" w:type="dxa"/>
            <w:gridSpan w:val="6"/>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AAL-PA-3219-LA-08838</w:t>
            </w:r>
          </w:p>
        </w:tc>
        <w:tc>
          <w:tcPr>
            <w:tcW w:w="6757"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pPr>
            <w:r>
              <w:rPr>
                <w:rFonts w:ascii="Times New Roman;sans-serif" w:hAnsi="Times New Roman;sans-serif"/>
                <w:b w:val="false"/>
                <w:color w:val="000000"/>
                <w:sz w:val="22"/>
              </w:rPr>
              <w:t>[****]</w:t>
            </w:r>
            <w:r>
              <w:rPr>
                <w:color w:val="000000"/>
              </w:rPr>
              <w:t xml:space="preserve"> </w:t>
            </w:r>
          </w:p>
        </w:tc>
        <w:tc>
          <w:tcPr>
            <w:tcW w:w="7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SA-3</w:t>
            </w:r>
          </w:p>
        </w:tc>
      </w:tr>
      <w:tr>
        <w:trPr/>
        <w:tc>
          <w:tcPr>
            <w:tcW w:w="2721" w:type="dxa"/>
            <w:gridSpan w:val="6"/>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AAL-LA-1106678</w:t>
            </w:r>
          </w:p>
        </w:tc>
        <w:tc>
          <w:tcPr>
            <w:tcW w:w="6757"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SA-3</w:t>
            </w:r>
          </w:p>
        </w:tc>
      </w:tr>
      <w:tr>
        <w:trPr/>
        <w:tc>
          <w:tcPr>
            <w:tcW w:w="2721" w:type="dxa"/>
            <w:gridSpan w:val="6"/>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pPr>
            <w:r>
              <w:rPr>
                <w:rFonts w:ascii="Times New Roman;sans-serif" w:hAnsi="Times New Roman;sans-serif"/>
                <w:b w:val="false"/>
                <w:color w:val="000000"/>
                <w:sz w:val="22"/>
              </w:rPr>
              <w:t>AAL-PA-3219-LA-1302236R</w:t>
            </w:r>
            <w:r>
              <w:rPr>
                <w:rFonts w:ascii="Times New Roman;sans-serif" w:hAnsi="Times New Roman;sans-serif"/>
                <w:b w:val="false"/>
                <w:color w:val="000000"/>
                <w:sz w:val="24"/>
              </w:rPr>
              <w:t>2</w:t>
            </w:r>
          </w:p>
        </w:tc>
        <w:tc>
          <w:tcPr>
            <w:tcW w:w="6757"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SA-13</w:t>
            </w:r>
          </w:p>
        </w:tc>
      </w:tr>
      <w:tr>
        <w:trPr/>
        <w:tc>
          <w:tcPr>
            <w:tcW w:w="2721" w:type="dxa"/>
            <w:gridSpan w:val="6"/>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AAL-PA-3219-LA-1604503R1</w:t>
            </w:r>
          </w:p>
        </w:tc>
        <w:tc>
          <w:tcPr>
            <w:tcW w:w="6757"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787 Business Matters</w:t>
            </w:r>
          </w:p>
        </w:tc>
        <w:tc>
          <w:tcPr>
            <w:tcW w:w="7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SA-8</w:t>
            </w:r>
          </w:p>
        </w:tc>
      </w:tr>
      <w:tr>
        <w:trPr/>
        <w:tc>
          <w:tcPr>
            <w:tcW w:w="2721" w:type="dxa"/>
            <w:gridSpan w:val="6"/>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AAL-PA-03219-LA-1701988</w:t>
            </w:r>
          </w:p>
        </w:tc>
        <w:tc>
          <w:tcPr>
            <w:tcW w:w="6757"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SA-10</w:t>
            </w:r>
          </w:p>
        </w:tc>
      </w:tr>
      <w:tr>
        <w:trPr/>
        <w:tc>
          <w:tcPr>
            <w:tcW w:w="2721" w:type="dxa"/>
            <w:gridSpan w:val="6"/>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AAL-PA-03219_LA-1804779</w:t>
            </w:r>
          </w:p>
        </w:tc>
        <w:tc>
          <w:tcPr>
            <w:tcW w:w="6757"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27"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1008"/>
              <w:jc w:val="center"/>
              <w:rPr>
                <w:rFonts w:ascii="Times New Roman;sans-serif" w:hAnsi="Times New Roman;sans-serif"/>
                <w:b w:val="false"/>
                <w:color w:val="000000"/>
                <w:sz w:val="24"/>
              </w:rPr>
            </w:pPr>
            <w:r>
              <w:rPr>
                <w:rFonts w:ascii="Times New Roman;sans-serif" w:hAnsi="Times New Roman;sans-serif"/>
                <w:b w:val="false"/>
                <w:color w:val="000000"/>
                <w:sz w:val="24"/>
              </w:rPr>
              <w:t>SA-11</w:t>
            </w:r>
          </w:p>
        </w:tc>
      </w:tr>
      <w:tr>
        <w:trPr/>
        <w:tc>
          <w:tcPr>
            <w:tcW w:w="2721" w:type="dxa"/>
            <w:gridSpan w:val="6"/>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AAL-PA-03219-LA-1802262R1</w:t>
            </w:r>
          </w:p>
        </w:tc>
        <w:tc>
          <w:tcPr>
            <w:tcW w:w="6757"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27"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1008"/>
              <w:jc w:val="center"/>
              <w:rPr>
                <w:rFonts w:ascii="Times New Roman;sans-serif" w:hAnsi="Times New Roman;sans-serif"/>
                <w:b w:val="false"/>
                <w:color w:val="000000"/>
                <w:sz w:val="24"/>
              </w:rPr>
            </w:pPr>
            <w:r>
              <w:rPr>
                <w:rFonts w:ascii="Times New Roman;sans-serif" w:hAnsi="Times New Roman;sans-serif"/>
                <w:b w:val="false"/>
                <w:color w:val="000000"/>
                <w:sz w:val="24"/>
              </w:rPr>
              <w:t>SA-12</w:t>
            </w:r>
          </w:p>
        </w:tc>
      </w:tr>
      <w:tr>
        <w:trPr/>
        <w:tc>
          <w:tcPr>
            <w:tcW w:w="2721" w:type="dxa"/>
            <w:gridSpan w:val="6"/>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AAL-PA-03219-LA-1802492</w:t>
            </w:r>
          </w:p>
        </w:tc>
        <w:tc>
          <w:tcPr>
            <w:tcW w:w="6757" w:type="dxa"/>
            <w:gridSpan w:val="3"/>
            <w:tcBorders/>
            <w:shd w:fill="auto" w:val="clear"/>
            <w:tcMar>
              <w:top w:w="0" w:type="dxa"/>
              <w:left w:w="0" w:type="dxa"/>
              <w:bottom w:w="0" w:type="dxa"/>
              <w:right w:w="0" w:type="dxa"/>
            </w:tcMar>
            <w:vAlign w:val="center"/>
          </w:tcPr>
          <w:p>
            <w:pPr>
              <w:pStyle w:val="TableContents"/>
              <w:spacing w:lineRule="auto" w:line="240"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Open Configuration Matters</w:t>
            </w:r>
          </w:p>
        </w:tc>
        <w:tc>
          <w:tcPr>
            <w:tcW w:w="727"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1008"/>
              <w:jc w:val="center"/>
              <w:rPr>
                <w:rFonts w:ascii="Times New Roman;sans-serif" w:hAnsi="Times New Roman;sans-serif"/>
                <w:b w:val="false"/>
                <w:color w:val="000000"/>
                <w:sz w:val="24"/>
              </w:rPr>
            </w:pPr>
            <w:r>
              <w:rPr>
                <w:rFonts w:ascii="Times New Roman;sans-serif" w:hAnsi="Times New Roman;sans-serif"/>
                <w:b w:val="false"/>
                <w:color w:val="000000"/>
                <w:sz w:val="24"/>
              </w:rPr>
              <w:t>SA-11</w:t>
            </w:r>
          </w:p>
        </w:tc>
      </w:tr>
      <w:tr>
        <w:trPr/>
        <w:tc>
          <w:tcPr>
            <w:tcW w:w="2721" w:type="dxa"/>
            <w:gridSpan w:val="6"/>
            <w:tcBorders/>
            <w:shd w:fill="auto" w:val="clear"/>
            <w:tcMar>
              <w:top w:w="0" w:type="dxa"/>
              <w:left w:w="0" w:type="dxa"/>
              <w:bottom w:w="0" w:type="dxa"/>
              <w:right w:w="0" w:type="dxa"/>
            </w:tcMar>
            <w:vAlign w:val="center"/>
          </w:tcPr>
          <w:p>
            <w:pPr>
              <w:pStyle w:val="TableContents"/>
              <w:spacing w:lineRule="auto" w:line="240" w:before="0" w:after="1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AAL-PA-3219-LA-2001170</w:t>
            </w:r>
          </w:p>
        </w:tc>
        <w:tc>
          <w:tcPr>
            <w:tcW w:w="6757"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27"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1008"/>
              <w:jc w:val="center"/>
              <w:rPr>
                <w:rFonts w:ascii="Times New Roman;sans-serif" w:hAnsi="Times New Roman;sans-serif"/>
                <w:b w:val="false"/>
                <w:color w:val="000000"/>
                <w:sz w:val="24"/>
              </w:rPr>
            </w:pPr>
            <w:r>
              <w:rPr>
                <w:rFonts w:ascii="Times New Roman;sans-serif" w:hAnsi="Times New Roman;sans-serif"/>
                <w:b w:val="false"/>
                <w:color w:val="000000"/>
                <w:sz w:val="24"/>
              </w:rPr>
              <w:t>SA-15</w:t>
            </w:r>
          </w:p>
        </w:tc>
      </w:tr>
      <w:tr>
        <w:trPr/>
        <w:tc>
          <w:tcPr>
            <w:tcW w:w="2721" w:type="dxa"/>
            <w:gridSpan w:val="6"/>
            <w:tcBorders/>
            <w:shd w:fill="auto" w:val="clear"/>
            <w:tcMar>
              <w:top w:w="0" w:type="dxa"/>
              <w:left w:w="0" w:type="dxa"/>
              <w:bottom w:w="0" w:type="dxa"/>
              <w:right w:w="0" w:type="dxa"/>
            </w:tcMar>
            <w:vAlign w:val="center"/>
          </w:tcPr>
          <w:p>
            <w:pPr>
              <w:pStyle w:val="TableContents"/>
              <w:spacing w:lineRule="auto" w:line="240" w:before="0" w:after="1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AAL-PA-3219-2101557</w:t>
            </w:r>
          </w:p>
        </w:tc>
        <w:tc>
          <w:tcPr>
            <w:tcW w:w="6757"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27"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1008"/>
              <w:jc w:val="center"/>
              <w:rPr>
                <w:rFonts w:ascii="Times New Roman;sans-serif" w:hAnsi="Times New Roman;sans-serif"/>
                <w:b w:val="false"/>
                <w:color w:val="000000"/>
                <w:sz w:val="24"/>
              </w:rPr>
            </w:pPr>
            <w:r>
              <w:rPr>
                <w:rFonts w:ascii="Times New Roman;sans-serif" w:hAnsi="Times New Roman;sans-serif"/>
                <w:b w:val="false"/>
                <w:color w:val="000000"/>
                <w:sz w:val="24"/>
              </w:rPr>
              <w:t>SA-16</w:t>
            </w:r>
          </w:p>
        </w:tc>
      </w:tr>
      <w:tr>
        <w:trPr/>
        <w:tc>
          <w:tcPr>
            <w:tcW w:w="2721" w:type="dxa"/>
            <w:gridSpan w:val="6"/>
            <w:tcBorders/>
            <w:shd w:fill="auto" w:val="clear"/>
            <w:tcMar>
              <w:top w:w="0" w:type="dxa"/>
              <w:left w:w="0" w:type="dxa"/>
              <w:bottom w:w="0" w:type="dxa"/>
              <w:right w:w="0" w:type="dxa"/>
            </w:tcMar>
            <w:vAlign w:val="center"/>
          </w:tcPr>
          <w:p>
            <w:pPr>
              <w:pStyle w:val="TableContents"/>
              <w:spacing w:lineRule="auto" w:line="240" w:before="0" w:after="10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AAL-LA-2100530</w:t>
            </w:r>
          </w:p>
        </w:tc>
        <w:tc>
          <w:tcPr>
            <w:tcW w:w="6757"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27"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1008"/>
              <w:jc w:val="center"/>
              <w:rPr>
                <w:rFonts w:ascii="Times New Roman;sans-serif" w:hAnsi="Times New Roman;sans-serif"/>
                <w:b w:val="false"/>
                <w:color w:val="000000"/>
                <w:sz w:val="24"/>
              </w:rPr>
            </w:pPr>
            <w:r>
              <w:rPr>
                <w:rFonts w:ascii="Times New Roman;sans-serif" w:hAnsi="Times New Roman;sans-serif"/>
                <w:b w:val="false"/>
                <w:color w:val="000000"/>
                <w:sz w:val="24"/>
              </w:rPr>
              <w:t>SA-16</w:t>
            </w:r>
          </w:p>
        </w:tc>
      </w:tr>
      <w:tr>
        <w:trPr/>
        <w:tc>
          <w:tcPr>
            <w:tcW w:w="2721" w:type="dxa"/>
            <w:gridSpan w:val="6"/>
            <w:tcBorders/>
            <w:shd w:fill="auto" w:val="clear"/>
            <w:tcMar>
              <w:top w:w="0" w:type="dxa"/>
              <w:left w:w="0" w:type="dxa"/>
              <w:bottom w:w="0" w:type="dxa"/>
              <w:right w:w="0" w:type="dxa"/>
            </w:tcMar>
            <w:vAlign w:val="center"/>
          </w:tcPr>
          <w:p>
            <w:pPr>
              <w:pStyle w:val="TableContents"/>
              <w:spacing w:lineRule="auto" w:line="240" w:before="0" w:after="100"/>
              <w:ind w:left="0" w:right="0" w:hanging="360"/>
              <w:jc w:val="left"/>
              <w:rPr>
                <w:rFonts w:ascii="Times New Roman;sans-serif" w:hAnsi="Times New Roman;sans-serif"/>
                <w:b/>
                <w:color w:val="000000"/>
                <w:sz w:val="24"/>
              </w:rPr>
            </w:pPr>
            <w:r>
              <w:rPr>
                <w:rFonts w:ascii="Times New Roman;sans-serif" w:hAnsi="Times New Roman;sans-serif"/>
                <w:b/>
                <w:color w:val="000000"/>
                <w:sz w:val="24"/>
              </w:rPr>
              <w:t>AAL-PA-3219-2300600</w:t>
            </w:r>
          </w:p>
        </w:tc>
        <w:tc>
          <w:tcPr>
            <w:tcW w:w="6757"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27"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1008"/>
              <w:jc w:val="center"/>
              <w:rPr>
                <w:rFonts w:ascii="Times New Roman;sans-serif" w:hAnsi="Times New Roman;sans-serif"/>
                <w:b/>
                <w:color w:val="000000"/>
                <w:sz w:val="24"/>
              </w:rPr>
            </w:pPr>
            <w:r>
              <w:rPr>
                <w:rFonts w:ascii="Times New Roman;sans-serif" w:hAnsi="Times New Roman;sans-serif"/>
                <w:b/>
                <w:color w:val="000000"/>
                <w:sz w:val="24"/>
              </w:rPr>
              <w:t>SA-18</w:t>
            </w:r>
          </w:p>
        </w:tc>
      </w:tr>
    </w:tbl>
    <w:p>
      <w:pPr>
        <w:pStyle w:val="TextBody"/>
        <w:spacing w:lineRule="auto" w:line="240" w:before="240" w:after="283"/>
        <w:jc w:val="center"/>
        <w:rPr>
          <w:rFonts w:ascii="Times New Roman;sans-serif" w:hAnsi="Times New Roman;sans-serif"/>
          <w:b w:val="false"/>
          <w:color w:val="000000"/>
          <w:sz w:val="24"/>
        </w:rPr>
      </w:pPr>
      <w:r>
        <w:br w:type="page"/>
      </w:r>
      <w:r>
        <w:rPr>
          <w:rFonts w:ascii="Times New Roman;sans-serif" w:hAnsi="Times New Roman;sans-serif"/>
          <w:b w:val="false"/>
          <w:color w:val="000000"/>
          <w:sz w:val="24"/>
        </w:rPr>
        <w:t>T</w:t>
      </w:r>
      <w:r>
        <w:rPr>
          <w:rFonts w:ascii="Times New Roman;sans-serif" w:hAnsi="Times New Roman;sans-serif"/>
          <w:b w:val="false"/>
          <w:color w:val="000000"/>
          <w:sz w:val="24"/>
        </w:rPr>
        <w:t>ABLE OF CONTENTS, continued</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857885"/>
                <wp:effectExtent l="0" t="0" r="0" b="0"/>
                <wp:wrapNone/>
                <wp:docPr id="101" name="Frame96"/>
                <a:graphic xmlns:a="http://schemas.openxmlformats.org/drawingml/2006/main">
                  <a:graphicData uri="http://schemas.microsoft.com/office/word/2010/wordprocessingShape">
                    <wps:wsp>
                      <wps:cNvSpPr txBox="1"/>
                      <wps:spPr>
                        <a:xfrm>
                          <a:off x="0" y="0"/>
                          <a:ext cx="6480175" cy="857885"/>
                        </a:xfrm>
                        <a:prstGeom prst="rect"/>
                      </wps:spPr>
                      <wps:txbx>
                        <w:txbxContent>
                          <w:p>
                            <w:pPr>
                              <w:pStyle w:val="TextBody"/>
                              <w:spacing w:lineRule="auto" w:line="240" w:before="240" w:after="283"/>
                              <w:rPr>
                                <w:rFonts w:ascii="Times New Roman;sans-serif" w:hAnsi="Times New Roman;sans-serif"/>
                                <w:b w:val="false"/>
                                <w:color w:val="000000"/>
                                <w:sz w:val="24"/>
                              </w:rPr>
                            </w:pPr>
                            <w:r>
                              <w:rPr>
                                <w:rFonts w:ascii="Times New Roman;sans-serif" w:hAnsi="Times New Roman;sans-serif"/>
                                <w:b w:val="false"/>
                                <w:color w:val="000000"/>
                                <w:sz w:val="24"/>
                              </w:rPr>
                              <w:t>P.A. No. 3219     SA-18</w:t>
                            </w:r>
                          </w:p>
                          <w:p>
                            <w:pPr>
                              <w:pStyle w:val="TextBody"/>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Table of Contents         Page 3</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BOEING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5pt;mso-wrap-distance-left:0pt;mso-wrap-distance-right:0pt;mso-wrap-distance-top:0pt;mso-wrap-distance-bottom:0pt;margin-top:0pt;mso-position-vertical:top;mso-position-vertical-relative:text;margin-left:-138.85pt;mso-position-horizontal:left;mso-position-horizontal-relative:text">
                <v:textbox>
                  <w:txbxContent>
                    <w:p>
                      <w:pPr>
                        <w:pStyle w:val="TextBody"/>
                        <w:spacing w:lineRule="auto" w:line="240" w:before="240" w:after="283"/>
                        <w:rPr>
                          <w:rFonts w:ascii="Times New Roman;sans-serif" w:hAnsi="Times New Roman;sans-serif"/>
                          <w:b w:val="false"/>
                          <w:color w:val="000000"/>
                          <w:sz w:val="24"/>
                        </w:rPr>
                      </w:pPr>
                      <w:r>
                        <w:rPr>
                          <w:rFonts w:ascii="Times New Roman;sans-serif" w:hAnsi="Times New Roman;sans-serif"/>
                          <w:b w:val="false"/>
                          <w:color w:val="000000"/>
                          <w:sz w:val="24"/>
                        </w:rPr>
                        <w:t>P.A. No. 3219     SA-18</w:t>
                      </w:r>
                    </w:p>
                    <w:p>
                      <w:pPr>
                        <w:pStyle w:val="TextBody"/>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Table of Contents         Page 3</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BOEING PROPRIETARY</w:t>
                      </w:r>
                    </w:p>
                  </w:txbxContent>
                </v:textbox>
              </v:rect>
            </w:pict>
          </mc:Fallback>
        </mc:AlternateContent>
      </w:r>
    </w:p>
    <w:p>
      <w:pPr>
        <w:pStyle w:val="TextBody"/>
        <w:spacing w:before="0" w:after="0"/>
        <w:rPr/>
      </w:pPr>
      <w:r>
        <w:rPr/>
      </w:r>
    </w:p>
    <w:tbl>
      <w:tblPr>
        <w:tblW w:w="8202" w:type="dxa"/>
        <w:jc w:val="left"/>
        <w:tblInd w:w="0" w:type="dxa"/>
        <w:tblCellMar>
          <w:top w:w="28" w:type="dxa"/>
          <w:left w:w="28" w:type="dxa"/>
          <w:bottom w:w="28" w:type="dxa"/>
          <w:right w:w="28" w:type="dxa"/>
        </w:tblCellMar>
      </w:tblPr>
      <w:tblGrid>
        <w:gridCol w:w="360"/>
        <w:gridCol w:w="317"/>
        <w:gridCol w:w="317"/>
        <w:gridCol w:w="317"/>
        <w:gridCol w:w="317"/>
        <w:gridCol w:w="320"/>
        <w:gridCol w:w="1823"/>
        <w:gridCol w:w="1823"/>
        <w:gridCol w:w="1829"/>
        <w:gridCol w:w="228"/>
        <w:gridCol w:w="228"/>
        <w:gridCol w:w="323"/>
      </w:tblGrid>
      <w:tr>
        <w:trPr/>
        <w:tc>
          <w:tcPr>
            <w:tcW w:w="360"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823" w:type="dxa"/>
            <w:tcBorders/>
            <w:shd w:fill="auto" w:val="clear"/>
            <w:vAlign w:val="center"/>
          </w:tcPr>
          <w:p>
            <w:pPr>
              <w:pStyle w:val="TableContents"/>
              <w:spacing w:before="0" w:after="283"/>
              <w:rPr>
                <w:sz w:val="4"/>
                <w:szCs w:val="4"/>
              </w:rPr>
            </w:pPr>
            <w:r>
              <w:rPr>
                <w:sz w:val="4"/>
                <w:szCs w:val="4"/>
              </w:rPr>
            </w:r>
          </w:p>
        </w:tc>
        <w:tc>
          <w:tcPr>
            <w:tcW w:w="1823" w:type="dxa"/>
            <w:tcBorders/>
            <w:shd w:fill="auto" w:val="clear"/>
            <w:vAlign w:val="center"/>
          </w:tcPr>
          <w:p>
            <w:pPr>
              <w:pStyle w:val="TableContents"/>
              <w:spacing w:before="0" w:after="283"/>
              <w:rPr>
                <w:sz w:val="4"/>
                <w:szCs w:val="4"/>
              </w:rPr>
            </w:pPr>
            <w:r>
              <w:rPr>
                <w:sz w:val="4"/>
                <w:szCs w:val="4"/>
              </w:rPr>
            </w:r>
          </w:p>
        </w:tc>
        <w:tc>
          <w:tcPr>
            <w:tcW w:w="182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r>
      <w:tr>
        <w:trPr/>
        <w:tc>
          <w:tcPr>
            <w:tcW w:w="1948" w:type="dxa"/>
            <w:gridSpan w:val="6"/>
            <w:tcBorders/>
            <w:shd w:fill="auto" w:val="clear"/>
            <w:tcMar>
              <w:top w:w="0" w:type="dxa"/>
              <w:left w:w="0" w:type="dxa"/>
              <w:bottom w:w="0" w:type="dxa"/>
              <w:right w:w="0" w:type="dxa"/>
            </w:tcMar>
            <w:vAlign w:val="center"/>
          </w:tcPr>
          <w:p>
            <w:pPr>
              <w:pStyle w:val="TableContents"/>
              <w:spacing w:lineRule="auto" w:line="240" w:before="120" w:after="100"/>
              <w:ind w:left="0" w:right="0" w:hanging="36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ATTACHMENTS</w:t>
            </w:r>
          </w:p>
        </w:tc>
        <w:tc>
          <w:tcPr>
            <w:tcW w:w="5475" w:type="dxa"/>
            <w:gridSpan w:val="3"/>
            <w:tcBorders/>
            <w:shd w:fill="auto" w:val="clear"/>
            <w:tcMar>
              <w:top w:w="0" w:type="dxa"/>
              <w:left w:w="0" w:type="dxa"/>
              <w:bottom w:w="0" w:type="dxa"/>
              <w:right w:w="0" w:type="dxa"/>
            </w:tcMar>
            <w:vAlign w:val="center"/>
          </w:tcPr>
          <w:p>
            <w:pPr>
              <w:pStyle w:val="TableContents"/>
              <w:spacing w:before="120" w:after="283"/>
              <w:ind w:left="0" w:right="0" w:hanging="360"/>
              <w:rPr/>
            </w:pPr>
            <w:r>
              <w:rPr/>
            </w:r>
          </w:p>
        </w:tc>
        <w:tc>
          <w:tcPr>
            <w:tcW w:w="779" w:type="dxa"/>
            <w:gridSpan w:val="3"/>
            <w:tcBorders/>
            <w:shd w:fill="auto" w:val="clear"/>
            <w:tcMar>
              <w:top w:w="0" w:type="dxa"/>
              <w:left w:w="0" w:type="dxa"/>
              <w:bottom w:w="0" w:type="dxa"/>
              <w:right w:w="0" w:type="dxa"/>
            </w:tcMar>
            <w:vAlign w:val="center"/>
          </w:tcPr>
          <w:p>
            <w:pPr>
              <w:pStyle w:val="TableContents"/>
              <w:spacing w:before="120" w:after="283"/>
              <w:ind w:left="0" w:right="0" w:hanging="360"/>
              <w:rPr/>
            </w:pPr>
            <w:r>
              <w:rPr/>
            </w:r>
          </w:p>
        </w:tc>
      </w:tr>
      <w:tr>
        <w:trPr/>
        <w:tc>
          <w:tcPr>
            <w:tcW w:w="1948" w:type="dxa"/>
            <w:gridSpan w:val="6"/>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Attachment 1</w:t>
            </w:r>
          </w:p>
        </w:tc>
        <w:tc>
          <w:tcPr>
            <w:tcW w:w="5475"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Schedule for [****] of 787-9 MADP Rights</w:t>
            </w:r>
          </w:p>
        </w:tc>
        <w:tc>
          <w:tcPr>
            <w:tcW w:w="779"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SA-11</w:t>
            </w:r>
          </w:p>
        </w:tc>
      </w:tr>
      <w:tr>
        <w:trPr/>
        <w:tc>
          <w:tcPr>
            <w:tcW w:w="1948" w:type="dxa"/>
            <w:gridSpan w:val="6"/>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Attachment 2</w:t>
            </w:r>
          </w:p>
        </w:tc>
        <w:tc>
          <w:tcPr>
            <w:tcW w:w="5475"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Schedule for [****] of 787-9 QADP Rights</w:t>
            </w:r>
          </w:p>
        </w:tc>
        <w:tc>
          <w:tcPr>
            <w:tcW w:w="779"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SA-11</w:t>
            </w:r>
          </w:p>
        </w:tc>
      </w:tr>
      <w:tr>
        <w:trPr/>
        <w:tc>
          <w:tcPr>
            <w:tcW w:w="1948" w:type="dxa"/>
            <w:gridSpan w:val="6"/>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Attachment 3</w:t>
            </w:r>
          </w:p>
        </w:tc>
        <w:tc>
          <w:tcPr>
            <w:tcW w:w="5475"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787-9 Purchase Rights Aircraft [****] Delivery Schedule</w:t>
            </w:r>
          </w:p>
        </w:tc>
        <w:tc>
          <w:tcPr>
            <w:tcW w:w="779"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SA-11</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857885"/>
                <wp:effectExtent l="0" t="0" r="0" b="0"/>
                <wp:wrapNone/>
                <wp:docPr id="102" name="Frame97"/>
                <a:graphic xmlns:a="http://schemas.openxmlformats.org/drawingml/2006/main">
                  <a:graphicData uri="http://schemas.microsoft.com/office/word/2010/wordprocessingShape">
                    <wps:wsp>
                      <wps:cNvSpPr txBox="1"/>
                      <wps:spPr>
                        <a:xfrm>
                          <a:off x="0" y="0"/>
                          <a:ext cx="6480175" cy="857885"/>
                        </a:xfrm>
                        <a:prstGeom prst="rect"/>
                      </wps:spPr>
                      <wps:txbx>
                        <w:txbxContent>
                          <w:p>
                            <w:pPr>
                              <w:pStyle w:val="TextBody"/>
                              <w:spacing w:lineRule="auto" w:line="240" w:before="240" w:after="283"/>
                              <w:rPr>
                                <w:rFonts w:ascii="Times New Roman;sans-serif" w:hAnsi="Times New Roman;sans-serif"/>
                                <w:b w:val="false"/>
                                <w:color w:val="000000"/>
                                <w:sz w:val="24"/>
                              </w:rPr>
                            </w:pPr>
                            <w:r>
                              <w:rPr>
                                <w:rFonts w:ascii="Times New Roman;sans-serif" w:hAnsi="Times New Roman;sans-serif"/>
                                <w:b w:val="false"/>
                                <w:color w:val="000000"/>
                                <w:sz w:val="24"/>
                              </w:rPr>
                              <w:t>P.A. No. 3219     SA-18</w:t>
                            </w:r>
                          </w:p>
                          <w:p>
                            <w:pPr>
                              <w:pStyle w:val="TextBody"/>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Table of Contents         Page 4</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BOEING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rPr>
                          <w:rFonts w:ascii="Times New Roman;sans-serif" w:hAnsi="Times New Roman;sans-serif"/>
                          <w:b w:val="false"/>
                          <w:color w:val="000000"/>
                          <w:sz w:val="24"/>
                        </w:rPr>
                      </w:pPr>
                      <w:r>
                        <w:rPr>
                          <w:rFonts w:ascii="Times New Roman;sans-serif" w:hAnsi="Times New Roman;sans-serif"/>
                          <w:b w:val="false"/>
                          <w:color w:val="000000"/>
                          <w:sz w:val="24"/>
                        </w:rPr>
                        <w:t>P.A. No. 3219     SA-18</w:t>
                      </w:r>
                    </w:p>
                    <w:p>
                      <w:pPr>
                        <w:pStyle w:val="TextBody"/>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Table of Contents         Page 4</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BOEING PROPRIETARY</w:t>
                      </w:r>
                    </w:p>
                  </w:txbxContent>
                </v:textbox>
              </v:rect>
            </w:pict>
          </mc:Fallback>
        </mc:AlternateContent>
      </w:r>
    </w:p>
    <w:tbl>
      <w:tblPr>
        <w:tblW w:w="9374" w:type="dxa"/>
        <w:jc w:val="center"/>
        <w:tblInd w:w="0" w:type="dxa"/>
        <w:tblCellMar>
          <w:top w:w="28" w:type="dxa"/>
          <w:left w:w="28" w:type="dxa"/>
          <w:bottom w:w="28" w:type="dxa"/>
          <w:right w:w="28" w:type="dxa"/>
        </w:tblCellMar>
      </w:tblPr>
      <w:tblGrid>
        <w:gridCol w:w="3002"/>
        <w:gridCol w:w="2639"/>
        <w:gridCol w:w="3733"/>
      </w:tblGrid>
      <w:tr>
        <w:trPr/>
        <w:tc>
          <w:tcPr>
            <w:tcW w:w="3002" w:type="dxa"/>
            <w:tcBorders/>
            <w:shd w:fill="auto" w:val="clear"/>
            <w:vAlign w:val="center"/>
          </w:tcPr>
          <w:p>
            <w:pPr>
              <w:pStyle w:val="TableContents"/>
              <w:spacing w:before="0" w:after="283"/>
              <w:rPr>
                <w:sz w:val="4"/>
                <w:szCs w:val="4"/>
              </w:rPr>
            </w:pPr>
            <w:r>
              <w:rPr>
                <w:sz w:val="4"/>
                <w:szCs w:val="4"/>
              </w:rPr>
            </w:r>
          </w:p>
        </w:tc>
        <w:tc>
          <w:tcPr>
            <w:tcW w:w="2639" w:type="dxa"/>
            <w:tcBorders/>
            <w:shd w:fill="auto" w:val="clear"/>
            <w:vAlign w:val="center"/>
          </w:tcPr>
          <w:p>
            <w:pPr>
              <w:pStyle w:val="TableContents"/>
              <w:spacing w:before="0" w:after="283"/>
              <w:rPr>
                <w:sz w:val="4"/>
                <w:szCs w:val="4"/>
              </w:rPr>
            </w:pPr>
            <w:r>
              <w:rPr>
                <w:sz w:val="4"/>
                <w:szCs w:val="4"/>
              </w:rPr>
            </w:r>
          </w:p>
        </w:tc>
        <w:tc>
          <w:tcPr>
            <w:tcW w:w="3733" w:type="dxa"/>
            <w:tcBorders/>
            <w:shd w:fill="auto" w:val="clear"/>
            <w:vAlign w:val="center"/>
          </w:tcPr>
          <w:p>
            <w:pPr>
              <w:pStyle w:val="TableContents"/>
              <w:spacing w:before="0" w:after="283"/>
              <w:rPr>
                <w:sz w:val="4"/>
                <w:szCs w:val="4"/>
              </w:rPr>
            </w:pPr>
            <w:r>
              <w:rPr>
                <w:sz w:val="4"/>
                <w:szCs w:val="4"/>
              </w:rPr>
            </w:r>
          </w:p>
        </w:tc>
      </w:tr>
      <w:tr>
        <w:trPr/>
        <w:tc>
          <w:tcPr>
            <w:tcW w:w="9374" w:type="dxa"/>
            <w:gridSpan w:val="3"/>
            <w:tcBorders/>
            <w:shd w:fill="FFFFFF" w:val="clear"/>
            <w:tcMar>
              <w:top w:w="0" w:type="dxa"/>
              <w:left w:w="0" w:type="dxa"/>
              <w:bottom w:w="0" w:type="dxa"/>
              <w:right w:w="0" w:type="dxa"/>
            </w:tcMar>
            <w:vAlign w:val="center"/>
          </w:tcPr>
          <w:p>
            <w:pPr>
              <w:pStyle w:val="TableContents"/>
              <w:spacing w:lineRule="auto" w:line="240" w:before="9" w:after="283"/>
              <w:jc w:val="center"/>
              <w:rPr>
                <w:rFonts w:ascii="Times New Roman;sans-serif" w:hAnsi="Times New Roman;sans-serif"/>
                <w:b/>
                <w:color w:val="000000"/>
                <w:sz w:val="25"/>
              </w:rPr>
            </w:pPr>
            <w:r>
              <w:rPr>
                <w:rFonts w:ascii="Times New Roman;sans-serif" w:hAnsi="Times New Roman;sans-serif"/>
                <w:b/>
                <w:color w:val="000000"/>
                <w:sz w:val="25"/>
              </w:rPr>
              <w:t>Table 6R3 To</w:t>
            </w:r>
          </w:p>
          <w:p>
            <w:pPr>
              <w:pStyle w:val="TableContents"/>
              <w:spacing w:lineRule="auto" w:line="240" w:before="24" w:after="283"/>
              <w:jc w:val="center"/>
              <w:rPr>
                <w:rFonts w:ascii="Times New Roman;sans-serif" w:hAnsi="Times New Roman;sans-serif"/>
                <w:b/>
                <w:color w:val="000000"/>
                <w:sz w:val="25"/>
              </w:rPr>
            </w:pPr>
            <w:r>
              <w:rPr>
                <w:rFonts w:ascii="Times New Roman;sans-serif" w:hAnsi="Times New Roman;sans-serif"/>
                <w:b/>
                <w:color w:val="000000"/>
                <w:sz w:val="25"/>
              </w:rPr>
              <w:t>Purchase Agreement No. PA-03219</w:t>
            </w:r>
          </w:p>
          <w:p>
            <w:pPr>
              <w:pStyle w:val="TableContents"/>
              <w:spacing w:lineRule="auto" w:line="240" w:before="25" w:after="283"/>
              <w:jc w:val="center"/>
              <w:rPr>
                <w:rFonts w:ascii="Times New Roman;sans-serif" w:hAnsi="Times New Roman;sans-serif"/>
                <w:b/>
                <w:color w:val="000000"/>
                <w:sz w:val="25"/>
              </w:rPr>
            </w:pPr>
            <w:r>
              <w:rPr>
                <w:rFonts w:ascii="Times New Roman;sans-serif" w:hAnsi="Times New Roman;sans-serif"/>
                <w:b/>
                <w:color w:val="000000"/>
                <w:sz w:val="25"/>
              </w:rPr>
              <w:t>787-8 [****] Aircraft, Aircraft Delivery, Description, Price and Advance Payments</w:t>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154"/>
        <w:gridCol w:w="1014"/>
        <w:gridCol w:w="1023"/>
        <w:gridCol w:w="558"/>
        <w:gridCol w:w="558"/>
        <w:gridCol w:w="568"/>
        <w:gridCol w:w="380"/>
        <w:gridCol w:w="380"/>
        <w:gridCol w:w="381"/>
        <w:gridCol w:w="655"/>
        <w:gridCol w:w="587"/>
        <w:gridCol w:w="587"/>
        <w:gridCol w:w="587"/>
        <w:gridCol w:w="587"/>
        <w:gridCol w:w="600"/>
        <w:gridCol w:w="168"/>
        <w:gridCol w:w="168"/>
        <w:gridCol w:w="250"/>
      </w:tblGrid>
      <w:tr>
        <w:trPr/>
        <w:tc>
          <w:tcPr>
            <w:tcW w:w="1154"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r>
      <w:tr>
        <w:trPr/>
        <w:tc>
          <w:tcPr>
            <w:tcW w:w="319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color w:val="000000"/>
                <w:sz w:val="17"/>
              </w:rPr>
            </w:pPr>
            <w:r>
              <w:rPr>
                <w:rFonts w:ascii="Times New Roman;sans-serif" w:hAnsi="Times New Roman;sans-serif"/>
                <w:b/>
                <w:color w:val="000000"/>
                <w:sz w:val="17"/>
              </w:rPr>
              <w:t>Airframe Model/MTOW:</w:t>
            </w:r>
          </w:p>
        </w:tc>
        <w:tc>
          <w:tcPr>
            <w:tcW w:w="168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787-8</w:t>
            </w:r>
          </w:p>
        </w:tc>
        <w:tc>
          <w:tcPr>
            <w:tcW w:w="114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Times New Roman;sans-serif" w:hAnsi="Times New Roman;sans-serif"/>
                <w:b w:val="false"/>
                <w:color w:val="000000"/>
                <w:sz w:val="17"/>
              </w:rPr>
            </w:pPr>
            <w:r>
              <w:rPr>
                <w:rFonts w:ascii="Times New Roman;sans-serif" w:hAnsi="Times New Roman;sans-serif"/>
                <w:b w:val="false"/>
                <w:color w:val="000000"/>
                <w:sz w:val="17"/>
              </w:rPr>
              <w:t>[****] pounds</w:t>
            </w:r>
          </w:p>
        </w:tc>
        <w:tc>
          <w:tcPr>
            <w:tcW w:w="3603"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color w:val="000000"/>
                <w:sz w:val="17"/>
              </w:rPr>
              <w:t>Detail Specification:    </w:t>
            </w:r>
            <w:r>
              <w:rPr>
                <w:rFonts w:ascii="Times New Roman;sans-serif" w:hAnsi="Times New Roman;sans-serif"/>
                <w:b w:val="false"/>
                <w:color w:val="000000"/>
                <w:sz w:val="17"/>
              </w:rPr>
              <w:t>[****]</w:t>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1" w:type="dxa"/>
            <w:gridSpan w:val="3"/>
            <w:tcBorders/>
            <w:shd w:fill="auto" w:val="clear"/>
            <w:tcMar>
              <w:top w:w="0" w:type="dxa"/>
              <w:left w:w="0" w:type="dxa"/>
              <w:bottom w:w="0" w:type="dxa"/>
              <w:right w:w="0" w:type="dxa"/>
            </w:tcMar>
            <w:vAlign w:val="center"/>
          </w:tcPr>
          <w:p>
            <w:pPr>
              <w:pStyle w:val="TableContents"/>
              <w:spacing w:lineRule="auto" w:line="240" w:before="69" w:after="283"/>
              <w:jc w:val="left"/>
              <w:rPr>
                <w:rFonts w:ascii="Times New Roman;sans-serif" w:hAnsi="Times New Roman;sans-serif"/>
                <w:b/>
                <w:color w:val="000000"/>
                <w:sz w:val="17"/>
              </w:rPr>
            </w:pPr>
            <w:r>
              <w:rPr>
                <w:rFonts w:ascii="Times New Roman;sans-serif" w:hAnsi="Times New Roman;sans-serif"/>
                <w:b/>
                <w:color w:val="000000"/>
                <w:sz w:val="17"/>
              </w:rPr>
              <w:t>Engine Model/Thrust:</w:t>
            </w:r>
          </w:p>
        </w:tc>
        <w:tc>
          <w:tcPr>
            <w:tcW w:w="1684" w:type="dxa"/>
            <w:gridSpan w:val="3"/>
            <w:tcBorders/>
            <w:shd w:fill="auto" w:val="clear"/>
            <w:tcMar>
              <w:top w:w="0" w:type="dxa"/>
              <w:left w:w="0" w:type="dxa"/>
              <w:bottom w:w="0" w:type="dxa"/>
              <w:right w:w="0" w:type="dxa"/>
            </w:tcMar>
            <w:vAlign w:val="center"/>
          </w:tcPr>
          <w:p>
            <w:pPr>
              <w:pStyle w:val="TableContents"/>
              <w:spacing w:lineRule="auto" w:line="240" w:before="69"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GENX-1B70</w:t>
            </w:r>
          </w:p>
        </w:tc>
        <w:tc>
          <w:tcPr>
            <w:tcW w:w="1141" w:type="dxa"/>
            <w:gridSpan w:val="3"/>
            <w:tcBorders/>
            <w:shd w:fill="auto" w:val="clear"/>
            <w:tcMar>
              <w:top w:w="0" w:type="dxa"/>
              <w:left w:w="0" w:type="dxa"/>
              <w:bottom w:w="0" w:type="dxa"/>
              <w:right w:w="0" w:type="dxa"/>
            </w:tcMar>
            <w:vAlign w:val="center"/>
          </w:tcPr>
          <w:p>
            <w:pPr>
              <w:pStyle w:val="TableContents"/>
              <w:spacing w:lineRule="auto" w:line="240" w:before="69" w:after="283"/>
              <w:jc w:val="left"/>
              <w:rPr>
                <w:rFonts w:ascii="Times New Roman;sans-serif" w:hAnsi="Times New Roman;sans-serif"/>
                <w:b w:val="false"/>
                <w:color w:val="000000"/>
                <w:sz w:val="17"/>
              </w:rPr>
            </w:pPr>
            <w:r>
              <w:rPr>
                <w:rFonts w:ascii="Times New Roman;sans-serif" w:hAnsi="Times New Roman;sans-serif"/>
                <w:b w:val="false"/>
                <w:color w:val="000000"/>
                <w:sz w:val="17"/>
              </w:rPr>
              <w:t>[****] pounds</w:t>
            </w:r>
          </w:p>
        </w:tc>
        <w:tc>
          <w:tcPr>
            <w:tcW w:w="3603" w:type="dxa"/>
            <w:gridSpan w:val="6"/>
            <w:tcBorders/>
            <w:shd w:fill="auto" w:val="clear"/>
            <w:tcMar>
              <w:top w:w="0" w:type="dxa"/>
              <w:left w:w="0" w:type="dxa"/>
              <w:bottom w:w="0" w:type="dxa"/>
              <w:right w:w="0" w:type="dxa"/>
            </w:tcMar>
            <w:vAlign w:val="center"/>
          </w:tcPr>
          <w:p>
            <w:pPr>
              <w:pStyle w:val="TableContents"/>
              <w:spacing w:lineRule="auto" w:line="240" w:before="69" w:after="283"/>
              <w:jc w:val="left"/>
              <w:rPr/>
            </w:pPr>
            <w:r>
              <w:rPr>
                <w:rFonts w:ascii="Times New Roman;sans-serif" w:hAnsi="Times New Roman;sans-serif"/>
                <w:b/>
                <w:color w:val="000000"/>
                <w:sz w:val="17"/>
              </w:rPr>
              <w:t>Airframe Price Base Year/Escalation Formula:    </w:t>
            </w:r>
            <w:r>
              <w:rPr>
                <w:rFonts w:ascii="Times New Roman;sans-serif" w:hAnsi="Times New Roman;sans-serif"/>
                <w:b w:val="false"/>
                <w:color w:val="000000"/>
                <w:sz w:val="17"/>
              </w:rPr>
              <w:t>[****]</w:t>
            </w:r>
          </w:p>
        </w:tc>
        <w:tc>
          <w:tcPr>
            <w:tcW w:w="586" w:type="dxa"/>
            <w:gridSpan w:val="3"/>
            <w:tcBorders/>
            <w:shd w:fill="auto" w:val="clear"/>
            <w:tcMar>
              <w:top w:w="0" w:type="dxa"/>
              <w:left w:w="0" w:type="dxa"/>
              <w:bottom w:w="0" w:type="dxa"/>
              <w:right w:w="0" w:type="dxa"/>
            </w:tcMar>
            <w:vAlign w:val="center"/>
          </w:tcPr>
          <w:p>
            <w:pPr>
              <w:pStyle w:val="TableContents"/>
              <w:spacing w:lineRule="auto" w:line="194"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3191" w:type="dxa"/>
            <w:gridSpan w:val="3"/>
            <w:tcBorders/>
            <w:shd w:fill="auto" w:val="clear"/>
            <w:tcMar>
              <w:top w:w="0" w:type="dxa"/>
              <w:left w:w="0" w:type="dxa"/>
              <w:bottom w:w="0" w:type="dxa"/>
              <w:right w:w="0" w:type="dxa"/>
            </w:tcMar>
            <w:vAlign w:val="center"/>
          </w:tcPr>
          <w:p>
            <w:pPr>
              <w:pStyle w:val="TableContents"/>
              <w:spacing w:lineRule="auto" w:line="240" w:before="69" w:after="283"/>
              <w:jc w:val="left"/>
              <w:rPr>
                <w:rFonts w:ascii="Times New Roman;sans-serif" w:hAnsi="Times New Roman;sans-serif"/>
                <w:b/>
                <w:color w:val="000000"/>
                <w:sz w:val="17"/>
              </w:rPr>
            </w:pPr>
            <w:r>
              <w:rPr>
                <w:rFonts w:ascii="Times New Roman;sans-serif" w:hAnsi="Times New Roman;sans-serif"/>
                <w:b/>
                <w:color w:val="000000"/>
                <w:sz w:val="17"/>
              </w:rPr>
              <w:t>Airframe Price:</w:t>
            </w:r>
          </w:p>
        </w:tc>
        <w:tc>
          <w:tcPr>
            <w:tcW w:w="1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40" w:before="69"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603" w:type="dxa"/>
            <w:gridSpan w:val="6"/>
            <w:tcBorders/>
            <w:shd w:fill="auto" w:val="clear"/>
            <w:tcMar>
              <w:top w:w="0" w:type="dxa"/>
              <w:left w:w="0" w:type="dxa"/>
              <w:bottom w:w="0" w:type="dxa"/>
              <w:right w:w="0" w:type="dxa"/>
            </w:tcMar>
            <w:vAlign w:val="center"/>
          </w:tcPr>
          <w:p>
            <w:pPr>
              <w:pStyle w:val="TableContents"/>
              <w:spacing w:lineRule="auto" w:line="240" w:before="69" w:after="283"/>
              <w:jc w:val="left"/>
              <w:rPr/>
            </w:pPr>
            <w:r>
              <w:rPr>
                <w:rFonts w:ascii="Times New Roman;sans-serif" w:hAnsi="Times New Roman;sans-serif"/>
                <w:b/>
                <w:color w:val="000000"/>
                <w:sz w:val="17"/>
              </w:rPr>
              <w:t>Engine Price Base Year/Escalation Formula:    </w:t>
            </w:r>
            <w:r>
              <w:rPr>
                <w:rFonts w:ascii="Times New Roman;sans-serif" w:hAnsi="Times New Roman;sans-serif"/>
                <w:b w:val="false"/>
                <w:color w:val="000000"/>
                <w:sz w:val="17"/>
              </w:rPr>
              <w:t>[****]</w:t>
            </w:r>
          </w:p>
        </w:tc>
        <w:tc>
          <w:tcPr>
            <w:tcW w:w="586" w:type="dxa"/>
            <w:gridSpan w:val="3"/>
            <w:tcBorders/>
            <w:shd w:fill="auto" w:val="clear"/>
            <w:tcMar>
              <w:top w:w="0" w:type="dxa"/>
              <w:left w:w="0" w:type="dxa"/>
              <w:bottom w:w="0" w:type="dxa"/>
              <w:right w:w="0" w:type="dxa"/>
            </w:tcMar>
            <w:vAlign w:val="center"/>
          </w:tcPr>
          <w:p>
            <w:pPr>
              <w:pStyle w:val="TableContents"/>
              <w:spacing w:lineRule="auto" w:line="194"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3191" w:type="dxa"/>
            <w:gridSpan w:val="3"/>
            <w:tcBorders/>
            <w:shd w:fill="auto" w:val="clear"/>
            <w:tcMar>
              <w:top w:w="0" w:type="dxa"/>
              <w:left w:w="0" w:type="dxa"/>
              <w:bottom w:w="0" w:type="dxa"/>
              <w:right w:w="0" w:type="dxa"/>
            </w:tcMar>
            <w:vAlign w:val="center"/>
          </w:tcPr>
          <w:p>
            <w:pPr>
              <w:pStyle w:val="TableContents"/>
              <w:spacing w:lineRule="auto" w:line="249" w:before="69" w:after="283"/>
              <w:jc w:val="left"/>
              <w:rPr>
                <w:rFonts w:ascii="Times New Roman;sans-serif" w:hAnsi="Times New Roman;sans-serif"/>
                <w:b/>
                <w:color w:val="000000"/>
                <w:sz w:val="17"/>
              </w:rPr>
            </w:pPr>
            <w:r>
              <w:rPr>
                <w:rFonts w:ascii="Times New Roman;sans-serif" w:hAnsi="Times New Roman;sans-serif"/>
                <w:b/>
                <w:color w:val="000000"/>
                <w:sz w:val="17"/>
              </w:rPr>
              <w:t>Optional Features:</w:t>
            </w:r>
          </w:p>
        </w:tc>
        <w:tc>
          <w:tcPr>
            <w:tcW w:w="1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49" w:before="69" w:after="283"/>
              <w:jc w:val="right"/>
              <w:rPr>
                <w:color w:val="000000"/>
                <w:u w:val="single"/>
              </w:rPr>
            </w:pPr>
            <w:r>
              <w:rPr>
                <w:color w:val="000000"/>
                <w:u w:val="single"/>
              </w:rPr>
              <w:t>    </w:t>
            </w:r>
            <w:r>
              <w:rPr>
                <w:rFonts w:ascii="Times New Roman;sans-serif" w:hAnsi="Times New Roman;sans-serif"/>
                <w:b w:val="false"/>
                <w:color w:val="000000"/>
                <w:sz w:val="17"/>
                <w:u w:val="single"/>
              </w:rPr>
              <w:t>$[****]</w:t>
            </w:r>
          </w:p>
        </w:tc>
        <w:tc>
          <w:tcPr>
            <w:tcW w:w="360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75" w:type="dxa"/>
            <w:gridSpan w:val="6"/>
            <w:tcBorders/>
            <w:shd w:fill="auto" w:val="clear"/>
            <w:tcMar>
              <w:top w:w="0" w:type="dxa"/>
              <w:left w:w="0" w:type="dxa"/>
              <w:bottom w:w="0" w:type="dxa"/>
              <w:right w:w="0" w:type="dxa"/>
            </w:tcMar>
            <w:vAlign w:val="center"/>
          </w:tcPr>
          <w:p>
            <w:pPr>
              <w:pStyle w:val="TableContents"/>
              <w:spacing w:lineRule="auto" w:line="240" w:before="139" w:after="283"/>
              <w:jc w:val="left"/>
              <w:rPr>
                <w:rFonts w:ascii="Times New Roman;sans-serif" w:hAnsi="Times New Roman;sans-serif"/>
                <w:b/>
                <w:color w:val="000000"/>
                <w:sz w:val="17"/>
              </w:rPr>
            </w:pPr>
            <w:r>
              <w:rPr>
                <w:rFonts w:ascii="Times New Roman;sans-serif" w:hAnsi="Times New Roman;sans-serif"/>
                <w:b/>
                <w:color w:val="000000"/>
                <w:sz w:val="17"/>
              </w:rPr>
              <w:t>Sub-Total of Airframe and Features:</w:t>
            </w:r>
          </w:p>
        </w:tc>
        <w:tc>
          <w:tcPr>
            <w:tcW w:w="1141" w:type="dxa"/>
            <w:gridSpan w:val="3"/>
            <w:tcBorders/>
            <w:shd w:fill="auto" w:val="clear"/>
            <w:tcMar>
              <w:top w:w="0" w:type="dxa"/>
              <w:left w:w="0" w:type="dxa"/>
              <w:bottom w:w="0" w:type="dxa"/>
              <w:right w:w="0" w:type="dxa"/>
            </w:tcMar>
            <w:vAlign w:val="center"/>
          </w:tcPr>
          <w:p>
            <w:pPr>
              <w:pStyle w:val="TableContents"/>
              <w:spacing w:lineRule="auto" w:line="240" w:before="139"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829" w:type="dxa"/>
            <w:gridSpan w:val="3"/>
            <w:tcBorders/>
            <w:shd w:fill="auto" w:val="clear"/>
            <w:tcMar>
              <w:top w:w="0" w:type="dxa"/>
              <w:left w:w="0" w:type="dxa"/>
              <w:bottom w:w="0" w:type="dxa"/>
              <w:right w:w="0" w:type="dxa"/>
            </w:tcMar>
            <w:vAlign w:val="center"/>
          </w:tcPr>
          <w:p>
            <w:pPr>
              <w:pStyle w:val="TableContents"/>
              <w:spacing w:lineRule="auto" w:line="240" w:before="139" w:after="283"/>
              <w:jc w:val="left"/>
              <w:rPr>
                <w:rFonts w:ascii="Times New Roman;sans-serif" w:hAnsi="Times New Roman;sans-serif"/>
                <w:b/>
                <w:color w:val="000000"/>
                <w:sz w:val="17"/>
                <w:u w:val="single"/>
              </w:rPr>
            </w:pPr>
            <w:r>
              <w:rPr>
                <w:rFonts w:ascii="Times New Roman;sans-serif" w:hAnsi="Times New Roman;sans-serif"/>
                <w:b/>
                <w:color w:val="000000"/>
                <w:sz w:val="17"/>
                <w:u w:val="single"/>
              </w:rPr>
              <w:t>Airframe Escalation Data:</w:t>
            </w:r>
          </w:p>
        </w:tc>
        <w:tc>
          <w:tcPr>
            <w:tcW w:w="236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75" w:type="dxa"/>
            <w:gridSpan w:val="6"/>
            <w:tcBorders/>
            <w:shd w:fill="auto" w:val="clear"/>
            <w:tcMar>
              <w:top w:w="0" w:type="dxa"/>
              <w:left w:w="0" w:type="dxa"/>
              <w:bottom w:w="0" w:type="dxa"/>
              <w:right w:w="0" w:type="dxa"/>
            </w:tcMar>
            <w:vAlign w:val="center"/>
          </w:tcPr>
          <w:p>
            <w:pPr>
              <w:pStyle w:val="TableContents"/>
              <w:spacing w:lineRule="auto" w:line="240" w:before="69" w:after="283"/>
              <w:jc w:val="left"/>
              <w:rPr>
                <w:rFonts w:ascii="Times New Roman;sans-serif" w:hAnsi="Times New Roman;sans-serif"/>
                <w:b/>
                <w:color w:val="000000"/>
                <w:sz w:val="17"/>
              </w:rPr>
            </w:pPr>
            <w:r>
              <w:rPr>
                <w:rFonts w:ascii="Times New Roman;sans-serif" w:hAnsi="Times New Roman;sans-serif"/>
                <w:b/>
                <w:color w:val="000000"/>
                <w:sz w:val="17"/>
              </w:rPr>
              <w:t>Engine Price (Per Aircraft):</w:t>
            </w:r>
          </w:p>
        </w:tc>
        <w:tc>
          <w:tcPr>
            <w:tcW w:w="1141" w:type="dxa"/>
            <w:gridSpan w:val="3"/>
            <w:tcBorders/>
            <w:shd w:fill="auto" w:val="clear"/>
            <w:tcMar>
              <w:top w:w="0" w:type="dxa"/>
              <w:left w:w="0" w:type="dxa"/>
              <w:bottom w:w="0" w:type="dxa"/>
              <w:right w:w="0" w:type="dxa"/>
            </w:tcMar>
            <w:vAlign w:val="center"/>
          </w:tcPr>
          <w:p>
            <w:pPr>
              <w:pStyle w:val="TableContents"/>
              <w:spacing w:lineRule="auto" w:line="240" w:before="69"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829" w:type="dxa"/>
            <w:gridSpan w:val="3"/>
            <w:tcBorders/>
            <w:shd w:fill="auto" w:val="clear"/>
            <w:tcMar>
              <w:top w:w="0" w:type="dxa"/>
              <w:left w:w="0" w:type="dxa"/>
              <w:bottom w:w="0" w:type="dxa"/>
              <w:right w:w="0" w:type="dxa"/>
            </w:tcMar>
            <w:vAlign w:val="center"/>
          </w:tcPr>
          <w:p>
            <w:pPr>
              <w:pStyle w:val="TableContents"/>
              <w:spacing w:lineRule="auto" w:line="240" w:before="69" w:after="283"/>
              <w:jc w:val="left"/>
              <w:rPr>
                <w:rFonts w:ascii="Times New Roman;sans-serif" w:hAnsi="Times New Roman;sans-serif"/>
                <w:b/>
                <w:color w:val="000000"/>
                <w:sz w:val="17"/>
              </w:rPr>
            </w:pPr>
            <w:r>
              <w:rPr>
                <w:rFonts w:ascii="Times New Roman;sans-serif" w:hAnsi="Times New Roman;sans-serif"/>
                <w:b/>
                <w:color w:val="000000"/>
                <w:sz w:val="17"/>
              </w:rPr>
              <w:t>Base Year Index (ECI):</w:t>
            </w:r>
          </w:p>
        </w:tc>
        <w:tc>
          <w:tcPr>
            <w:tcW w:w="2360" w:type="dxa"/>
            <w:gridSpan w:val="6"/>
            <w:tcBorders/>
            <w:shd w:fill="auto" w:val="clear"/>
            <w:tcMar>
              <w:top w:w="0" w:type="dxa"/>
              <w:left w:w="0" w:type="dxa"/>
              <w:bottom w:w="0" w:type="dxa"/>
              <w:right w:w="0" w:type="dxa"/>
            </w:tcMar>
            <w:vAlign w:val="center"/>
          </w:tcPr>
          <w:p>
            <w:pPr>
              <w:pStyle w:val="TableContents"/>
              <w:spacing w:lineRule="auto" w:line="240" w:before="69"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4875" w:type="dxa"/>
            <w:gridSpan w:val="6"/>
            <w:tcBorders/>
            <w:shd w:fill="auto" w:val="clear"/>
            <w:tcMar>
              <w:top w:w="0" w:type="dxa"/>
              <w:left w:w="0" w:type="dxa"/>
              <w:bottom w:w="0" w:type="dxa"/>
              <w:right w:w="0" w:type="dxa"/>
            </w:tcMar>
            <w:vAlign w:val="center"/>
          </w:tcPr>
          <w:p>
            <w:pPr>
              <w:pStyle w:val="TableContents"/>
              <w:spacing w:lineRule="auto" w:line="240" w:before="60" w:after="283"/>
              <w:jc w:val="left"/>
              <w:rPr>
                <w:rFonts w:ascii="Times New Roman;sans-serif" w:hAnsi="Times New Roman;sans-serif"/>
                <w:b/>
                <w:color w:val="000000"/>
                <w:sz w:val="17"/>
              </w:rPr>
            </w:pPr>
            <w:r>
              <w:rPr>
                <w:rFonts w:ascii="Times New Roman;sans-serif" w:hAnsi="Times New Roman;sans-serif"/>
                <w:b/>
                <w:color w:val="000000"/>
                <w:sz w:val="17"/>
              </w:rPr>
              <w:t>Aircraft Basic Price (Excluding BFE/SPE):</w:t>
            </w:r>
          </w:p>
        </w:tc>
        <w:tc>
          <w:tcPr>
            <w:tcW w:w="1141" w:type="dxa"/>
            <w:gridSpan w:val="3"/>
            <w:tcBorders/>
            <w:shd w:fill="auto" w:val="clear"/>
            <w:tcMar>
              <w:top w:w="0" w:type="dxa"/>
              <w:left w:w="0" w:type="dxa"/>
              <w:bottom w:w="0" w:type="dxa"/>
              <w:right w:w="0" w:type="dxa"/>
            </w:tcMar>
            <w:vAlign w:val="center"/>
          </w:tcPr>
          <w:p>
            <w:pPr>
              <w:pStyle w:val="TableContents"/>
              <w:spacing w:lineRule="auto" w:line="240" w:before="60" w:after="283"/>
              <w:jc w:val="right"/>
              <w:rPr>
                <w:color w:val="000000"/>
                <w:u w:val="single"/>
              </w:rPr>
            </w:pPr>
            <w:r>
              <w:rPr>
                <w:color w:val="000000"/>
                <w:u w:val="single"/>
              </w:rPr>
              <w:t>    </w:t>
            </w:r>
            <w:r>
              <w:rPr>
                <w:rFonts w:ascii="Times New Roman;sans-serif" w:hAnsi="Times New Roman;sans-serif"/>
                <w:b w:val="false"/>
                <w:color w:val="000000"/>
                <w:sz w:val="17"/>
                <w:u w:val="single"/>
              </w:rPr>
              <w:t>$[****]</w:t>
            </w:r>
          </w:p>
        </w:tc>
        <w:tc>
          <w:tcPr>
            <w:tcW w:w="1829" w:type="dxa"/>
            <w:gridSpan w:val="3"/>
            <w:tcBorders/>
            <w:shd w:fill="auto" w:val="clear"/>
            <w:tcMar>
              <w:top w:w="0" w:type="dxa"/>
              <w:left w:w="0" w:type="dxa"/>
              <w:bottom w:w="0" w:type="dxa"/>
              <w:right w:w="0" w:type="dxa"/>
            </w:tcMar>
            <w:vAlign w:val="center"/>
          </w:tcPr>
          <w:p>
            <w:pPr>
              <w:pStyle w:val="TableContents"/>
              <w:spacing w:lineRule="auto" w:line="240" w:before="60" w:after="283"/>
              <w:jc w:val="left"/>
              <w:rPr>
                <w:rFonts w:ascii="Times New Roman;sans-serif" w:hAnsi="Times New Roman;sans-serif"/>
                <w:b/>
                <w:color w:val="000000"/>
                <w:sz w:val="17"/>
              </w:rPr>
            </w:pPr>
            <w:r>
              <w:rPr>
                <w:rFonts w:ascii="Times New Roman;sans-serif" w:hAnsi="Times New Roman;sans-serif"/>
                <w:b/>
                <w:color w:val="000000"/>
                <w:sz w:val="17"/>
              </w:rPr>
              <w:t>Base Year Index (CPI):</w:t>
            </w:r>
          </w:p>
        </w:tc>
        <w:tc>
          <w:tcPr>
            <w:tcW w:w="2360" w:type="dxa"/>
            <w:gridSpan w:val="6"/>
            <w:tcBorders/>
            <w:shd w:fill="auto" w:val="clear"/>
            <w:tcMar>
              <w:top w:w="0" w:type="dxa"/>
              <w:left w:w="0" w:type="dxa"/>
              <w:bottom w:w="0" w:type="dxa"/>
              <w:right w:w="0" w:type="dxa"/>
            </w:tcMar>
            <w:vAlign w:val="center"/>
          </w:tcPr>
          <w:p>
            <w:pPr>
              <w:pStyle w:val="TableContents"/>
              <w:spacing w:lineRule="auto" w:line="240" w:before="6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4875" w:type="dxa"/>
            <w:gridSpan w:val="6"/>
            <w:tcBorders/>
            <w:shd w:fill="auto" w:val="clear"/>
            <w:tcMar>
              <w:top w:w="0" w:type="dxa"/>
              <w:left w:w="0" w:type="dxa"/>
              <w:bottom w:w="0" w:type="dxa"/>
              <w:right w:w="0" w:type="dxa"/>
            </w:tcMar>
            <w:vAlign w:val="center"/>
          </w:tcPr>
          <w:p>
            <w:pPr>
              <w:pStyle w:val="TableContents"/>
              <w:spacing w:lineRule="auto" w:line="240" w:before="77" w:after="283"/>
              <w:jc w:val="left"/>
              <w:rPr>
                <w:rFonts w:ascii="Times New Roman;sans-serif" w:hAnsi="Times New Roman;sans-serif"/>
                <w:b/>
                <w:color w:val="000000"/>
                <w:sz w:val="17"/>
              </w:rPr>
            </w:pPr>
            <w:r>
              <w:rPr>
                <w:rFonts w:ascii="Times New Roman;sans-serif" w:hAnsi="Times New Roman;sans-serif"/>
                <w:b/>
                <w:color w:val="000000"/>
                <w:sz w:val="17"/>
              </w:rPr>
              <w:t>Buyer Furnished Equipment (BFE) Estimate:</w:t>
            </w:r>
          </w:p>
        </w:tc>
        <w:tc>
          <w:tcPr>
            <w:tcW w:w="1141" w:type="dxa"/>
            <w:gridSpan w:val="3"/>
            <w:tcBorders/>
            <w:shd w:fill="auto" w:val="clear"/>
            <w:tcMar>
              <w:top w:w="0" w:type="dxa"/>
              <w:left w:w="0" w:type="dxa"/>
              <w:bottom w:w="0" w:type="dxa"/>
              <w:right w:w="0" w:type="dxa"/>
            </w:tcMar>
            <w:vAlign w:val="center"/>
          </w:tcPr>
          <w:p>
            <w:pPr>
              <w:pStyle w:val="TableContents"/>
              <w:spacing w:lineRule="auto" w:line="240" w:before="77"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829" w:type="dxa"/>
            <w:gridSpan w:val="3"/>
            <w:tcBorders/>
            <w:shd w:fill="auto" w:val="clear"/>
            <w:tcMar>
              <w:top w:w="0" w:type="dxa"/>
              <w:left w:w="0" w:type="dxa"/>
              <w:bottom w:w="0" w:type="dxa"/>
              <w:right w:w="0" w:type="dxa"/>
            </w:tcMar>
            <w:vAlign w:val="center"/>
          </w:tcPr>
          <w:p>
            <w:pPr>
              <w:pStyle w:val="TableContents"/>
              <w:spacing w:lineRule="auto" w:line="240" w:before="77" w:after="283"/>
              <w:jc w:val="left"/>
              <w:rPr>
                <w:rFonts w:ascii="Times New Roman;sans-serif" w:hAnsi="Times New Roman;sans-serif"/>
                <w:b/>
                <w:color w:val="000000"/>
                <w:sz w:val="17"/>
                <w:u w:val="single"/>
              </w:rPr>
            </w:pPr>
            <w:r>
              <w:rPr>
                <w:rFonts w:ascii="Times New Roman;sans-serif" w:hAnsi="Times New Roman;sans-serif"/>
                <w:b/>
                <w:color w:val="000000"/>
                <w:sz w:val="17"/>
                <w:u w:val="single"/>
              </w:rPr>
              <w:t>Engine Escalation Data:</w:t>
            </w:r>
          </w:p>
        </w:tc>
        <w:tc>
          <w:tcPr>
            <w:tcW w:w="236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75" w:type="dxa"/>
            <w:gridSpan w:val="6"/>
            <w:tcBorders/>
            <w:shd w:fill="auto" w:val="clear"/>
            <w:tcMar>
              <w:top w:w="0" w:type="dxa"/>
              <w:left w:w="0" w:type="dxa"/>
              <w:bottom w:w="0" w:type="dxa"/>
              <w:right w:w="0" w:type="dxa"/>
            </w:tcMar>
            <w:vAlign w:val="center"/>
          </w:tcPr>
          <w:p>
            <w:pPr>
              <w:pStyle w:val="TableContents"/>
              <w:spacing w:lineRule="auto" w:line="240" w:before="69" w:after="283"/>
              <w:jc w:val="left"/>
              <w:rPr>
                <w:rFonts w:ascii="Times New Roman;sans-serif" w:hAnsi="Times New Roman;sans-serif"/>
                <w:b/>
                <w:color w:val="000000"/>
                <w:sz w:val="17"/>
              </w:rPr>
            </w:pPr>
            <w:r>
              <w:rPr>
                <w:rFonts w:ascii="Times New Roman;sans-serif" w:hAnsi="Times New Roman;sans-serif"/>
                <w:b/>
                <w:color w:val="000000"/>
                <w:sz w:val="17"/>
              </w:rPr>
              <w:t>//Seller Purchased Equipment (SPE)/In-Flight Entertainment (IFE)// Estimate:</w:t>
            </w:r>
          </w:p>
        </w:tc>
        <w:tc>
          <w:tcPr>
            <w:tcW w:w="1141" w:type="dxa"/>
            <w:gridSpan w:val="3"/>
            <w:tcBorders/>
            <w:shd w:fill="auto" w:val="clear"/>
            <w:tcMar>
              <w:top w:w="0" w:type="dxa"/>
              <w:left w:w="0" w:type="dxa"/>
              <w:bottom w:w="0" w:type="dxa"/>
              <w:right w:w="0" w:type="dxa"/>
            </w:tcMar>
            <w:vAlign w:val="center"/>
          </w:tcPr>
          <w:p>
            <w:pPr>
              <w:pStyle w:val="TableContents"/>
              <w:spacing w:lineRule="auto" w:line="240" w:before="69"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829" w:type="dxa"/>
            <w:gridSpan w:val="3"/>
            <w:tcBorders/>
            <w:shd w:fill="auto" w:val="clear"/>
            <w:tcMar>
              <w:top w:w="0" w:type="dxa"/>
              <w:left w:w="0" w:type="dxa"/>
              <w:bottom w:w="0" w:type="dxa"/>
              <w:right w:w="0" w:type="dxa"/>
            </w:tcMar>
            <w:vAlign w:val="center"/>
          </w:tcPr>
          <w:p>
            <w:pPr>
              <w:pStyle w:val="TableContents"/>
              <w:spacing w:lineRule="auto" w:line="240" w:before="69" w:after="283"/>
              <w:jc w:val="left"/>
              <w:rPr>
                <w:rFonts w:ascii="Times New Roman;sans-serif" w:hAnsi="Times New Roman;sans-serif"/>
                <w:b/>
                <w:color w:val="000000"/>
                <w:sz w:val="17"/>
              </w:rPr>
            </w:pPr>
            <w:r>
              <w:rPr>
                <w:rFonts w:ascii="Times New Roman;sans-serif" w:hAnsi="Times New Roman;sans-serif"/>
                <w:b/>
                <w:color w:val="000000"/>
                <w:sz w:val="17"/>
              </w:rPr>
              <w:t>Base Year Index (ECI):</w:t>
            </w:r>
          </w:p>
        </w:tc>
        <w:tc>
          <w:tcPr>
            <w:tcW w:w="2360" w:type="dxa"/>
            <w:gridSpan w:val="6"/>
            <w:tcBorders/>
            <w:shd w:fill="auto" w:val="clear"/>
            <w:tcMar>
              <w:top w:w="0" w:type="dxa"/>
              <w:left w:w="0" w:type="dxa"/>
              <w:bottom w:w="0" w:type="dxa"/>
              <w:right w:w="0" w:type="dxa"/>
            </w:tcMar>
            <w:vAlign w:val="center"/>
          </w:tcPr>
          <w:p>
            <w:pPr>
              <w:pStyle w:val="TableContents"/>
              <w:spacing w:lineRule="auto" w:line="240" w:before="69"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4875" w:type="dxa"/>
            <w:gridSpan w:val="6"/>
            <w:tcBorders/>
            <w:shd w:fill="auto" w:val="clear"/>
            <w:tcMar>
              <w:top w:w="0" w:type="dxa"/>
              <w:left w:w="0" w:type="dxa"/>
              <w:bottom w:w="0" w:type="dxa"/>
              <w:right w:w="0" w:type="dxa"/>
            </w:tcMar>
            <w:vAlign w:val="center"/>
          </w:tcPr>
          <w:p>
            <w:pPr>
              <w:pStyle w:val="TableContents"/>
              <w:spacing w:lineRule="auto" w:line="240" w:before="69" w:after="283"/>
              <w:jc w:val="left"/>
              <w:rPr>
                <w:rFonts w:ascii="Times New Roman;sans-serif" w:hAnsi="Times New Roman;sans-serif"/>
                <w:b/>
                <w:color w:val="000000"/>
                <w:sz w:val="17"/>
              </w:rPr>
            </w:pPr>
            <w:r>
              <w:rPr>
                <w:rFonts w:ascii="Times New Roman;sans-serif" w:hAnsi="Times New Roman;sans-serif"/>
                <w:b/>
                <w:color w:val="000000"/>
                <w:sz w:val="17"/>
              </w:rPr>
              <w:t>LIFT Seats Provided by Boeing (Estimate):</w:t>
            </w:r>
          </w:p>
        </w:tc>
        <w:tc>
          <w:tcPr>
            <w:tcW w:w="1141" w:type="dxa"/>
            <w:gridSpan w:val="3"/>
            <w:tcBorders/>
            <w:shd w:fill="auto" w:val="clear"/>
            <w:tcMar>
              <w:top w:w="0" w:type="dxa"/>
              <w:left w:w="0" w:type="dxa"/>
              <w:bottom w:w="0" w:type="dxa"/>
              <w:right w:w="0" w:type="dxa"/>
            </w:tcMar>
            <w:vAlign w:val="center"/>
          </w:tcPr>
          <w:p>
            <w:pPr>
              <w:pStyle w:val="TableContents"/>
              <w:spacing w:lineRule="auto" w:line="240" w:before="69"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829" w:type="dxa"/>
            <w:gridSpan w:val="3"/>
            <w:tcBorders/>
            <w:shd w:fill="auto" w:val="clear"/>
            <w:tcMar>
              <w:top w:w="0" w:type="dxa"/>
              <w:left w:w="0" w:type="dxa"/>
              <w:bottom w:w="0" w:type="dxa"/>
              <w:right w:w="0" w:type="dxa"/>
            </w:tcMar>
            <w:vAlign w:val="center"/>
          </w:tcPr>
          <w:p>
            <w:pPr>
              <w:pStyle w:val="TableContents"/>
              <w:spacing w:lineRule="auto" w:line="240" w:before="69" w:after="283"/>
              <w:jc w:val="left"/>
              <w:rPr>
                <w:rFonts w:ascii="Times New Roman;sans-serif" w:hAnsi="Times New Roman;sans-serif"/>
                <w:b/>
                <w:color w:val="000000"/>
                <w:sz w:val="17"/>
              </w:rPr>
            </w:pPr>
            <w:r>
              <w:rPr>
                <w:rFonts w:ascii="Times New Roman;sans-serif" w:hAnsi="Times New Roman;sans-serif"/>
                <w:b/>
                <w:color w:val="000000"/>
                <w:sz w:val="17"/>
              </w:rPr>
              <w:t>Base Year Index (CPI):</w:t>
            </w:r>
          </w:p>
        </w:tc>
        <w:tc>
          <w:tcPr>
            <w:tcW w:w="2360" w:type="dxa"/>
            <w:gridSpan w:val="6"/>
            <w:tcBorders/>
            <w:shd w:fill="auto" w:val="clear"/>
            <w:tcMar>
              <w:top w:w="0" w:type="dxa"/>
              <w:left w:w="0" w:type="dxa"/>
              <w:bottom w:w="0" w:type="dxa"/>
              <w:right w:w="0" w:type="dxa"/>
            </w:tcMar>
            <w:vAlign w:val="center"/>
          </w:tcPr>
          <w:p>
            <w:pPr>
              <w:pStyle w:val="TableContents"/>
              <w:spacing w:lineRule="auto" w:line="240" w:before="69"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4875" w:type="dxa"/>
            <w:gridSpan w:val="6"/>
            <w:tcBorders/>
            <w:shd w:fill="auto" w:val="clear"/>
            <w:tcMar>
              <w:top w:w="0" w:type="dxa"/>
              <w:left w:w="0" w:type="dxa"/>
              <w:bottom w:w="0" w:type="dxa"/>
              <w:right w:w="0" w:type="dxa"/>
            </w:tcMar>
            <w:vAlign w:val="center"/>
          </w:tcPr>
          <w:p>
            <w:pPr>
              <w:pStyle w:val="TableContents"/>
              <w:spacing w:lineRule="auto" w:line="249" w:before="69" w:after="283"/>
              <w:jc w:val="left"/>
              <w:rPr>
                <w:rFonts w:ascii="Times New Roman;sans-serif" w:hAnsi="Times New Roman;sans-serif"/>
                <w:b/>
                <w:color w:val="000000"/>
                <w:sz w:val="17"/>
              </w:rPr>
            </w:pPr>
            <w:r>
              <w:rPr>
                <w:rFonts w:ascii="Times New Roman;sans-serif" w:hAnsi="Times New Roman;sans-serif"/>
                <w:b/>
                <w:color w:val="000000"/>
                <w:sz w:val="17"/>
              </w:rPr>
              <w:t>Deposit per Aircraft:</w:t>
            </w:r>
          </w:p>
        </w:tc>
        <w:tc>
          <w:tcPr>
            <w:tcW w:w="1141" w:type="dxa"/>
            <w:gridSpan w:val="3"/>
            <w:tcBorders/>
            <w:shd w:fill="auto" w:val="clear"/>
            <w:tcMar>
              <w:top w:w="0" w:type="dxa"/>
              <w:left w:w="0" w:type="dxa"/>
              <w:bottom w:w="0" w:type="dxa"/>
              <w:right w:w="0" w:type="dxa"/>
            </w:tcMar>
            <w:vAlign w:val="center"/>
          </w:tcPr>
          <w:p>
            <w:pPr>
              <w:pStyle w:val="TableContents"/>
              <w:spacing w:lineRule="auto" w:line="249" w:before="69"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2" w:after="283"/>
        <w:rPr/>
      </w:pPr>
      <w:r>
        <w:rPr/>
      </w:r>
    </w:p>
    <w:tbl>
      <w:tblPr>
        <w:tblW w:w="10205" w:type="dxa"/>
        <w:jc w:val="left"/>
        <w:tblInd w:w="0" w:type="dxa"/>
        <w:tblCellMar>
          <w:top w:w="28" w:type="dxa"/>
          <w:left w:w="28" w:type="dxa"/>
          <w:bottom w:w="28" w:type="dxa"/>
          <w:right w:w="28" w:type="dxa"/>
        </w:tblCellMar>
      </w:tblPr>
      <w:tblGrid>
        <w:gridCol w:w="455"/>
        <w:gridCol w:w="392"/>
        <w:gridCol w:w="325"/>
        <w:gridCol w:w="341"/>
        <w:gridCol w:w="341"/>
        <w:gridCol w:w="342"/>
        <w:gridCol w:w="341"/>
        <w:gridCol w:w="341"/>
        <w:gridCol w:w="342"/>
        <w:gridCol w:w="265"/>
        <w:gridCol w:w="256"/>
        <w:gridCol w:w="258"/>
        <w:gridCol w:w="290"/>
        <w:gridCol w:w="290"/>
        <w:gridCol w:w="292"/>
        <w:gridCol w:w="285"/>
        <w:gridCol w:w="285"/>
        <w:gridCol w:w="286"/>
        <w:gridCol w:w="109"/>
        <w:gridCol w:w="109"/>
        <w:gridCol w:w="109"/>
        <w:gridCol w:w="378"/>
        <w:gridCol w:w="378"/>
        <w:gridCol w:w="380"/>
        <w:gridCol w:w="234"/>
        <w:gridCol w:w="234"/>
        <w:gridCol w:w="234"/>
        <w:gridCol w:w="234"/>
        <w:gridCol w:w="234"/>
        <w:gridCol w:w="234"/>
        <w:gridCol w:w="234"/>
        <w:gridCol w:w="234"/>
        <w:gridCol w:w="234"/>
        <w:gridCol w:w="332"/>
        <w:gridCol w:w="234"/>
        <w:gridCol w:w="343"/>
      </w:tblGrid>
      <w:tr>
        <w:trPr/>
        <w:tc>
          <w:tcPr>
            <w:tcW w:w="455"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r>
      <w:tr>
        <w:trPr/>
        <w:tc>
          <w:tcPr>
            <w:tcW w:w="1172" w:type="dxa"/>
            <w:gridSpan w:val="3"/>
            <w:tcBorders>
              <w:top w:val="single" w:sz="16" w:space="0" w:color="000000"/>
              <w:left w:val="single" w:sz="16" w:space="0" w:color="000000"/>
            </w:tcBorders>
            <w:shd w:fill="auto" w:val="clear"/>
            <w:tcMar>
              <w:top w:w="30" w:type="dxa"/>
              <w:bottom w:w="0" w:type="dxa"/>
              <w:right w:w="0" w:type="dxa"/>
            </w:tcMar>
            <w:vAlign w:val="center"/>
          </w:tcPr>
          <w:p>
            <w:pPr>
              <w:pStyle w:val="TableContents"/>
              <w:spacing w:lineRule="auto" w:line="254" w:before="104"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24" w:type="dxa"/>
            <w:gridSpan w:val="3"/>
            <w:tcBorders>
              <w:top w:val="single" w:sz="16" w:space="0" w:color="000000"/>
              <w:left w:val="single" w:sz="16" w:space="0" w:color="000000"/>
            </w:tcBorders>
            <w:shd w:fill="auto" w:val="clear"/>
            <w:tcMar>
              <w:top w:w="30" w:type="dxa"/>
              <w:left w:w="173" w:type="dxa"/>
              <w:bottom w:w="0" w:type="dxa"/>
              <w:right w:w="0" w:type="dxa"/>
            </w:tcMar>
            <w:vAlign w:val="center"/>
          </w:tcPr>
          <w:p>
            <w:pPr>
              <w:pStyle w:val="TableContents"/>
              <w:spacing w:lineRule="auto" w:line="194"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24" w:type="dxa"/>
            <w:gridSpan w:val="3"/>
            <w:tcBorders>
              <w:top w:val="single" w:sz="16" w:space="0" w:color="000000"/>
              <w:left w:val="single" w:sz="16" w:space="0" w:color="000000"/>
            </w:tcBorders>
            <w:shd w:fill="auto" w:val="clear"/>
            <w:tcMar>
              <w:top w:w="30" w:type="dxa"/>
              <w:left w:w="144" w:type="dxa"/>
              <w:bottom w:w="0" w:type="dxa"/>
              <w:right w:w="0" w:type="dxa"/>
            </w:tcMar>
            <w:vAlign w:val="center"/>
          </w:tcPr>
          <w:p>
            <w:pPr>
              <w:pStyle w:val="TableContents"/>
              <w:spacing w:lineRule="auto" w:line="194"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79" w:type="dxa"/>
            <w:gridSpan w:val="3"/>
            <w:tcBorders>
              <w:top w:val="single" w:sz="16"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16" w:space="0" w:color="000000"/>
              <w:left w:val="single" w:sz="8" w:space="0" w:color="000000"/>
            </w:tcBorders>
            <w:shd w:fill="auto" w:val="clear"/>
            <w:tcMar>
              <w:top w:w="30" w:type="dxa"/>
              <w:bottom w:w="0" w:type="dxa"/>
              <w:right w:w="0" w:type="dxa"/>
            </w:tcMar>
            <w:vAlign w:val="center"/>
          </w:tcPr>
          <w:p>
            <w:pPr>
              <w:pStyle w:val="TableContents"/>
              <w:spacing w:lineRule="auto" w:line="254" w:before="104" w:after="283"/>
              <w:jc w:val="center"/>
              <w:rPr>
                <w:rFonts w:ascii="Times New Roman;sans-serif" w:hAnsi="Times New Roman;sans-serif"/>
                <w:b/>
                <w:color w:val="000000"/>
                <w:sz w:val="17"/>
              </w:rPr>
            </w:pPr>
            <w:r>
              <w:rPr>
                <w:rFonts w:ascii="Times New Roman;sans-serif" w:hAnsi="Times New Roman;sans-serif"/>
                <w:b/>
                <w:color w:val="000000"/>
                <w:sz w:val="17"/>
              </w:rPr>
              <w:t>Escalation</w:t>
            </w:r>
          </w:p>
        </w:tc>
        <w:tc>
          <w:tcPr>
            <w:tcW w:w="856" w:type="dxa"/>
            <w:gridSpan w:val="3"/>
            <w:tcBorders>
              <w:top w:val="single" w:sz="16" w:space="0" w:color="000000"/>
              <w:left w:val="single" w:sz="8" w:space="0" w:color="000000"/>
            </w:tcBorders>
            <w:shd w:fill="auto" w:val="clear"/>
            <w:tcMar>
              <w:top w:w="30" w:type="dxa"/>
              <w:bottom w:w="0" w:type="dxa"/>
              <w:right w:w="0" w:type="dxa"/>
            </w:tcMar>
            <w:vAlign w:val="center"/>
          </w:tcPr>
          <w:p>
            <w:pPr>
              <w:pStyle w:val="TableContents"/>
              <w:spacing w:lineRule="auto" w:line="254" w:before="104" w:after="283"/>
              <w:jc w:val="center"/>
              <w:rPr>
                <w:rFonts w:ascii="Times New Roman;sans-serif" w:hAnsi="Times New Roman;sans-serif"/>
                <w:b/>
                <w:color w:val="000000"/>
                <w:sz w:val="17"/>
              </w:rPr>
            </w:pPr>
            <w:r>
              <w:rPr>
                <w:rFonts w:ascii="Times New Roman;sans-serif" w:hAnsi="Times New Roman;sans-serif"/>
                <w:b/>
                <w:color w:val="000000"/>
                <w:sz w:val="17"/>
              </w:rPr>
              <w:t>Escalation</w:t>
            </w:r>
          </w:p>
        </w:tc>
        <w:tc>
          <w:tcPr>
            <w:tcW w:w="327" w:type="dxa"/>
            <w:gridSpan w:val="3"/>
            <w:vMerge w:val="restart"/>
            <w:tcBorders>
              <w:top w:val="single" w:sz="16" w:space="0" w:color="000000"/>
              <w:left w:val="single" w:sz="8" w:space="0" w:color="000000"/>
            </w:tcBorders>
            <w:shd w:fill="C0C0C0" w:val="clear"/>
            <w:tcMar>
              <w:bottom w:w="0" w:type="dxa"/>
              <w:right w:w="0" w:type="dxa"/>
            </w:tcMar>
            <w:vAlign w:val="center"/>
          </w:tcPr>
          <w:p>
            <w:pPr>
              <w:pStyle w:val="TableContents"/>
              <w:spacing w:before="0" w:after="283"/>
              <w:rPr>
                <w:sz w:val="4"/>
                <w:szCs w:val="4"/>
              </w:rPr>
            </w:pPr>
            <w:r>
              <w:rPr>
                <w:sz w:val="4"/>
                <w:szCs w:val="4"/>
              </w:rPr>
            </w:r>
          </w:p>
        </w:tc>
        <w:tc>
          <w:tcPr>
            <w:tcW w:w="1136" w:type="dxa"/>
            <w:gridSpan w:val="3"/>
            <w:tcBorders>
              <w:top w:val="single" w:sz="16" w:space="0" w:color="000000"/>
              <w:left w:val="single" w:sz="8" w:space="0" w:color="000000"/>
            </w:tcBorders>
            <w:shd w:fill="auto" w:val="clear"/>
            <w:tcMar>
              <w:top w:w="30" w:type="dxa"/>
              <w:bottom w:w="0" w:type="dxa"/>
              <w:right w:w="0" w:type="dxa"/>
            </w:tcMar>
            <w:vAlign w:val="center"/>
          </w:tcPr>
          <w:p>
            <w:pPr>
              <w:pStyle w:val="TableContents"/>
              <w:spacing w:lineRule="auto" w:line="254" w:before="104" w:after="283"/>
              <w:jc w:val="center"/>
              <w:rPr>
                <w:rFonts w:ascii="Times New Roman;sans-serif" w:hAnsi="Times New Roman;sans-serif"/>
                <w:b/>
                <w:color w:val="000000"/>
                <w:sz w:val="17"/>
              </w:rPr>
            </w:pPr>
            <w:r>
              <w:rPr>
                <w:rFonts w:ascii="Times New Roman;sans-serif" w:hAnsi="Times New Roman;sans-serif"/>
                <w:b/>
                <w:color w:val="000000"/>
                <w:sz w:val="17"/>
              </w:rPr>
              <w:t>Escalation Estimate</w:t>
            </w:r>
          </w:p>
        </w:tc>
        <w:tc>
          <w:tcPr>
            <w:tcW w:w="3015" w:type="dxa"/>
            <w:gridSpan w:val="12"/>
            <w:tcBorders>
              <w:top w:val="single" w:sz="16" w:space="0" w:color="000000"/>
              <w:left w:val="single" w:sz="8" w:space="0" w:color="000000"/>
              <w:right w:val="single" w:sz="16" w:space="0" w:color="000000"/>
            </w:tcBorders>
            <w:shd w:fill="auto" w:val="clear"/>
            <w:tcMar>
              <w:top w:w="30" w:type="dxa"/>
              <w:bottom w:w="0" w:type="dxa"/>
            </w:tcMar>
            <w:vAlign w:val="center"/>
          </w:tcPr>
          <w:p>
            <w:pPr>
              <w:pStyle w:val="TableContents"/>
              <w:spacing w:lineRule="auto" w:line="254" w:before="104" w:after="283"/>
              <w:jc w:val="left"/>
              <w:rPr>
                <w:rFonts w:ascii="Times New Roman;sans-serif" w:hAnsi="Times New Roman;sans-serif"/>
                <w:b/>
                <w:color w:val="000000"/>
                <w:sz w:val="17"/>
              </w:rPr>
            </w:pPr>
            <w:r>
              <w:rPr>
                <w:rFonts w:ascii="Times New Roman;sans-serif" w:hAnsi="Times New Roman;sans-serif"/>
                <w:b/>
                <w:color w:val="000000"/>
                <w:sz w:val="17"/>
              </w:rPr>
              <w:t>Advance Payment Per Aircraft (Amts. Due/Mos. Prior to Delivery):</w:t>
            </w:r>
          </w:p>
        </w:tc>
      </w:tr>
      <w:tr>
        <w:trPr/>
        <w:tc>
          <w:tcPr>
            <w:tcW w:w="1172" w:type="dxa"/>
            <w:gridSpan w:val="3"/>
            <w:tcBorders>
              <w:left w:val="single" w:sz="16" w:space="0" w:color="000000"/>
            </w:tcBorders>
            <w:shd w:fill="auto" w:val="clear"/>
            <w:tcMar>
              <w:top w:w="0" w:type="dxa"/>
              <w:bottom w:w="0" w:type="dxa"/>
              <w:right w:w="0" w:type="dxa"/>
            </w:tcMar>
            <w:vAlign w:val="center"/>
          </w:tcPr>
          <w:p>
            <w:pPr>
              <w:pStyle w:val="TableContents"/>
              <w:spacing w:lineRule="auto" w:line="240" w:before="115" w:after="283"/>
              <w:jc w:val="center"/>
              <w:rPr>
                <w:rFonts w:ascii="Times New Roman;sans-serif" w:hAnsi="Times New Roman;sans-serif"/>
                <w:b/>
                <w:color w:val="000000"/>
                <w:sz w:val="17"/>
              </w:rPr>
            </w:pPr>
            <w:r>
              <w:rPr>
                <w:rFonts w:ascii="Times New Roman;sans-serif" w:hAnsi="Times New Roman;sans-serif"/>
                <w:b/>
                <w:color w:val="000000"/>
                <w:sz w:val="17"/>
              </w:rPr>
              <w:t>Scheduled</w:t>
            </w:r>
          </w:p>
        </w:tc>
        <w:tc>
          <w:tcPr>
            <w:tcW w:w="1024" w:type="dxa"/>
            <w:gridSpan w:val="3"/>
            <w:tcBorders>
              <w:left w:val="single" w:sz="16" w:space="0" w:color="000000"/>
            </w:tcBorders>
            <w:shd w:fill="auto" w:val="clear"/>
            <w:tcMar>
              <w:top w:w="0" w:type="dxa"/>
              <w:left w:w="326" w:type="dxa"/>
              <w:bottom w:w="0" w:type="dxa"/>
              <w:right w:w="0" w:type="dxa"/>
            </w:tcMar>
            <w:vAlign w:val="center"/>
          </w:tcPr>
          <w:p>
            <w:pPr>
              <w:pStyle w:val="TableContents"/>
              <w:spacing w:lineRule="auto" w:line="194" w:before="0" w:after="283"/>
              <w:jc w:val="left"/>
              <w:rPr>
                <w:rFonts w:ascii="Times New Roman;sans-serif" w:hAnsi="Times New Roman;sans-serif"/>
                <w:b/>
                <w:color w:val="000000"/>
                <w:sz w:val="17"/>
              </w:rPr>
            </w:pPr>
            <w:r>
              <w:rPr>
                <w:rFonts w:ascii="Times New Roman;sans-serif" w:hAnsi="Times New Roman;sans-serif"/>
                <w:b/>
                <w:color w:val="000000"/>
                <w:sz w:val="17"/>
              </w:rPr>
              <w:t>Scheduled</w:t>
            </w:r>
          </w:p>
        </w:tc>
        <w:tc>
          <w:tcPr>
            <w:tcW w:w="1024" w:type="dxa"/>
            <w:gridSpan w:val="3"/>
            <w:tcBorders>
              <w:left w:val="single" w:sz="16" w:space="0" w:color="000000"/>
            </w:tcBorders>
            <w:shd w:fill="auto" w:val="clear"/>
            <w:tcMar>
              <w:top w:w="0" w:type="dxa"/>
              <w:left w:w="297" w:type="dxa"/>
              <w:bottom w:w="0" w:type="dxa"/>
              <w:right w:w="0" w:type="dxa"/>
            </w:tcMar>
            <w:vAlign w:val="center"/>
          </w:tcPr>
          <w:p>
            <w:pPr>
              <w:pStyle w:val="TableContents"/>
              <w:spacing w:lineRule="auto" w:line="194" w:before="0" w:after="283"/>
              <w:jc w:val="left"/>
              <w:rPr>
                <w:rFonts w:ascii="Times New Roman;sans-serif" w:hAnsi="Times New Roman;sans-serif"/>
                <w:b/>
                <w:color w:val="000000"/>
                <w:sz w:val="17"/>
              </w:rPr>
            </w:pPr>
            <w:r>
              <w:rPr>
                <w:rFonts w:ascii="Times New Roman;sans-serif" w:hAnsi="Times New Roman;sans-serif"/>
                <w:b/>
                <w:color w:val="000000"/>
                <w:sz w:val="17"/>
              </w:rPr>
              <w:t>Scheduled</w:t>
            </w:r>
          </w:p>
        </w:tc>
        <w:tc>
          <w:tcPr>
            <w:tcW w:w="779"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115" w:after="283"/>
              <w:jc w:val="right"/>
              <w:rPr>
                <w:rFonts w:ascii="Times New Roman;sans-serif" w:hAnsi="Times New Roman;sans-serif"/>
                <w:b/>
                <w:color w:val="000000"/>
                <w:sz w:val="17"/>
              </w:rPr>
            </w:pPr>
            <w:r>
              <w:rPr>
                <w:rFonts w:ascii="Times New Roman;sans-serif" w:hAnsi="Times New Roman;sans-serif"/>
                <w:b/>
                <w:color w:val="000000"/>
                <w:sz w:val="17"/>
              </w:rPr>
              <w:t>Number of</w:t>
            </w:r>
          </w:p>
        </w:tc>
        <w:tc>
          <w:tcPr>
            <w:tcW w:w="872"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115" w:after="283"/>
              <w:jc w:val="center"/>
              <w:rPr>
                <w:rFonts w:ascii="Times New Roman;sans-serif" w:hAnsi="Times New Roman;sans-serif"/>
                <w:b/>
                <w:color w:val="000000"/>
                <w:sz w:val="17"/>
              </w:rPr>
            </w:pPr>
            <w:r>
              <w:rPr>
                <w:rFonts w:ascii="Times New Roman;sans-serif" w:hAnsi="Times New Roman;sans-serif"/>
                <w:b/>
                <w:color w:val="000000"/>
                <w:sz w:val="17"/>
              </w:rPr>
              <w:t>Factor</w:t>
            </w:r>
          </w:p>
        </w:tc>
        <w:tc>
          <w:tcPr>
            <w:tcW w:w="856" w:type="dxa"/>
            <w:gridSpan w:val="3"/>
            <w:tcBorders>
              <w:left w:val="single" w:sz="8" w:space="0" w:color="000000"/>
              <w:right w:val="single" w:sz="8" w:space="0" w:color="000000"/>
            </w:tcBorders>
            <w:shd w:fill="auto" w:val="clear"/>
            <w:tcMar>
              <w:top w:w="0" w:type="dxa"/>
              <w:bottom w:w="0" w:type="dxa"/>
            </w:tcMar>
            <w:vAlign w:val="center"/>
          </w:tcPr>
          <w:p>
            <w:pPr>
              <w:pStyle w:val="TableContents"/>
              <w:spacing w:lineRule="auto" w:line="240" w:before="115" w:after="283"/>
              <w:jc w:val="center"/>
              <w:rPr>
                <w:rFonts w:ascii="Times New Roman;sans-serif" w:hAnsi="Times New Roman;sans-serif"/>
                <w:b/>
                <w:color w:val="000000"/>
                <w:sz w:val="17"/>
              </w:rPr>
            </w:pPr>
            <w:r>
              <w:rPr>
                <w:rFonts w:ascii="Times New Roman;sans-serif" w:hAnsi="Times New Roman;sans-serif"/>
                <w:b/>
                <w:color w:val="000000"/>
                <w:sz w:val="17"/>
              </w:rPr>
              <w:t>Factor</w:t>
            </w:r>
          </w:p>
        </w:tc>
        <w:tc>
          <w:tcPr>
            <w:tcW w:w="327" w:type="dxa"/>
            <w:gridSpan w:val="3"/>
            <w:vMerge w:val="continue"/>
            <w:tcBorders>
              <w:top w:val="single" w:sz="16" w:space="0" w:color="000000"/>
              <w:left w:val="single" w:sz="8" w:space="0" w:color="000000"/>
            </w:tcBorders>
            <w:shd w:fill="C0C0C0" w:val="clear"/>
            <w:tcMar>
              <w:bottom w:w="0" w:type="dxa"/>
              <w:right w:w="0" w:type="dxa"/>
            </w:tcMar>
            <w:vAlign w:val="center"/>
          </w:tcPr>
          <w:p>
            <w:pPr>
              <w:pStyle w:val="Normal"/>
              <w:rPr/>
            </w:pPr>
            <w:r>
              <w:rPr/>
            </w:r>
          </w:p>
        </w:tc>
        <w:tc>
          <w:tcPr>
            <w:tcW w:w="1136"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115" w:after="283"/>
              <w:jc w:val="center"/>
              <w:rPr>
                <w:rFonts w:ascii="Times New Roman;sans-serif" w:hAnsi="Times New Roman;sans-serif"/>
                <w:b/>
                <w:color w:val="000000"/>
                <w:sz w:val="17"/>
              </w:rPr>
            </w:pPr>
            <w:r>
              <w:rPr>
                <w:rFonts w:ascii="Times New Roman;sans-serif" w:hAnsi="Times New Roman;sans-serif"/>
                <w:b/>
                <w:color w:val="000000"/>
                <w:sz w:val="17"/>
              </w:rPr>
              <w:t>Adv Payment Base</w:t>
            </w:r>
          </w:p>
        </w:tc>
        <w:tc>
          <w:tcPr>
            <w:tcW w:w="70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115"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115"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115"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9" w:type="dxa"/>
            <w:gridSpan w:val="3"/>
            <w:tcBorders>
              <w:top w:val="single" w:sz="8" w:space="0" w:color="000000"/>
              <w:left w:val="single" w:sz="8" w:space="0" w:color="000000"/>
              <w:right w:val="single" w:sz="16" w:space="0" w:color="000000"/>
            </w:tcBorders>
            <w:shd w:fill="auto" w:val="clear"/>
            <w:tcMar>
              <w:top w:w="30" w:type="dxa"/>
              <w:bottom w:w="0" w:type="dxa"/>
            </w:tcMar>
            <w:vAlign w:val="center"/>
          </w:tcPr>
          <w:p>
            <w:pPr>
              <w:pStyle w:val="TableContents"/>
              <w:spacing w:lineRule="auto" w:line="240" w:before="115"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1172" w:type="dxa"/>
            <w:gridSpan w:val="3"/>
            <w:tcBorders>
              <w:left w:val="single" w:sz="16" w:space="0" w:color="000000"/>
            </w:tcBorders>
            <w:shd w:fill="auto" w:val="clear"/>
            <w:tcMar>
              <w:top w:w="0" w:type="dxa"/>
              <w:bottom w:w="0" w:type="dxa"/>
              <w:right w:w="0" w:type="dxa"/>
            </w:tcMar>
            <w:vAlign w:val="center"/>
          </w:tcPr>
          <w:p>
            <w:pPr>
              <w:pStyle w:val="TableContents"/>
              <w:spacing w:lineRule="auto" w:line="254" w:before="59" w:after="283"/>
              <w:jc w:val="center"/>
              <w:rPr>
                <w:rFonts w:ascii="Times New Roman;sans-serif" w:hAnsi="Times New Roman;sans-serif"/>
                <w:b/>
                <w:color w:val="000000"/>
                <w:sz w:val="17"/>
              </w:rPr>
            </w:pPr>
            <w:r>
              <w:rPr>
                <w:rFonts w:ascii="Times New Roman;sans-serif" w:hAnsi="Times New Roman;sans-serif"/>
                <w:b/>
                <w:color w:val="000000"/>
                <w:sz w:val="17"/>
              </w:rPr>
              <w:t>Delivery Month</w:t>
            </w:r>
          </w:p>
        </w:tc>
        <w:tc>
          <w:tcPr>
            <w:tcW w:w="1024" w:type="dxa"/>
            <w:gridSpan w:val="3"/>
            <w:tcBorders>
              <w:left w:val="single" w:sz="16" w:space="0" w:color="000000"/>
            </w:tcBorders>
            <w:shd w:fill="auto" w:val="clear"/>
            <w:tcMar>
              <w:top w:w="0" w:type="dxa"/>
              <w:bottom w:w="0" w:type="dxa"/>
              <w:right w:w="0" w:type="dxa"/>
            </w:tcMar>
            <w:vAlign w:val="center"/>
          </w:tcPr>
          <w:p>
            <w:pPr>
              <w:pStyle w:val="TableContents"/>
              <w:spacing w:lineRule="auto" w:line="254" w:before="59" w:after="283"/>
              <w:jc w:val="left"/>
              <w:rPr>
                <w:rFonts w:ascii="Times New Roman;sans-serif" w:hAnsi="Times New Roman;sans-serif"/>
                <w:b/>
                <w:color w:val="000000"/>
                <w:sz w:val="17"/>
              </w:rPr>
            </w:pPr>
            <w:r>
              <w:rPr>
                <w:rFonts w:ascii="Times New Roman;sans-serif" w:hAnsi="Times New Roman;sans-serif"/>
                <w:b/>
                <w:color w:val="000000"/>
                <w:sz w:val="17"/>
              </w:rPr>
              <w:t>Delivery Months</w:t>
            </w:r>
          </w:p>
        </w:tc>
        <w:tc>
          <w:tcPr>
            <w:tcW w:w="1024" w:type="dxa"/>
            <w:gridSpan w:val="3"/>
            <w:tcBorders>
              <w:left w:val="single" w:sz="16" w:space="0" w:color="000000"/>
            </w:tcBorders>
            <w:shd w:fill="auto" w:val="clear"/>
            <w:tcMar>
              <w:top w:w="0" w:type="dxa"/>
              <w:bottom w:w="0" w:type="dxa"/>
              <w:right w:w="0" w:type="dxa"/>
            </w:tcMar>
            <w:vAlign w:val="center"/>
          </w:tcPr>
          <w:p>
            <w:pPr>
              <w:pStyle w:val="TableContents"/>
              <w:spacing w:lineRule="auto" w:line="254" w:before="59" w:after="283"/>
              <w:jc w:val="left"/>
              <w:rPr>
                <w:rFonts w:ascii="Times New Roman;sans-serif" w:hAnsi="Times New Roman;sans-serif"/>
                <w:b/>
                <w:color w:val="000000"/>
                <w:sz w:val="17"/>
              </w:rPr>
            </w:pPr>
            <w:r>
              <w:rPr>
                <w:rFonts w:ascii="Times New Roman;sans-serif" w:hAnsi="Times New Roman;sans-serif"/>
                <w:b/>
                <w:color w:val="000000"/>
                <w:sz w:val="17"/>
              </w:rPr>
              <w:t>Delivery Months</w:t>
            </w:r>
          </w:p>
        </w:tc>
        <w:tc>
          <w:tcPr>
            <w:tcW w:w="779" w:type="dxa"/>
            <w:gridSpan w:val="3"/>
            <w:tcBorders>
              <w:left w:val="single" w:sz="8" w:space="0" w:color="000000"/>
            </w:tcBorders>
            <w:shd w:fill="auto" w:val="clear"/>
            <w:tcMar>
              <w:top w:w="0" w:type="dxa"/>
              <w:bottom w:w="0" w:type="dxa"/>
              <w:right w:w="0" w:type="dxa"/>
            </w:tcMar>
            <w:vAlign w:val="center"/>
          </w:tcPr>
          <w:p>
            <w:pPr>
              <w:pStyle w:val="TableContents"/>
              <w:spacing w:lineRule="auto" w:line="254" w:before="59" w:after="283"/>
              <w:jc w:val="right"/>
              <w:rPr>
                <w:rFonts w:ascii="Times New Roman;sans-serif" w:hAnsi="Times New Roman;sans-serif"/>
                <w:b/>
                <w:color w:val="000000"/>
                <w:sz w:val="17"/>
              </w:rPr>
            </w:pPr>
            <w:r>
              <w:rPr>
                <w:rFonts w:ascii="Times New Roman;sans-serif" w:hAnsi="Times New Roman;sans-serif"/>
                <w:b/>
                <w:color w:val="000000"/>
                <w:sz w:val="17"/>
              </w:rPr>
              <w:t>Aircraft</w:t>
            </w:r>
          </w:p>
        </w:tc>
        <w:tc>
          <w:tcPr>
            <w:tcW w:w="872" w:type="dxa"/>
            <w:gridSpan w:val="3"/>
            <w:tcBorders>
              <w:left w:val="single" w:sz="8" w:space="0" w:color="000000"/>
            </w:tcBorders>
            <w:shd w:fill="auto" w:val="clear"/>
            <w:tcMar>
              <w:top w:w="0" w:type="dxa"/>
              <w:bottom w:w="0" w:type="dxa"/>
              <w:right w:w="0" w:type="dxa"/>
            </w:tcMar>
            <w:vAlign w:val="center"/>
          </w:tcPr>
          <w:p>
            <w:pPr>
              <w:pStyle w:val="TableContents"/>
              <w:spacing w:lineRule="auto" w:line="254" w:before="59" w:after="283"/>
              <w:jc w:val="center"/>
              <w:rPr>
                <w:rFonts w:ascii="Times New Roman;sans-serif" w:hAnsi="Times New Roman;sans-serif"/>
                <w:b/>
                <w:color w:val="000000"/>
                <w:sz w:val="17"/>
              </w:rPr>
            </w:pPr>
            <w:r>
              <w:rPr>
                <w:rFonts w:ascii="Times New Roman;sans-serif" w:hAnsi="Times New Roman;sans-serif"/>
                <w:b/>
                <w:color w:val="000000"/>
                <w:sz w:val="17"/>
              </w:rPr>
              <w:t>(Airframe)</w:t>
            </w:r>
          </w:p>
        </w:tc>
        <w:tc>
          <w:tcPr>
            <w:tcW w:w="856" w:type="dxa"/>
            <w:gridSpan w:val="3"/>
            <w:tcBorders>
              <w:left w:val="single" w:sz="8" w:space="0" w:color="000000"/>
              <w:right w:val="single" w:sz="8" w:space="0" w:color="000000"/>
            </w:tcBorders>
            <w:shd w:fill="auto" w:val="clear"/>
            <w:tcMar>
              <w:top w:w="0" w:type="dxa"/>
              <w:bottom w:w="0" w:type="dxa"/>
            </w:tcMar>
            <w:vAlign w:val="center"/>
          </w:tcPr>
          <w:p>
            <w:pPr>
              <w:pStyle w:val="TableContents"/>
              <w:spacing w:lineRule="auto" w:line="254" w:before="59" w:after="283"/>
              <w:jc w:val="center"/>
              <w:rPr>
                <w:rFonts w:ascii="Times New Roman;sans-serif" w:hAnsi="Times New Roman;sans-serif"/>
                <w:b/>
                <w:color w:val="000000"/>
                <w:sz w:val="17"/>
              </w:rPr>
            </w:pPr>
            <w:r>
              <w:rPr>
                <w:rFonts w:ascii="Times New Roman;sans-serif" w:hAnsi="Times New Roman;sans-serif"/>
                <w:b/>
                <w:color w:val="000000"/>
                <w:sz w:val="17"/>
              </w:rPr>
              <w:t>(Engine)</w:t>
            </w:r>
          </w:p>
        </w:tc>
        <w:tc>
          <w:tcPr>
            <w:tcW w:w="327" w:type="dxa"/>
            <w:gridSpan w:val="3"/>
            <w:vMerge w:val="continue"/>
            <w:tcBorders>
              <w:top w:val="single" w:sz="16" w:space="0" w:color="000000"/>
              <w:left w:val="single" w:sz="8" w:space="0" w:color="000000"/>
            </w:tcBorders>
            <w:shd w:fill="C0C0C0" w:val="clear"/>
            <w:tcMar>
              <w:bottom w:w="0" w:type="dxa"/>
              <w:right w:w="0" w:type="dxa"/>
            </w:tcMar>
            <w:vAlign w:val="center"/>
          </w:tcPr>
          <w:p>
            <w:pPr>
              <w:pStyle w:val="Normal"/>
              <w:rPr/>
            </w:pPr>
            <w:r>
              <w:rPr/>
            </w:r>
          </w:p>
        </w:tc>
        <w:tc>
          <w:tcPr>
            <w:tcW w:w="1136" w:type="dxa"/>
            <w:gridSpan w:val="3"/>
            <w:tcBorders>
              <w:left w:val="single" w:sz="8" w:space="0" w:color="000000"/>
            </w:tcBorders>
            <w:shd w:fill="auto" w:val="clear"/>
            <w:tcMar>
              <w:top w:w="0" w:type="dxa"/>
              <w:bottom w:w="0" w:type="dxa"/>
              <w:right w:w="0" w:type="dxa"/>
            </w:tcMar>
            <w:vAlign w:val="center"/>
          </w:tcPr>
          <w:p>
            <w:pPr>
              <w:pStyle w:val="TableContents"/>
              <w:spacing w:lineRule="auto" w:line="254" w:before="59" w:after="283"/>
              <w:jc w:val="center"/>
              <w:rPr>
                <w:rFonts w:ascii="Times New Roman;sans-serif" w:hAnsi="Times New Roman;sans-serif"/>
                <w:b/>
                <w:color w:val="000000"/>
                <w:sz w:val="17"/>
              </w:rPr>
            </w:pPr>
            <w:r>
              <w:rPr>
                <w:rFonts w:ascii="Times New Roman;sans-serif" w:hAnsi="Times New Roman;sans-serif"/>
                <w:b/>
                <w:color w:val="000000"/>
                <w:sz w:val="17"/>
              </w:rPr>
              <w:t>Price Per A/P</w:t>
            </w:r>
          </w:p>
        </w:tc>
        <w:tc>
          <w:tcPr>
            <w:tcW w:w="702" w:type="dxa"/>
            <w:gridSpan w:val="3"/>
            <w:tcBorders>
              <w:left w:val="single" w:sz="8" w:space="0" w:color="000000"/>
            </w:tcBorders>
            <w:shd w:fill="auto" w:val="clear"/>
            <w:tcMar>
              <w:top w:w="0" w:type="dxa"/>
              <w:bottom w:w="0" w:type="dxa"/>
              <w:right w:w="0" w:type="dxa"/>
            </w:tcMar>
            <w:vAlign w:val="center"/>
          </w:tcPr>
          <w:p>
            <w:pPr>
              <w:pStyle w:val="TableContents"/>
              <w:spacing w:lineRule="auto" w:line="254" w:before="59"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2" w:type="dxa"/>
            <w:gridSpan w:val="3"/>
            <w:tcBorders>
              <w:left w:val="single" w:sz="8" w:space="0" w:color="000000"/>
            </w:tcBorders>
            <w:shd w:fill="auto" w:val="clear"/>
            <w:tcMar>
              <w:top w:w="0" w:type="dxa"/>
              <w:bottom w:w="0" w:type="dxa"/>
              <w:right w:w="0" w:type="dxa"/>
            </w:tcMar>
            <w:vAlign w:val="center"/>
          </w:tcPr>
          <w:p>
            <w:pPr>
              <w:pStyle w:val="TableContents"/>
              <w:spacing w:lineRule="auto" w:line="254" w:before="59"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2" w:type="dxa"/>
            <w:gridSpan w:val="3"/>
            <w:tcBorders>
              <w:left w:val="single" w:sz="8" w:space="0" w:color="000000"/>
            </w:tcBorders>
            <w:shd w:fill="auto" w:val="clear"/>
            <w:tcMar>
              <w:top w:w="0" w:type="dxa"/>
              <w:bottom w:w="0" w:type="dxa"/>
              <w:right w:w="0" w:type="dxa"/>
            </w:tcMar>
            <w:vAlign w:val="center"/>
          </w:tcPr>
          <w:p>
            <w:pPr>
              <w:pStyle w:val="TableContents"/>
              <w:spacing w:lineRule="auto" w:line="254" w:before="59"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9" w:type="dxa"/>
            <w:gridSpan w:val="3"/>
            <w:tcBorders>
              <w:left w:val="single" w:sz="8" w:space="0" w:color="000000"/>
              <w:right w:val="single" w:sz="16" w:space="0" w:color="000000"/>
            </w:tcBorders>
            <w:shd w:fill="auto" w:val="clear"/>
            <w:tcMar>
              <w:top w:w="0" w:type="dxa"/>
              <w:bottom w:w="0" w:type="dxa"/>
            </w:tcMar>
            <w:vAlign w:val="center"/>
          </w:tcPr>
          <w:p>
            <w:pPr>
              <w:pStyle w:val="TableContents"/>
              <w:spacing w:lineRule="auto" w:line="254" w:before="59"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172" w:type="dxa"/>
            <w:gridSpan w:val="3"/>
            <w:tcBorders>
              <w:top w:val="single" w:sz="8" w:space="0" w:color="000000"/>
              <w:left w:val="single" w:sz="16" w:space="0" w:color="000000"/>
            </w:tcBorders>
            <w:shd w:fill="auto" w:val="clear"/>
            <w:tcMar>
              <w:top w:w="30" w:type="dxa"/>
              <w:bottom w:w="0" w:type="dxa"/>
              <w:right w:w="0" w:type="dxa"/>
            </w:tcMar>
            <w:vAlign w:val="center"/>
          </w:tcPr>
          <w:p>
            <w:pPr>
              <w:pStyle w:val="TableContents"/>
              <w:spacing w:lineRule="auto" w:line="254" w:before="116" w:after="283"/>
              <w:ind w:left="0" w:right="0" w:firstLine="90"/>
              <w:jc w:val="center"/>
              <w:rPr>
                <w:rFonts w:ascii="Times New Roman;sans-serif" w:hAnsi="Times New Roman;sans-serif"/>
                <w:b w:val="false"/>
                <w:color w:val="000000"/>
                <w:sz w:val="17"/>
              </w:rPr>
            </w:pPr>
            <w:r>
              <w:rPr>
                <w:rFonts w:ascii="Times New Roman;sans-serif" w:hAnsi="Times New Roman;sans-serif"/>
                <w:b w:val="false"/>
                <w:color w:val="000000"/>
                <w:sz w:val="17"/>
              </w:rPr>
              <w:t>[****]-2020</w:t>
            </w:r>
          </w:p>
        </w:tc>
        <w:tc>
          <w:tcPr>
            <w:tcW w:w="1024"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024" w:type="dxa"/>
            <w:gridSpan w:val="3"/>
            <w:tcBorders>
              <w:top w:val="single" w:sz="8" w:space="0" w:color="000000"/>
              <w:left w:val="single" w:sz="8" w:space="0" w:color="000000"/>
            </w:tcBorders>
            <w:shd w:fill="auto" w:val="clear"/>
            <w:tcMar>
              <w:top w:w="30" w:type="dxa"/>
              <w:left w:w="333" w:type="dxa"/>
              <w:bottom w:w="0" w:type="dxa"/>
              <w:right w:w="0" w:type="dxa"/>
            </w:tcMar>
            <w:vAlign w:val="center"/>
          </w:tcPr>
          <w:p>
            <w:pPr>
              <w:pStyle w:val="TableContents"/>
              <w:spacing w:lineRule="auto" w:line="194" w:before="0" w:after="283"/>
              <w:jc w:val="left"/>
              <w:rPr>
                <w:rFonts w:ascii="Times New Roman;sans-serif" w:hAnsi="Times New Roman;sans-serif"/>
                <w:b/>
                <w:color w:val="000000"/>
                <w:sz w:val="17"/>
              </w:rPr>
            </w:pPr>
            <w:r>
              <w:rPr>
                <w:rFonts w:ascii="Times New Roman;sans-serif" w:hAnsi="Times New Roman;sans-serif"/>
                <w:b/>
                <w:color w:val="000000"/>
                <w:sz w:val="17"/>
              </w:rPr>
              <w:t>Delivered</w:t>
            </w:r>
          </w:p>
        </w:tc>
        <w:tc>
          <w:tcPr>
            <w:tcW w:w="7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FF"/>
                <w:sz w:val="17"/>
              </w:rPr>
            </w:pPr>
            <w:r>
              <w:rPr>
                <w:rFonts w:ascii="Times New Roman;sans-serif" w:hAnsi="Times New Roman;sans-serif"/>
                <w:b w:val="false"/>
                <w:color w:val="0000FF"/>
                <w:sz w:val="17"/>
              </w:rPr>
              <w:t>1</w:t>
            </w:r>
          </w:p>
        </w:tc>
        <w:tc>
          <w:tcPr>
            <w:tcW w:w="8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top w:val="single" w:sz="8" w:space="0" w:color="000000"/>
              <w:left w:val="single" w:sz="8" w:space="0" w:color="000000"/>
            </w:tcBorders>
            <w:shd w:fill="C0C0C0" w:val="clear"/>
            <w:tcMar>
              <w:bottom w:w="0" w:type="dxa"/>
              <w:right w:w="0" w:type="dxa"/>
            </w:tcMar>
            <w:vAlign w:val="center"/>
          </w:tcPr>
          <w:p>
            <w:pPr>
              <w:pStyle w:val="TableContents"/>
              <w:spacing w:before="0" w:after="283"/>
              <w:rPr>
                <w:sz w:val="4"/>
                <w:szCs w:val="4"/>
              </w:rPr>
            </w:pPr>
            <w:r>
              <w:rPr>
                <w:sz w:val="4"/>
                <w:szCs w:val="4"/>
              </w:rPr>
            </w:r>
          </w:p>
        </w:tc>
        <w:tc>
          <w:tcPr>
            <w:tcW w:w="113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9" w:type="dxa"/>
            <w:gridSpan w:val="3"/>
            <w:tcBorders>
              <w:top w:val="single" w:sz="8" w:space="0" w:color="000000"/>
              <w:left w:val="single" w:sz="8" w:space="0" w:color="000000"/>
              <w:right w:val="single" w:sz="16" w:space="0" w:color="000000"/>
            </w:tcBorders>
            <w:shd w:fill="auto" w:val="clear"/>
            <w:tcMar>
              <w:top w:w="30" w:type="dxa"/>
              <w:bottom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172" w:type="dxa"/>
            <w:gridSpan w:val="3"/>
            <w:tcBorders>
              <w:top w:val="single" w:sz="8" w:space="0" w:color="000000"/>
              <w:left w:val="single" w:sz="16" w:space="0" w:color="000000"/>
            </w:tcBorders>
            <w:shd w:fill="auto" w:val="clear"/>
            <w:tcMar>
              <w:top w:w="30" w:type="dxa"/>
              <w:bottom w:w="0" w:type="dxa"/>
              <w:right w:w="0" w:type="dxa"/>
            </w:tcMar>
            <w:vAlign w:val="center"/>
          </w:tcPr>
          <w:p>
            <w:pPr>
              <w:pStyle w:val="TableContents"/>
              <w:spacing w:lineRule="auto" w:line="254" w:before="116" w:after="283"/>
              <w:ind w:left="0" w:right="0" w:firstLine="90"/>
              <w:jc w:val="center"/>
              <w:rPr>
                <w:rFonts w:ascii="Times New Roman;sans-serif" w:hAnsi="Times New Roman;sans-serif"/>
                <w:b w:val="false"/>
                <w:color w:val="000000"/>
                <w:sz w:val="17"/>
              </w:rPr>
            </w:pPr>
            <w:r>
              <w:rPr>
                <w:rFonts w:ascii="Times New Roman;sans-serif" w:hAnsi="Times New Roman;sans-serif"/>
                <w:b w:val="false"/>
                <w:color w:val="000000"/>
                <w:sz w:val="17"/>
              </w:rPr>
              <w:t>[****]-2020</w:t>
            </w:r>
          </w:p>
        </w:tc>
        <w:tc>
          <w:tcPr>
            <w:tcW w:w="1024"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024" w:type="dxa"/>
            <w:gridSpan w:val="3"/>
            <w:tcBorders>
              <w:top w:val="single" w:sz="8" w:space="0" w:color="000000"/>
              <w:left w:val="single" w:sz="8" w:space="0" w:color="000000"/>
            </w:tcBorders>
            <w:shd w:fill="auto" w:val="clear"/>
            <w:tcMar>
              <w:top w:w="30" w:type="dxa"/>
              <w:left w:w="333" w:type="dxa"/>
              <w:bottom w:w="0" w:type="dxa"/>
              <w:right w:w="0" w:type="dxa"/>
            </w:tcMar>
            <w:vAlign w:val="center"/>
          </w:tcPr>
          <w:p>
            <w:pPr>
              <w:pStyle w:val="TableContents"/>
              <w:spacing w:lineRule="auto" w:line="194" w:before="0" w:after="283"/>
              <w:jc w:val="left"/>
              <w:rPr>
                <w:rFonts w:ascii="Times New Roman;sans-serif" w:hAnsi="Times New Roman;sans-serif"/>
                <w:b/>
                <w:color w:val="000000"/>
                <w:sz w:val="17"/>
              </w:rPr>
            </w:pPr>
            <w:r>
              <w:rPr>
                <w:rFonts w:ascii="Times New Roman;sans-serif" w:hAnsi="Times New Roman;sans-serif"/>
                <w:b/>
                <w:color w:val="000000"/>
                <w:sz w:val="17"/>
              </w:rPr>
              <w:t>Delivered</w:t>
            </w:r>
          </w:p>
        </w:tc>
        <w:tc>
          <w:tcPr>
            <w:tcW w:w="7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FF"/>
                <w:sz w:val="17"/>
              </w:rPr>
            </w:pPr>
            <w:r>
              <w:rPr>
                <w:rFonts w:ascii="Times New Roman;sans-serif" w:hAnsi="Times New Roman;sans-serif"/>
                <w:b w:val="false"/>
                <w:color w:val="0000FF"/>
                <w:sz w:val="17"/>
              </w:rPr>
              <w:t>1</w:t>
            </w:r>
          </w:p>
        </w:tc>
        <w:tc>
          <w:tcPr>
            <w:tcW w:w="8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top w:val="single" w:sz="8" w:space="0" w:color="000000"/>
              <w:left w:val="single" w:sz="8" w:space="0" w:color="000000"/>
            </w:tcBorders>
            <w:shd w:fill="C0C0C0" w:val="clear"/>
            <w:tcMar>
              <w:bottom w:w="0" w:type="dxa"/>
              <w:right w:w="0" w:type="dxa"/>
            </w:tcMar>
            <w:vAlign w:val="center"/>
          </w:tcPr>
          <w:p>
            <w:pPr>
              <w:pStyle w:val="TableContents"/>
              <w:spacing w:before="0" w:after="283"/>
              <w:rPr>
                <w:sz w:val="4"/>
                <w:szCs w:val="4"/>
              </w:rPr>
            </w:pPr>
            <w:r>
              <w:rPr>
                <w:sz w:val="4"/>
                <w:szCs w:val="4"/>
              </w:rPr>
            </w:r>
          </w:p>
        </w:tc>
        <w:tc>
          <w:tcPr>
            <w:tcW w:w="113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9" w:type="dxa"/>
            <w:gridSpan w:val="3"/>
            <w:tcBorders>
              <w:top w:val="single" w:sz="8" w:space="0" w:color="000000"/>
              <w:left w:val="single" w:sz="8" w:space="0" w:color="000000"/>
              <w:right w:val="single" w:sz="16" w:space="0" w:color="000000"/>
            </w:tcBorders>
            <w:shd w:fill="auto" w:val="clear"/>
            <w:tcMar>
              <w:top w:w="30" w:type="dxa"/>
              <w:bottom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172" w:type="dxa"/>
            <w:gridSpan w:val="3"/>
            <w:tcBorders>
              <w:top w:val="single" w:sz="8" w:space="0" w:color="000000"/>
              <w:left w:val="single" w:sz="16" w:space="0" w:color="000000"/>
            </w:tcBorders>
            <w:shd w:fill="auto" w:val="clear"/>
            <w:tcMar>
              <w:top w:w="30" w:type="dxa"/>
              <w:bottom w:w="0" w:type="dxa"/>
              <w:right w:w="0" w:type="dxa"/>
            </w:tcMar>
            <w:vAlign w:val="center"/>
          </w:tcPr>
          <w:p>
            <w:pPr>
              <w:pStyle w:val="TableContents"/>
              <w:spacing w:lineRule="auto" w:line="254" w:before="116" w:after="283"/>
              <w:ind w:left="0" w:right="0" w:firstLine="90"/>
              <w:jc w:val="center"/>
              <w:rPr>
                <w:rFonts w:ascii="Times New Roman;sans-serif" w:hAnsi="Times New Roman;sans-serif"/>
                <w:b w:val="false"/>
                <w:color w:val="000000"/>
                <w:sz w:val="17"/>
              </w:rPr>
            </w:pPr>
            <w:r>
              <w:rPr>
                <w:rFonts w:ascii="Times New Roman;sans-serif" w:hAnsi="Times New Roman;sans-serif"/>
                <w:b w:val="false"/>
                <w:color w:val="000000"/>
                <w:sz w:val="17"/>
              </w:rPr>
              <w:t>[****]-2020</w:t>
            </w:r>
          </w:p>
        </w:tc>
        <w:tc>
          <w:tcPr>
            <w:tcW w:w="1024"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024" w:type="dxa"/>
            <w:gridSpan w:val="3"/>
            <w:tcBorders>
              <w:top w:val="single" w:sz="8" w:space="0" w:color="000000"/>
              <w:left w:val="single" w:sz="8" w:space="0" w:color="000000"/>
            </w:tcBorders>
            <w:shd w:fill="auto" w:val="clear"/>
            <w:tcMar>
              <w:top w:w="30" w:type="dxa"/>
              <w:left w:w="333" w:type="dxa"/>
              <w:bottom w:w="0" w:type="dxa"/>
              <w:right w:w="0" w:type="dxa"/>
            </w:tcMar>
            <w:vAlign w:val="center"/>
          </w:tcPr>
          <w:p>
            <w:pPr>
              <w:pStyle w:val="TableContents"/>
              <w:spacing w:lineRule="auto" w:line="194" w:before="0" w:after="283"/>
              <w:jc w:val="left"/>
              <w:rPr>
                <w:rFonts w:ascii="Times New Roman;sans-serif" w:hAnsi="Times New Roman;sans-serif"/>
                <w:b/>
                <w:color w:val="000000"/>
                <w:sz w:val="17"/>
              </w:rPr>
            </w:pPr>
            <w:r>
              <w:rPr>
                <w:rFonts w:ascii="Times New Roman;sans-serif" w:hAnsi="Times New Roman;sans-serif"/>
                <w:b/>
                <w:color w:val="000000"/>
                <w:sz w:val="17"/>
              </w:rPr>
              <w:t>Delivered</w:t>
            </w:r>
          </w:p>
        </w:tc>
        <w:tc>
          <w:tcPr>
            <w:tcW w:w="7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FF"/>
                <w:sz w:val="17"/>
              </w:rPr>
            </w:pPr>
            <w:r>
              <w:rPr>
                <w:rFonts w:ascii="Times New Roman;sans-serif" w:hAnsi="Times New Roman;sans-serif"/>
                <w:b w:val="false"/>
                <w:color w:val="0000FF"/>
                <w:sz w:val="17"/>
              </w:rPr>
              <w:t>1</w:t>
            </w:r>
          </w:p>
        </w:tc>
        <w:tc>
          <w:tcPr>
            <w:tcW w:w="8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top w:val="single" w:sz="8" w:space="0" w:color="000000"/>
              <w:left w:val="single" w:sz="8" w:space="0" w:color="000000"/>
            </w:tcBorders>
            <w:shd w:fill="C0C0C0" w:val="clear"/>
            <w:tcMar>
              <w:bottom w:w="0" w:type="dxa"/>
              <w:right w:w="0" w:type="dxa"/>
            </w:tcMar>
            <w:vAlign w:val="center"/>
          </w:tcPr>
          <w:p>
            <w:pPr>
              <w:pStyle w:val="TableContents"/>
              <w:spacing w:before="0" w:after="283"/>
              <w:rPr>
                <w:sz w:val="4"/>
                <w:szCs w:val="4"/>
              </w:rPr>
            </w:pPr>
            <w:r>
              <w:rPr>
                <w:sz w:val="4"/>
                <w:szCs w:val="4"/>
              </w:rPr>
            </w:r>
          </w:p>
        </w:tc>
        <w:tc>
          <w:tcPr>
            <w:tcW w:w="113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9" w:type="dxa"/>
            <w:gridSpan w:val="3"/>
            <w:tcBorders>
              <w:top w:val="single" w:sz="8" w:space="0" w:color="000000"/>
              <w:left w:val="single" w:sz="8" w:space="0" w:color="000000"/>
              <w:right w:val="single" w:sz="16" w:space="0" w:color="000000"/>
            </w:tcBorders>
            <w:shd w:fill="auto" w:val="clear"/>
            <w:tcMar>
              <w:top w:w="30" w:type="dxa"/>
              <w:bottom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172" w:type="dxa"/>
            <w:gridSpan w:val="3"/>
            <w:tcBorders>
              <w:top w:val="single" w:sz="8" w:space="0" w:color="000000"/>
              <w:left w:val="single" w:sz="16"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24" w:type="dxa"/>
            <w:gridSpan w:val="3"/>
            <w:tcBorders>
              <w:top w:val="single" w:sz="8" w:space="0" w:color="000000"/>
              <w:left w:val="single" w:sz="8" w:space="0" w:color="000000"/>
            </w:tcBorders>
            <w:shd w:fill="auto" w:val="clear"/>
            <w:tcMar>
              <w:top w:w="30" w:type="dxa"/>
              <w:left w:w="379" w:type="dxa"/>
              <w:bottom w:w="0" w:type="dxa"/>
              <w:right w:w="0" w:type="dxa"/>
            </w:tcMar>
            <w:vAlign w:val="center"/>
          </w:tcPr>
          <w:p>
            <w:pPr>
              <w:pStyle w:val="TableContents"/>
              <w:spacing w:lineRule="auto" w:line="194"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24" w:type="dxa"/>
            <w:gridSpan w:val="3"/>
            <w:tcBorders>
              <w:top w:val="single" w:sz="8" w:space="0" w:color="000000"/>
              <w:left w:val="single" w:sz="8" w:space="0" w:color="000000"/>
            </w:tcBorders>
            <w:shd w:fill="auto" w:val="clear"/>
            <w:tcMar>
              <w:top w:w="30" w:type="dxa"/>
              <w:left w:w="333" w:type="dxa"/>
              <w:bottom w:w="0" w:type="dxa"/>
              <w:right w:w="0" w:type="dxa"/>
            </w:tcMar>
            <w:vAlign w:val="center"/>
          </w:tcPr>
          <w:p>
            <w:pPr>
              <w:pStyle w:val="TableContents"/>
              <w:spacing w:lineRule="auto" w:line="194" w:before="0" w:after="283"/>
              <w:jc w:val="left"/>
              <w:rPr>
                <w:rFonts w:ascii="Times New Roman;sans-serif" w:hAnsi="Times New Roman;sans-serif"/>
                <w:b/>
                <w:color w:val="000000"/>
                <w:sz w:val="17"/>
              </w:rPr>
            </w:pPr>
            <w:r>
              <w:rPr>
                <w:rFonts w:ascii="Times New Roman;sans-serif" w:hAnsi="Times New Roman;sans-serif"/>
                <w:b/>
                <w:color w:val="000000"/>
                <w:sz w:val="17"/>
              </w:rPr>
              <w:t>Delivered</w:t>
            </w:r>
          </w:p>
        </w:tc>
        <w:tc>
          <w:tcPr>
            <w:tcW w:w="7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FF"/>
                <w:sz w:val="17"/>
              </w:rPr>
            </w:pPr>
            <w:r>
              <w:rPr>
                <w:rFonts w:ascii="Times New Roman;sans-serif" w:hAnsi="Times New Roman;sans-serif"/>
                <w:b w:val="false"/>
                <w:color w:val="0000FF"/>
                <w:sz w:val="17"/>
              </w:rPr>
              <w:t>1</w:t>
            </w:r>
          </w:p>
        </w:tc>
        <w:tc>
          <w:tcPr>
            <w:tcW w:w="8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top w:val="single" w:sz="8" w:space="0" w:color="000000"/>
              <w:left w:val="single" w:sz="8" w:space="0" w:color="000000"/>
            </w:tcBorders>
            <w:shd w:fill="C0C0C0" w:val="clear"/>
            <w:tcMar>
              <w:bottom w:w="0" w:type="dxa"/>
              <w:right w:w="0" w:type="dxa"/>
            </w:tcMar>
            <w:vAlign w:val="center"/>
          </w:tcPr>
          <w:p>
            <w:pPr>
              <w:pStyle w:val="TableContents"/>
              <w:spacing w:before="0" w:after="283"/>
              <w:rPr>
                <w:sz w:val="4"/>
                <w:szCs w:val="4"/>
              </w:rPr>
            </w:pPr>
            <w:r>
              <w:rPr>
                <w:sz w:val="4"/>
                <w:szCs w:val="4"/>
              </w:rPr>
            </w:r>
          </w:p>
        </w:tc>
        <w:tc>
          <w:tcPr>
            <w:tcW w:w="113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9" w:type="dxa"/>
            <w:gridSpan w:val="3"/>
            <w:tcBorders>
              <w:top w:val="single" w:sz="8" w:space="0" w:color="000000"/>
              <w:left w:val="single" w:sz="8" w:space="0" w:color="000000"/>
              <w:right w:val="single" w:sz="16" w:space="0" w:color="000000"/>
            </w:tcBorders>
            <w:shd w:fill="auto" w:val="clear"/>
            <w:tcMar>
              <w:top w:w="30" w:type="dxa"/>
              <w:bottom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172" w:type="dxa"/>
            <w:gridSpan w:val="3"/>
            <w:tcBorders>
              <w:top w:val="single" w:sz="8" w:space="0" w:color="000000"/>
              <w:left w:val="single" w:sz="16"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24" w:type="dxa"/>
            <w:gridSpan w:val="3"/>
            <w:tcBorders>
              <w:top w:val="single" w:sz="8" w:space="0" w:color="000000"/>
              <w:left w:val="single" w:sz="8" w:space="0" w:color="000000"/>
            </w:tcBorders>
            <w:shd w:fill="auto" w:val="clear"/>
            <w:tcMar>
              <w:top w:w="30" w:type="dxa"/>
              <w:left w:w="367" w:type="dxa"/>
              <w:bottom w:w="0" w:type="dxa"/>
              <w:right w:w="0" w:type="dxa"/>
            </w:tcMar>
            <w:vAlign w:val="center"/>
          </w:tcPr>
          <w:p>
            <w:pPr>
              <w:pStyle w:val="TableContents"/>
              <w:spacing w:lineRule="auto" w:line="194"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24" w:type="dxa"/>
            <w:gridSpan w:val="3"/>
            <w:tcBorders>
              <w:top w:val="single" w:sz="8" w:space="0" w:color="000000"/>
              <w:left w:val="single" w:sz="8" w:space="0" w:color="000000"/>
            </w:tcBorders>
            <w:shd w:fill="auto" w:val="clear"/>
            <w:tcMar>
              <w:top w:w="30" w:type="dxa"/>
              <w:left w:w="333" w:type="dxa"/>
              <w:bottom w:w="0" w:type="dxa"/>
              <w:right w:w="0" w:type="dxa"/>
            </w:tcMar>
            <w:vAlign w:val="center"/>
          </w:tcPr>
          <w:p>
            <w:pPr>
              <w:pStyle w:val="TableContents"/>
              <w:spacing w:lineRule="auto" w:line="194" w:before="0" w:after="283"/>
              <w:jc w:val="left"/>
              <w:rPr>
                <w:rFonts w:ascii="Times New Roman;sans-serif" w:hAnsi="Times New Roman;sans-serif"/>
                <w:b/>
                <w:color w:val="000000"/>
                <w:sz w:val="17"/>
              </w:rPr>
            </w:pPr>
            <w:r>
              <w:rPr>
                <w:rFonts w:ascii="Times New Roman;sans-serif" w:hAnsi="Times New Roman;sans-serif"/>
                <w:b/>
                <w:color w:val="000000"/>
                <w:sz w:val="17"/>
              </w:rPr>
              <w:t>Delivered</w:t>
            </w:r>
          </w:p>
        </w:tc>
        <w:tc>
          <w:tcPr>
            <w:tcW w:w="7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FF"/>
                <w:sz w:val="17"/>
              </w:rPr>
            </w:pPr>
            <w:r>
              <w:rPr>
                <w:rFonts w:ascii="Times New Roman;sans-serif" w:hAnsi="Times New Roman;sans-serif"/>
                <w:b w:val="false"/>
                <w:color w:val="0000FF"/>
                <w:sz w:val="17"/>
              </w:rPr>
              <w:t>1</w:t>
            </w:r>
          </w:p>
        </w:tc>
        <w:tc>
          <w:tcPr>
            <w:tcW w:w="8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top w:val="single" w:sz="8" w:space="0" w:color="000000"/>
              <w:left w:val="single" w:sz="8" w:space="0" w:color="000000"/>
            </w:tcBorders>
            <w:shd w:fill="C0C0C0" w:val="clear"/>
            <w:tcMar>
              <w:bottom w:w="0" w:type="dxa"/>
              <w:right w:w="0" w:type="dxa"/>
            </w:tcMar>
            <w:vAlign w:val="center"/>
          </w:tcPr>
          <w:p>
            <w:pPr>
              <w:pStyle w:val="TableContents"/>
              <w:spacing w:before="0" w:after="283"/>
              <w:rPr>
                <w:sz w:val="4"/>
                <w:szCs w:val="4"/>
              </w:rPr>
            </w:pPr>
            <w:r>
              <w:rPr>
                <w:sz w:val="4"/>
                <w:szCs w:val="4"/>
              </w:rPr>
            </w:r>
          </w:p>
        </w:tc>
        <w:tc>
          <w:tcPr>
            <w:tcW w:w="113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9" w:type="dxa"/>
            <w:gridSpan w:val="3"/>
            <w:tcBorders>
              <w:top w:val="single" w:sz="8" w:space="0" w:color="000000"/>
              <w:left w:val="single" w:sz="8" w:space="0" w:color="000000"/>
              <w:right w:val="single" w:sz="16" w:space="0" w:color="000000"/>
            </w:tcBorders>
            <w:shd w:fill="auto" w:val="clear"/>
            <w:tcMar>
              <w:top w:w="30" w:type="dxa"/>
              <w:bottom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172" w:type="dxa"/>
            <w:gridSpan w:val="3"/>
            <w:tcBorders>
              <w:top w:val="single" w:sz="8" w:space="0" w:color="000000"/>
              <w:left w:val="single" w:sz="16"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24" w:type="dxa"/>
            <w:gridSpan w:val="3"/>
            <w:tcBorders>
              <w:top w:val="single" w:sz="8" w:space="0" w:color="000000"/>
              <w:left w:val="single" w:sz="8" w:space="0" w:color="000000"/>
            </w:tcBorders>
            <w:shd w:fill="auto" w:val="clear"/>
            <w:tcMar>
              <w:top w:w="30" w:type="dxa"/>
              <w:left w:w="367" w:type="dxa"/>
              <w:bottom w:w="0" w:type="dxa"/>
              <w:right w:w="0" w:type="dxa"/>
            </w:tcMar>
            <w:vAlign w:val="center"/>
          </w:tcPr>
          <w:p>
            <w:pPr>
              <w:pStyle w:val="TableContents"/>
              <w:spacing w:lineRule="auto" w:line="194"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24" w:type="dxa"/>
            <w:gridSpan w:val="3"/>
            <w:tcBorders>
              <w:top w:val="single" w:sz="8" w:space="0" w:color="000000"/>
              <w:left w:val="single" w:sz="8" w:space="0" w:color="000000"/>
            </w:tcBorders>
            <w:shd w:fill="auto" w:val="clear"/>
            <w:tcMar>
              <w:top w:w="30" w:type="dxa"/>
              <w:left w:w="333" w:type="dxa"/>
              <w:bottom w:w="0" w:type="dxa"/>
              <w:right w:w="0" w:type="dxa"/>
            </w:tcMar>
            <w:vAlign w:val="center"/>
          </w:tcPr>
          <w:p>
            <w:pPr>
              <w:pStyle w:val="TableContents"/>
              <w:spacing w:lineRule="auto" w:line="194" w:before="0" w:after="283"/>
              <w:jc w:val="left"/>
              <w:rPr>
                <w:rFonts w:ascii="Times New Roman;sans-serif" w:hAnsi="Times New Roman;sans-serif"/>
                <w:b/>
                <w:color w:val="000000"/>
                <w:sz w:val="17"/>
              </w:rPr>
            </w:pPr>
            <w:r>
              <w:rPr>
                <w:rFonts w:ascii="Times New Roman;sans-serif" w:hAnsi="Times New Roman;sans-serif"/>
                <w:b/>
                <w:color w:val="000000"/>
                <w:sz w:val="17"/>
              </w:rPr>
              <w:t>Delivered</w:t>
            </w:r>
          </w:p>
        </w:tc>
        <w:tc>
          <w:tcPr>
            <w:tcW w:w="7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FF"/>
                <w:sz w:val="17"/>
              </w:rPr>
            </w:pPr>
            <w:r>
              <w:rPr>
                <w:rFonts w:ascii="Times New Roman;sans-serif" w:hAnsi="Times New Roman;sans-serif"/>
                <w:b w:val="false"/>
                <w:color w:val="0000FF"/>
                <w:sz w:val="17"/>
              </w:rPr>
              <w:t>1</w:t>
            </w:r>
          </w:p>
        </w:tc>
        <w:tc>
          <w:tcPr>
            <w:tcW w:w="8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top w:val="single" w:sz="8" w:space="0" w:color="000000"/>
              <w:left w:val="single" w:sz="8" w:space="0" w:color="000000"/>
            </w:tcBorders>
            <w:shd w:fill="C0C0C0" w:val="clear"/>
            <w:tcMar>
              <w:bottom w:w="0" w:type="dxa"/>
              <w:right w:w="0" w:type="dxa"/>
            </w:tcMar>
            <w:vAlign w:val="center"/>
          </w:tcPr>
          <w:p>
            <w:pPr>
              <w:pStyle w:val="TableContents"/>
              <w:spacing w:before="0" w:after="283"/>
              <w:rPr>
                <w:sz w:val="4"/>
                <w:szCs w:val="4"/>
              </w:rPr>
            </w:pPr>
            <w:r>
              <w:rPr>
                <w:sz w:val="4"/>
                <w:szCs w:val="4"/>
              </w:rPr>
            </w:r>
          </w:p>
        </w:tc>
        <w:tc>
          <w:tcPr>
            <w:tcW w:w="113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9" w:type="dxa"/>
            <w:gridSpan w:val="3"/>
            <w:tcBorders>
              <w:top w:val="single" w:sz="8" w:space="0" w:color="000000"/>
              <w:left w:val="single" w:sz="8" w:space="0" w:color="000000"/>
              <w:right w:val="single" w:sz="16" w:space="0" w:color="000000"/>
            </w:tcBorders>
            <w:shd w:fill="auto" w:val="clear"/>
            <w:tcMar>
              <w:top w:w="30" w:type="dxa"/>
              <w:bottom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172" w:type="dxa"/>
            <w:gridSpan w:val="3"/>
            <w:tcBorders>
              <w:top w:val="single" w:sz="8" w:space="0" w:color="000000"/>
              <w:left w:val="single" w:sz="16"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24" w:type="dxa"/>
            <w:gridSpan w:val="3"/>
            <w:tcBorders>
              <w:top w:val="single" w:sz="8" w:space="0" w:color="000000"/>
              <w:left w:val="single" w:sz="8" w:space="0" w:color="000000"/>
            </w:tcBorders>
            <w:shd w:fill="auto" w:val="clear"/>
            <w:tcMar>
              <w:top w:w="30" w:type="dxa"/>
              <w:left w:w="348" w:type="dxa"/>
              <w:bottom w:w="0" w:type="dxa"/>
              <w:right w:w="0" w:type="dxa"/>
            </w:tcMar>
            <w:vAlign w:val="center"/>
          </w:tcPr>
          <w:p>
            <w:pPr>
              <w:pStyle w:val="TableContents"/>
              <w:spacing w:lineRule="auto" w:line="194"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24" w:type="dxa"/>
            <w:gridSpan w:val="3"/>
            <w:tcBorders>
              <w:top w:val="single" w:sz="8" w:space="0" w:color="000000"/>
              <w:left w:val="single" w:sz="8" w:space="0" w:color="000000"/>
            </w:tcBorders>
            <w:shd w:fill="auto" w:val="clear"/>
            <w:tcMar>
              <w:top w:w="30" w:type="dxa"/>
              <w:left w:w="333" w:type="dxa"/>
              <w:bottom w:w="0" w:type="dxa"/>
              <w:right w:w="0" w:type="dxa"/>
            </w:tcMar>
            <w:vAlign w:val="center"/>
          </w:tcPr>
          <w:p>
            <w:pPr>
              <w:pStyle w:val="TableContents"/>
              <w:spacing w:lineRule="auto" w:line="194" w:before="0" w:after="283"/>
              <w:jc w:val="left"/>
              <w:rPr>
                <w:rFonts w:ascii="Times New Roman;sans-serif" w:hAnsi="Times New Roman;sans-serif"/>
                <w:b/>
                <w:color w:val="000000"/>
                <w:sz w:val="17"/>
              </w:rPr>
            </w:pPr>
            <w:r>
              <w:rPr>
                <w:rFonts w:ascii="Times New Roman;sans-serif" w:hAnsi="Times New Roman;sans-serif"/>
                <w:b/>
                <w:color w:val="000000"/>
                <w:sz w:val="17"/>
              </w:rPr>
              <w:t>Delivered</w:t>
            </w:r>
          </w:p>
        </w:tc>
        <w:tc>
          <w:tcPr>
            <w:tcW w:w="7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FF"/>
                <w:sz w:val="17"/>
              </w:rPr>
            </w:pPr>
            <w:r>
              <w:rPr>
                <w:rFonts w:ascii="Times New Roman;sans-serif" w:hAnsi="Times New Roman;sans-serif"/>
                <w:b w:val="false"/>
                <w:color w:val="0000FF"/>
                <w:sz w:val="17"/>
              </w:rPr>
              <w:t>1</w:t>
            </w:r>
          </w:p>
        </w:tc>
        <w:tc>
          <w:tcPr>
            <w:tcW w:w="8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top w:val="single" w:sz="8" w:space="0" w:color="000000"/>
              <w:left w:val="single" w:sz="8" w:space="0" w:color="000000"/>
            </w:tcBorders>
            <w:shd w:fill="C0C0C0" w:val="clear"/>
            <w:tcMar>
              <w:bottom w:w="0" w:type="dxa"/>
              <w:right w:w="0" w:type="dxa"/>
            </w:tcMar>
            <w:vAlign w:val="center"/>
          </w:tcPr>
          <w:p>
            <w:pPr>
              <w:pStyle w:val="TableContents"/>
              <w:spacing w:before="0" w:after="283"/>
              <w:rPr>
                <w:sz w:val="4"/>
                <w:szCs w:val="4"/>
              </w:rPr>
            </w:pPr>
            <w:r>
              <w:rPr>
                <w:sz w:val="4"/>
                <w:szCs w:val="4"/>
              </w:rPr>
            </w:r>
          </w:p>
        </w:tc>
        <w:tc>
          <w:tcPr>
            <w:tcW w:w="113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9" w:type="dxa"/>
            <w:gridSpan w:val="3"/>
            <w:tcBorders>
              <w:top w:val="single" w:sz="8" w:space="0" w:color="000000"/>
              <w:left w:val="single" w:sz="8" w:space="0" w:color="000000"/>
              <w:right w:val="single" w:sz="16" w:space="0" w:color="000000"/>
            </w:tcBorders>
            <w:shd w:fill="auto" w:val="clear"/>
            <w:tcMar>
              <w:top w:w="30" w:type="dxa"/>
              <w:bottom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172" w:type="dxa"/>
            <w:gridSpan w:val="3"/>
            <w:tcBorders>
              <w:top w:val="single" w:sz="8" w:space="0" w:color="000000"/>
              <w:left w:val="single" w:sz="16"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24" w:type="dxa"/>
            <w:gridSpan w:val="3"/>
            <w:tcBorders>
              <w:top w:val="single" w:sz="8" w:space="0" w:color="000000"/>
              <w:left w:val="single" w:sz="8" w:space="0" w:color="000000"/>
            </w:tcBorders>
            <w:shd w:fill="auto" w:val="clear"/>
            <w:tcMar>
              <w:top w:w="30" w:type="dxa"/>
              <w:left w:w="348" w:type="dxa"/>
              <w:bottom w:w="0" w:type="dxa"/>
              <w:right w:w="0" w:type="dxa"/>
            </w:tcMar>
            <w:vAlign w:val="center"/>
          </w:tcPr>
          <w:p>
            <w:pPr>
              <w:pStyle w:val="TableContents"/>
              <w:spacing w:lineRule="auto" w:line="194"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24" w:type="dxa"/>
            <w:gridSpan w:val="3"/>
            <w:tcBorders>
              <w:top w:val="single" w:sz="8" w:space="0" w:color="000000"/>
              <w:left w:val="single" w:sz="8" w:space="0" w:color="000000"/>
            </w:tcBorders>
            <w:shd w:fill="auto" w:val="clear"/>
            <w:tcMar>
              <w:top w:w="30" w:type="dxa"/>
              <w:left w:w="333" w:type="dxa"/>
              <w:bottom w:w="0" w:type="dxa"/>
              <w:right w:w="0" w:type="dxa"/>
            </w:tcMar>
            <w:vAlign w:val="center"/>
          </w:tcPr>
          <w:p>
            <w:pPr>
              <w:pStyle w:val="TableContents"/>
              <w:spacing w:lineRule="auto" w:line="194" w:before="0" w:after="283"/>
              <w:jc w:val="left"/>
              <w:rPr>
                <w:rFonts w:ascii="Times New Roman;sans-serif" w:hAnsi="Times New Roman;sans-serif"/>
                <w:b/>
                <w:color w:val="000000"/>
                <w:sz w:val="17"/>
              </w:rPr>
            </w:pPr>
            <w:r>
              <w:rPr>
                <w:rFonts w:ascii="Times New Roman;sans-serif" w:hAnsi="Times New Roman;sans-serif"/>
                <w:b/>
                <w:color w:val="000000"/>
                <w:sz w:val="17"/>
              </w:rPr>
              <w:t>Delivered</w:t>
            </w:r>
          </w:p>
        </w:tc>
        <w:tc>
          <w:tcPr>
            <w:tcW w:w="7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FF"/>
                <w:sz w:val="17"/>
              </w:rPr>
            </w:pPr>
            <w:r>
              <w:rPr>
                <w:rFonts w:ascii="Times New Roman;sans-serif" w:hAnsi="Times New Roman;sans-serif"/>
                <w:b w:val="false"/>
                <w:color w:val="0000FF"/>
                <w:sz w:val="17"/>
              </w:rPr>
              <w:t>1</w:t>
            </w:r>
          </w:p>
        </w:tc>
        <w:tc>
          <w:tcPr>
            <w:tcW w:w="8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top w:val="single" w:sz="8" w:space="0" w:color="000000"/>
              <w:left w:val="single" w:sz="8" w:space="0" w:color="000000"/>
            </w:tcBorders>
            <w:shd w:fill="C0C0C0" w:val="clear"/>
            <w:tcMar>
              <w:bottom w:w="0" w:type="dxa"/>
              <w:right w:w="0" w:type="dxa"/>
            </w:tcMar>
            <w:vAlign w:val="center"/>
          </w:tcPr>
          <w:p>
            <w:pPr>
              <w:pStyle w:val="TableContents"/>
              <w:spacing w:before="0" w:after="283"/>
              <w:rPr>
                <w:sz w:val="4"/>
                <w:szCs w:val="4"/>
              </w:rPr>
            </w:pPr>
            <w:r>
              <w:rPr>
                <w:sz w:val="4"/>
                <w:szCs w:val="4"/>
              </w:rPr>
            </w:r>
          </w:p>
        </w:tc>
        <w:tc>
          <w:tcPr>
            <w:tcW w:w="113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9" w:type="dxa"/>
            <w:gridSpan w:val="3"/>
            <w:tcBorders>
              <w:top w:val="single" w:sz="8" w:space="0" w:color="000000"/>
              <w:left w:val="single" w:sz="8" w:space="0" w:color="000000"/>
              <w:right w:val="single" w:sz="16" w:space="0" w:color="000000"/>
            </w:tcBorders>
            <w:shd w:fill="auto" w:val="clear"/>
            <w:tcMar>
              <w:top w:w="30" w:type="dxa"/>
              <w:bottom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172" w:type="dxa"/>
            <w:gridSpan w:val="3"/>
            <w:tcBorders>
              <w:top w:val="single" w:sz="8" w:space="0" w:color="000000"/>
              <w:left w:val="single" w:sz="16"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24" w:type="dxa"/>
            <w:gridSpan w:val="3"/>
            <w:tcBorders>
              <w:top w:val="single" w:sz="8" w:space="0" w:color="000000"/>
              <w:left w:val="single" w:sz="8" w:space="0" w:color="000000"/>
            </w:tcBorders>
            <w:shd w:fill="auto" w:val="clear"/>
            <w:tcMar>
              <w:top w:w="30" w:type="dxa"/>
              <w:left w:w="376" w:type="dxa"/>
              <w:bottom w:w="0" w:type="dxa"/>
              <w:right w:w="0" w:type="dxa"/>
            </w:tcMar>
            <w:vAlign w:val="center"/>
          </w:tcPr>
          <w:p>
            <w:pPr>
              <w:pStyle w:val="TableContents"/>
              <w:spacing w:lineRule="auto" w:line="194"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24" w:type="dxa"/>
            <w:gridSpan w:val="3"/>
            <w:tcBorders>
              <w:top w:val="single" w:sz="8" w:space="0" w:color="000000"/>
              <w:left w:val="single" w:sz="8" w:space="0" w:color="000000"/>
            </w:tcBorders>
            <w:shd w:fill="auto" w:val="clear"/>
            <w:tcMar>
              <w:top w:w="30" w:type="dxa"/>
              <w:left w:w="333" w:type="dxa"/>
              <w:bottom w:w="0" w:type="dxa"/>
              <w:right w:w="0" w:type="dxa"/>
            </w:tcMar>
            <w:vAlign w:val="center"/>
          </w:tcPr>
          <w:p>
            <w:pPr>
              <w:pStyle w:val="TableContents"/>
              <w:spacing w:lineRule="auto" w:line="194" w:before="0" w:after="283"/>
              <w:jc w:val="left"/>
              <w:rPr>
                <w:rFonts w:ascii="Times New Roman;sans-serif" w:hAnsi="Times New Roman;sans-serif"/>
                <w:b/>
                <w:color w:val="000000"/>
                <w:sz w:val="17"/>
              </w:rPr>
            </w:pPr>
            <w:r>
              <w:rPr>
                <w:rFonts w:ascii="Times New Roman;sans-serif" w:hAnsi="Times New Roman;sans-serif"/>
                <w:b/>
                <w:color w:val="000000"/>
                <w:sz w:val="17"/>
              </w:rPr>
              <w:t>Delivered</w:t>
            </w:r>
          </w:p>
        </w:tc>
        <w:tc>
          <w:tcPr>
            <w:tcW w:w="7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FF"/>
                <w:sz w:val="17"/>
              </w:rPr>
            </w:pPr>
            <w:r>
              <w:rPr>
                <w:rFonts w:ascii="Times New Roman;sans-serif" w:hAnsi="Times New Roman;sans-serif"/>
                <w:b w:val="false"/>
                <w:color w:val="0000FF"/>
                <w:sz w:val="17"/>
              </w:rPr>
              <w:t>1</w:t>
            </w:r>
          </w:p>
        </w:tc>
        <w:tc>
          <w:tcPr>
            <w:tcW w:w="8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top w:val="single" w:sz="8" w:space="0" w:color="000000"/>
              <w:left w:val="single" w:sz="8" w:space="0" w:color="000000"/>
            </w:tcBorders>
            <w:shd w:fill="C0C0C0" w:val="clear"/>
            <w:tcMar>
              <w:bottom w:w="0" w:type="dxa"/>
              <w:right w:w="0" w:type="dxa"/>
            </w:tcMar>
            <w:vAlign w:val="center"/>
          </w:tcPr>
          <w:p>
            <w:pPr>
              <w:pStyle w:val="TableContents"/>
              <w:spacing w:before="0" w:after="283"/>
              <w:rPr>
                <w:sz w:val="4"/>
                <w:szCs w:val="4"/>
              </w:rPr>
            </w:pPr>
            <w:r>
              <w:rPr>
                <w:sz w:val="4"/>
                <w:szCs w:val="4"/>
              </w:rPr>
            </w:r>
          </w:p>
        </w:tc>
        <w:tc>
          <w:tcPr>
            <w:tcW w:w="113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6"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9" w:type="dxa"/>
            <w:gridSpan w:val="3"/>
            <w:tcBorders>
              <w:top w:val="single" w:sz="8" w:space="0" w:color="000000"/>
              <w:left w:val="single" w:sz="8" w:space="0" w:color="000000"/>
              <w:right w:val="single" w:sz="16" w:space="0" w:color="000000"/>
            </w:tcBorders>
            <w:shd w:fill="auto" w:val="clear"/>
            <w:tcMar>
              <w:top w:w="30" w:type="dxa"/>
              <w:bottom w:w="0" w:type="dxa"/>
            </w:tcMar>
            <w:vAlign w:val="center"/>
          </w:tcPr>
          <w:p>
            <w:pPr>
              <w:pStyle w:val="TableContents"/>
              <w:spacing w:lineRule="auto" w:line="254" w:before="115"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172" w:type="dxa"/>
            <w:gridSpan w:val="3"/>
            <w:tcBorders>
              <w:top w:val="single" w:sz="8" w:space="0" w:color="000000"/>
              <w:left w:val="single" w:sz="16" w:space="0" w:color="000000"/>
            </w:tcBorders>
            <w:shd w:fill="auto" w:val="clear"/>
            <w:tcMar>
              <w:top w:w="30" w:type="dxa"/>
              <w:bottom w:w="0" w:type="dxa"/>
              <w:right w:w="0" w:type="dxa"/>
            </w:tcMar>
            <w:vAlign w:val="center"/>
          </w:tcPr>
          <w:p>
            <w:pPr>
              <w:pStyle w:val="TableContents"/>
              <w:spacing w:lineRule="auto" w:line="254" w:before="115"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24" w:type="dxa"/>
            <w:gridSpan w:val="3"/>
            <w:tcBorders>
              <w:top w:val="single" w:sz="8" w:space="0" w:color="000000"/>
              <w:left w:val="single" w:sz="8" w:space="0" w:color="000000"/>
            </w:tcBorders>
            <w:shd w:fill="auto" w:val="clear"/>
            <w:tcMar>
              <w:top w:w="30" w:type="dxa"/>
              <w:left w:w="377" w:type="dxa"/>
              <w:bottom w:w="0" w:type="dxa"/>
              <w:right w:w="0" w:type="dxa"/>
            </w:tcMar>
            <w:vAlign w:val="center"/>
          </w:tcPr>
          <w:p>
            <w:pPr>
              <w:pStyle w:val="TableContents"/>
              <w:spacing w:lineRule="auto" w:line="194"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24" w:type="dxa"/>
            <w:gridSpan w:val="3"/>
            <w:tcBorders>
              <w:top w:val="single" w:sz="8" w:space="0" w:color="000000"/>
              <w:left w:val="single" w:sz="8" w:space="0" w:color="000000"/>
            </w:tcBorders>
            <w:shd w:fill="auto" w:val="clear"/>
            <w:tcMar>
              <w:top w:w="30" w:type="dxa"/>
              <w:left w:w="334" w:type="dxa"/>
              <w:bottom w:w="0" w:type="dxa"/>
              <w:right w:w="0" w:type="dxa"/>
            </w:tcMar>
            <w:vAlign w:val="center"/>
          </w:tcPr>
          <w:p>
            <w:pPr>
              <w:pStyle w:val="TableContents"/>
              <w:spacing w:lineRule="auto" w:line="194" w:before="0" w:after="283"/>
              <w:jc w:val="left"/>
              <w:rPr>
                <w:rFonts w:ascii="Times New Roman;sans-serif" w:hAnsi="Times New Roman;sans-serif"/>
                <w:b/>
                <w:color w:val="000000"/>
                <w:sz w:val="17"/>
              </w:rPr>
            </w:pPr>
            <w:r>
              <w:rPr>
                <w:rFonts w:ascii="Times New Roman;sans-serif" w:hAnsi="Times New Roman;sans-serif"/>
                <w:b/>
                <w:color w:val="000000"/>
                <w:sz w:val="17"/>
              </w:rPr>
              <w:t>Delivered</w:t>
            </w:r>
          </w:p>
        </w:tc>
        <w:tc>
          <w:tcPr>
            <w:tcW w:w="7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5" w:after="283"/>
              <w:jc w:val="center"/>
              <w:rPr>
                <w:rFonts w:ascii="Times New Roman;sans-serif" w:hAnsi="Times New Roman;sans-serif"/>
                <w:b w:val="false"/>
                <w:color w:val="0000FF"/>
                <w:sz w:val="17"/>
              </w:rPr>
            </w:pPr>
            <w:r>
              <w:rPr>
                <w:rFonts w:ascii="Times New Roman;sans-serif" w:hAnsi="Times New Roman;sans-serif"/>
                <w:b w:val="false"/>
                <w:color w:val="0000FF"/>
                <w:sz w:val="17"/>
              </w:rPr>
              <w:t>1</w:t>
            </w:r>
          </w:p>
        </w:tc>
        <w:tc>
          <w:tcPr>
            <w:tcW w:w="8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5"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5"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top w:val="single" w:sz="8" w:space="0" w:color="000000"/>
              <w:left w:val="single" w:sz="8" w:space="0" w:color="000000"/>
            </w:tcBorders>
            <w:shd w:fill="C0C0C0" w:val="clear"/>
            <w:tcMar>
              <w:bottom w:w="0" w:type="dxa"/>
              <w:right w:w="0" w:type="dxa"/>
            </w:tcMar>
            <w:vAlign w:val="center"/>
          </w:tcPr>
          <w:p>
            <w:pPr>
              <w:pStyle w:val="TableContents"/>
              <w:spacing w:before="0" w:after="283"/>
              <w:rPr>
                <w:sz w:val="4"/>
                <w:szCs w:val="4"/>
              </w:rPr>
            </w:pPr>
            <w:r>
              <w:rPr>
                <w:sz w:val="4"/>
                <w:szCs w:val="4"/>
              </w:rPr>
            </w:r>
          </w:p>
        </w:tc>
        <w:tc>
          <w:tcPr>
            <w:tcW w:w="113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5"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5"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5"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5"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9" w:type="dxa"/>
            <w:gridSpan w:val="3"/>
            <w:tcBorders>
              <w:top w:val="single" w:sz="8" w:space="0" w:color="000000"/>
              <w:left w:val="single" w:sz="8" w:space="0" w:color="000000"/>
              <w:right w:val="single" w:sz="16" w:space="0" w:color="000000"/>
            </w:tcBorders>
            <w:shd w:fill="auto" w:val="clear"/>
            <w:tcMar>
              <w:top w:w="30" w:type="dxa"/>
              <w:bottom w:w="0" w:type="dxa"/>
            </w:tcMar>
            <w:vAlign w:val="center"/>
          </w:tcPr>
          <w:p>
            <w:pPr>
              <w:pStyle w:val="TableContents"/>
              <w:spacing w:lineRule="auto" w:line="254" w:before="115"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172" w:type="dxa"/>
            <w:gridSpan w:val="3"/>
            <w:tcBorders>
              <w:top w:val="single" w:sz="8" w:space="0" w:color="000000"/>
              <w:left w:val="single" w:sz="16" w:space="0" w:color="000000"/>
            </w:tcBorders>
            <w:shd w:fill="auto" w:val="clear"/>
            <w:tcMar>
              <w:top w:w="30" w:type="dxa"/>
              <w:bottom w:w="0" w:type="dxa"/>
              <w:right w:w="0" w:type="dxa"/>
            </w:tcMar>
            <w:vAlign w:val="center"/>
          </w:tcPr>
          <w:p>
            <w:pPr>
              <w:pStyle w:val="TableContents"/>
              <w:spacing w:lineRule="auto" w:line="254" w:before="115"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24" w:type="dxa"/>
            <w:gridSpan w:val="3"/>
            <w:tcBorders>
              <w:top w:val="single" w:sz="8" w:space="0" w:color="000000"/>
              <w:left w:val="single" w:sz="8" w:space="0" w:color="000000"/>
            </w:tcBorders>
            <w:shd w:fill="auto" w:val="clear"/>
            <w:tcMar>
              <w:top w:w="30" w:type="dxa"/>
              <w:left w:w="348" w:type="dxa"/>
              <w:bottom w:w="0" w:type="dxa"/>
              <w:right w:w="0" w:type="dxa"/>
            </w:tcMar>
            <w:vAlign w:val="center"/>
          </w:tcPr>
          <w:p>
            <w:pPr>
              <w:pStyle w:val="TableContents"/>
              <w:spacing w:lineRule="auto" w:line="194"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24" w:type="dxa"/>
            <w:gridSpan w:val="3"/>
            <w:tcBorders>
              <w:top w:val="single" w:sz="8" w:space="0" w:color="000000"/>
              <w:left w:val="single" w:sz="8" w:space="0" w:color="000000"/>
            </w:tcBorders>
            <w:shd w:fill="auto" w:val="clear"/>
            <w:tcMar>
              <w:top w:w="30" w:type="dxa"/>
              <w:left w:w="334" w:type="dxa"/>
              <w:bottom w:w="0" w:type="dxa"/>
              <w:right w:w="0" w:type="dxa"/>
            </w:tcMar>
            <w:vAlign w:val="center"/>
          </w:tcPr>
          <w:p>
            <w:pPr>
              <w:pStyle w:val="TableContents"/>
              <w:spacing w:lineRule="auto" w:line="194" w:before="0" w:after="283"/>
              <w:jc w:val="left"/>
              <w:rPr>
                <w:rFonts w:ascii="Times New Roman;sans-serif" w:hAnsi="Times New Roman;sans-serif"/>
                <w:b/>
                <w:color w:val="000000"/>
                <w:sz w:val="17"/>
              </w:rPr>
            </w:pPr>
            <w:r>
              <w:rPr>
                <w:rFonts w:ascii="Times New Roman;sans-serif" w:hAnsi="Times New Roman;sans-serif"/>
                <w:b/>
                <w:color w:val="000000"/>
                <w:sz w:val="17"/>
              </w:rPr>
              <w:t>Delivered</w:t>
            </w:r>
          </w:p>
        </w:tc>
        <w:tc>
          <w:tcPr>
            <w:tcW w:w="7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5" w:after="283"/>
              <w:jc w:val="center"/>
              <w:rPr>
                <w:rFonts w:ascii="Times New Roman;sans-serif" w:hAnsi="Times New Roman;sans-serif"/>
                <w:b w:val="false"/>
                <w:color w:val="0000FF"/>
                <w:sz w:val="17"/>
              </w:rPr>
            </w:pPr>
            <w:r>
              <w:rPr>
                <w:rFonts w:ascii="Times New Roman;sans-serif" w:hAnsi="Times New Roman;sans-serif"/>
                <w:b w:val="false"/>
                <w:color w:val="0000FF"/>
                <w:sz w:val="17"/>
              </w:rPr>
              <w:t>1</w:t>
            </w:r>
          </w:p>
        </w:tc>
        <w:tc>
          <w:tcPr>
            <w:tcW w:w="8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5"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5"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top w:val="single" w:sz="8" w:space="0" w:color="000000"/>
              <w:left w:val="single" w:sz="8" w:space="0" w:color="000000"/>
            </w:tcBorders>
            <w:shd w:fill="C0C0C0" w:val="clear"/>
            <w:tcMar>
              <w:bottom w:w="0" w:type="dxa"/>
              <w:right w:w="0" w:type="dxa"/>
            </w:tcMar>
            <w:vAlign w:val="center"/>
          </w:tcPr>
          <w:p>
            <w:pPr>
              <w:pStyle w:val="TableContents"/>
              <w:spacing w:before="0" w:after="283"/>
              <w:rPr>
                <w:sz w:val="4"/>
                <w:szCs w:val="4"/>
              </w:rPr>
            </w:pPr>
            <w:r>
              <w:rPr>
                <w:sz w:val="4"/>
                <w:szCs w:val="4"/>
              </w:rPr>
            </w:r>
          </w:p>
        </w:tc>
        <w:tc>
          <w:tcPr>
            <w:tcW w:w="113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5"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5"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5"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5"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9" w:type="dxa"/>
            <w:gridSpan w:val="3"/>
            <w:tcBorders>
              <w:top w:val="single" w:sz="8" w:space="0" w:color="000000"/>
              <w:left w:val="single" w:sz="8" w:space="0" w:color="000000"/>
              <w:right w:val="single" w:sz="16" w:space="0" w:color="000000"/>
            </w:tcBorders>
            <w:shd w:fill="auto" w:val="clear"/>
            <w:tcMar>
              <w:top w:w="30" w:type="dxa"/>
              <w:bottom w:w="0" w:type="dxa"/>
            </w:tcMar>
            <w:vAlign w:val="center"/>
          </w:tcPr>
          <w:p>
            <w:pPr>
              <w:pStyle w:val="TableContents"/>
              <w:spacing w:lineRule="auto" w:line="254" w:before="115"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172" w:type="dxa"/>
            <w:gridSpan w:val="3"/>
            <w:tcBorders>
              <w:top w:val="single" w:sz="8" w:space="0" w:color="000000"/>
              <w:left w:val="single" w:sz="16" w:space="0" w:color="000000"/>
              <w:bottom w:val="single" w:sz="8" w:space="0" w:color="000000"/>
            </w:tcBorders>
            <w:shd w:fill="auto" w:val="clear"/>
            <w:tcMar>
              <w:top w:w="30" w:type="dxa"/>
              <w:bottom w:w="30" w:type="dxa"/>
              <w:right w:w="0" w:type="dxa"/>
            </w:tcMar>
            <w:vAlign w:val="center"/>
          </w:tcPr>
          <w:p>
            <w:pPr>
              <w:pStyle w:val="TableContents"/>
              <w:spacing w:lineRule="auto" w:line="254" w:before="115"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24" w:type="dxa"/>
            <w:gridSpan w:val="3"/>
            <w:tcBorders>
              <w:top w:val="single" w:sz="8" w:space="0" w:color="000000"/>
              <w:left w:val="single" w:sz="8" w:space="0" w:color="000000"/>
              <w:bottom w:val="single" w:sz="8" w:space="0" w:color="000000"/>
            </w:tcBorders>
            <w:shd w:fill="auto" w:val="clear"/>
            <w:tcMar>
              <w:top w:w="30" w:type="dxa"/>
              <w:left w:w="377" w:type="dxa"/>
              <w:bottom w:w="30" w:type="dxa"/>
              <w:right w:w="0" w:type="dxa"/>
            </w:tcMar>
            <w:vAlign w:val="center"/>
          </w:tcPr>
          <w:p>
            <w:pPr>
              <w:pStyle w:val="TableContents"/>
              <w:spacing w:lineRule="auto" w:line="194"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24" w:type="dxa"/>
            <w:gridSpan w:val="3"/>
            <w:tcBorders>
              <w:top w:val="single" w:sz="8" w:space="0" w:color="000000"/>
              <w:left w:val="single" w:sz="8" w:space="0" w:color="000000"/>
              <w:bottom w:val="single" w:sz="8" w:space="0" w:color="000000"/>
            </w:tcBorders>
            <w:shd w:fill="auto" w:val="clear"/>
            <w:tcMar>
              <w:top w:w="30" w:type="dxa"/>
              <w:left w:w="334" w:type="dxa"/>
              <w:bottom w:w="30" w:type="dxa"/>
              <w:right w:w="0" w:type="dxa"/>
            </w:tcMar>
            <w:vAlign w:val="center"/>
          </w:tcPr>
          <w:p>
            <w:pPr>
              <w:pStyle w:val="TableContents"/>
              <w:spacing w:lineRule="auto" w:line="194" w:before="0" w:after="283"/>
              <w:jc w:val="left"/>
              <w:rPr>
                <w:rFonts w:ascii="Times New Roman;sans-serif" w:hAnsi="Times New Roman;sans-serif"/>
                <w:b/>
                <w:color w:val="000000"/>
                <w:sz w:val="17"/>
              </w:rPr>
            </w:pPr>
            <w:r>
              <w:rPr>
                <w:rFonts w:ascii="Times New Roman;sans-serif" w:hAnsi="Times New Roman;sans-serif"/>
                <w:b/>
                <w:color w:val="000000"/>
                <w:sz w:val="17"/>
              </w:rPr>
              <w:t>Delivered</w:t>
            </w:r>
          </w:p>
        </w:tc>
        <w:tc>
          <w:tcPr>
            <w:tcW w:w="77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54" w:before="115" w:after="283"/>
              <w:jc w:val="center"/>
              <w:rPr>
                <w:rFonts w:ascii="Times New Roman;sans-serif" w:hAnsi="Times New Roman;sans-serif"/>
                <w:b w:val="false"/>
                <w:color w:val="0000FF"/>
                <w:sz w:val="17"/>
              </w:rPr>
            </w:pPr>
            <w:r>
              <w:rPr>
                <w:rFonts w:ascii="Times New Roman;sans-serif" w:hAnsi="Times New Roman;sans-serif"/>
                <w:b w:val="false"/>
                <w:color w:val="0000FF"/>
                <w:sz w:val="17"/>
              </w:rPr>
              <w:t>1</w:t>
            </w:r>
          </w:p>
        </w:tc>
        <w:tc>
          <w:tcPr>
            <w:tcW w:w="872"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54" w:before="115"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54" w:before="115"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top w:val="single" w:sz="8" w:space="0" w:color="000000"/>
              <w:left w:val="single" w:sz="8" w:space="0" w:color="000000"/>
              <w:bottom w:val="single" w:sz="8" w:space="0" w:color="000000"/>
            </w:tcBorders>
            <w:shd w:fill="C0C0C0" w:val="clear"/>
            <w:tcMar>
              <w:right w:w="0" w:type="dxa"/>
            </w:tcMar>
            <w:vAlign w:val="center"/>
          </w:tcPr>
          <w:p>
            <w:pPr>
              <w:pStyle w:val="TableContents"/>
              <w:spacing w:before="0" w:after="283"/>
              <w:rPr>
                <w:sz w:val="4"/>
                <w:szCs w:val="4"/>
              </w:rPr>
            </w:pPr>
            <w:r>
              <w:rPr>
                <w:sz w:val="4"/>
                <w:szCs w:val="4"/>
              </w:rPr>
            </w:r>
          </w:p>
        </w:tc>
        <w:tc>
          <w:tcPr>
            <w:tcW w:w="113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54" w:before="115"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2"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54" w:before="115"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2"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54" w:before="115"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2"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54" w:before="115"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9" w:type="dxa"/>
            <w:gridSpan w:val="3"/>
            <w:tcBorders>
              <w:top w:val="single" w:sz="8" w:space="0" w:color="000000"/>
              <w:left w:val="single" w:sz="8" w:space="0" w:color="000000"/>
              <w:bottom w:val="single" w:sz="8" w:space="0" w:color="000000"/>
              <w:right w:val="single" w:sz="16" w:space="0" w:color="000000"/>
            </w:tcBorders>
            <w:shd w:fill="auto" w:val="clear"/>
            <w:tcMar>
              <w:top w:w="30" w:type="dxa"/>
              <w:bottom w:w="30" w:type="dxa"/>
            </w:tcMar>
            <w:vAlign w:val="center"/>
          </w:tcPr>
          <w:p>
            <w:pPr>
              <w:pStyle w:val="TableContents"/>
              <w:spacing w:lineRule="auto" w:line="254" w:before="115"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34185"/>
                <wp:effectExtent l="0" t="0" r="0" b="0"/>
                <wp:wrapNone/>
                <wp:docPr id="103" name="Frame98"/>
                <a:graphic xmlns:a="http://schemas.openxmlformats.org/drawingml/2006/main">
                  <a:graphicData uri="http://schemas.microsoft.com/office/word/2010/wordprocessingShape">
                    <wps:wsp>
                      <wps:cNvSpPr txBox="1"/>
                      <wps:spPr>
                        <a:xfrm>
                          <a:off x="0" y="0"/>
                          <a:ext cx="6480175" cy="1734185"/>
                        </a:xfrm>
                        <a:prstGeom prst="rect"/>
                      </wps:spPr>
                      <wps:txbx>
                        <w:txbxContent>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jc w:val="center"/>
                              <w:rPr/>
                            </w:pPr>
                            <w:r>
                              <w:rPr/>
                            </w:r>
                          </w:p>
                          <w:p>
                            <w:pPr>
                              <w:pStyle w:val="TextBody"/>
                              <w:spacing w:before="0" w:after="0"/>
                              <w:jc w:val="center"/>
                              <w:rPr/>
                            </w:pPr>
                            <w:r>
                              <w:rPr/>
                            </w:r>
                          </w:p>
                          <w:p>
                            <w:pPr>
                              <w:pStyle w:val="TextBody"/>
                              <w:spacing w:lineRule="auto" w:line="240" w:before="240" w:after="283"/>
                              <w:rPr/>
                            </w:pPr>
                            <w:r>
                              <w:rPr>
                                <w:rFonts w:ascii="Arial;sans-serif" w:hAnsi="Arial;sans-serif"/>
                                <w:b w:val="false"/>
                                <w:color w:val="000000"/>
                                <w:sz w:val="17"/>
                              </w:rPr>
                              <w:t>AAL-PA-03219 113460-1F.txt</w:t>
                            </w:r>
                            <w:r>
                              <w:rPr>
                                <w:color w:val="000000"/>
                              </w:rPr>
                              <w:t xml:space="preserve">             </w:t>
                            </w:r>
                            <w:r>
                              <w:rPr>
                                <w:rFonts w:ascii="Arial;sans-serif" w:hAnsi="Arial;sans-serif"/>
                                <w:b w:val="false"/>
                                <w:color w:val="000000"/>
                                <w:sz w:val="17"/>
                              </w:rPr>
                              <w:t>SA-18 Table 6R3</w:t>
                            </w:r>
                          </w:p>
                          <w:p>
                            <w:pPr>
                              <w:pStyle w:val="TextBody"/>
                              <w:spacing w:lineRule="auto" w:line="240" w:before="0" w:after="0"/>
                              <w:rPr>
                                <w:color w:val="000000"/>
                              </w:rPr>
                            </w:pPr>
                            <w:r>
                              <w:rPr>
                                <w:color w:val="000000"/>
                              </w:rPr>
                              <w:t xml:space="preserve">                                                      </w:t>
                            </w:r>
                            <w:r>
                              <w:rPr>
                                <w:rFonts w:ascii="Arial;sans-serif" w:hAnsi="Arial;sans-serif"/>
                                <w:b w:val="false"/>
                                <w:color w:val="000000"/>
                                <w:sz w:val="17"/>
                              </w:rPr>
                              <w:t>Page 1</w:t>
                            </w:r>
                          </w:p>
                          <w:p>
                            <w:pPr>
                              <w:pStyle w:val="TextBody"/>
                              <w:spacing w:lineRule="auto" w:line="240" w:before="0" w:after="0"/>
                              <w:ind w:left="0" w:right="0" w:firstLine="720"/>
                              <w:jc w:val="center"/>
                              <w:rPr/>
                            </w:pPr>
                            <w:r>
                              <w:rPr>
                                <w:rFonts w:ascii="Arial;sans-serif" w:hAnsi="Arial;sans-serif"/>
                                <w:b/>
                                <w:color w:val="000000"/>
                                <w:sz w:val="21"/>
                              </w:rPr>
                              <w:t>Boeing Proprietary</w:t>
                            </w: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jc w:val="center"/>
                        <w:rPr/>
                      </w:pPr>
                      <w:r>
                        <w:rPr/>
                      </w:r>
                    </w:p>
                    <w:p>
                      <w:pPr>
                        <w:pStyle w:val="TextBody"/>
                        <w:spacing w:before="0" w:after="0"/>
                        <w:jc w:val="center"/>
                        <w:rPr/>
                      </w:pPr>
                      <w:r>
                        <w:rPr/>
                      </w:r>
                    </w:p>
                    <w:p>
                      <w:pPr>
                        <w:pStyle w:val="TextBody"/>
                        <w:spacing w:lineRule="auto" w:line="240" w:before="240" w:after="283"/>
                        <w:rPr/>
                      </w:pPr>
                      <w:r>
                        <w:rPr>
                          <w:rFonts w:ascii="Arial;sans-serif" w:hAnsi="Arial;sans-serif"/>
                          <w:b w:val="false"/>
                          <w:color w:val="000000"/>
                          <w:sz w:val="17"/>
                        </w:rPr>
                        <w:t>AAL-PA-03219 113460-1F.txt</w:t>
                      </w:r>
                      <w:r>
                        <w:rPr>
                          <w:color w:val="000000"/>
                        </w:rPr>
                        <w:t xml:space="preserve">             </w:t>
                      </w:r>
                      <w:r>
                        <w:rPr>
                          <w:rFonts w:ascii="Arial;sans-serif" w:hAnsi="Arial;sans-serif"/>
                          <w:b w:val="false"/>
                          <w:color w:val="000000"/>
                          <w:sz w:val="17"/>
                        </w:rPr>
                        <w:t>SA-18 Table 6R3</w:t>
                      </w:r>
                    </w:p>
                    <w:p>
                      <w:pPr>
                        <w:pStyle w:val="TextBody"/>
                        <w:spacing w:lineRule="auto" w:line="240" w:before="0" w:after="0"/>
                        <w:rPr>
                          <w:color w:val="000000"/>
                        </w:rPr>
                      </w:pPr>
                      <w:r>
                        <w:rPr>
                          <w:color w:val="000000"/>
                        </w:rPr>
                        <w:t xml:space="preserve">                                                      </w:t>
                      </w:r>
                      <w:r>
                        <w:rPr>
                          <w:rFonts w:ascii="Arial;sans-serif" w:hAnsi="Arial;sans-serif"/>
                          <w:b w:val="false"/>
                          <w:color w:val="000000"/>
                          <w:sz w:val="17"/>
                        </w:rPr>
                        <w:t>Page 1</w:t>
                      </w:r>
                    </w:p>
                    <w:p>
                      <w:pPr>
                        <w:pStyle w:val="TextBody"/>
                        <w:spacing w:lineRule="auto" w:line="240" w:before="0" w:after="0"/>
                        <w:ind w:left="0" w:right="0" w:firstLine="720"/>
                        <w:jc w:val="center"/>
                        <w:rPr/>
                      </w:pPr>
                      <w:r>
                        <w:rPr>
                          <w:rFonts w:ascii="Arial;sans-serif" w:hAnsi="Arial;sans-serif"/>
                          <w:b/>
                          <w:color w:val="000000"/>
                          <w:sz w:val="21"/>
                        </w:rPr>
                        <w:t>Boeing Proprietary</w:t>
                      </w:r>
                      <w:r>
                        <w:rPr>
                          <w:color w:val="000000"/>
                        </w:rPr>
                        <w:t>                    </w:t>
                      </w:r>
                    </w:p>
                  </w:txbxContent>
                </v:textbox>
              </v:rect>
            </w:pict>
          </mc:Fallback>
        </mc:AlternateContent>
      </w:r>
    </w:p>
    <w:tbl>
      <w:tblPr>
        <w:tblW w:w="9374" w:type="dxa"/>
        <w:jc w:val="center"/>
        <w:tblInd w:w="0" w:type="dxa"/>
        <w:tblCellMar>
          <w:top w:w="28" w:type="dxa"/>
          <w:left w:w="28" w:type="dxa"/>
          <w:bottom w:w="28" w:type="dxa"/>
          <w:right w:w="28" w:type="dxa"/>
        </w:tblCellMar>
      </w:tblPr>
      <w:tblGrid>
        <w:gridCol w:w="3002"/>
        <w:gridCol w:w="2639"/>
        <w:gridCol w:w="3733"/>
      </w:tblGrid>
      <w:tr>
        <w:trPr/>
        <w:tc>
          <w:tcPr>
            <w:tcW w:w="3002" w:type="dxa"/>
            <w:tcBorders/>
            <w:shd w:fill="auto" w:val="clear"/>
            <w:vAlign w:val="center"/>
          </w:tcPr>
          <w:p>
            <w:pPr>
              <w:pStyle w:val="TableContents"/>
              <w:spacing w:before="0" w:after="283"/>
              <w:rPr>
                <w:sz w:val="4"/>
                <w:szCs w:val="4"/>
              </w:rPr>
            </w:pPr>
            <w:r>
              <w:rPr>
                <w:sz w:val="4"/>
                <w:szCs w:val="4"/>
              </w:rPr>
            </w:r>
          </w:p>
        </w:tc>
        <w:tc>
          <w:tcPr>
            <w:tcW w:w="2639" w:type="dxa"/>
            <w:tcBorders/>
            <w:shd w:fill="auto" w:val="clear"/>
            <w:vAlign w:val="center"/>
          </w:tcPr>
          <w:p>
            <w:pPr>
              <w:pStyle w:val="TableContents"/>
              <w:spacing w:before="0" w:after="283"/>
              <w:rPr>
                <w:sz w:val="4"/>
                <w:szCs w:val="4"/>
              </w:rPr>
            </w:pPr>
            <w:r>
              <w:rPr>
                <w:sz w:val="4"/>
                <w:szCs w:val="4"/>
              </w:rPr>
            </w:r>
          </w:p>
        </w:tc>
        <w:tc>
          <w:tcPr>
            <w:tcW w:w="3733" w:type="dxa"/>
            <w:tcBorders/>
            <w:shd w:fill="auto" w:val="clear"/>
            <w:vAlign w:val="center"/>
          </w:tcPr>
          <w:p>
            <w:pPr>
              <w:pStyle w:val="TableContents"/>
              <w:spacing w:before="0" w:after="283"/>
              <w:rPr>
                <w:sz w:val="4"/>
                <w:szCs w:val="4"/>
              </w:rPr>
            </w:pPr>
            <w:r>
              <w:rPr>
                <w:sz w:val="4"/>
                <w:szCs w:val="4"/>
              </w:rPr>
            </w:r>
          </w:p>
        </w:tc>
      </w:tr>
      <w:tr>
        <w:trPr/>
        <w:tc>
          <w:tcPr>
            <w:tcW w:w="9374" w:type="dxa"/>
            <w:gridSpan w:val="3"/>
            <w:tcBorders/>
            <w:shd w:fill="FFFFFF" w:val="clear"/>
            <w:tcMar>
              <w:top w:w="0" w:type="dxa"/>
              <w:left w:w="0" w:type="dxa"/>
              <w:bottom w:w="0" w:type="dxa"/>
              <w:right w:w="0" w:type="dxa"/>
            </w:tcMar>
            <w:vAlign w:val="center"/>
          </w:tcPr>
          <w:p>
            <w:pPr>
              <w:pStyle w:val="TableContents"/>
              <w:spacing w:lineRule="auto" w:line="240" w:before="9" w:after="283"/>
              <w:jc w:val="center"/>
              <w:rPr>
                <w:rFonts w:ascii="Times New Roman;sans-serif" w:hAnsi="Times New Roman;sans-serif"/>
                <w:b/>
                <w:color w:val="000000"/>
                <w:sz w:val="25"/>
              </w:rPr>
            </w:pPr>
            <w:r>
              <w:rPr>
                <w:rFonts w:ascii="Times New Roman;sans-serif" w:hAnsi="Times New Roman;sans-serif"/>
                <w:b/>
                <w:color w:val="000000"/>
                <w:sz w:val="25"/>
              </w:rPr>
              <w:t>Table 6R3 To</w:t>
            </w:r>
          </w:p>
          <w:p>
            <w:pPr>
              <w:pStyle w:val="TableContents"/>
              <w:spacing w:lineRule="auto" w:line="240" w:before="24" w:after="283"/>
              <w:jc w:val="center"/>
              <w:rPr>
                <w:rFonts w:ascii="Times New Roman;sans-serif" w:hAnsi="Times New Roman;sans-serif"/>
                <w:b/>
                <w:color w:val="000000"/>
                <w:sz w:val="25"/>
              </w:rPr>
            </w:pPr>
            <w:r>
              <w:rPr>
                <w:rFonts w:ascii="Times New Roman;sans-serif" w:hAnsi="Times New Roman;sans-serif"/>
                <w:b/>
                <w:color w:val="000000"/>
                <w:sz w:val="25"/>
              </w:rPr>
              <w:t>Purchase Agreement No. PA-03219</w:t>
            </w:r>
          </w:p>
          <w:p>
            <w:pPr>
              <w:pStyle w:val="TableContents"/>
              <w:spacing w:lineRule="auto" w:line="240" w:before="25" w:after="283"/>
              <w:jc w:val="center"/>
              <w:rPr>
                <w:rFonts w:ascii="Times New Roman;sans-serif" w:hAnsi="Times New Roman;sans-serif"/>
                <w:b/>
                <w:color w:val="000000"/>
                <w:sz w:val="25"/>
              </w:rPr>
            </w:pPr>
            <w:r>
              <w:rPr>
                <w:rFonts w:ascii="Times New Roman;sans-serif" w:hAnsi="Times New Roman;sans-serif"/>
                <w:b/>
                <w:color w:val="000000"/>
                <w:sz w:val="25"/>
              </w:rPr>
              <w:t>787-8 [****] Aircraft, Aircraft Delivery, Description, Price and Advance Payments</w:t>
            </w:r>
          </w:p>
        </w:tc>
      </w:tr>
    </w:tbl>
    <w:p>
      <w:pPr>
        <w:pStyle w:val="TextBody"/>
        <w:spacing w:before="0" w:after="0"/>
        <w:rPr/>
      </w:pPr>
      <w:r>
        <w:rPr/>
      </w:r>
    </w:p>
    <w:p>
      <w:pPr>
        <w:pStyle w:val="TextBody"/>
        <w:spacing w:before="2" w:after="1"/>
        <w:rPr/>
      </w:pPr>
      <w:r>
        <w:rPr/>
      </w:r>
    </w:p>
    <w:p>
      <w:pPr>
        <w:pStyle w:val="TextBody"/>
        <w:spacing w:before="2" w:after="1"/>
        <w:rPr/>
      </w:pPr>
      <w:r>
        <w:rPr/>
      </w:r>
    </w:p>
    <w:p>
      <w:pPr>
        <w:pStyle w:val="TextBody"/>
        <w:spacing w:before="2" w:after="1"/>
        <w:rPr/>
      </w:pPr>
      <w:r>
        <w:rPr/>
      </w:r>
    </w:p>
    <w:p>
      <w:pPr>
        <w:pStyle w:val="TextBody"/>
        <w:spacing w:before="2" w:after="1"/>
        <w:rPr/>
      </w:pPr>
      <w:r>
        <w:rPr/>
      </w:r>
    </w:p>
    <w:p>
      <w:pPr>
        <w:pStyle w:val="TextBody"/>
        <w:spacing w:before="2" w:after="1"/>
        <w:rPr/>
      </w:pPr>
      <w:r>
        <w:rPr/>
      </w:r>
    </w:p>
    <w:p>
      <w:pPr>
        <w:pStyle w:val="TextBody"/>
        <w:spacing w:before="2" w:after="1"/>
        <w:rPr/>
      </w:pPr>
      <w:r>
        <w:rPr/>
      </w:r>
    </w:p>
    <w:tbl>
      <w:tblPr>
        <w:tblW w:w="10205" w:type="dxa"/>
        <w:jc w:val="left"/>
        <w:tblInd w:w="0" w:type="dxa"/>
        <w:tblCellMar>
          <w:top w:w="28" w:type="dxa"/>
          <w:left w:w="28" w:type="dxa"/>
          <w:bottom w:w="28" w:type="dxa"/>
          <w:right w:w="28" w:type="dxa"/>
        </w:tblCellMar>
      </w:tblPr>
      <w:tblGrid>
        <w:gridCol w:w="369"/>
        <w:gridCol w:w="325"/>
        <w:gridCol w:w="326"/>
        <w:gridCol w:w="343"/>
        <w:gridCol w:w="343"/>
        <w:gridCol w:w="344"/>
        <w:gridCol w:w="428"/>
        <w:gridCol w:w="343"/>
        <w:gridCol w:w="344"/>
        <w:gridCol w:w="266"/>
        <w:gridCol w:w="257"/>
        <w:gridCol w:w="259"/>
        <w:gridCol w:w="291"/>
        <w:gridCol w:w="291"/>
        <w:gridCol w:w="292"/>
        <w:gridCol w:w="285"/>
        <w:gridCol w:w="285"/>
        <w:gridCol w:w="286"/>
        <w:gridCol w:w="109"/>
        <w:gridCol w:w="109"/>
        <w:gridCol w:w="109"/>
        <w:gridCol w:w="381"/>
        <w:gridCol w:w="381"/>
        <w:gridCol w:w="382"/>
        <w:gridCol w:w="237"/>
        <w:gridCol w:w="237"/>
        <w:gridCol w:w="237"/>
        <w:gridCol w:w="237"/>
        <w:gridCol w:w="237"/>
        <w:gridCol w:w="237"/>
        <w:gridCol w:w="237"/>
        <w:gridCol w:w="237"/>
        <w:gridCol w:w="237"/>
        <w:gridCol w:w="334"/>
        <w:gridCol w:w="237"/>
        <w:gridCol w:w="353"/>
      </w:tblGrid>
      <w:tr>
        <w:trPr/>
        <w:tc>
          <w:tcPr>
            <w:tcW w:w="36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r>
      <w:tr>
        <w:trPr/>
        <w:tc>
          <w:tcPr>
            <w:tcW w:w="1020" w:type="dxa"/>
            <w:gridSpan w:val="3"/>
            <w:tcBorders>
              <w:top w:val="single" w:sz="16" w:space="0" w:color="000000"/>
              <w:left w:val="single" w:sz="16" w:space="0" w:color="000000"/>
            </w:tcBorders>
            <w:shd w:fill="auto" w:val="clear"/>
            <w:tcMar>
              <w:top w:w="30" w:type="dxa"/>
              <w:bottom w:w="0" w:type="dxa"/>
              <w:right w:w="0" w:type="dxa"/>
            </w:tcMar>
            <w:vAlign w:val="center"/>
          </w:tcPr>
          <w:p>
            <w:pPr>
              <w:pStyle w:val="TableContents"/>
              <w:spacing w:lineRule="auto" w:line="254" w:before="104"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30" w:type="dxa"/>
            <w:gridSpan w:val="3"/>
            <w:tcBorders>
              <w:top w:val="single" w:sz="16" w:space="0" w:color="000000"/>
              <w:left w:val="single" w:sz="16" w:space="0" w:color="000000"/>
            </w:tcBorders>
            <w:shd w:fill="auto" w:val="clear"/>
            <w:tcMar>
              <w:top w:w="30" w:type="dxa"/>
              <w:left w:w="173" w:type="dxa"/>
              <w:bottom w:w="0" w:type="dxa"/>
              <w:right w:w="0" w:type="dxa"/>
            </w:tcMar>
            <w:vAlign w:val="center"/>
          </w:tcPr>
          <w:p>
            <w:pPr>
              <w:pStyle w:val="TableContents"/>
              <w:spacing w:lineRule="auto" w:line="194"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15" w:type="dxa"/>
            <w:gridSpan w:val="3"/>
            <w:tcBorders>
              <w:top w:val="single" w:sz="16" w:space="0" w:color="000000"/>
              <w:left w:val="single" w:sz="16" w:space="0" w:color="000000"/>
            </w:tcBorders>
            <w:shd w:fill="auto" w:val="clear"/>
            <w:tcMar>
              <w:top w:w="30" w:type="dxa"/>
              <w:left w:w="144" w:type="dxa"/>
              <w:bottom w:w="0" w:type="dxa"/>
              <w:right w:w="0" w:type="dxa"/>
            </w:tcMar>
            <w:vAlign w:val="center"/>
          </w:tcPr>
          <w:p>
            <w:pPr>
              <w:pStyle w:val="TableContents"/>
              <w:spacing w:lineRule="auto" w:line="194"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2" w:type="dxa"/>
            <w:gridSpan w:val="3"/>
            <w:tcBorders>
              <w:top w:val="single" w:sz="16"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874" w:type="dxa"/>
            <w:gridSpan w:val="3"/>
            <w:tcBorders>
              <w:top w:val="single" w:sz="16" w:space="0" w:color="000000"/>
              <w:left w:val="single" w:sz="8" w:space="0" w:color="000000"/>
            </w:tcBorders>
            <w:shd w:fill="auto" w:val="clear"/>
            <w:tcMar>
              <w:top w:w="30" w:type="dxa"/>
              <w:bottom w:w="0" w:type="dxa"/>
              <w:right w:w="0" w:type="dxa"/>
            </w:tcMar>
            <w:vAlign w:val="center"/>
          </w:tcPr>
          <w:p>
            <w:pPr>
              <w:pStyle w:val="TableContents"/>
              <w:spacing w:lineRule="auto" w:line="254" w:before="104" w:after="283"/>
              <w:jc w:val="center"/>
              <w:rPr>
                <w:rFonts w:ascii="Times New Roman;sans-serif" w:hAnsi="Times New Roman;sans-serif"/>
                <w:b/>
                <w:color w:val="000000"/>
                <w:sz w:val="17"/>
              </w:rPr>
            </w:pPr>
            <w:r>
              <w:rPr>
                <w:rFonts w:ascii="Times New Roman;sans-serif" w:hAnsi="Times New Roman;sans-serif"/>
                <w:b/>
                <w:color w:val="000000"/>
                <w:sz w:val="17"/>
              </w:rPr>
              <w:t>Escalation</w:t>
            </w:r>
          </w:p>
        </w:tc>
        <w:tc>
          <w:tcPr>
            <w:tcW w:w="856" w:type="dxa"/>
            <w:gridSpan w:val="3"/>
            <w:tcBorders>
              <w:top w:val="single" w:sz="16" w:space="0" w:color="000000"/>
              <w:left w:val="single" w:sz="8" w:space="0" w:color="000000"/>
            </w:tcBorders>
            <w:shd w:fill="auto" w:val="clear"/>
            <w:tcMar>
              <w:top w:w="30" w:type="dxa"/>
              <w:bottom w:w="0" w:type="dxa"/>
              <w:right w:w="0" w:type="dxa"/>
            </w:tcMar>
            <w:vAlign w:val="center"/>
          </w:tcPr>
          <w:p>
            <w:pPr>
              <w:pStyle w:val="TableContents"/>
              <w:spacing w:lineRule="auto" w:line="254" w:before="104" w:after="283"/>
              <w:jc w:val="center"/>
              <w:rPr>
                <w:rFonts w:ascii="Times New Roman;sans-serif" w:hAnsi="Times New Roman;sans-serif"/>
                <w:b/>
                <w:color w:val="000000"/>
                <w:sz w:val="17"/>
              </w:rPr>
            </w:pPr>
            <w:r>
              <w:rPr>
                <w:rFonts w:ascii="Times New Roman;sans-serif" w:hAnsi="Times New Roman;sans-serif"/>
                <w:b/>
                <w:color w:val="000000"/>
                <w:sz w:val="17"/>
              </w:rPr>
              <w:t>Escalation</w:t>
            </w:r>
          </w:p>
        </w:tc>
        <w:tc>
          <w:tcPr>
            <w:tcW w:w="327" w:type="dxa"/>
            <w:gridSpan w:val="3"/>
            <w:vMerge w:val="restart"/>
            <w:tcBorders>
              <w:top w:val="single" w:sz="16" w:space="0" w:color="000000"/>
              <w:left w:val="single" w:sz="8" w:space="0" w:color="000000"/>
            </w:tcBorders>
            <w:shd w:fill="C0C0C0" w:val="clear"/>
            <w:tcMar>
              <w:bottom w:w="0" w:type="dxa"/>
              <w:right w:w="0" w:type="dxa"/>
            </w:tcMar>
            <w:vAlign w:val="center"/>
          </w:tcPr>
          <w:p>
            <w:pPr>
              <w:pStyle w:val="TableContents"/>
              <w:spacing w:before="0" w:after="283"/>
              <w:rPr>
                <w:sz w:val="4"/>
                <w:szCs w:val="4"/>
              </w:rPr>
            </w:pPr>
            <w:r>
              <w:rPr>
                <w:sz w:val="4"/>
                <w:szCs w:val="4"/>
              </w:rPr>
            </w:r>
          </w:p>
        </w:tc>
        <w:tc>
          <w:tcPr>
            <w:tcW w:w="1144" w:type="dxa"/>
            <w:gridSpan w:val="3"/>
            <w:tcBorders>
              <w:top w:val="single" w:sz="16" w:space="0" w:color="000000"/>
              <w:left w:val="single" w:sz="8" w:space="0" w:color="000000"/>
            </w:tcBorders>
            <w:shd w:fill="auto" w:val="clear"/>
            <w:tcMar>
              <w:top w:w="30" w:type="dxa"/>
              <w:bottom w:w="0" w:type="dxa"/>
              <w:right w:w="0" w:type="dxa"/>
            </w:tcMar>
            <w:vAlign w:val="center"/>
          </w:tcPr>
          <w:p>
            <w:pPr>
              <w:pStyle w:val="TableContents"/>
              <w:spacing w:lineRule="auto" w:line="254" w:before="104" w:after="283"/>
              <w:jc w:val="center"/>
              <w:rPr>
                <w:rFonts w:ascii="Times New Roman;sans-serif" w:hAnsi="Times New Roman;sans-serif"/>
                <w:b/>
                <w:color w:val="000000"/>
                <w:sz w:val="17"/>
              </w:rPr>
            </w:pPr>
            <w:r>
              <w:rPr>
                <w:rFonts w:ascii="Times New Roman;sans-serif" w:hAnsi="Times New Roman;sans-serif"/>
                <w:b/>
                <w:color w:val="000000"/>
                <w:sz w:val="17"/>
              </w:rPr>
              <w:t>Escalation Estimate</w:t>
            </w:r>
          </w:p>
        </w:tc>
        <w:tc>
          <w:tcPr>
            <w:tcW w:w="3057" w:type="dxa"/>
            <w:gridSpan w:val="12"/>
            <w:tcBorders>
              <w:top w:val="single" w:sz="16" w:space="0" w:color="000000"/>
              <w:left w:val="single" w:sz="8" w:space="0" w:color="000000"/>
              <w:right w:val="single" w:sz="16" w:space="0" w:color="000000"/>
            </w:tcBorders>
            <w:shd w:fill="auto" w:val="clear"/>
            <w:tcMar>
              <w:top w:w="30" w:type="dxa"/>
              <w:bottom w:w="0" w:type="dxa"/>
            </w:tcMar>
            <w:vAlign w:val="center"/>
          </w:tcPr>
          <w:p>
            <w:pPr>
              <w:pStyle w:val="TableContents"/>
              <w:spacing w:lineRule="auto" w:line="254" w:before="104" w:after="283"/>
              <w:jc w:val="left"/>
              <w:rPr>
                <w:rFonts w:ascii="Times New Roman;sans-serif" w:hAnsi="Times New Roman;sans-serif"/>
                <w:b/>
                <w:color w:val="000000"/>
                <w:sz w:val="17"/>
              </w:rPr>
            </w:pPr>
            <w:r>
              <w:rPr>
                <w:rFonts w:ascii="Times New Roman;sans-serif" w:hAnsi="Times New Roman;sans-serif"/>
                <w:b/>
                <w:color w:val="000000"/>
                <w:sz w:val="17"/>
              </w:rPr>
              <w:t>Advance Payment Per Aircraft (Amts. Due/Mos. Prior to Delivery):</w:t>
            </w:r>
          </w:p>
        </w:tc>
      </w:tr>
      <w:tr>
        <w:trPr/>
        <w:tc>
          <w:tcPr>
            <w:tcW w:w="1020" w:type="dxa"/>
            <w:gridSpan w:val="3"/>
            <w:tcBorders>
              <w:left w:val="single" w:sz="16" w:space="0" w:color="000000"/>
            </w:tcBorders>
            <w:shd w:fill="auto" w:val="clear"/>
            <w:tcMar>
              <w:top w:w="0" w:type="dxa"/>
              <w:bottom w:w="0" w:type="dxa"/>
              <w:right w:w="0" w:type="dxa"/>
            </w:tcMar>
            <w:vAlign w:val="center"/>
          </w:tcPr>
          <w:p>
            <w:pPr>
              <w:pStyle w:val="TableContents"/>
              <w:spacing w:lineRule="auto" w:line="240" w:before="115" w:after="283"/>
              <w:jc w:val="center"/>
              <w:rPr>
                <w:rFonts w:ascii="Times New Roman;sans-serif" w:hAnsi="Times New Roman;sans-serif"/>
                <w:b/>
                <w:color w:val="000000"/>
                <w:sz w:val="17"/>
              </w:rPr>
            </w:pPr>
            <w:r>
              <w:rPr>
                <w:rFonts w:ascii="Times New Roman;sans-serif" w:hAnsi="Times New Roman;sans-serif"/>
                <w:b/>
                <w:color w:val="000000"/>
                <w:sz w:val="17"/>
              </w:rPr>
              <w:t>Scheduled</w:t>
            </w:r>
          </w:p>
        </w:tc>
        <w:tc>
          <w:tcPr>
            <w:tcW w:w="1030" w:type="dxa"/>
            <w:gridSpan w:val="3"/>
            <w:tcBorders>
              <w:left w:val="single" w:sz="16" w:space="0" w:color="000000"/>
            </w:tcBorders>
            <w:shd w:fill="auto" w:val="clear"/>
            <w:tcMar>
              <w:top w:w="0" w:type="dxa"/>
              <w:left w:w="326" w:type="dxa"/>
              <w:bottom w:w="0" w:type="dxa"/>
              <w:right w:w="0" w:type="dxa"/>
            </w:tcMar>
            <w:vAlign w:val="center"/>
          </w:tcPr>
          <w:p>
            <w:pPr>
              <w:pStyle w:val="TableContents"/>
              <w:spacing w:lineRule="auto" w:line="194" w:before="0" w:after="283"/>
              <w:jc w:val="left"/>
              <w:rPr>
                <w:rFonts w:ascii="Times New Roman;sans-serif" w:hAnsi="Times New Roman;sans-serif"/>
                <w:b/>
                <w:color w:val="000000"/>
                <w:sz w:val="17"/>
              </w:rPr>
            </w:pPr>
            <w:r>
              <w:rPr>
                <w:rFonts w:ascii="Times New Roman;sans-serif" w:hAnsi="Times New Roman;sans-serif"/>
                <w:b/>
                <w:color w:val="000000"/>
                <w:sz w:val="17"/>
              </w:rPr>
              <w:t>Scheduled</w:t>
            </w:r>
          </w:p>
        </w:tc>
        <w:tc>
          <w:tcPr>
            <w:tcW w:w="1115" w:type="dxa"/>
            <w:gridSpan w:val="3"/>
            <w:tcBorders>
              <w:left w:val="single" w:sz="16" w:space="0" w:color="000000"/>
            </w:tcBorders>
            <w:shd w:fill="auto" w:val="clear"/>
            <w:tcMar>
              <w:top w:w="0" w:type="dxa"/>
              <w:left w:w="297" w:type="dxa"/>
              <w:bottom w:w="0" w:type="dxa"/>
              <w:right w:w="0" w:type="dxa"/>
            </w:tcMar>
            <w:vAlign w:val="center"/>
          </w:tcPr>
          <w:p>
            <w:pPr>
              <w:pStyle w:val="TableContents"/>
              <w:spacing w:lineRule="auto" w:line="194" w:before="0" w:after="283"/>
              <w:jc w:val="left"/>
              <w:rPr>
                <w:rFonts w:ascii="Times New Roman;sans-serif" w:hAnsi="Times New Roman;sans-serif"/>
                <w:b/>
                <w:color w:val="000000"/>
                <w:sz w:val="17"/>
              </w:rPr>
            </w:pPr>
            <w:r>
              <w:rPr>
                <w:rFonts w:ascii="Times New Roman;sans-serif" w:hAnsi="Times New Roman;sans-serif"/>
                <w:b/>
                <w:color w:val="000000"/>
                <w:sz w:val="17"/>
              </w:rPr>
              <w:t>Scheduled</w:t>
            </w:r>
          </w:p>
        </w:tc>
        <w:tc>
          <w:tcPr>
            <w:tcW w:w="782"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115" w:after="283"/>
              <w:jc w:val="right"/>
              <w:rPr>
                <w:rFonts w:ascii="Times New Roman;sans-serif" w:hAnsi="Times New Roman;sans-serif"/>
                <w:b/>
                <w:color w:val="000000"/>
                <w:sz w:val="17"/>
              </w:rPr>
            </w:pPr>
            <w:r>
              <w:rPr>
                <w:rFonts w:ascii="Times New Roman;sans-serif" w:hAnsi="Times New Roman;sans-serif"/>
                <w:b/>
                <w:color w:val="000000"/>
                <w:sz w:val="17"/>
              </w:rPr>
              <w:t>Number of</w:t>
            </w:r>
          </w:p>
        </w:tc>
        <w:tc>
          <w:tcPr>
            <w:tcW w:w="874"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115" w:after="283"/>
              <w:jc w:val="center"/>
              <w:rPr>
                <w:rFonts w:ascii="Times New Roman;sans-serif" w:hAnsi="Times New Roman;sans-serif"/>
                <w:b/>
                <w:color w:val="000000"/>
                <w:sz w:val="17"/>
              </w:rPr>
            </w:pPr>
            <w:r>
              <w:rPr>
                <w:rFonts w:ascii="Times New Roman;sans-serif" w:hAnsi="Times New Roman;sans-serif"/>
                <w:b/>
                <w:color w:val="000000"/>
                <w:sz w:val="17"/>
              </w:rPr>
              <w:t>Factor</w:t>
            </w:r>
          </w:p>
        </w:tc>
        <w:tc>
          <w:tcPr>
            <w:tcW w:w="856" w:type="dxa"/>
            <w:gridSpan w:val="3"/>
            <w:tcBorders>
              <w:left w:val="single" w:sz="8" w:space="0" w:color="000000"/>
              <w:right w:val="single" w:sz="8" w:space="0" w:color="000000"/>
            </w:tcBorders>
            <w:shd w:fill="auto" w:val="clear"/>
            <w:tcMar>
              <w:top w:w="0" w:type="dxa"/>
              <w:bottom w:w="0" w:type="dxa"/>
            </w:tcMar>
            <w:vAlign w:val="center"/>
          </w:tcPr>
          <w:p>
            <w:pPr>
              <w:pStyle w:val="TableContents"/>
              <w:spacing w:lineRule="auto" w:line="240" w:before="115" w:after="283"/>
              <w:jc w:val="center"/>
              <w:rPr>
                <w:rFonts w:ascii="Times New Roman;sans-serif" w:hAnsi="Times New Roman;sans-serif"/>
                <w:b/>
                <w:color w:val="000000"/>
                <w:sz w:val="17"/>
              </w:rPr>
            </w:pPr>
            <w:r>
              <w:rPr>
                <w:rFonts w:ascii="Times New Roman;sans-serif" w:hAnsi="Times New Roman;sans-serif"/>
                <w:b/>
                <w:color w:val="000000"/>
                <w:sz w:val="17"/>
              </w:rPr>
              <w:t>Factor</w:t>
            </w:r>
          </w:p>
        </w:tc>
        <w:tc>
          <w:tcPr>
            <w:tcW w:w="327" w:type="dxa"/>
            <w:gridSpan w:val="3"/>
            <w:vMerge w:val="continue"/>
            <w:tcBorders>
              <w:top w:val="single" w:sz="16" w:space="0" w:color="000000"/>
              <w:left w:val="single" w:sz="8" w:space="0" w:color="000000"/>
            </w:tcBorders>
            <w:shd w:fill="C0C0C0" w:val="clear"/>
            <w:tcMar>
              <w:bottom w:w="0" w:type="dxa"/>
              <w:right w:w="0" w:type="dxa"/>
            </w:tcMar>
            <w:vAlign w:val="center"/>
          </w:tcPr>
          <w:p>
            <w:pPr>
              <w:pStyle w:val="Normal"/>
              <w:rPr/>
            </w:pPr>
            <w:r>
              <w:rPr/>
            </w:r>
          </w:p>
        </w:tc>
        <w:tc>
          <w:tcPr>
            <w:tcW w:w="1144"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115" w:after="283"/>
              <w:jc w:val="center"/>
              <w:rPr>
                <w:rFonts w:ascii="Times New Roman;sans-serif" w:hAnsi="Times New Roman;sans-serif"/>
                <w:b/>
                <w:color w:val="000000"/>
                <w:sz w:val="17"/>
              </w:rPr>
            </w:pPr>
            <w:r>
              <w:rPr>
                <w:rFonts w:ascii="Times New Roman;sans-serif" w:hAnsi="Times New Roman;sans-serif"/>
                <w:b/>
                <w:color w:val="000000"/>
                <w:sz w:val="17"/>
              </w:rPr>
              <w:t>Adv Payment Base</w:t>
            </w:r>
          </w:p>
        </w:tc>
        <w:tc>
          <w:tcPr>
            <w:tcW w:w="71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115"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115"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115"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24" w:type="dxa"/>
            <w:gridSpan w:val="3"/>
            <w:tcBorders>
              <w:top w:val="single" w:sz="8" w:space="0" w:color="000000"/>
              <w:left w:val="single" w:sz="8" w:space="0" w:color="000000"/>
              <w:right w:val="single" w:sz="16" w:space="0" w:color="000000"/>
            </w:tcBorders>
            <w:shd w:fill="auto" w:val="clear"/>
            <w:tcMar>
              <w:top w:w="30" w:type="dxa"/>
              <w:bottom w:w="0" w:type="dxa"/>
            </w:tcMar>
            <w:vAlign w:val="center"/>
          </w:tcPr>
          <w:p>
            <w:pPr>
              <w:pStyle w:val="TableContents"/>
              <w:spacing w:lineRule="auto" w:line="240" w:before="115"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1020" w:type="dxa"/>
            <w:gridSpan w:val="3"/>
            <w:tcBorders>
              <w:left w:val="single" w:sz="16" w:space="0" w:color="000000"/>
            </w:tcBorders>
            <w:shd w:fill="auto" w:val="clear"/>
            <w:tcMar>
              <w:top w:w="0" w:type="dxa"/>
              <w:bottom w:w="0" w:type="dxa"/>
              <w:right w:w="0" w:type="dxa"/>
            </w:tcMar>
            <w:vAlign w:val="center"/>
          </w:tcPr>
          <w:p>
            <w:pPr>
              <w:pStyle w:val="TableContents"/>
              <w:spacing w:lineRule="auto" w:line="254" w:before="59" w:after="283"/>
              <w:jc w:val="center"/>
              <w:rPr>
                <w:rFonts w:ascii="Times New Roman;sans-serif" w:hAnsi="Times New Roman;sans-serif"/>
                <w:b/>
                <w:color w:val="000000"/>
                <w:sz w:val="17"/>
              </w:rPr>
            </w:pPr>
            <w:r>
              <w:rPr>
                <w:rFonts w:ascii="Times New Roman;sans-serif" w:hAnsi="Times New Roman;sans-serif"/>
                <w:b/>
                <w:color w:val="000000"/>
                <w:sz w:val="17"/>
              </w:rPr>
              <w:t>Delivery Month</w:t>
            </w:r>
          </w:p>
        </w:tc>
        <w:tc>
          <w:tcPr>
            <w:tcW w:w="1030" w:type="dxa"/>
            <w:gridSpan w:val="3"/>
            <w:tcBorders>
              <w:left w:val="single" w:sz="16" w:space="0" w:color="000000"/>
            </w:tcBorders>
            <w:shd w:fill="auto" w:val="clear"/>
            <w:tcMar>
              <w:top w:w="0" w:type="dxa"/>
              <w:bottom w:w="0" w:type="dxa"/>
              <w:right w:w="0" w:type="dxa"/>
            </w:tcMar>
            <w:vAlign w:val="center"/>
          </w:tcPr>
          <w:p>
            <w:pPr>
              <w:pStyle w:val="TableContents"/>
              <w:spacing w:lineRule="auto" w:line="254" w:before="59" w:after="283"/>
              <w:jc w:val="left"/>
              <w:rPr>
                <w:rFonts w:ascii="Times New Roman;sans-serif" w:hAnsi="Times New Roman;sans-serif"/>
                <w:b/>
                <w:color w:val="000000"/>
                <w:sz w:val="17"/>
              </w:rPr>
            </w:pPr>
            <w:r>
              <w:rPr>
                <w:rFonts w:ascii="Times New Roman;sans-serif" w:hAnsi="Times New Roman;sans-serif"/>
                <w:b/>
                <w:color w:val="000000"/>
                <w:sz w:val="17"/>
              </w:rPr>
              <w:t>Delivery Months</w:t>
            </w:r>
          </w:p>
        </w:tc>
        <w:tc>
          <w:tcPr>
            <w:tcW w:w="1115" w:type="dxa"/>
            <w:gridSpan w:val="3"/>
            <w:tcBorders>
              <w:left w:val="single" w:sz="16" w:space="0" w:color="000000"/>
            </w:tcBorders>
            <w:shd w:fill="auto" w:val="clear"/>
            <w:tcMar>
              <w:top w:w="0" w:type="dxa"/>
              <w:bottom w:w="0" w:type="dxa"/>
              <w:right w:w="0" w:type="dxa"/>
            </w:tcMar>
            <w:vAlign w:val="center"/>
          </w:tcPr>
          <w:p>
            <w:pPr>
              <w:pStyle w:val="TableContents"/>
              <w:spacing w:lineRule="auto" w:line="254" w:before="59" w:after="283"/>
              <w:jc w:val="left"/>
              <w:rPr>
                <w:rFonts w:ascii="Times New Roman;sans-serif" w:hAnsi="Times New Roman;sans-serif"/>
                <w:b/>
                <w:color w:val="000000"/>
                <w:sz w:val="17"/>
              </w:rPr>
            </w:pPr>
            <w:r>
              <w:rPr>
                <w:rFonts w:ascii="Times New Roman;sans-serif" w:hAnsi="Times New Roman;sans-serif"/>
                <w:b/>
                <w:color w:val="000000"/>
                <w:sz w:val="17"/>
              </w:rPr>
              <w:t>Delivery Months</w:t>
            </w:r>
          </w:p>
        </w:tc>
        <w:tc>
          <w:tcPr>
            <w:tcW w:w="782" w:type="dxa"/>
            <w:gridSpan w:val="3"/>
            <w:tcBorders>
              <w:left w:val="single" w:sz="8" w:space="0" w:color="000000"/>
            </w:tcBorders>
            <w:shd w:fill="auto" w:val="clear"/>
            <w:tcMar>
              <w:top w:w="0" w:type="dxa"/>
              <w:bottom w:w="0" w:type="dxa"/>
              <w:right w:w="0" w:type="dxa"/>
            </w:tcMar>
            <w:vAlign w:val="center"/>
          </w:tcPr>
          <w:p>
            <w:pPr>
              <w:pStyle w:val="TableContents"/>
              <w:spacing w:lineRule="auto" w:line="254" w:before="59" w:after="283"/>
              <w:jc w:val="right"/>
              <w:rPr>
                <w:rFonts w:ascii="Times New Roman;sans-serif" w:hAnsi="Times New Roman;sans-serif"/>
                <w:b/>
                <w:color w:val="000000"/>
                <w:sz w:val="17"/>
              </w:rPr>
            </w:pPr>
            <w:r>
              <w:rPr>
                <w:rFonts w:ascii="Times New Roman;sans-serif" w:hAnsi="Times New Roman;sans-serif"/>
                <w:b/>
                <w:color w:val="000000"/>
                <w:sz w:val="17"/>
              </w:rPr>
              <w:t>Aircraft</w:t>
            </w:r>
          </w:p>
        </w:tc>
        <w:tc>
          <w:tcPr>
            <w:tcW w:w="874" w:type="dxa"/>
            <w:gridSpan w:val="3"/>
            <w:tcBorders>
              <w:left w:val="single" w:sz="8" w:space="0" w:color="000000"/>
            </w:tcBorders>
            <w:shd w:fill="auto" w:val="clear"/>
            <w:tcMar>
              <w:top w:w="0" w:type="dxa"/>
              <w:bottom w:w="0" w:type="dxa"/>
              <w:right w:w="0" w:type="dxa"/>
            </w:tcMar>
            <w:vAlign w:val="center"/>
          </w:tcPr>
          <w:p>
            <w:pPr>
              <w:pStyle w:val="TableContents"/>
              <w:spacing w:lineRule="auto" w:line="254" w:before="59" w:after="283"/>
              <w:jc w:val="center"/>
              <w:rPr>
                <w:rFonts w:ascii="Times New Roman;sans-serif" w:hAnsi="Times New Roman;sans-serif"/>
                <w:b/>
                <w:color w:val="000000"/>
                <w:sz w:val="17"/>
              </w:rPr>
            </w:pPr>
            <w:r>
              <w:rPr>
                <w:rFonts w:ascii="Times New Roman;sans-serif" w:hAnsi="Times New Roman;sans-serif"/>
                <w:b/>
                <w:color w:val="000000"/>
                <w:sz w:val="17"/>
              </w:rPr>
              <w:t>(Airframe)</w:t>
            </w:r>
          </w:p>
        </w:tc>
        <w:tc>
          <w:tcPr>
            <w:tcW w:w="856" w:type="dxa"/>
            <w:gridSpan w:val="3"/>
            <w:tcBorders>
              <w:left w:val="single" w:sz="8" w:space="0" w:color="000000"/>
              <w:right w:val="single" w:sz="8" w:space="0" w:color="000000"/>
            </w:tcBorders>
            <w:shd w:fill="auto" w:val="clear"/>
            <w:tcMar>
              <w:top w:w="0" w:type="dxa"/>
              <w:bottom w:w="0" w:type="dxa"/>
            </w:tcMar>
            <w:vAlign w:val="center"/>
          </w:tcPr>
          <w:p>
            <w:pPr>
              <w:pStyle w:val="TableContents"/>
              <w:spacing w:lineRule="auto" w:line="254" w:before="59" w:after="283"/>
              <w:jc w:val="center"/>
              <w:rPr>
                <w:rFonts w:ascii="Times New Roman;sans-serif" w:hAnsi="Times New Roman;sans-serif"/>
                <w:b/>
                <w:color w:val="000000"/>
                <w:sz w:val="17"/>
              </w:rPr>
            </w:pPr>
            <w:r>
              <w:rPr>
                <w:rFonts w:ascii="Times New Roman;sans-serif" w:hAnsi="Times New Roman;sans-serif"/>
                <w:b/>
                <w:color w:val="000000"/>
                <w:sz w:val="17"/>
              </w:rPr>
              <w:t>(Engine)</w:t>
            </w:r>
          </w:p>
        </w:tc>
        <w:tc>
          <w:tcPr>
            <w:tcW w:w="327" w:type="dxa"/>
            <w:gridSpan w:val="3"/>
            <w:vMerge w:val="continue"/>
            <w:tcBorders>
              <w:top w:val="single" w:sz="16" w:space="0" w:color="000000"/>
              <w:left w:val="single" w:sz="8" w:space="0" w:color="000000"/>
            </w:tcBorders>
            <w:shd w:fill="C0C0C0" w:val="clear"/>
            <w:tcMar>
              <w:bottom w:w="0" w:type="dxa"/>
              <w:right w:w="0" w:type="dxa"/>
            </w:tcMar>
            <w:vAlign w:val="center"/>
          </w:tcPr>
          <w:p>
            <w:pPr>
              <w:pStyle w:val="Normal"/>
              <w:rPr/>
            </w:pPr>
            <w:r>
              <w:rPr/>
            </w:r>
          </w:p>
        </w:tc>
        <w:tc>
          <w:tcPr>
            <w:tcW w:w="1144" w:type="dxa"/>
            <w:gridSpan w:val="3"/>
            <w:tcBorders>
              <w:left w:val="single" w:sz="8" w:space="0" w:color="000000"/>
            </w:tcBorders>
            <w:shd w:fill="auto" w:val="clear"/>
            <w:tcMar>
              <w:top w:w="0" w:type="dxa"/>
              <w:bottom w:w="0" w:type="dxa"/>
              <w:right w:w="0" w:type="dxa"/>
            </w:tcMar>
            <w:vAlign w:val="center"/>
          </w:tcPr>
          <w:p>
            <w:pPr>
              <w:pStyle w:val="TableContents"/>
              <w:spacing w:lineRule="auto" w:line="254" w:before="59" w:after="283"/>
              <w:jc w:val="center"/>
              <w:rPr>
                <w:rFonts w:ascii="Times New Roman;sans-serif" w:hAnsi="Times New Roman;sans-serif"/>
                <w:b/>
                <w:color w:val="000000"/>
                <w:sz w:val="17"/>
              </w:rPr>
            </w:pPr>
            <w:r>
              <w:rPr>
                <w:rFonts w:ascii="Times New Roman;sans-serif" w:hAnsi="Times New Roman;sans-serif"/>
                <w:b/>
                <w:color w:val="000000"/>
                <w:sz w:val="17"/>
              </w:rPr>
              <w:t>Price Per A/P</w:t>
            </w:r>
          </w:p>
        </w:tc>
        <w:tc>
          <w:tcPr>
            <w:tcW w:w="711" w:type="dxa"/>
            <w:gridSpan w:val="3"/>
            <w:tcBorders>
              <w:left w:val="single" w:sz="8" w:space="0" w:color="000000"/>
            </w:tcBorders>
            <w:shd w:fill="auto" w:val="clear"/>
            <w:tcMar>
              <w:top w:w="0" w:type="dxa"/>
              <w:bottom w:w="0" w:type="dxa"/>
              <w:right w:w="0" w:type="dxa"/>
            </w:tcMar>
            <w:vAlign w:val="center"/>
          </w:tcPr>
          <w:p>
            <w:pPr>
              <w:pStyle w:val="TableContents"/>
              <w:spacing w:lineRule="auto" w:line="254" w:before="59"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gridSpan w:val="3"/>
            <w:tcBorders>
              <w:left w:val="single" w:sz="8" w:space="0" w:color="000000"/>
            </w:tcBorders>
            <w:shd w:fill="auto" w:val="clear"/>
            <w:tcMar>
              <w:top w:w="0" w:type="dxa"/>
              <w:bottom w:w="0" w:type="dxa"/>
              <w:right w:w="0" w:type="dxa"/>
            </w:tcMar>
            <w:vAlign w:val="center"/>
          </w:tcPr>
          <w:p>
            <w:pPr>
              <w:pStyle w:val="TableContents"/>
              <w:spacing w:lineRule="auto" w:line="254" w:before="59"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gridSpan w:val="3"/>
            <w:tcBorders>
              <w:left w:val="single" w:sz="8" w:space="0" w:color="000000"/>
            </w:tcBorders>
            <w:shd w:fill="auto" w:val="clear"/>
            <w:tcMar>
              <w:top w:w="0" w:type="dxa"/>
              <w:bottom w:w="0" w:type="dxa"/>
              <w:right w:w="0" w:type="dxa"/>
            </w:tcMar>
            <w:vAlign w:val="center"/>
          </w:tcPr>
          <w:p>
            <w:pPr>
              <w:pStyle w:val="TableContents"/>
              <w:spacing w:lineRule="auto" w:line="254" w:before="59"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24" w:type="dxa"/>
            <w:gridSpan w:val="3"/>
            <w:tcBorders>
              <w:left w:val="single" w:sz="8" w:space="0" w:color="000000"/>
              <w:right w:val="single" w:sz="16" w:space="0" w:color="000000"/>
            </w:tcBorders>
            <w:shd w:fill="auto" w:val="clear"/>
            <w:tcMar>
              <w:top w:w="0" w:type="dxa"/>
              <w:bottom w:w="0" w:type="dxa"/>
            </w:tcMar>
            <w:vAlign w:val="center"/>
          </w:tcPr>
          <w:p>
            <w:pPr>
              <w:pStyle w:val="TableContents"/>
              <w:spacing w:lineRule="auto" w:line="254" w:before="59"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020" w:type="dxa"/>
            <w:gridSpan w:val="3"/>
            <w:tcBorders>
              <w:top w:val="single" w:sz="8" w:space="0" w:color="000000"/>
              <w:left w:val="single" w:sz="16" w:space="0" w:color="000000"/>
            </w:tcBorders>
            <w:shd w:fill="auto" w:val="clear"/>
            <w:tcMar>
              <w:top w:w="30" w:type="dxa"/>
              <w:bottom w:w="0" w:type="dxa"/>
              <w:right w:w="0" w:type="dxa"/>
            </w:tcMar>
            <w:vAlign w:val="center"/>
          </w:tcPr>
          <w:p>
            <w:pPr>
              <w:pStyle w:val="TableContents"/>
              <w:spacing w:lineRule="auto" w:line="254"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30" w:type="dxa"/>
            <w:gridSpan w:val="3"/>
            <w:tcBorders>
              <w:top w:val="single" w:sz="8" w:space="0" w:color="000000"/>
              <w:left w:val="single" w:sz="8" w:space="0" w:color="000000"/>
            </w:tcBorders>
            <w:shd w:fill="auto" w:val="clear"/>
            <w:tcMar>
              <w:top w:w="30" w:type="dxa"/>
              <w:left w:w="401" w:type="dxa"/>
              <w:bottom w:w="0" w:type="dxa"/>
              <w:right w:w="0" w:type="dxa"/>
            </w:tcMar>
            <w:vAlign w:val="center"/>
          </w:tcPr>
          <w:p>
            <w:pPr>
              <w:pStyle w:val="TableContents"/>
              <w:spacing w:lineRule="auto" w:line="194"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1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5"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p>
            <w:pPr>
              <w:pStyle w:val="TableContents"/>
              <w:spacing w:lineRule="auto" w:line="261" w:before="28" w:after="283"/>
              <w:jc w:val="left"/>
              <w:rPr/>
            </w:pPr>
            <w:r>
              <w:rPr>
                <w:rFonts w:ascii="Times New Roman;sans-serif" w:hAnsi="Times New Roman;sans-serif"/>
                <w:b w:val="false"/>
                <w:color w:val="000000"/>
                <w:sz w:val="17"/>
              </w:rPr>
              <w:t>[****]</w:t>
            </w:r>
            <w:r>
              <w:rPr>
                <w:rFonts w:ascii="Times New Roman;sans-serif" w:hAnsi="Times New Roman;sans-serif"/>
                <w:b/>
                <w:color w:val="000000"/>
                <w:sz w:val="17"/>
              </w:rPr>
              <w:t>-2023</w:t>
            </w:r>
          </w:p>
        </w:tc>
        <w:tc>
          <w:tcPr>
            <w:tcW w:w="78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before="3" w:after="283"/>
              <w:jc w:val="left"/>
              <w:rPr/>
            </w:pPr>
            <w:r>
              <w:rPr/>
            </w:r>
          </w:p>
          <w:p>
            <w:pPr>
              <w:pStyle w:val="TableContents"/>
              <w:spacing w:lineRule="auto" w:line="254" w:before="0" w:after="0"/>
              <w:jc w:val="center"/>
              <w:rPr>
                <w:rFonts w:ascii="Times New Roman;sans-serif" w:hAnsi="Times New Roman;sans-serif"/>
                <w:b w:val="false"/>
                <w:color w:val="0000FF"/>
                <w:sz w:val="17"/>
              </w:rPr>
            </w:pPr>
            <w:r>
              <w:rPr>
                <w:rFonts w:ascii="Times New Roman;sans-serif" w:hAnsi="Times New Roman;sans-serif"/>
                <w:b w:val="false"/>
                <w:color w:val="0000FF"/>
                <w:sz w:val="17"/>
              </w:rPr>
              <w:t>1</w:t>
            </w:r>
          </w:p>
        </w:tc>
        <w:tc>
          <w:tcPr>
            <w:tcW w:w="87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top w:val="single" w:sz="8" w:space="0" w:color="000000"/>
              <w:left w:val="single" w:sz="8" w:space="0" w:color="000000"/>
            </w:tcBorders>
            <w:shd w:fill="C0C0C0" w:val="clear"/>
            <w:tcMar>
              <w:bottom w:w="0" w:type="dxa"/>
              <w:right w:w="0" w:type="dxa"/>
            </w:tcMar>
            <w:vAlign w:val="center"/>
          </w:tcPr>
          <w:p>
            <w:pPr>
              <w:pStyle w:val="TableContents"/>
              <w:spacing w:before="0" w:after="283"/>
              <w:rPr>
                <w:sz w:val="4"/>
                <w:szCs w:val="4"/>
              </w:rPr>
            </w:pPr>
            <w:r>
              <w:rPr>
                <w:sz w:val="4"/>
                <w:szCs w:val="4"/>
              </w:rPr>
            </w:r>
          </w:p>
        </w:tc>
        <w:tc>
          <w:tcPr>
            <w:tcW w:w="114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24" w:type="dxa"/>
            <w:gridSpan w:val="3"/>
            <w:tcBorders>
              <w:top w:val="single" w:sz="8" w:space="0" w:color="000000"/>
              <w:left w:val="single" w:sz="8" w:space="0" w:color="000000"/>
              <w:right w:val="single" w:sz="16" w:space="0" w:color="000000"/>
            </w:tcBorders>
            <w:shd w:fill="auto" w:val="clear"/>
            <w:tcMar>
              <w:top w:w="30" w:type="dxa"/>
              <w:bottom w:w="0" w:type="dxa"/>
            </w:tcMar>
            <w:vAlign w:val="center"/>
          </w:tcPr>
          <w:p>
            <w:pPr>
              <w:pStyle w:val="TableContents"/>
              <w:spacing w:lineRule="auto" w:line="254"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020" w:type="dxa"/>
            <w:gridSpan w:val="3"/>
            <w:tcBorders>
              <w:top w:val="single" w:sz="8" w:space="0" w:color="000000"/>
              <w:left w:val="single" w:sz="16" w:space="0" w:color="000000"/>
            </w:tcBorders>
            <w:shd w:fill="auto" w:val="clear"/>
            <w:tcMar>
              <w:top w:w="30" w:type="dxa"/>
              <w:bottom w:w="0" w:type="dxa"/>
              <w:right w:w="0" w:type="dxa"/>
            </w:tcMar>
            <w:vAlign w:val="center"/>
          </w:tcPr>
          <w:p>
            <w:pPr>
              <w:pStyle w:val="TableContents"/>
              <w:spacing w:lineRule="auto" w:line="254"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30" w:type="dxa"/>
            <w:gridSpan w:val="3"/>
            <w:tcBorders>
              <w:top w:val="single" w:sz="8" w:space="0" w:color="000000"/>
              <w:left w:val="single" w:sz="8" w:space="0" w:color="000000"/>
            </w:tcBorders>
            <w:shd w:fill="auto" w:val="clear"/>
            <w:tcMar>
              <w:top w:w="30" w:type="dxa"/>
              <w:left w:w="401" w:type="dxa"/>
              <w:bottom w:w="0" w:type="dxa"/>
              <w:right w:w="0" w:type="dxa"/>
            </w:tcMar>
            <w:vAlign w:val="center"/>
          </w:tcPr>
          <w:p>
            <w:pPr>
              <w:pStyle w:val="TableContents"/>
              <w:spacing w:lineRule="auto" w:line="194"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1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309" w:before="12" w:after="283"/>
              <w:ind w:left="0" w:right="0" w:hanging="116"/>
              <w:jc w:val="left"/>
              <w:rPr>
                <w:rFonts w:ascii="Times New Roman;sans-serif" w:hAnsi="Times New Roman;sans-serif"/>
                <w:b w:val="false"/>
                <w:color w:val="000000"/>
                <w:sz w:val="17"/>
              </w:rPr>
            </w:pPr>
            <w:r>
              <w:rPr>
                <w:rFonts w:ascii="Times New Roman;sans-serif" w:hAnsi="Times New Roman;sans-serif"/>
                <w:b w:val="false"/>
                <w:color w:val="000000"/>
                <w:sz w:val="17"/>
              </w:rPr>
              <w:t>[****]</w:t>
            </w:r>
          </w:p>
          <w:p>
            <w:pPr>
              <w:pStyle w:val="TableContents"/>
              <w:spacing w:lineRule="auto" w:line="309" w:before="12" w:after="283"/>
              <w:ind w:left="0" w:right="0" w:hanging="116"/>
              <w:jc w:val="left"/>
              <w:rPr/>
            </w:pPr>
            <w:r>
              <w:rPr>
                <w:color w:val="000000"/>
              </w:rPr>
              <w:t> </w:t>
            </w:r>
            <w:r>
              <w:rPr>
                <w:rFonts w:ascii="Times New Roman;sans-serif" w:hAnsi="Times New Roman;sans-serif"/>
                <w:b w:val="false"/>
                <w:color w:val="000000"/>
                <w:sz w:val="17"/>
              </w:rPr>
              <w:t>[****]</w:t>
            </w:r>
            <w:r>
              <w:rPr>
                <w:rFonts w:ascii="Times New Roman;sans-serif" w:hAnsi="Times New Roman;sans-serif"/>
                <w:b/>
                <w:color w:val="000000"/>
                <w:sz w:val="17"/>
              </w:rPr>
              <w:t>-2023</w:t>
            </w:r>
          </w:p>
        </w:tc>
        <w:tc>
          <w:tcPr>
            <w:tcW w:w="78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before="7" w:after="283"/>
              <w:jc w:val="left"/>
              <w:rPr/>
            </w:pPr>
            <w:r>
              <w:rPr/>
            </w:r>
          </w:p>
          <w:p>
            <w:pPr>
              <w:pStyle w:val="TableContents"/>
              <w:spacing w:lineRule="auto" w:line="254" w:before="0" w:after="0"/>
              <w:jc w:val="center"/>
              <w:rPr>
                <w:rFonts w:ascii="Times New Roman;sans-serif" w:hAnsi="Times New Roman;sans-serif"/>
                <w:b w:val="false"/>
                <w:color w:val="0000FF"/>
                <w:sz w:val="17"/>
              </w:rPr>
            </w:pPr>
            <w:r>
              <w:rPr>
                <w:rFonts w:ascii="Times New Roman;sans-serif" w:hAnsi="Times New Roman;sans-serif"/>
                <w:b w:val="false"/>
                <w:color w:val="0000FF"/>
                <w:sz w:val="17"/>
              </w:rPr>
              <w:t>1</w:t>
            </w:r>
          </w:p>
        </w:tc>
        <w:tc>
          <w:tcPr>
            <w:tcW w:w="87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top w:val="single" w:sz="8" w:space="0" w:color="000000"/>
              <w:left w:val="single" w:sz="8" w:space="0" w:color="000000"/>
            </w:tcBorders>
            <w:shd w:fill="C0C0C0" w:val="clear"/>
            <w:tcMar>
              <w:bottom w:w="0" w:type="dxa"/>
              <w:right w:w="0" w:type="dxa"/>
            </w:tcMar>
            <w:vAlign w:val="center"/>
          </w:tcPr>
          <w:p>
            <w:pPr>
              <w:pStyle w:val="TableContents"/>
              <w:spacing w:before="0" w:after="283"/>
              <w:rPr>
                <w:sz w:val="4"/>
                <w:szCs w:val="4"/>
              </w:rPr>
            </w:pPr>
            <w:r>
              <w:rPr>
                <w:sz w:val="4"/>
                <w:szCs w:val="4"/>
              </w:rPr>
            </w:r>
          </w:p>
        </w:tc>
        <w:tc>
          <w:tcPr>
            <w:tcW w:w="114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24" w:type="dxa"/>
            <w:gridSpan w:val="3"/>
            <w:tcBorders>
              <w:top w:val="single" w:sz="8" w:space="0" w:color="000000"/>
              <w:left w:val="single" w:sz="8" w:space="0" w:color="000000"/>
              <w:right w:val="single" w:sz="16" w:space="0" w:color="000000"/>
            </w:tcBorders>
            <w:shd w:fill="auto" w:val="clear"/>
            <w:tcMar>
              <w:top w:w="30" w:type="dxa"/>
              <w:bottom w:w="0" w:type="dxa"/>
            </w:tcMar>
            <w:vAlign w:val="center"/>
          </w:tcPr>
          <w:p>
            <w:pPr>
              <w:pStyle w:val="TableContents"/>
              <w:spacing w:lineRule="auto" w:line="254"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020" w:type="dxa"/>
            <w:gridSpan w:val="3"/>
            <w:tcBorders>
              <w:top w:val="single" w:sz="8" w:space="0" w:color="000000"/>
              <w:left w:val="single" w:sz="16" w:space="0" w:color="000000"/>
            </w:tcBorders>
            <w:shd w:fill="auto" w:val="clear"/>
            <w:tcMar>
              <w:top w:w="30" w:type="dxa"/>
              <w:bottom w:w="0" w:type="dxa"/>
              <w:right w:w="0" w:type="dxa"/>
            </w:tcMar>
            <w:vAlign w:val="center"/>
          </w:tcPr>
          <w:p>
            <w:pPr>
              <w:pStyle w:val="TableContents"/>
              <w:spacing w:lineRule="auto" w:line="254" w:before="115"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30" w:type="dxa"/>
            <w:gridSpan w:val="3"/>
            <w:tcBorders>
              <w:top w:val="single" w:sz="8" w:space="0" w:color="000000"/>
              <w:left w:val="single" w:sz="8" w:space="0" w:color="000000"/>
            </w:tcBorders>
            <w:shd w:fill="auto" w:val="clear"/>
            <w:tcMar>
              <w:top w:w="30" w:type="dxa"/>
              <w:left w:w="377" w:type="dxa"/>
              <w:bottom w:w="0" w:type="dxa"/>
              <w:right w:w="0" w:type="dxa"/>
            </w:tcMar>
            <w:vAlign w:val="center"/>
          </w:tcPr>
          <w:p>
            <w:pPr>
              <w:pStyle w:val="TableContents"/>
              <w:spacing w:lineRule="auto" w:line="194"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15" w:type="dxa"/>
            <w:gridSpan w:val="3"/>
            <w:tcBorders>
              <w:top w:val="single" w:sz="8" w:space="0" w:color="000000"/>
              <w:left w:val="single" w:sz="8" w:space="0" w:color="000000"/>
            </w:tcBorders>
            <w:shd w:fill="auto" w:val="clear"/>
            <w:tcMar>
              <w:top w:w="30" w:type="dxa"/>
              <w:left w:w="327" w:type="dxa"/>
              <w:bottom w:w="0" w:type="dxa"/>
              <w:right w:w="0" w:type="dxa"/>
            </w:tcMar>
            <w:vAlign w:val="center"/>
          </w:tcPr>
          <w:p>
            <w:pPr>
              <w:pStyle w:val="TableContents"/>
              <w:spacing w:lineRule="auto" w:line="194" w:before="0" w:after="283"/>
              <w:jc w:val="left"/>
              <w:rPr>
                <w:rFonts w:ascii="Times New Roman;sans-serif" w:hAnsi="Times New Roman;sans-serif"/>
                <w:b/>
                <w:color w:val="000000"/>
                <w:sz w:val="17"/>
              </w:rPr>
            </w:pPr>
            <w:r>
              <w:rPr>
                <w:rFonts w:ascii="Times New Roman;sans-serif" w:hAnsi="Times New Roman;sans-serif"/>
                <w:b/>
                <w:color w:val="000000"/>
                <w:sz w:val="17"/>
              </w:rPr>
              <w:t>Delivered</w:t>
            </w:r>
          </w:p>
        </w:tc>
        <w:tc>
          <w:tcPr>
            <w:tcW w:w="78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5" w:after="283"/>
              <w:jc w:val="center"/>
              <w:rPr>
                <w:rFonts w:ascii="Times New Roman;sans-serif" w:hAnsi="Times New Roman;sans-serif"/>
                <w:b w:val="false"/>
                <w:color w:val="0000FF"/>
                <w:sz w:val="17"/>
              </w:rPr>
            </w:pPr>
            <w:r>
              <w:rPr>
                <w:rFonts w:ascii="Times New Roman;sans-serif" w:hAnsi="Times New Roman;sans-serif"/>
                <w:b w:val="false"/>
                <w:color w:val="0000FF"/>
                <w:sz w:val="17"/>
              </w:rPr>
              <w:t>1</w:t>
            </w:r>
          </w:p>
        </w:tc>
        <w:tc>
          <w:tcPr>
            <w:tcW w:w="87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5"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5"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top w:val="single" w:sz="8" w:space="0" w:color="000000"/>
              <w:left w:val="single" w:sz="8" w:space="0" w:color="000000"/>
            </w:tcBorders>
            <w:shd w:fill="C0C0C0" w:val="clear"/>
            <w:tcMar>
              <w:bottom w:w="0" w:type="dxa"/>
              <w:right w:w="0" w:type="dxa"/>
            </w:tcMar>
            <w:vAlign w:val="center"/>
          </w:tcPr>
          <w:p>
            <w:pPr>
              <w:pStyle w:val="TableContents"/>
              <w:spacing w:before="0" w:after="283"/>
              <w:rPr>
                <w:sz w:val="4"/>
                <w:szCs w:val="4"/>
              </w:rPr>
            </w:pPr>
            <w:r>
              <w:rPr>
                <w:sz w:val="4"/>
                <w:szCs w:val="4"/>
              </w:rPr>
            </w:r>
          </w:p>
        </w:tc>
        <w:tc>
          <w:tcPr>
            <w:tcW w:w="114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5"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5"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5"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15"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24" w:type="dxa"/>
            <w:gridSpan w:val="3"/>
            <w:tcBorders>
              <w:top w:val="single" w:sz="8" w:space="0" w:color="000000"/>
              <w:left w:val="single" w:sz="8" w:space="0" w:color="000000"/>
              <w:right w:val="single" w:sz="16" w:space="0" w:color="000000"/>
            </w:tcBorders>
            <w:shd w:fill="auto" w:val="clear"/>
            <w:tcMar>
              <w:top w:w="30" w:type="dxa"/>
              <w:bottom w:w="0" w:type="dxa"/>
            </w:tcMar>
            <w:vAlign w:val="center"/>
          </w:tcPr>
          <w:p>
            <w:pPr>
              <w:pStyle w:val="TableContents"/>
              <w:spacing w:lineRule="auto" w:line="254" w:before="115"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020" w:type="dxa"/>
            <w:gridSpan w:val="3"/>
            <w:tcBorders>
              <w:top w:val="single" w:sz="8" w:space="0" w:color="000000"/>
              <w:left w:val="single" w:sz="16" w:space="0" w:color="000000"/>
            </w:tcBorders>
            <w:shd w:fill="auto" w:val="clear"/>
            <w:tcMar>
              <w:top w:w="30" w:type="dxa"/>
              <w:bottom w:w="0" w:type="dxa"/>
              <w:right w:w="0" w:type="dxa"/>
            </w:tcMar>
            <w:vAlign w:val="center"/>
          </w:tcPr>
          <w:p>
            <w:pPr>
              <w:pStyle w:val="TableContents"/>
              <w:spacing w:lineRule="auto" w:line="254"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30" w:type="dxa"/>
            <w:gridSpan w:val="3"/>
            <w:tcBorders>
              <w:top w:val="single" w:sz="8" w:space="0" w:color="000000"/>
              <w:left w:val="single" w:sz="8" w:space="0" w:color="000000"/>
            </w:tcBorders>
            <w:shd w:fill="auto" w:val="clear"/>
            <w:tcMar>
              <w:top w:w="30" w:type="dxa"/>
              <w:left w:w="380" w:type="dxa"/>
              <w:bottom w:w="0" w:type="dxa"/>
              <w:right w:w="0" w:type="dxa"/>
            </w:tcMar>
            <w:vAlign w:val="center"/>
          </w:tcPr>
          <w:p>
            <w:pPr>
              <w:pStyle w:val="TableContents"/>
              <w:spacing w:lineRule="auto" w:line="194"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1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309" w:before="24" w:after="283"/>
              <w:ind w:left="0" w:right="0" w:hanging="116"/>
              <w:jc w:val="left"/>
              <w:rPr>
                <w:rFonts w:ascii="Times New Roman;sans-serif" w:hAnsi="Times New Roman;sans-serif"/>
                <w:b w:val="false"/>
                <w:color w:val="000000"/>
                <w:sz w:val="17"/>
              </w:rPr>
            </w:pPr>
            <w:r>
              <w:rPr>
                <w:rFonts w:ascii="Times New Roman;sans-serif" w:hAnsi="Times New Roman;sans-serif"/>
                <w:b w:val="false"/>
                <w:color w:val="000000"/>
                <w:sz w:val="17"/>
              </w:rPr>
              <w:t>[****]</w:t>
            </w:r>
          </w:p>
          <w:p>
            <w:pPr>
              <w:pStyle w:val="TableContents"/>
              <w:spacing w:lineRule="auto" w:line="309" w:before="24" w:after="283"/>
              <w:ind w:left="0" w:right="0" w:hanging="116"/>
              <w:jc w:val="left"/>
              <w:rPr/>
            </w:pPr>
            <w:r>
              <w:rPr>
                <w:rFonts w:ascii="Times New Roman;sans-serif" w:hAnsi="Times New Roman;sans-serif"/>
                <w:b w:val="false"/>
                <w:color w:val="000000"/>
                <w:sz w:val="17"/>
              </w:rPr>
              <w:t>[****]</w:t>
            </w:r>
            <w:r>
              <w:rPr>
                <w:rFonts w:ascii="Times New Roman;sans-serif" w:hAnsi="Times New Roman;sans-serif"/>
                <w:b/>
                <w:color w:val="000000"/>
                <w:sz w:val="17"/>
              </w:rPr>
              <w:t>-2023</w:t>
            </w:r>
          </w:p>
        </w:tc>
        <w:tc>
          <w:tcPr>
            <w:tcW w:w="78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before="7" w:after="283"/>
              <w:jc w:val="left"/>
              <w:rPr/>
            </w:pPr>
            <w:r>
              <w:rPr/>
            </w:r>
          </w:p>
          <w:p>
            <w:pPr>
              <w:pStyle w:val="TableContents"/>
              <w:spacing w:lineRule="auto" w:line="254" w:before="0" w:after="0"/>
              <w:jc w:val="center"/>
              <w:rPr>
                <w:rFonts w:ascii="Times New Roman;sans-serif" w:hAnsi="Times New Roman;sans-serif"/>
                <w:b w:val="false"/>
                <w:color w:val="0000FF"/>
                <w:sz w:val="17"/>
              </w:rPr>
            </w:pPr>
            <w:r>
              <w:rPr>
                <w:rFonts w:ascii="Times New Roman;sans-serif" w:hAnsi="Times New Roman;sans-serif"/>
                <w:b w:val="false"/>
                <w:color w:val="0000FF"/>
                <w:sz w:val="17"/>
              </w:rPr>
              <w:t>1</w:t>
            </w:r>
          </w:p>
        </w:tc>
        <w:tc>
          <w:tcPr>
            <w:tcW w:w="87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top w:val="single" w:sz="8" w:space="0" w:color="000000"/>
              <w:left w:val="single" w:sz="8" w:space="0" w:color="000000"/>
            </w:tcBorders>
            <w:shd w:fill="C0C0C0" w:val="clear"/>
            <w:tcMar>
              <w:bottom w:w="0" w:type="dxa"/>
              <w:right w:w="0" w:type="dxa"/>
            </w:tcMar>
            <w:vAlign w:val="center"/>
          </w:tcPr>
          <w:p>
            <w:pPr>
              <w:pStyle w:val="TableContents"/>
              <w:spacing w:before="0" w:after="283"/>
              <w:rPr>
                <w:sz w:val="4"/>
                <w:szCs w:val="4"/>
              </w:rPr>
            </w:pPr>
            <w:r>
              <w:rPr>
                <w:sz w:val="4"/>
                <w:szCs w:val="4"/>
              </w:rPr>
            </w:r>
          </w:p>
        </w:tc>
        <w:tc>
          <w:tcPr>
            <w:tcW w:w="114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24" w:type="dxa"/>
            <w:gridSpan w:val="3"/>
            <w:tcBorders>
              <w:top w:val="single" w:sz="8" w:space="0" w:color="000000"/>
              <w:left w:val="single" w:sz="8" w:space="0" w:color="000000"/>
              <w:right w:val="single" w:sz="16" w:space="0" w:color="000000"/>
            </w:tcBorders>
            <w:shd w:fill="auto" w:val="clear"/>
            <w:tcMar>
              <w:top w:w="30" w:type="dxa"/>
              <w:bottom w:w="0" w:type="dxa"/>
            </w:tcMar>
            <w:vAlign w:val="center"/>
          </w:tcPr>
          <w:p>
            <w:pPr>
              <w:pStyle w:val="TableContents"/>
              <w:spacing w:lineRule="auto" w:line="254"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020" w:type="dxa"/>
            <w:gridSpan w:val="3"/>
            <w:tcBorders>
              <w:top w:val="single" w:sz="8" w:space="0" w:color="000000"/>
              <w:left w:val="single" w:sz="16" w:space="0" w:color="000000"/>
            </w:tcBorders>
            <w:shd w:fill="auto" w:val="clear"/>
            <w:tcMar>
              <w:top w:w="30" w:type="dxa"/>
              <w:bottom w:w="0" w:type="dxa"/>
              <w:right w:w="0" w:type="dxa"/>
            </w:tcMar>
            <w:vAlign w:val="center"/>
          </w:tcPr>
          <w:p>
            <w:pPr>
              <w:pStyle w:val="TableContents"/>
              <w:spacing w:lineRule="auto" w:line="254" w:before="1"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30" w:type="dxa"/>
            <w:gridSpan w:val="3"/>
            <w:tcBorders>
              <w:top w:val="single" w:sz="8" w:space="0" w:color="000000"/>
              <w:left w:val="single" w:sz="8" w:space="0" w:color="000000"/>
            </w:tcBorders>
            <w:shd w:fill="auto" w:val="clear"/>
            <w:tcMar>
              <w:top w:w="30" w:type="dxa"/>
              <w:left w:w="353" w:type="dxa"/>
              <w:bottom w:w="0" w:type="dxa"/>
              <w:right w:w="0" w:type="dxa"/>
            </w:tcMar>
            <w:vAlign w:val="center"/>
          </w:tcPr>
          <w:p>
            <w:pPr>
              <w:pStyle w:val="TableContents"/>
              <w:spacing w:lineRule="auto" w:line="194"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1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17" w:after="283"/>
              <w:jc w:val="center"/>
              <w:rPr>
                <w:rFonts w:ascii="Times New Roman;sans-serif" w:hAnsi="Times New Roman;sans-serif"/>
                <w:b/>
                <w:color w:val="000000"/>
                <w:sz w:val="17"/>
              </w:rPr>
            </w:pPr>
            <w:r>
              <w:rPr>
                <w:rFonts w:ascii="Times New Roman;sans-serif" w:hAnsi="Times New Roman;sans-serif"/>
                <w:b/>
                <w:color w:val="000000"/>
                <w:sz w:val="17"/>
              </w:rPr>
              <w:t>Undelivered</w:t>
            </w:r>
          </w:p>
          <w:p>
            <w:pPr>
              <w:pStyle w:val="TableContents"/>
              <w:spacing w:lineRule="auto" w:line="261" w:before="28" w:after="283"/>
              <w:jc w:val="center"/>
              <w:rPr/>
            </w:pPr>
            <w:r>
              <w:rPr>
                <w:rFonts w:ascii="Times New Roman;sans-serif" w:hAnsi="Times New Roman;sans-serif"/>
                <w:b w:val="false"/>
                <w:color w:val="000000"/>
                <w:sz w:val="17"/>
              </w:rPr>
              <w:t>[****]</w:t>
            </w:r>
            <w:r>
              <w:rPr>
                <w:rFonts w:ascii="Times New Roman;sans-serif" w:hAnsi="Times New Roman;sans-serif"/>
                <w:b/>
                <w:color w:val="000000"/>
                <w:sz w:val="17"/>
              </w:rPr>
              <w:t>-2023</w:t>
            </w:r>
          </w:p>
        </w:tc>
        <w:tc>
          <w:tcPr>
            <w:tcW w:w="78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before="3" w:after="283"/>
              <w:jc w:val="left"/>
              <w:rPr/>
            </w:pPr>
            <w:r>
              <w:rPr/>
            </w:r>
          </w:p>
          <w:p>
            <w:pPr>
              <w:pStyle w:val="TableContents"/>
              <w:spacing w:lineRule="auto" w:line="254" w:before="1" w:after="283"/>
              <w:jc w:val="center"/>
              <w:rPr>
                <w:rFonts w:ascii="Times New Roman;sans-serif" w:hAnsi="Times New Roman;sans-serif"/>
                <w:b w:val="false"/>
                <w:color w:val="0000FF"/>
                <w:sz w:val="17"/>
              </w:rPr>
            </w:pPr>
            <w:r>
              <w:rPr>
                <w:rFonts w:ascii="Times New Roman;sans-serif" w:hAnsi="Times New Roman;sans-serif"/>
                <w:b w:val="false"/>
                <w:color w:val="0000FF"/>
                <w:sz w:val="17"/>
              </w:rPr>
              <w:t>1</w:t>
            </w:r>
          </w:p>
        </w:tc>
        <w:tc>
          <w:tcPr>
            <w:tcW w:w="87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top w:val="single" w:sz="8" w:space="0" w:color="000000"/>
              <w:left w:val="single" w:sz="8" w:space="0" w:color="000000"/>
            </w:tcBorders>
            <w:shd w:fill="C0C0C0" w:val="clear"/>
            <w:tcMar>
              <w:bottom w:w="0" w:type="dxa"/>
              <w:right w:w="0" w:type="dxa"/>
            </w:tcMar>
            <w:vAlign w:val="center"/>
          </w:tcPr>
          <w:p>
            <w:pPr>
              <w:pStyle w:val="TableContents"/>
              <w:spacing w:before="0" w:after="283"/>
              <w:rPr>
                <w:sz w:val="4"/>
                <w:szCs w:val="4"/>
              </w:rPr>
            </w:pPr>
            <w:r>
              <w:rPr>
                <w:sz w:val="4"/>
                <w:szCs w:val="4"/>
              </w:rPr>
            </w:r>
          </w:p>
        </w:tc>
        <w:tc>
          <w:tcPr>
            <w:tcW w:w="114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54" w:before="1"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24" w:type="dxa"/>
            <w:gridSpan w:val="3"/>
            <w:tcBorders>
              <w:top w:val="single" w:sz="8" w:space="0" w:color="000000"/>
              <w:left w:val="single" w:sz="8" w:space="0" w:color="000000"/>
              <w:right w:val="single" w:sz="16" w:space="0" w:color="000000"/>
            </w:tcBorders>
            <w:shd w:fill="auto" w:val="clear"/>
            <w:tcMar>
              <w:top w:w="30" w:type="dxa"/>
              <w:bottom w:w="0" w:type="dxa"/>
            </w:tcMar>
            <w:vAlign w:val="center"/>
          </w:tcPr>
          <w:p>
            <w:pPr>
              <w:pStyle w:val="TableContents"/>
              <w:spacing w:lineRule="auto" w:line="254" w:before="1"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0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9" w:before="115"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Total:</w:t>
            </w:r>
          </w:p>
        </w:tc>
        <w:tc>
          <w:tcPr>
            <w:tcW w:w="10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9" w:before="115" w:after="283"/>
              <w:ind w:left="0" w:right="0" w:hanging="90"/>
              <w:jc w:val="center"/>
              <w:rPr>
                <w:rFonts w:ascii="Times New Roman;sans-serif" w:hAnsi="Times New Roman;sans-serif"/>
                <w:b w:val="false"/>
                <w:color w:val="000000"/>
                <w:sz w:val="17"/>
              </w:rPr>
            </w:pPr>
            <w:r>
              <w:rPr>
                <w:rFonts w:ascii="Times New Roman;sans-serif" w:hAnsi="Times New Roman;sans-serif"/>
                <w:b w:val="false"/>
                <w:color w:val="000000"/>
                <w:sz w:val="17"/>
              </w:rPr>
              <w:t>17</w:t>
            </w:r>
          </w:p>
        </w:tc>
        <w:tc>
          <w:tcPr>
            <w:tcW w:w="8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34185"/>
                <wp:effectExtent l="0" t="0" r="0" b="0"/>
                <wp:wrapNone/>
                <wp:docPr id="104" name="Frame99"/>
                <a:graphic xmlns:a="http://schemas.openxmlformats.org/drawingml/2006/main">
                  <a:graphicData uri="http://schemas.microsoft.com/office/word/2010/wordprocessingShape">
                    <wps:wsp>
                      <wps:cNvSpPr txBox="1"/>
                      <wps:spPr>
                        <a:xfrm>
                          <a:off x="0" y="0"/>
                          <a:ext cx="6480175" cy="1734185"/>
                        </a:xfrm>
                        <a:prstGeom prst="rect"/>
                      </wps:spPr>
                      <wps:txbx>
                        <w:txbxContent>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jc w:val="center"/>
                              <w:rPr/>
                            </w:pPr>
                            <w:r>
                              <w:rPr/>
                            </w:r>
                          </w:p>
                          <w:p>
                            <w:pPr>
                              <w:pStyle w:val="TextBody"/>
                              <w:spacing w:before="0" w:after="0"/>
                              <w:jc w:val="center"/>
                              <w:rPr/>
                            </w:pPr>
                            <w:r>
                              <w:rPr/>
                            </w:r>
                          </w:p>
                          <w:p>
                            <w:pPr>
                              <w:pStyle w:val="TextBody"/>
                              <w:spacing w:lineRule="auto" w:line="240" w:before="240" w:after="283"/>
                              <w:rPr/>
                            </w:pPr>
                            <w:r>
                              <w:rPr>
                                <w:rFonts w:ascii="Arial;sans-serif" w:hAnsi="Arial;sans-serif"/>
                                <w:b w:val="false"/>
                                <w:color w:val="000000"/>
                                <w:sz w:val="17"/>
                              </w:rPr>
                              <w:t>AAL-PA-03219 113460-1F.txt</w:t>
                            </w:r>
                            <w:r>
                              <w:rPr>
                                <w:color w:val="000000"/>
                              </w:rPr>
                              <w:t xml:space="preserve">             </w:t>
                            </w:r>
                            <w:r>
                              <w:rPr>
                                <w:rFonts w:ascii="Arial;sans-serif" w:hAnsi="Arial;sans-serif"/>
                                <w:b w:val="false"/>
                                <w:color w:val="000000"/>
                                <w:sz w:val="17"/>
                              </w:rPr>
                              <w:t>SA-18 Table 6R3</w:t>
                            </w:r>
                          </w:p>
                          <w:p>
                            <w:pPr>
                              <w:pStyle w:val="TextBody"/>
                              <w:spacing w:lineRule="auto" w:line="240" w:before="0" w:after="0"/>
                              <w:rPr>
                                <w:color w:val="000000"/>
                              </w:rPr>
                            </w:pPr>
                            <w:r>
                              <w:rPr>
                                <w:color w:val="000000"/>
                              </w:rPr>
                              <w:t xml:space="preserve">                                                      </w:t>
                            </w:r>
                            <w:r>
                              <w:rPr>
                                <w:rFonts w:ascii="Arial;sans-serif" w:hAnsi="Arial;sans-serif"/>
                                <w:b w:val="false"/>
                                <w:color w:val="000000"/>
                                <w:sz w:val="17"/>
                              </w:rPr>
                              <w:t>Page 1</w:t>
                            </w:r>
                          </w:p>
                          <w:p>
                            <w:pPr>
                              <w:pStyle w:val="TextBody"/>
                              <w:spacing w:lineRule="auto" w:line="240" w:before="0" w:after="0"/>
                              <w:ind w:left="0" w:right="0" w:firstLine="720"/>
                              <w:jc w:val="center"/>
                              <w:rPr/>
                            </w:pPr>
                            <w:r>
                              <w:rPr>
                                <w:rFonts w:ascii="Arial;sans-serif" w:hAnsi="Arial;sans-serif"/>
                                <w:b/>
                                <w:color w:val="000000"/>
                                <w:sz w:val="21"/>
                              </w:rPr>
                              <w:t>Boeing Proprietary</w:t>
                            </w: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jc w:val="center"/>
                        <w:rPr/>
                      </w:pPr>
                      <w:r>
                        <w:rPr/>
                      </w:r>
                    </w:p>
                    <w:p>
                      <w:pPr>
                        <w:pStyle w:val="TextBody"/>
                        <w:spacing w:before="0" w:after="0"/>
                        <w:jc w:val="center"/>
                        <w:rPr/>
                      </w:pPr>
                      <w:r>
                        <w:rPr/>
                      </w:r>
                    </w:p>
                    <w:p>
                      <w:pPr>
                        <w:pStyle w:val="TextBody"/>
                        <w:spacing w:lineRule="auto" w:line="240" w:before="240" w:after="283"/>
                        <w:rPr/>
                      </w:pPr>
                      <w:r>
                        <w:rPr>
                          <w:rFonts w:ascii="Arial;sans-serif" w:hAnsi="Arial;sans-serif"/>
                          <w:b w:val="false"/>
                          <w:color w:val="000000"/>
                          <w:sz w:val="17"/>
                        </w:rPr>
                        <w:t>AAL-PA-03219 113460-1F.txt</w:t>
                      </w:r>
                      <w:r>
                        <w:rPr>
                          <w:color w:val="000000"/>
                        </w:rPr>
                        <w:t xml:space="preserve">             </w:t>
                      </w:r>
                      <w:r>
                        <w:rPr>
                          <w:rFonts w:ascii="Arial;sans-serif" w:hAnsi="Arial;sans-serif"/>
                          <w:b w:val="false"/>
                          <w:color w:val="000000"/>
                          <w:sz w:val="17"/>
                        </w:rPr>
                        <w:t>SA-18 Table 6R3</w:t>
                      </w:r>
                    </w:p>
                    <w:p>
                      <w:pPr>
                        <w:pStyle w:val="TextBody"/>
                        <w:spacing w:lineRule="auto" w:line="240" w:before="0" w:after="0"/>
                        <w:rPr>
                          <w:color w:val="000000"/>
                        </w:rPr>
                      </w:pPr>
                      <w:r>
                        <w:rPr>
                          <w:color w:val="000000"/>
                        </w:rPr>
                        <w:t xml:space="preserve">                                                      </w:t>
                      </w:r>
                      <w:r>
                        <w:rPr>
                          <w:rFonts w:ascii="Arial;sans-serif" w:hAnsi="Arial;sans-serif"/>
                          <w:b w:val="false"/>
                          <w:color w:val="000000"/>
                          <w:sz w:val="17"/>
                        </w:rPr>
                        <w:t>Page 1</w:t>
                      </w:r>
                    </w:p>
                    <w:p>
                      <w:pPr>
                        <w:pStyle w:val="TextBody"/>
                        <w:spacing w:lineRule="auto" w:line="240" w:before="0" w:after="0"/>
                        <w:ind w:left="0" w:right="0" w:firstLine="720"/>
                        <w:jc w:val="center"/>
                        <w:rPr/>
                      </w:pPr>
                      <w:r>
                        <w:rPr>
                          <w:rFonts w:ascii="Arial;sans-serif" w:hAnsi="Arial;sans-serif"/>
                          <w:b/>
                          <w:color w:val="000000"/>
                          <w:sz w:val="21"/>
                        </w:rPr>
                        <w:t>Boeing Proprietary</w:t>
                      </w:r>
                      <w:r>
                        <w:rPr>
                          <w:color w:val="000000"/>
                        </w:rPr>
                        <w:t>                    </w:t>
                      </w:r>
                    </w:p>
                  </w:txbxContent>
                </v:textbox>
              </v:rect>
            </w:pict>
          </mc:Fallback>
        </mc:AlternateContent>
      </w:r>
    </w:p>
    <w:p>
      <w:pPr>
        <w:pStyle w:val="TextBody"/>
        <w:spacing w:lineRule="auto" w:line="240" w:before="0" w:after="0"/>
        <w:rPr/>
      </w:pPr>
      <w:r>
        <w:rPr/>
        <w:drawing>
          <wp:inline distT="0" distB="63500" distL="0" distR="0">
            <wp:extent cx="1657350" cy="381000"/>
            <wp:effectExtent l="0" t="0" r="0" b="0"/>
            <wp:docPr id="10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6" descr=""/>
                    <pic:cNvPicPr>
                      <a:picLocks noChangeAspect="1" noChangeArrowheads="1"/>
                    </pic:cNvPicPr>
                  </pic:nvPicPr>
                  <pic:blipFill>
                    <a:blip r:embed="rId9"/>
                    <a:stretch>
                      <a:fillRect/>
                    </a:stretch>
                  </pic:blipFill>
                  <pic:spPr bwMode="auto">
                    <a:xfrm>
                      <a:off x="0" y="0"/>
                      <a:ext cx="1657350" cy="381000"/>
                    </a:xfrm>
                    <a:prstGeom prst="rect">
                      <a:avLst/>
                    </a:prstGeom>
                  </pic:spPr>
                </pic:pic>
              </a:graphicData>
            </a:graphic>
          </wp:inline>
        </w:drawing>
      </w:r>
      <w:r>
        <w:rPr>
          <w:color w:val="000000"/>
        </w:rPr>
        <w:t>        </w:t>
      </w:r>
    </w:p>
    <w:tbl>
      <w:tblPr>
        <w:tblW w:w="1890" w:type="dxa"/>
        <w:jc w:val="left"/>
        <w:tblInd w:w="0" w:type="dxa"/>
        <w:tblCellMar>
          <w:top w:w="28" w:type="dxa"/>
          <w:left w:w="28" w:type="dxa"/>
          <w:bottom w:w="28" w:type="dxa"/>
          <w:right w:w="28" w:type="dxa"/>
        </w:tblCellMar>
      </w:tblPr>
      <w:tblGrid>
        <w:gridCol w:w="604"/>
        <w:gridCol w:w="531"/>
        <w:gridCol w:w="755"/>
      </w:tblGrid>
      <w:tr>
        <w:trPr/>
        <w:tc>
          <w:tcPr>
            <w:tcW w:w="604"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808080"/>
                <w:sz w:val="15"/>
              </w:rPr>
            </w:pPr>
            <w:r>
              <w:rPr>
                <w:rFonts w:ascii="Arial;sans-serif" w:hAnsi="Arial;sans-serif"/>
                <w:b w:val="false"/>
                <w:color w:val="808080"/>
                <w:sz w:val="15"/>
              </w:rPr>
              <w:t>The Boeing Company</w:t>
              <w:br/>
              <w:t>P.O. Box 3707</w:t>
              <w:br/>
              <w:t>Seattle, WA 98124-2207</w:t>
            </w:r>
          </w:p>
        </w:tc>
      </w:tr>
    </w:tbl>
    <w:p>
      <w:pPr>
        <w:pStyle w:val="TextBody"/>
        <w:spacing w:before="0" w:after="0"/>
        <w:rPr/>
      </w:pPr>
      <w:r>
        <w:rPr/>
      </w:r>
    </w:p>
    <w:p>
      <w:pPr>
        <w:pStyle w:val="TextBody"/>
        <w:spacing w:before="0" w:after="0"/>
        <w:rPr/>
      </w:pPr>
      <w:r>
        <w:rPr/>
      </w:r>
    </w:p>
    <w:p>
      <w:pPr>
        <w:pStyle w:val="TextBody"/>
        <w:spacing w:lineRule="auto" w:line="240" w:before="360" w:after="283"/>
        <w:rPr>
          <w:rFonts w:ascii="Arial;sans-serif" w:hAnsi="Arial;sans-serif"/>
          <w:b w:val="false"/>
          <w:color w:val="000000"/>
          <w:sz w:val="24"/>
        </w:rPr>
      </w:pPr>
      <w:r>
        <w:rPr>
          <w:rFonts w:ascii="Arial;sans-serif" w:hAnsi="Arial;sans-serif"/>
          <w:b w:val="false"/>
          <w:color w:val="000000"/>
          <w:sz w:val="24"/>
        </w:rPr>
        <w:t>AAL-PA-3219-LA-2300600</w:t>
      </w:r>
    </w:p>
    <w:p>
      <w:pPr>
        <w:pStyle w:val="TextBody"/>
        <w:spacing w:lineRule="auto" w:line="240" w:before="360" w:after="283"/>
        <w:rPr>
          <w:rFonts w:ascii="Arial;sans-serif" w:hAnsi="Arial;sans-serif"/>
          <w:b w:val="false"/>
          <w:color w:val="000000"/>
          <w:sz w:val="24"/>
        </w:rPr>
      </w:pPr>
      <w:r>
        <w:rPr>
          <w:rFonts w:ascii="Arial;sans-serif" w:hAnsi="Arial;sans-serif"/>
          <w:b w:val="false"/>
          <w:color w:val="000000"/>
          <w:sz w:val="24"/>
        </w:rPr>
        <w:t>American Airlines, Inc.</w:t>
      </w:r>
    </w:p>
    <w:p>
      <w:pPr>
        <w:pStyle w:val="TextBody"/>
        <w:spacing w:lineRule="auto" w:line="240" w:before="0" w:after="0"/>
        <w:rPr>
          <w:rFonts w:ascii="Arial;sans-serif" w:hAnsi="Arial;sans-serif"/>
          <w:b w:val="false"/>
          <w:color w:val="000000"/>
          <w:sz w:val="24"/>
        </w:rPr>
      </w:pPr>
      <w:r>
        <w:rPr>
          <w:rFonts w:ascii="Arial;sans-serif" w:hAnsi="Arial;sans-serif"/>
          <w:b w:val="false"/>
          <w:color w:val="000000"/>
          <w:sz w:val="24"/>
        </w:rPr>
        <w:t>P.O. Box 619616</w:t>
      </w:r>
    </w:p>
    <w:p>
      <w:pPr>
        <w:pStyle w:val="TextBody"/>
        <w:spacing w:lineRule="auto" w:line="240" w:before="0" w:after="0"/>
        <w:rPr>
          <w:rFonts w:ascii="Arial;sans-serif" w:hAnsi="Arial;sans-serif"/>
          <w:b w:val="false"/>
          <w:color w:val="000000"/>
          <w:sz w:val="24"/>
        </w:rPr>
      </w:pPr>
      <w:r>
        <w:rPr>
          <w:rFonts w:ascii="Arial;sans-serif" w:hAnsi="Arial;sans-serif"/>
          <w:b w:val="false"/>
          <w:color w:val="000000"/>
          <w:sz w:val="24"/>
        </w:rPr>
        <w:t>Dallas-Fort Worth Airport, Texas 75261-9616</w:t>
      </w:r>
    </w:p>
    <w:p>
      <w:pPr>
        <w:pStyle w:val="TextBody"/>
        <w:spacing w:before="0" w:after="0"/>
        <w:rPr/>
      </w:pPr>
      <w:r>
        <w:rPr/>
      </w:r>
    </w:p>
    <w:p>
      <w:pPr>
        <w:pStyle w:val="TextBody"/>
        <w:spacing w:lineRule="auto" w:line="240" w:before="0" w:after="0"/>
        <w:ind w:left="0" w:right="0" w:hanging="1440"/>
        <w:jc w:val="both"/>
        <w:rPr>
          <w:rFonts w:ascii="Arial;sans-serif" w:hAnsi="Arial;sans-serif"/>
          <w:b w:val="false"/>
          <w:color w:val="000000"/>
          <w:sz w:val="24"/>
        </w:rPr>
      </w:pPr>
      <w:r>
        <w:rPr>
          <w:rFonts w:ascii="Arial;sans-serif" w:hAnsi="Arial;sans-serif"/>
          <w:b w:val="false"/>
          <w:color w:val="000000"/>
          <w:sz w:val="24"/>
        </w:rPr>
        <w:t>Subject:    [****]</w:t>
      </w:r>
    </w:p>
    <w:p>
      <w:pPr>
        <w:pStyle w:val="TextBody"/>
        <w:spacing w:before="0" w:after="0"/>
        <w:rPr/>
      </w:pPr>
      <w:r>
        <w:rPr/>
      </w:r>
    </w:p>
    <w:p>
      <w:pPr>
        <w:pStyle w:val="TextBody"/>
        <w:spacing w:lineRule="auto" w:line="240" w:before="0" w:after="0"/>
        <w:ind w:left="0" w:right="0" w:hanging="1980"/>
        <w:jc w:val="both"/>
        <w:rPr/>
      </w:pPr>
      <w:r>
        <w:rPr>
          <w:rFonts w:ascii="Arial;sans-serif" w:hAnsi="Arial;sans-serif"/>
          <w:b w:val="false"/>
          <w:color w:val="000000"/>
          <w:sz w:val="24"/>
        </w:rPr>
        <w:t>References:    (a)    Purchase Agreement No. 3219 (</w:t>
      </w:r>
      <w:r>
        <w:rPr>
          <w:rFonts w:ascii="Arial;sans-serif" w:hAnsi="Arial;sans-serif"/>
          <w:b/>
          <w:color w:val="000000"/>
          <w:sz w:val="24"/>
        </w:rPr>
        <w:t>Purchase Agreement</w:t>
      </w:r>
      <w:r>
        <w:rPr>
          <w:rFonts w:ascii="Arial;sans-serif" w:hAnsi="Arial;sans-serif"/>
          <w:b w:val="false"/>
          <w:color w:val="000000"/>
          <w:sz w:val="24"/>
        </w:rPr>
        <w:t>) between The Boeing Company (</w:t>
      </w:r>
      <w:r>
        <w:rPr>
          <w:rFonts w:ascii="Arial;sans-serif" w:hAnsi="Arial;sans-serif"/>
          <w:b/>
          <w:color w:val="000000"/>
          <w:sz w:val="24"/>
        </w:rPr>
        <w:t>Boeing</w:t>
      </w:r>
      <w:r>
        <w:rPr>
          <w:rFonts w:ascii="Arial;sans-serif" w:hAnsi="Arial;sans-serif"/>
          <w:b w:val="false"/>
          <w:color w:val="000000"/>
          <w:sz w:val="24"/>
        </w:rPr>
        <w:t>) and American Airlines, Inc. (</w:t>
      </w:r>
      <w:r>
        <w:rPr>
          <w:rFonts w:ascii="Arial;sans-serif" w:hAnsi="Arial;sans-serif"/>
          <w:b/>
          <w:color w:val="000000"/>
          <w:sz w:val="24"/>
        </w:rPr>
        <w:t>Customer</w:t>
      </w:r>
      <w:r>
        <w:rPr>
          <w:rFonts w:ascii="Arial;sans-serif" w:hAnsi="Arial;sans-serif"/>
          <w:b w:val="false"/>
          <w:color w:val="000000"/>
          <w:sz w:val="24"/>
        </w:rPr>
        <w:t>) relating to Model 787 aircraft (collectively</w:t>
      </w:r>
      <w:r>
        <w:rPr>
          <w:rFonts w:ascii="Arial;sans-serif" w:hAnsi="Arial;sans-serif"/>
          <w:b/>
          <w:color w:val="000000"/>
          <w:sz w:val="24"/>
        </w:rPr>
        <w:t>,</w:t>
      </w:r>
      <w:r>
        <w:rPr>
          <w:color w:val="000000"/>
        </w:rPr>
        <w:t xml:space="preserve"> </w:t>
      </w:r>
      <w:r>
        <w:rPr>
          <w:rFonts w:ascii="Arial;sans-serif" w:hAnsi="Arial;sans-serif"/>
          <w:b w:val="false"/>
          <w:color w:val="000000"/>
          <w:sz w:val="24"/>
        </w:rPr>
        <w:t xml:space="preserve">the </w:t>
      </w:r>
      <w:r>
        <w:rPr>
          <w:rFonts w:ascii="Arial;sans-serif" w:hAnsi="Arial;sans-serif"/>
          <w:b/>
          <w:color w:val="000000"/>
          <w:sz w:val="24"/>
        </w:rPr>
        <w:t>Aircraft</w:t>
      </w:r>
      <w:r>
        <w:rPr>
          <w:rFonts w:ascii="Arial;sans-serif" w:hAnsi="Arial;sans-serif"/>
          <w:b w:val="false"/>
          <w:color w:val="000000"/>
          <w:sz w:val="24"/>
        </w:rPr>
        <w:t>); and</w:t>
      </w:r>
    </w:p>
    <w:p>
      <w:pPr>
        <w:pStyle w:val="TextBody"/>
        <w:spacing w:before="0" w:after="0"/>
        <w:rPr/>
      </w:pPr>
      <w:r>
        <w:rPr/>
      </w:r>
    </w:p>
    <w:p>
      <w:pPr>
        <w:pStyle w:val="TextBody"/>
        <w:spacing w:lineRule="auto" w:line="240" w:before="0" w:after="0"/>
        <w:ind w:left="0" w:right="0" w:hanging="540"/>
        <w:jc w:val="both"/>
        <w:rPr/>
      </w:pPr>
      <w:r>
        <w:rPr>
          <w:rFonts w:ascii="Arial;sans-serif" w:hAnsi="Arial;sans-serif"/>
          <w:b w:val="false"/>
          <w:color w:val="000000"/>
          <w:sz w:val="24"/>
        </w:rPr>
        <w:t>(b) Aircraft General Terms Agreement No. AGTA-AAL (</w:t>
      </w:r>
      <w:r>
        <w:rPr>
          <w:rFonts w:ascii="Arial;sans-serif" w:hAnsi="Arial;sans-serif"/>
          <w:b/>
          <w:color w:val="000000"/>
          <w:sz w:val="24"/>
        </w:rPr>
        <w:t>AGTA</w:t>
      </w:r>
      <w:r>
        <w:rPr>
          <w:rFonts w:ascii="Arial;sans-serif" w:hAnsi="Arial;sans-serif"/>
          <w:b w:val="false"/>
          <w:color w:val="000000"/>
          <w:sz w:val="24"/>
        </w:rPr>
        <w:t>) between Boeing and Customer dated as of October 31, 1997.</w:t>
      </w:r>
    </w:p>
    <w:p>
      <w:pPr>
        <w:pStyle w:val="TextBody"/>
        <w:spacing w:lineRule="auto" w:line="240" w:before="360" w:after="283"/>
        <w:jc w:val="both"/>
        <w:rPr/>
      </w:pPr>
      <w:r>
        <w:rPr>
          <w:rFonts w:ascii="Arial;sans-serif" w:hAnsi="Arial;sans-serif"/>
          <w:b w:val="false"/>
          <w:color w:val="000000"/>
          <w:sz w:val="24"/>
        </w:rPr>
        <w:t>This agreement (</w:t>
      </w:r>
      <w:r>
        <w:rPr>
          <w:rFonts w:ascii="Arial;sans-serif" w:hAnsi="Arial;sans-serif"/>
          <w:b/>
          <w:color w:val="000000"/>
          <w:sz w:val="24"/>
        </w:rPr>
        <w:t>Letter Agreement</w:t>
      </w:r>
      <w:r>
        <w:rPr>
          <w:rFonts w:ascii="Arial;sans-serif" w:hAnsi="Arial;sans-serif"/>
          <w:b w:val="false"/>
          <w:color w:val="000000"/>
          <w:sz w:val="24"/>
        </w:rPr>
        <w:t xml:space="preserve">) amends and supplements the Purchase Agreement. All terms used but not defined in this Letter Agreement have the same meaning as in the Purchase Agreement or the AGTA, as the context requires. </w:t>
      </w:r>
    </w:p>
    <w:p>
      <w:pPr>
        <w:pStyle w:val="TextBody"/>
        <w:spacing w:lineRule="auto" w:line="240" w:before="240" w:after="283"/>
        <w:jc w:val="both"/>
        <w:rPr>
          <w:rFonts w:ascii="Arial;sans-serif" w:hAnsi="Arial;sans-serif"/>
          <w:b w:val="false"/>
          <w:color w:val="000000"/>
          <w:sz w:val="24"/>
        </w:rPr>
      </w:pPr>
      <w:r>
        <w:rPr>
          <w:rFonts w:ascii="Arial;sans-serif" w:hAnsi="Arial;sans-serif"/>
          <w:b w:val="false"/>
          <w:color w:val="000000"/>
          <w:sz w:val="24"/>
        </w:rPr>
        <w:t xml:space="preserve">As of the date of this Letter Agreement, Customer has [****] ([****]) [****] 2018 787-8 [****] Aircraft under the Purchase Agreement. </w:t>
      </w:r>
    </w:p>
    <w:p>
      <w:pPr>
        <w:pStyle w:val="TextBody"/>
        <w:spacing w:lineRule="auto" w:line="240" w:before="240" w:after="283"/>
        <w:jc w:val="both"/>
        <w:rPr>
          <w:rFonts w:ascii="Arial;sans-serif" w:hAnsi="Arial;sans-serif"/>
          <w:b w:val="false"/>
          <w:color w:val="000000"/>
          <w:sz w:val="24"/>
        </w:rPr>
      </w:pPr>
      <w:r>
        <w:rPr>
          <w:rFonts w:ascii="Arial;sans-serif" w:hAnsi="Arial;sans-serif"/>
          <w:b w:val="false"/>
          <w:color w:val="000000"/>
          <w:sz w:val="24"/>
        </w:rPr>
        <w:t>Boeing and Customer agree as follows:</w:t>
      </w:r>
    </w:p>
    <w:p>
      <w:pPr>
        <w:pStyle w:val="TextBody"/>
        <w:spacing w:lineRule="auto" w:line="240" w:before="240" w:after="283"/>
        <w:ind w:left="0" w:right="0" w:hanging="720"/>
        <w:jc w:val="both"/>
        <w:rPr/>
      </w:pPr>
      <w:r>
        <w:rPr>
          <w:rFonts w:ascii="Arial;sans-serif" w:hAnsi="Arial;sans-serif"/>
          <w:b w:val="false"/>
          <w:color w:val="000000"/>
          <w:sz w:val="24"/>
        </w:rPr>
        <w:t>1.</w:t>
      </w:r>
      <w:r>
        <w:rPr>
          <w:rFonts w:ascii="Arial;sans-serif" w:hAnsi="Arial;sans-serif"/>
          <w:b w:val="false"/>
          <w:color w:val="000000"/>
          <w:sz w:val="24"/>
          <w:u w:val="single"/>
        </w:rPr>
        <w:t>787-8 [****] Aircraft</w:t>
      </w:r>
      <w:r>
        <w:rPr>
          <w:rFonts w:ascii="Arial;sans-serif" w:hAnsi="Arial;sans-serif"/>
          <w:b w:val="false"/>
          <w:color w:val="000000"/>
          <w:sz w:val="24"/>
        </w:rPr>
        <w:t xml:space="preserve">. </w:t>
      </w:r>
    </w:p>
    <w:p>
      <w:pPr>
        <w:pStyle w:val="TextBody"/>
        <w:spacing w:lineRule="auto" w:line="240" w:before="240" w:after="283"/>
        <w:ind w:left="0" w:right="0" w:firstLine="723"/>
        <w:jc w:val="both"/>
        <w:rPr/>
      </w:pPr>
      <w:r>
        <w:rPr>
          <w:rFonts w:ascii="Arial;sans-serif" w:hAnsi="Arial;sans-serif"/>
          <w:b w:val="false"/>
          <w:color w:val="000000"/>
          <w:sz w:val="24"/>
          <w:u w:val="single"/>
        </w:rPr>
        <w:t>1.1 [****] Undelivered 2018 787-8 [****] Aircraft</w:t>
      </w:r>
      <w:r>
        <w:rPr>
          <w:rFonts w:ascii="Arial;sans-serif" w:hAnsi="Arial;sans-serif"/>
          <w:b w:val="false"/>
          <w:color w:val="000000"/>
          <w:sz w:val="24"/>
        </w:rPr>
        <w:t xml:space="preserve">. </w:t>
      </w:r>
    </w:p>
    <w:p>
      <w:pPr>
        <w:pStyle w:val="TextBody"/>
        <w:spacing w:lineRule="auto" w:line="240" w:before="240" w:after="283"/>
        <w:ind w:left="0" w:right="0" w:firstLine="1443"/>
        <w:jc w:val="both"/>
        <w:rPr/>
      </w:pPr>
      <w:r>
        <w:rPr>
          <w:rFonts w:ascii="Arial;sans-serif" w:hAnsi="Arial;sans-serif"/>
          <w:b w:val="false"/>
          <w:color w:val="000000"/>
          <w:sz w:val="24"/>
        </w:rPr>
        <w:t>1.1.1    Boeing and Customer acknowledge (i) that the [****] of [****] ([****]) [****] 2018 787-8 [****] Aircraft ([****]</w:t>
      </w:r>
      <w:r>
        <w:rPr>
          <w:color w:val="000000"/>
        </w:rPr>
        <w:t xml:space="preserve"> </w:t>
      </w:r>
      <w:r>
        <w:rPr>
          <w:rFonts w:ascii="Arial;sans-serif" w:hAnsi="Arial;sans-serif"/>
          <w:b/>
          <w:color w:val="000000"/>
          <w:sz w:val="24"/>
        </w:rPr>
        <w:t xml:space="preserve">2018 787-8 </w:t>
      </w:r>
      <w:r>
        <w:rPr>
          <w:rFonts w:ascii="Arial;sans-serif" w:hAnsi="Arial;sans-serif"/>
          <w:b w:val="false"/>
          <w:color w:val="000000"/>
          <w:sz w:val="24"/>
        </w:rPr>
        <w:t>[****]</w:t>
      </w:r>
      <w:r>
        <w:rPr>
          <w:color w:val="000000"/>
        </w:rPr>
        <w:t xml:space="preserve"> </w:t>
      </w:r>
      <w:r>
        <w:rPr>
          <w:rFonts w:ascii="Arial;sans-serif" w:hAnsi="Arial;sans-serif"/>
          <w:b/>
          <w:color w:val="000000"/>
          <w:sz w:val="24"/>
        </w:rPr>
        <w:t>Aircraft</w:t>
      </w:r>
      <w:r>
        <w:rPr>
          <w:rFonts w:ascii="Arial;sans-serif" w:hAnsi="Arial;sans-serif"/>
          <w:b w:val="false"/>
          <w:color w:val="000000"/>
          <w:sz w:val="24"/>
        </w:rPr>
        <w:t>) [****] ([****]) and (ii) that the [****] for the [****] 787-8 [****] Aircraft [****] ([****]).</w:t>
      </w:r>
    </w:p>
    <w:p>
      <w:pPr>
        <w:pStyle w:val="TextBody"/>
        <w:spacing w:lineRule="auto" w:line="240" w:before="240" w:after="283"/>
        <w:ind w:left="0" w:right="0" w:firstLine="1443"/>
        <w:jc w:val="both"/>
        <w:rPr>
          <w:rFonts w:ascii="Arial;sans-serif" w:hAnsi="Arial;sans-serif"/>
          <w:b w:val="false"/>
          <w:color w:val="000000"/>
          <w:sz w:val="24"/>
        </w:rPr>
      </w:pPr>
      <w:r>
        <w:rPr>
          <w:rFonts w:ascii="Arial;sans-serif" w:hAnsi="Arial;sans-serif"/>
          <w:b w:val="false"/>
          <w:color w:val="000000"/>
          <w:sz w:val="24"/>
        </w:rPr>
        <w:t>1.1.2    Boeing and Customer agree that the [****] of the [****] 2018 787-8 [****] Aircraft is [****].</w:t>
      </w:r>
    </w:p>
    <w:p>
      <w:pPr>
        <w:pStyle w:val="TextBody"/>
        <w:spacing w:lineRule="auto" w:line="240" w:before="240" w:after="283"/>
        <w:ind w:left="0" w:right="0" w:hanging="450"/>
        <w:jc w:val="both"/>
        <w:rPr/>
      </w:pPr>
      <w:r>
        <w:rPr>
          <w:rFonts w:ascii="Arial;sans-serif" w:hAnsi="Arial;sans-serif"/>
          <w:b w:val="false"/>
          <w:color w:val="000000"/>
          <w:sz w:val="24"/>
        </w:rPr>
        <w:t>2.</w:t>
      </w:r>
      <w:r>
        <w:rPr>
          <w:rFonts w:ascii="Arial;sans-serif" w:hAnsi="Arial;sans-serif"/>
          <w:b/>
          <w:color w:val="000000"/>
          <w:sz w:val="24"/>
          <w:u w:val="single"/>
        </w:rPr>
        <w:t>Assignment.</w:t>
      </w:r>
    </w:p>
    <w:p>
      <w:pPr>
        <w:pStyle w:val="TextBody"/>
        <w:spacing w:lineRule="auto" w:line="240" w:before="240" w:after="283"/>
        <w:ind w:left="0" w:right="0" w:firstLine="720"/>
        <w:jc w:val="both"/>
        <w:rPr/>
      </w:pPr>
      <w:r>
        <w:rPr>
          <w:rFonts w:ascii="Arial;sans-serif" w:hAnsi="Arial;sans-serif"/>
          <w:b w:val="false"/>
          <w:color w:val="000000"/>
          <w:sz w:val="24"/>
        </w:rPr>
        <w:t>Notwithstanding any other provision of the Purchase Agreement except for the AGTA Assignment Provisions (as defined in Section 1 of Letter Agreement AAl-LA-1106678 entitled “</w:t>
      </w:r>
      <w:r>
        <w:rPr>
          <w:rFonts w:ascii="Arial;sans-serif" w:hAnsi="Arial;sans-serif"/>
          <w:b w:val="false"/>
          <w:color w:val="000000"/>
          <w:sz w:val="24"/>
          <w:u w:val="single"/>
        </w:rPr>
        <w:t>Assignment Matter</w:t>
      </w:r>
      <w:r>
        <w:rPr>
          <w:color w:val="000000"/>
        </w:rPr>
        <w:t>”</w:t>
      </w:r>
      <w:r>
        <w:rPr>
          <w:rFonts w:ascii="Arial;sans-serif" w:hAnsi="Arial;sans-serif"/>
          <w:b w:val="false"/>
          <w:color w:val="000000"/>
          <w:sz w:val="24"/>
        </w:rPr>
        <w:t xml:space="preserve">), the rights and obligations described in this Letter Agreement are provided to Customer in consideration of Customer’s becoming the operator of the Aircraft and cannot be assigned, in whole or in part, without the prior written consent of Boeing. </w:t>
      </w:r>
    </w:p>
    <w:p>
      <w:pPr>
        <w:pStyle w:val="TextBody"/>
        <w:spacing w:lineRule="auto" w:line="240" w:before="240" w:after="283"/>
        <w:ind w:left="0" w:right="0" w:hanging="720"/>
        <w:jc w:val="both"/>
        <w:rPr/>
      </w:pPr>
      <w:r>
        <w:rPr>
          <w:rFonts w:ascii="Arial;sans-serif" w:hAnsi="Arial;sans-serif"/>
          <w:b w:val="false"/>
          <w:color w:val="000000"/>
          <w:sz w:val="24"/>
        </w:rPr>
        <w:t>3.</w:t>
      </w:r>
      <w:r>
        <w:rPr>
          <w:rFonts w:ascii="Arial;sans-serif" w:hAnsi="Arial;sans-serif"/>
          <w:b/>
          <w:color w:val="000000"/>
          <w:sz w:val="24"/>
          <w:u w:val="single"/>
        </w:rPr>
        <w:t>Confidential Treatment.</w:t>
      </w:r>
    </w:p>
    <w:p>
      <w:pPr>
        <w:pStyle w:val="TextBody"/>
        <w:spacing w:lineRule="auto" w:line="240" w:before="240" w:after="283"/>
        <w:ind w:left="0" w:right="0" w:firstLine="720"/>
        <w:jc w:val="both"/>
        <w:rPr>
          <w:rFonts w:ascii="Arial;sans-serif" w:hAnsi="Arial;sans-serif"/>
          <w:b w:val="false"/>
          <w:color w:val="000000"/>
          <w:sz w:val="24"/>
        </w:rPr>
      </w:pPr>
      <w:r>
        <w:rPr>
          <w:rFonts w:ascii="Arial;sans-serif" w:hAnsi="Arial;sans-serif"/>
          <w:b w:val="false"/>
          <w:color w:val="000000"/>
          <w:sz w:val="24"/>
        </w:rPr>
        <w:t xml:space="preserve">Customer and Boeing understand that the information contained herein represents confidential business information and has value precisely because it is not available generally or to other parties. This Letter Agreement Letter shall be subject to </w:t>
      </w:r>
      <w:r>
        <w:br w:type="page"/>
      </w:r>
    </w:p>
    <w:p>
      <w:pPr>
        <w:pStyle w:val="TextBody"/>
        <w:spacing w:lineRule="auto" w:line="240" w:before="0" w:after="0"/>
        <w:rPr/>
      </w:pPr>
      <w:r>
        <w:rPr/>
        <w:drawing>
          <wp:inline distT="0" distB="63500" distL="0" distR="0">
            <wp:extent cx="1600200" cy="419100"/>
            <wp:effectExtent l="0" t="0" r="0" b="0"/>
            <wp:docPr id="10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7" descr=""/>
                    <pic:cNvPicPr>
                      <a:picLocks noChangeAspect="1" noChangeArrowheads="1"/>
                    </pic:cNvPicPr>
                  </pic:nvPicPr>
                  <pic:blipFill>
                    <a:blip r:embed="rId10"/>
                    <a:stretch>
                      <a:fillRect/>
                    </a:stretch>
                  </pic:blipFill>
                  <pic:spPr bwMode="auto">
                    <a:xfrm>
                      <a:off x="0" y="0"/>
                      <a:ext cx="1600200" cy="41910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858520"/>
                <wp:effectExtent l="0" t="0" r="0" b="0"/>
                <wp:wrapNone/>
                <wp:docPr id="107" name="Frame100"/>
                <a:graphic xmlns:a="http://schemas.openxmlformats.org/drawingml/2006/main">
                  <a:graphicData uri="http://schemas.microsoft.com/office/word/2010/wordprocessingShape">
                    <wps:wsp>
                      <wps:cNvSpPr txBox="1"/>
                      <wps:spPr>
                        <a:xfrm>
                          <a:off x="0" y="0"/>
                          <a:ext cx="6480175" cy="858520"/>
                        </a:xfrm>
                        <a:prstGeom prst="rect"/>
                      </wps:spPr>
                      <wps:txbx>
                        <w:txbxContent>
                          <w:p>
                            <w:pPr>
                              <w:pStyle w:val="TextBody"/>
                              <w:spacing w:lineRule="auto" w:line="240" w:before="240" w:after="283"/>
                              <w:rPr/>
                            </w:pPr>
                            <w:r>
                              <w:rPr>
                                <w:rFonts w:ascii="Arial;sans-serif" w:hAnsi="Arial;sans-serif"/>
                                <w:b w:val="false"/>
                                <w:color w:val="000000"/>
                                <w:sz w:val="24"/>
                              </w:rPr>
                              <w:t>P.A. No. 3219    </w:t>
                            </w:r>
                            <w:r>
                              <w:rPr>
                                <w:rFonts w:ascii="Arial;sans-serif" w:hAnsi="Arial;sans-serif"/>
                                <w:b/>
                                <w:color w:val="000000"/>
                                <w:sz w:val="24"/>
                              </w:rPr>
                              <w:t>SA-18</w:t>
                            </w:r>
                            <w:r>
                              <w:rPr>
                                <w:color w:val="000000"/>
                              </w:rPr>
                              <w:t xml:space="preserve">          </w:t>
                            </w:r>
                            <w:r>
                              <w:rPr>
                                <w:rFonts w:ascii="Arial;sans-serif" w:hAnsi="Arial;sans-serif"/>
                                <w:b w:val="false"/>
                                <w:color w:val="000000"/>
                                <w:sz w:val="24"/>
                              </w:rPr>
                              <w:t>L.A. AAL-PA-3219-LA-2300600</w:t>
                            </w:r>
                          </w:p>
                          <w:p>
                            <w:pPr>
                              <w:pStyle w:val="TextBody"/>
                              <w:spacing w:lineRule="auto" w:line="240" w:before="0" w:after="0"/>
                              <w:rPr>
                                <w:rFonts w:ascii="Arial;sans-serif" w:hAnsi="Arial;sans-serif"/>
                                <w:b w:val="false"/>
                                <w:color w:val="000000"/>
                                <w:sz w:val="24"/>
                              </w:rPr>
                            </w:pPr>
                            <w:r>
                              <w:rPr>
                                <w:rFonts w:ascii="Arial;sans-serif" w:hAnsi="Arial;sans-serif"/>
                                <w:b w:val="false"/>
                                <w:color w:val="000000"/>
                                <w:sz w:val="24"/>
                              </w:rPr>
                              <w:t>[****]                             Page 1</w:t>
                            </w:r>
                          </w:p>
                          <w:p>
                            <w:pPr>
                              <w:pStyle w:val="TextBody"/>
                              <w:spacing w:lineRule="auto" w:line="240" w:before="0" w:after="0"/>
                              <w:jc w:val="center"/>
                              <w:rPr>
                                <w:rFonts w:ascii="Arial;sans-serif" w:hAnsi="Arial;sans-serif"/>
                                <w:b/>
                                <w:color w:val="000000"/>
                                <w:sz w:val="24"/>
                              </w:rPr>
                            </w:pPr>
                            <w:r>
                              <w:rPr>
                                <w:rFonts w:ascii="Arial;sans-serif" w:hAnsi="Arial;sans-serif"/>
                                <w:b/>
                                <w:color w:val="000000"/>
                                <w:sz w:val="24"/>
                              </w:rPr>
                              <w:t>BOEING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rPr/>
                      </w:pPr>
                      <w:r>
                        <w:rPr>
                          <w:rFonts w:ascii="Arial;sans-serif" w:hAnsi="Arial;sans-serif"/>
                          <w:b w:val="false"/>
                          <w:color w:val="000000"/>
                          <w:sz w:val="24"/>
                        </w:rPr>
                        <w:t>P.A. No. 3219    </w:t>
                      </w:r>
                      <w:r>
                        <w:rPr>
                          <w:rFonts w:ascii="Arial;sans-serif" w:hAnsi="Arial;sans-serif"/>
                          <w:b/>
                          <w:color w:val="000000"/>
                          <w:sz w:val="24"/>
                        </w:rPr>
                        <w:t>SA-18</w:t>
                      </w:r>
                      <w:r>
                        <w:rPr>
                          <w:color w:val="000000"/>
                        </w:rPr>
                        <w:t xml:space="preserve">          </w:t>
                      </w:r>
                      <w:r>
                        <w:rPr>
                          <w:rFonts w:ascii="Arial;sans-serif" w:hAnsi="Arial;sans-serif"/>
                          <w:b w:val="false"/>
                          <w:color w:val="000000"/>
                          <w:sz w:val="24"/>
                        </w:rPr>
                        <w:t>L.A. AAL-PA-3219-LA-2300600</w:t>
                      </w:r>
                    </w:p>
                    <w:p>
                      <w:pPr>
                        <w:pStyle w:val="TextBody"/>
                        <w:spacing w:lineRule="auto" w:line="240" w:before="0" w:after="0"/>
                        <w:rPr>
                          <w:rFonts w:ascii="Arial;sans-serif" w:hAnsi="Arial;sans-serif"/>
                          <w:b w:val="false"/>
                          <w:color w:val="000000"/>
                          <w:sz w:val="24"/>
                        </w:rPr>
                      </w:pPr>
                      <w:r>
                        <w:rPr>
                          <w:rFonts w:ascii="Arial;sans-serif" w:hAnsi="Arial;sans-serif"/>
                          <w:b w:val="false"/>
                          <w:color w:val="000000"/>
                          <w:sz w:val="24"/>
                        </w:rPr>
                        <w:t>[****]                             Page 1</w:t>
                      </w:r>
                    </w:p>
                    <w:p>
                      <w:pPr>
                        <w:pStyle w:val="TextBody"/>
                        <w:spacing w:lineRule="auto" w:line="240" w:before="0" w:after="0"/>
                        <w:jc w:val="center"/>
                        <w:rPr>
                          <w:rFonts w:ascii="Arial;sans-serif" w:hAnsi="Arial;sans-serif"/>
                          <w:b/>
                          <w:color w:val="000000"/>
                          <w:sz w:val="24"/>
                        </w:rPr>
                      </w:pPr>
                      <w:r>
                        <w:rPr>
                          <w:rFonts w:ascii="Arial;sans-serif" w:hAnsi="Arial;sans-serif"/>
                          <w:b/>
                          <w:color w:val="000000"/>
                          <w:sz w:val="24"/>
                        </w:rPr>
                        <w:t>BOEING PROPRIETARY</w:t>
                      </w:r>
                    </w:p>
                  </w:txbxContent>
                </v:textbox>
              </v:rect>
            </w:pict>
          </mc:Fallback>
        </mc:AlternateContent>
      </w:r>
    </w:p>
    <w:p>
      <w:pPr>
        <w:pStyle w:val="TextBody"/>
        <w:spacing w:before="0" w:after="0"/>
        <w:rPr/>
      </w:pPr>
      <w:r>
        <w:rPr/>
      </w:r>
    </w:p>
    <w:p>
      <w:pPr>
        <w:pStyle w:val="TextBody"/>
        <w:spacing w:lineRule="auto" w:line="240" w:before="240" w:after="283"/>
        <w:jc w:val="both"/>
        <w:rPr>
          <w:rFonts w:ascii="Arial;sans-serif" w:hAnsi="Arial;sans-serif"/>
          <w:b w:val="false"/>
          <w:color w:val="000000"/>
          <w:sz w:val="24"/>
        </w:rPr>
      </w:pPr>
      <w:r>
        <w:rPr>
          <w:rFonts w:ascii="Arial;sans-serif" w:hAnsi="Arial;sans-serif"/>
          <w:b w:val="false"/>
          <w:color w:val="000000"/>
          <w:sz w:val="24"/>
        </w:rPr>
        <w:t xml:space="preserve">the terms and conditions of Letter Agreement 6-1162-TRW-0673R1 entitled “Confidentiality. </w:t>
      </w:r>
    </w:p>
    <w:p>
      <w:pPr>
        <w:pStyle w:val="TextBody"/>
        <w:spacing w:before="360" w:after="283"/>
        <w:ind w:left="0" w:right="0" w:firstLine="720"/>
        <w:jc w:val="center"/>
        <w:rPr/>
      </w:pPr>
      <w:r>
        <w:rPr/>
      </w:r>
    </w:p>
    <w:p>
      <w:pPr>
        <w:pStyle w:val="TextBody"/>
        <w:spacing w:before="360" w:after="283"/>
        <w:ind w:left="0" w:right="0" w:firstLine="720"/>
        <w:jc w:val="center"/>
        <w:rPr/>
      </w:pPr>
      <w:r>
        <w:rPr/>
      </w:r>
    </w:p>
    <w:p>
      <w:pPr>
        <w:pStyle w:val="TextBody"/>
        <w:spacing w:lineRule="auto" w:line="240" w:before="360" w:after="283"/>
        <w:ind w:left="0" w:right="0" w:firstLine="720"/>
        <w:jc w:val="center"/>
        <w:rPr>
          <w:rFonts w:ascii="Arial;sans-serif" w:hAnsi="Arial;sans-serif"/>
          <w:b/>
          <w:i/>
          <w:color w:val="000000"/>
          <w:sz w:val="24"/>
        </w:rPr>
      </w:pPr>
      <w:r>
        <w:rPr>
          <w:rFonts w:ascii="Arial;sans-serif" w:hAnsi="Arial;sans-serif"/>
          <w:b/>
          <w:i/>
          <w:color w:val="000000"/>
          <w:sz w:val="24"/>
        </w:rPr>
        <w:t>The rest of this page is left intentionally blank.</w:t>
      </w:r>
    </w:p>
    <w:p>
      <w:pPr>
        <w:pStyle w:val="TextBody"/>
        <w:rPr/>
      </w:pPr>
      <w:r>
        <w:rPr/>
      </w:r>
      <w:r>
        <w:br w:type="page"/>
      </w:r>
    </w:p>
    <w:p>
      <w:pPr>
        <w:pStyle w:val="TextBody"/>
        <w:spacing w:lineRule="auto" w:line="240" w:before="0" w:after="0"/>
        <w:rPr/>
      </w:pPr>
      <w:r>
        <w:rPr/>
        <w:drawing>
          <wp:inline distT="0" distB="63500" distL="0" distR="0">
            <wp:extent cx="1600200" cy="419100"/>
            <wp:effectExtent l="0" t="0" r="0" b="0"/>
            <wp:docPr id="10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8" descr=""/>
                    <pic:cNvPicPr>
                      <a:picLocks noChangeAspect="1" noChangeArrowheads="1"/>
                    </pic:cNvPicPr>
                  </pic:nvPicPr>
                  <pic:blipFill>
                    <a:blip r:embed="rId11"/>
                    <a:stretch>
                      <a:fillRect/>
                    </a:stretch>
                  </pic:blipFill>
                  <pic:spPr bwMode="auto">
                    <a:xfrm>
                      <a:off x="0" y="0"/>
                      <a:ext cx="1600200" cy="41910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858520"/>
                <wp:effectExtent l="0" t="0" r="0" b="0"/>
                <wp:wrapNone/>
                <wp:docPr id="109" name="Frame101"/>
                <a:graphic xmlns:a="http://schemas.openxmlformats.org/drawingml/2006/main">
                  <a:graphicData uri="http://schemas.microsoft.com/office/word/2010/wordprocessingShape">
                    <wps:wsp>
                      <wps:cNvSpPr txBox="1"/>
                      <wps:spPr>
                        <a:xfrm>
                          <a:off x="0" y="0"/>
                          <a:ext cx="6480175" cy="858520"/>
                        </a:xfrm>
                        <a:prstGeom prst="rect"/>
                      </wps:spPr>
                      <wps:txbx>
                        <w:txbxContent>
                          <w:p>
                            <w:pPr>
                              <w:pStyle w:val="TextBody"/>
                              <w:spacing w:lineRule="auto" w:line="240" w:before="240" w:after="283"/>
                              <w:rPr/>
                            </w:pPr>
                            <w:r>
                              <w:rPr>
                                <w:rFonts w:ascii="Arial;sans-serif" w:hAnsi="Arial;sans-serif"/>
                                <w:b w:val="false"/>
                                <w:color w:val="000000"/>
                                <w:sz w:val="24"/>
                              </w:rPr>
                              <w:t>P.A. No. 3219    </w:t>
                            </w:r>
                            <w:r>
                              <w:rPr>
                                <w:rFonts w:ascii="Arial;sans-serif" w:hAnsi="Arial;sans-serif"/>
                                <w:b/>
                                <w:color w:val="000000"/>
                                <w:sz w:val="24"/>
                              </w:rPr>
                              <w:t>SA-18</w:t>
                            </w:r>
                            <w:r>
                              <w:rPr>
                                <w:color w:val="000000"/>
                              </w:rPr>
                              <w:t xml:space="preserve">          </w:t>
                            </w:r>
                            <w:r>
                              <w:rPr>
                                <w:rFonts w:ascii="Arial;sans-serif" w:hAnsi="Arial;sans-serif"/>
                                <w:b w:val="false"/>
                                <w:color w:val="000000"/>
                                <w:sz w:val="24"/>
                              </w:rPr>
                              <w:t>L.A. AAL-PA-3219-LA-230600</w:t>
                            </w:r>
                          </w:p>
                          <w:p>
                            <w:pPr>
                              <w:pStyle w:val="TextBody"/>
                              <w:spacing w:lineRule="auto" w:line="240" w:before="0" w:after="0"/>
                              <w:rPr>
                                <w:rFonts w:ascii="Arial;sans-serif" w:hAnsi="Arial;sans-serif"/>
                                <w:b w:val="false"/>
                                <w:color w:val="000000"/>
                                <w:sz w:val="24"/>
                              </w:rPr>
                            </w:pPr>
                            <w:r>
                              <w:rPr>
                                <w:rFonts w:ascii="Arial;sans-serif" w:hAnsi="Arial;sans-serif"/>
                                <w:b w:val="false"/>
                                <w:color w:val="000000"/>
                                <w:sz w:val="24"/>
                              </w:rPr>
                              <w:t>[****]                             Page 2</w:t>
                            </w:r>
                          </w:p>
                          <w:p>
                            <w:pPr>
                              <w:pStyle w:val="TextBody"/>
                              <w:spacing w:lineRule="auto" w:line="240" w:before="0" w:after="0"/>
                              <w:jc w:val="center"/>
                              <w:rPr>
                                <w:rFonts w:ascii="Arial;sans-serif" w:hAnsi="Arial;sans-serif"/>
                                <w:b/>
                                <w:color w:val="000000"/>
                                <w:sz w:val="24"/>
                              </w:rPr>
                            </w:pPr>
                            <w:r>
                              <w:rPr>
                                <w:rFonts w:ascii="Arial;sans-serif" w:hAnsi="Arial;sans-serif"/>
                                <w:b/>
                                <w:color w:val="000000"/>
                                <w:sz w:val="24"/>
                              </w:rPr>
                              <w:t>BOEING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rPr/>
                      </w:pPr>
                      <w:r>
                        <w:rPr>
                          <w:rFonts w:ascii="Arial;sans-serif" w:hAnsi="Arial;sans-serif"/>
                          <w:b w:val="false"/>
                          <w:color w:val="000000"/>
                          <w:sz w:val="24"/>
                        </w:rPr>
                        <w:t>P.A. No. 3219    </w:t>
                      </w:r>
                      <w:r>
                        <w:rPr>
                          <w:rFonts w:ascii="Arial;sans-serif" w:hAnsi="Arial;sans-serif"/>
                          <w:b/>
                          <w:color w:val="000000"/>
                          <w:sz w:val="24"/>
                        </w:rPr>
                        <w:t>SA-18</w:t>
                      </w:r>
                      <w:r>
                        <w:rPr>
                          <w:color w:val="000000"/>
                        </w:rPr>
                        <w:t xml:space="preserve">          </w:t>
                      </w:r>
                      <w:r>
                        <w:rPr>
                          <w:rFonts w:ascii="Arial;sans-serif" w:hAnsi="Arial;sans-serif"/>
                          <w:b w:val="false"/>
                          <w:color w:val="000000"/>
                          <w:sz w:val="24"/>
                        </w:rPr>
                        <w:t>L.A. AAL-PA-3219-LA-230600</w:t>
                      </w:r>
                    </w:p>
                    <w:p>
                      <w:pPr>
                        <w:pStyle w:val="TextBody"/>
                        <w:spacing w:lineRule="auto" w:line="240" w:before="0" w:after="0"/>
                        <w:rPr>
                          <w:rFonts w:ascii="Arial;sans-serif" w:hAnsi="Arial;sans-serif"/>
                          <w:b w:val="false"/>
                          <w:color w:val="000000"/>
                          <w:sz w:val="24"/>
                        </w:rPr>
                      </w:pPr>
                      <w:r>
                        <w:rPr>
                          <w:rFonts w:ascii="Arial;sans-serif" w:hAnsi="Arial;sans-serif"/>
                          <w:b w:val="false"/>
                          <w:color w:val="000000"/>
                          <w:sz w:val="24"/>
                        </w:rPr>
                        <w:t>[****]                             Page 2</w:t>
                      </w:r>
                    </w:p>
                    <w:p>
                      <w:pPr>
                        <w:pStyle w:val="TextBody"/>
                        <w:spacing w:lineRule="auto" w:line="240" w:before="0" w:after="0"/>
                        <w:jc w:val="center"/>
                        <w:rPr>
                          <w:rFonts w:ascii="Arial;sans-serif" w:hAnsi="Arial;sans-serif"/>
                          <w:b/>
                          <w:color w:val="000000"/>
                          <w:sz w:val="24"/>
                        </w:rPr>
                      </w:pPr>
                      <w:r>
                        <w:rPr>
                          <w:rFonts w:ascii="Arial;sans-serif" w:hAnsi="Arial;sans-serif"/>
                          <w:b/>
                          <w:color w:val="000000"/>
                          <w:sz w:val="24"/>
                        </w:rPr>
                        <w:t>BOEING PROPRIETARY</w:t>
                      </w:r>
                    </w:p>
                  </w:txbxContent>
                </v:textbox>
              </v:rect>
            </w:pict>
          </mc:Fallback>
        </mc:AlternateContent>
      </w:r>
    </w:p>
    <w:p>
      <w:pPr>
        <w:pStyle w:val="TextBody"/>
        <w:spacing w:before="0" w:after="0"/>
        <w:rPr/>
      </w:pPr>
      <w:r>
        <w:rPr/>
      </w:r>
    </w:p>
    <w:p>
      <w:pPr>
        <w:pStyle w:val="TextBody"/>
        <w:spacing w:lineRule="auto" w:line="240" w:before="240" w:after="283"/>
        <w:jc w:val="both"/>
        <w:rPr>
          <w:color w:val="000000"/>
        </w:rPr>
      </w:pPr>
      <w:r>
        <w:rPr>
          <w:color w:val="000000"/>
        </w:rPr>
        <w:t>    </w:t>
      </w:r>
    </w:p>
    <w:p>
      <w:pPr>
        <w:pStyle w:val="TextBody"/>
        <w:spacing w:before="0" w:after="0"/>
        <w:jc w:val="both"/>
        <w:rPr/>
      </w:pPr>
      <w:r>
        <w:rPr/>
      </w:r>
    </w:p>
    <w:tbl>
      <w:tblPr>
        <w:tblW w:w="9436" w:type="dxa"/>
        <w:jc w:val="left"/>
        <w:tblInd w:w="0" w:type="dxa"/>
        <w:tblCellMar>
          <w:top w:w="28" w:type="dxa"/>
          <w:left w:w="28" w:type="dxa"/>
          <w:bottom w:w="28" w:type="dxa"/>
          <w:right w:w="28" w:type="dxa"/>
        </w:tblCellMar>
      </w:tblPr>
      <w:tblGrid>
        <w:gridCol w:w="543"/>
        <w:gridCol w:w="476"/>
        <w:gridCol w:w="476"/>
        <w:gridCol w:w="935"/>
        <w:gridCol w:w="935"/>
        <w:gridCol w:w="935"/>
        <w:gridCol w:w="258"/>
        <w:gridCol w:w="258"/>
        <w:gridCol w:w="258"/>
        <w:gridCol w:w="509"/>
        <w:gridCol w:w="509"/>
        <w:gridCol w:w="509"/>
        <w:gridCol w:w="830"/>
        <w:gridCol w:w="830"/>
        <w:gridCol w:w="1175"/>
      </w:tblGrid>
      <w:tr>
        <w:trPr/>
        <w:tc>
          <w:tcPr>
            <w:tcW w:w="543"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r>
      <w:tr>
        <w:trPr/>
        <w:tc>
          <w:tcPr>
            <w:tcW w:w="9436" w:type="dxa"/>
            <w:gridSpan w:val="15"/>
            <w:tcBorders/>
            <w:shd w:fill="auto" w:val="clear"/>
            <w:tcMar>
              <w:top w:w="0" w:type="dxa"/>
              <w:left w:w="0" w:type="dxa"/>
              <w:bottom w:w="0" w:type="dxa"/>
              <w:right w:w="0" w:type="dxa"/>
            </w:tcMar>
            <w:vAlign w:val="center"/>
          </w:tcPr>
          <w:p>
            <w:pPr>
              <w:pStyle w:val="TableContents"/>
              <w:spacing w:lineRule="auto" w:line="319" w:before="0" w:after="0"/>
              <w:jc w:val="left"/>
              <w:rPr/>
            </w:pPr>
            <w:r>
              <w:rPr>
                <w:rFonts w:ascii="Arial;sans-serif" w:hAnsi="Arial;sans-serif"/>
                <w:b w:val="false"/>
                <w:color w:val="000000"/>
                <w:sz w:val="24"/>
              </w:rPr>
              <w:t xml:space="preserve">EXECUTED as of </w:t>
            </w:r>
            <w:r>
              <w:rPr>
                <w:rFonts w:ascii="Arial;sans-serif" w:hAnsi="Arial;sans-serif"/>
                <w:b w:val="false"/>
                <w:color w:val="000000"/>
                <w:sz w:val="24"/>
                <w:u w:val="single"/>
              </w:rPr>
              <w:t>February 9 , 2023</w:t>
            </w:r>
          </w:p>
        </w:tc>
      </w:tr>
      <w:tr>
        <w:trPr/>
        <w:tc>
          <w:tcPr>
            <w:tcW w:w="1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0" w:type="dxa"/>
            <w:gridSpan w:val="6"/>
            <w:tcBorders/>
            <w:shd w:fill="auto" w:val="clear"/>
            <w:tcMar>
              <w:top w:w="0" w:type="dxa"/>
              <w:left w:w="0" w:type="dxa"/>
              <w:bottom w:w="0" w:type="dxa"/>
              <w:right w:w="0" w:type="dxa"/>
            </w:tcMar>
            <w:vAlign w:val="center"/>
          </w:tcPr>
          <w:p>
            <w:pPr>
              <w:pStyle w:val="TableContents"/>
              <w:spacing w:lineRule="auto" w:line="319" w:before="0" w:after="283"/>
              <w:jc w:val="left"/>
              <w:rPr>
                <w:rFonts w:ascii="Arial;sans-serif" w:hAnsi="Arial;sans-serif"/>
                <w:b/>
                <w:color w:val="000000"/>
                <w:sz w:val="24"/>
              </w:rPr>
            </w:pPr>
            <w:r>
              <w:rPr>
                <w:rFonts w:ascii="Arial;sans-serif" w:hAnsi="Arial;sans-serif"/>
                <w:b/>
                <w:color w:val="000000"/>
                <w:sz w:val="24"/>
              </w:rPr>
              <w:t>THE BOEING COMPANY</w:t>
            </w:r>
          </w:p>
        </w:tc>
        <w:tc>
          <w:tcPr>
            <w:tcW w:w="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2" w:type="dxa"/>
            <w:gridSpan w:val="6"/>
            <w:tcBorders/>
            <w:shd w:fill="auto" w:val="clear"/>
            <w:tcMar>
              <w:top w:w="0" w:type="dxa"/>
              <w:left w:w="0" w:type="dxa"/>
              <w:bottom w:w="0" w:type="dxa"/>
              <w:right w:w="0" w:type="dxa"/>
            </w:tcMar>
            <w:vAlign w:val="center"/>
          </w:tcPr>
          <w:p>
            <w:pPr>
              <w:pStyle w:val="TableContents"/>
              <w:spacing w:lineRule="auto" w:line="319" w:before="0" w:after="283"/>
              <w:jc w:val="left"/>
              <w:rPr>
                <w:rFonts w:ascii="Arial;sans-serif" w:hAnsi="Arial;sans-serif"/>
                <w:b/>
                <w:color w:val="000000"/>
                <w:sz w:val="24"/>
              </w:rPr>
            </w:pPr>
            <w:r>
              <w:rPr>
                <w:rFonts w:ascii="Arial;sans-serif" w:hAnsi="Arial;sans-serif"/>
                <w:b/>
                <w:color w:val="000000"/>
                <w:sz w:val="24"/>
              </w:rPr>
              <w:t>AMERICAN AIRLINES, INC.</w:t>
            </w:r>
          </w:p>
        </w:tc>
      </w:tr>
      <w:tr>
        <w:trPr/>
        <w:tc>
          <w:tcPr>
            <w:tcW w:w="1495"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       </w:t>
            </w:r>
          </w:p>
        </w:tc>
        <w:tc>
          <w:tcPr>
            <w:tcW w:w="28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5"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Arial;sans-serif" w:hAnsi="Arial;sans-serif"/>
                <w:b w:val="false"/>
                <w:color w:val="000000"/>
                <w:sz w:val="24"/>
              </w:rPr>
            </w:pPr>
            <w:r>
              <w:rPr>
                <w:rFonts w:ascii="Arial;sans-serif" w:hAnsi="Arial;sans-serif"/>
                <w:b w:val="false"/>
                <w:color w:val="000000"/>
                <w:sz w:val="24"/>
              </w:rPr>
              <w:t>By:</w:t>
            </w:r>
          </w:p>
        </w:tc>
        <w:tc>
          <w:tcPr>
            <w:tcW w:w="2805"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 </w:t>
            </w:r>
            <w:r>
              <w:rPr>
                <w:rFonts w:ascii="Arial;sans-serif" w:hAnsi="Arial;sans-serif"/>
                <w:b w:val="false"/>
                <w:color w:val="000000"/>
                <w:sz w:val="24"/>
              </w:rPr>
              <w:t>/s/ The Boeing Company</w:t>
            </w:r>
          </w:p>
        </w:tc>
        <w:tc>
          <w:tcPr>
            <w:tcW w:w="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Arial;sans-serif" w:hAnsi="Arial;sans-serif"/>
                <w:b w:val="false"/>
                <w:color w:val="000000"/>
                <w:sz w:val="24"/>
              </w:rPr>
            </w:pPr>
            <w:r>
              <w:rPr>
                <w:rFonts w:ascii="Arial;sans-serif" w:hAnsi="Arial;sans-serif"/>
                <w:b w:val="false"/>
                <w:color w:val="000000"/>
                <w:sz w:val="24"/>
              </w:rPr>
              <w:t>By:</w:t>
            </w:r>
          </w:p>
        </w:tc>
        <w:tc>
          <w:tcPr>
            <w:tcW w:w="2835"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Arial;sans-serif" w:hAnsi="Arial;sans-serif"/>
                <w:b w:val="false"/>
                <w:color w:val="000000"/>
                <w:sz w:val="24"/>
              </w:rPr>
            </w:pPr>
            <w:r>
              <w:rPr>
                <w:rFonts w:ascii="Arial;sans-serif" w:hAnsi="Arial;sans-serif"/>
                <w:b w:val="false"/>
                <w:color w:val="000000"/>
                <w:sz w:val="24"/>
              </w:rPr>
              <w:t>/s/ American Airlines, Inc.</w:t>
            </w:r>
          </w:p>
        </w:tc>
      </w:tr>
      <w:tr>
        <w:trPr/>
        <w:tc>
          <w:tcPr>
            <w:tcW w:w="1495"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            </w:t>
            </w:r>
          </w:p>
        </w:tc>
        <w:tc>
          <w:tcPr>
            <w:tcW w:w="28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95"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Arial;sans-serif" w:hAnsi="Arial;sans-serif"/>
                <w:b w:val="false"/>
                <w:color w:val="000000"/>
                <w:sz w:val="24"/>
              </w:rPr>
            </w:pPr>
            <w:r>
              <w:rPr>
                <w:rFonts w:ascii="Arial;sans-serif" w:hAnsi="Arial;sans-serif"/>
                <w:b w:val="false"/>
                <w:color w:val="000000"/>
                <w:sz w:val="24"/>
              </w:rPr>
              <w:t xml:space="preserve">Name: </w:t>
            </w:r>
          </w:p>
        </w:tc>
        <w:tc>
          <w:tcPr>
            <w:tcW w:w="2805"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Arial;sans-serif" w:hAnsi="Arial;sans-serif"/>
                <w:b w:val="false"/>
                <w:color w:val="000000"/>
                <w:sz w:val="24"/>
              </w:rPr>
            </w:pPr>
            <w:r>
              <w:rPr>
                <w:rFonts w:ascii="Arial;sans-serif" w:hAnsi="Arial;sans-serif"/>
                <w:b w:val="false"/>
                <w:color w:val="000000"/>
                <w:sz w:val="24"/>
              </w:rPr>
              <w:t>The Boeing Company</w:t>
            </w:r>
          </w:p>
        </w:tc>
        <w:tc>
          <w:tcPr>
            <w:tcW w:w="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Arial;sans-serif" w:hAnsi="Arial;sans-serif"/>
                <w:b w:val="false"/>
                <w:color w:val="000000"/>
                <w:sz w:val="24"/>
              </w:rPr>
            </w:pPr>
            <w:r>
              <w:rPr>
                <w:rFonts w:ascii="Arial;sans-serif" w:hAnsi="Arial;sans-serif"/>
                <w:b w:val="false"/>
                <w:color w:val="000000"/>
                <w:sz w:val="24"/>
              </w:rPr>
              <w:t>Name:</w:t>
            </w:r>
          </w:p>
        </w:tc>
        <w:tc>
          <w:tcPr>
            <w:tcW w:w="2835"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 </w:t>
            </w:r>
            <w:r>
              <w:rPr>
                <w:rFonts w:ascii="Arial;sans-serif" w:hAnsi="Arial;sans-serif"/>
                <w:b w:val="false"/>
                <w:color w:val="000000"/>
                <w:sz w:val="24"/>
              </w:rPr>
              <w:t>American Airlines, Inc</w:t>
            </w:r>
          </w:p>
        </w:tc>
      </w:tr>
      <w:tr>
        <w:trPr/>
        <w:tc>
          <w:tcPr>
            <w:tcW w:w="1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95"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Arial;sans-serif" w:hAnsi="Arial;sans-serif"/>
                <w:b w:val="false"/>
                <w:color w:val="000000"/>
                <w:sz w:val="24"/>
              </w:rPr>
            </w:pPr>
            <w:r>
              <w:rPr>
                <w:rFonts w:ascii="Arial;sans-serif" w:hAnsi="Arial;sans-serif"/>
                <w:b w:val="false"/>
                <w:color w:val="000000"/>
                <w:sz w:val="24"/>
              </w:rPr>
              <w:t xml:space="preserve">Title: </w:t>
            </w:r>
          </w:p>
        </w:tc>
        <w:tc>
          <w:tcPr>
            <w:tcW w:w="280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319" w:before="0" w:after="283"/>
              <w:jc w:val="left"/>
              <w:rPr>
                <w:rFonts w:ascii="Arial;sans-serif" w:hAnsi="Arial;sans-serif"/>
                <w:b w:val="false"/>
                <w:color w:val="000000"/>
                <w:sz w:val="24"/>
              </w:rPr>
            </w:pPr>
            <w:r>
              <w:rPr>
                <w:rFonts w:ascii="Arial;sans-serif" w:hAnsi="Arial;sans-serif"/>
                <w:b w:val="false"/>
                <w:color w:val="000000"/>
                <w:sz w:val="24"/>
              </w:rPr>
              <w:t>Attorney-In-Fact</w:t>
            </w:r>
          </w:p>
        </w:tc>
        <w:tc>
          <w:tcPr>
            <w:tcW w:w="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Arial;sans-serif" w:hAnsi="Arial;sans-serif"/>
                <w:b w:val="false"/>
                <w:color w:val="000000"/>
                <w:sz w:val="24"/>
              </w:rPr>
            </w:pPr>
            <w:r>
              <w:rPr>
                <w:rFonts w:ascii="Arial;sans-serif" w:hAnsi="Arial;sans-serif"/>
                <w:b w:val="false"/>
                <w:color w:val="000000"/>
                <w:sz w:val="24"/>
              </w:rPr>
              <w:t>Title:</w:t>
            </w:r>
          </w:p>
        </w:tc>
        <w:tc>
          <w:tcPr>
            <w:tcW w:w="283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319" w:before="0" w:after="283"/>
              <w:jc w:val="left"/>
              <w:rPr>
                <w:rFonts w:ascii="Arial;sans-serif" w:hAnsi="Arial;sans-serif"/>
                <w:b w:val="false"/>
                <w:color w:val="000000"/>
                <w:sz w:val="24"/>
              </w:rPr>
            </w:pPr>
            <w:r>
              <w:rPr>
                <w:rFonts w:ascii="Arial;sans-serif" w:hAnsi="Arial;sans-serif"/>
                <w:b w:val="false"/>
                <w:color w:val="000000"/>
                <w:sz w:val="24"/>
              </w:rPr>
              <w:t>VP, Treasurer</w:t>
            </w:r>
          </w:p>
        </w:tc>
      </w:tr>
    </w:tbl>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w:t>
      </w:r>
      <w:r>
        <w:rPr>
          <w:rFonts w:ascii="Times New Roman;sans-serif" w:hAnsi="Times New Roman;sans-serif"/>
          <w:b/>
          <w:color w:val="000000"/>
          <w:sz w:val="24"/>
        </w:rPr>
        <w:t xml:space="preserve">ttachment A </w:t>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858520"/>
                <wp:effectExtent l="0" t="0" r="0" b="0"/>
                <wp:wrapNone/>
                <wp:docPr id="110" name="Frame102"/>
                <a:graphic xmlns:a="http://schemas.openxmlformats.org/drawingml/2006/main">
                  <a:graphicData uri="http://schemas.microsoft.com/office/word/2010/wordprocessingShape">
                    <wps:wsp>
                      <wps:cNvSpPr txBox="1"/>
                      <wps:spPr>
                        <a:xfrm>
                          <a:off x="0" y="0"/>
                          <a:ext cx="6480175" cy="858520"/>
                        </a:xfrm>
                        <a:prstGeom prst="rect"/>
                      </wps:spPr>
                      <wps:txbx>
                        <w:txbxContent>
                          <w:p>
                            <w:pPr>
                              <w:pStyle w:val="TextBody"/>
                              <w:spacing w:lineRule="auto" w:line="240" w:before="240" w:after="283"/>
                              <w:rPr/>
                            </w:pPr>
                            <w:r>
                              <w:rPr>
                                <w:rFonts w:ascii="Arial;sans-serif" w:hAnsi="Arial;sans-serif"/>
                                <w:b w:val="false"/>
                                <w:color w:val="000000"/>
                                <w:sz w:val="24"/>
                              </w:rPr>
                              <w:t>P.A. No. 3219    </w:t>
                            </w:r>
                            <w:r>
                              <w:rPr>
                                <w:rFonts w:ascii="Arial;sans-serif" w:hAnsi="Arial;sans-serif"/>
                                <w:b/>
                                <w:color w:val="000000"/>
                                <w:sz w:val="24"/>
                              </w:rPr>
                              <w:t>SA-18</w:t>
                            </w:r>
                            <w:r>
                              <w:rPr>
                                <w:color w:val="000000"/>
                              </w:rPr>
                              <w:t xml:space="preserve">          </w:t>
                            </w:r>
                            <w:r>
                              <w:rPr>
                                <w:rFonts w:ascii="Arial;sans-serif" w:hAnsi="Arial;sans-serif"/>
                                <w:b w:val="false"/>
                                <w:color w:val="000000"/>
                                <w:sz w:val="24"/>
                              </w:rPr>
                              <w:t>L.A. AAL-PA-3219-LA-230600</w:t>
                            </w:r>
                          </w:p>
                          <w:p>
                            <w:pPr>
                              <w:pStyle w:val="TextBody"/>
                              <w:spacing w:lineRule="auto" w:line="240" w:before="0" w:after="0"/>
                              <w:rPr>
                                <w:rFonts w:ascii="Arial;sans-serif" w:hAnsi="Arial;sans-serif"/>
                                <w:b w:val="false"/>
                                <w:color w:val="000000"/>
                                <w:sz w:val="24"/>
                              </w:rPr>
                            </w:pPr>
                            <w:r>
                              <w:rPr>
                                <w:rFonts w:ascii="Arial;sans-serif" w:hAnsi="Arial;sans-serif"/>
                                <w:b w:val="false"/>
                                <w:color w:val="000000"/>
                                <w:sz w:val="24"/>
                              </w:rPr>
                              <w:t>[****]                             Page 3</w:t>
                            </w:r>
                          </w:p>
                          <w:p>
                            <w:pPr>
                              <w:pStyle w:val="TextBody"/>
                              <w:spacing w:lineRule="auto" w:line="240" w:before="0" w:after="0"/>
                              <w:jc w:val="center"/>
                              <w:rPr>
                                <w:rFonts w:ascii="Arial;sans-serif" w:hAnsi="Arial;sans-serif"/>
                                <w:b/>
                                <w:color w:val="000000"/>
                                <w:sz w:val="24"/>
                              </w:rPr>
                            </w:pPr>
                            <w:r>
                              <w:rPr>
                                <w:rFonts w:ascii="Arial;sans-serif" w:hAnsi="Arial;sans-serif"/>
                                <w:b/>
                                <w:color w:val="000000"/>
                                <w:sz w:val="24"/>
                              </w:rPr>
                              <w:t>BOEING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6pt;mso-wrap-distance-left:0pt;mso-wrap-distance-right:0pt;mso-wrap-distance-top:0pt;mso-wrap-distance-bottom:0pt;margin-top:0pt;mso-position-vertical:top;mso-position-vertical-relative:text;margin-left:-189.15pt;mso-position-horizontal:left;mso-position-horizontal-relative:text">
                <v:textbox>
                  <w:txbxContent>
                    <w:p>
                      <w:pPr>
                        <w:pStyle w:val="TextBody"/>
                        <w:spacing w:lineRule="auto" w:line="240" w:before="240" w:after="283"/>
                        <w:rPr/>
                      </w:pPr>
                      <w:r>
                        <w:rPr>
                          <w:rFonts w:ascii="Arial;sans-serif" w:hAnsi="Arial;sans-serif"/>
                          <w:b w:val="false"/>
                          <w:color w:val="000000"/>
                          <w:sz w:val="24"/>
                        </w:rPr>
                        <w:t>P.A. No. 3219    </w:t>
                      </w:r>
                      <w:r>
                        <w:rPr>
                          <w:rFonts w:ascii="Arial;sans-serif" w:hAnsi="Arial;sans-serif"/>
                          <w:b/>
                          <w:color w:val="000000"/>
                          <w:sz w:val="24"/>
                        </w:rPr>
                        <w:t>SA-18</w:t>
                      </w:r>
                      <w:r>
                        <w:rPr>
                          <w:color w:val="000000"/>
                        </w:rPr>
                        <w:t xml:space="preserve">          </w:t>
                      </w:r>
                      <w:r>
                        <w:rPr>
                          <w:rFonts w:ascii="Arial;sans-serif" w:hAnsi="Arial;sans-serif"/>
                          <w:b w:val="false"/>
                          <w:color w:val="000000"/>
                          <w:sz w:val="24"/>
                        </w:rPr>
                        <w:t>L.A. AAL-PA-3219-LA-230600</w:t>
                      </w:r>
                    </w:p>
                    <w:p>
                      <w:pPr>
                        <w:pStyle w:val="TextBody"/>
                        <w:spacing w:lineRule="auto" w:line="240" w:before="0" w:after="0"/>
                        <w:rPr>
                          <w:rFonts w:ascii="Arial;sans-serif" w:hAnsi="Arial;sans-serif"/>
                          <w:b w:val="false"/>
                          <w:color w:val="000000"/>
                          <w:sz w:val="24"/>
                        </w:rPr>
                      </w:pPr>
                      <w:r>
                        <w:rPr>
                          <w:rFonts w:ascii="Arial;sans-serif" w:hAnsi="Arial;sans-serif"/>
                          <w:b w:val="false"/>
                          <w:color w:val="000000"/>
                          <w:sz w:val="24"/>
                        </w:rPr>
                        <w:t>[****]                             Page 3</w:t>
                      </w:r>
                    </w:p>
                    <w:p>
                      <w:pPr>
                        <w:pStyle w:val="TextBody"/>
                        <w:spacing w:lineRule="auto" w:line="240" w:before="0" w:after="0"/>
                        <w:jc w:val="center"/>
                        <w:rPr>
                          <w:rFonts w:ascii="Arial;sans-serif" w:hAnsi="Arial;sans-serif"/>
                          <w:b/>
                          <w:color w:val="000000"/>
                          <w:sz w:val="24"/>
                        </w:rPr>
                      </w:pPr>
                      <w:r>
                        <w:rPr>
                          <w:rFonts w:ascii="Arial;sans-serif" w:hAnsi="Arial;sans-serif"/>
                          <w:b/>
                          <w:color w:val="000000"/>
                          <w:sz w:val="24"/>
                        </w:rPr>
                        <w:t>BOEING PROPRIETARY</w:t>
                      </w:r>
                    </w:p>
                  </w:txbxContent>
                </v:textbox>
              </v:rect>
            </w:pict>
          </mc:Fallback>
        </mc:AlternateConten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to </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AAL-PA-3219-LA-2300600</w:t>
      </w:r>
    </w:p>
    <w:p>
      <w:pPr>
        <w:pStyle w:val="TextBody"/>
        <w:spacing w:before="0" w:after="0"/>
        <w:rPr/>
      </w:pPr>
      <w:r>
        <w:rPr/>
      </w:r>
    </w:p>
    <w:p>
      <w:pPr>
        <w:pStyle w:val="TextBody"/>
        <w:spacing w:before="0" w:after="0"/>
        <w:rPr/>
      </w:pPr>
      <w:r>
        <w:rPr/>
      </w:r>
    </w:p>
    <w:p>
      <w:pPr>
        <w:pStyle w:val="TextBody"/>
        <w:spacing w:before="0" w:after="0"/>
        <w:jc w:val="center"/>
        <w:rPr/>
      </w:pPr>
      <w:r>
        <w:rPr/>
      </w:r>
    </w:p>
    <w:p>
      <w:pPr>
        <w:pStyle w:val="TextBody"/>
        <w:spacing w:before="0" w:after="0"/>
        <w:rPr/>
      </w:pPr>
      <w:r>
        <w:rPr/>
      </w:r>
    </w:p>
    <w:tbl>
      <w:tblPr>
        <w:tblW w:w="5627" w:type="dxa"/>
        <w:jc w:val="left"/>
        <w:tblInd w:w="0" w:type="dxa"/>
        <w:tblCellMar>
          <w:top w:w="28" w:type="dxa"/>
          <w:left w:w="28" w:type="dxa"/>
          <w:bottom w:w="28" w:type="dxa"/>
          <w:right w:w="28" w:type="dxa"/>
        </w:tblCellMar>
      </w:tblPr>
      <w:tblGrid>
        <w:gridCol w:w="1204"/>
        <w:gridCol w:w="1063"/>
        <w:gridCol w:w="1063"/>
        <w:gridCol w:w="358"/>
        <w:gridCol w:w="358"/>
        <w:gridCol w:w="358"/>
        <w:gridCol w:w="358"/>
        <w:gridCol w:w="358"/>
        <w:gridCol w:w="507"/>
      </w:tblGrid>
      <w:tr>
        <w:trPr/>
        <w:tc>
          <w:tcPr>
            <w:tcW w:w="1204"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r>
      <w:tr>
        <w:trPr/>
        <w:tc>
          <w:tcPr>
            <w:tcW w:w="5627" w:type="dxa"/>
            <w:gridSpan w:val="9"/>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 2018 787-8 [****] Aircraft</w:t>
            </w:r>
          </w:p>
        </w:tc>
      </w:tr>
      <w:tr>
        <w:trPr/>
        <w:tc>
          <w:tcPr>
            <w:tcW w:w="333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 Scheduled Delivery Month</w:t>
            </w:r>
          </w:p>
        </w:tc>
        <w:tc>
          <w:tcPr>
            <w:tcW w:w="107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23"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333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[****]-2021</w:t>
            </w:r>
          </w:p>
        </w:tc>
        <w:tc>
          <w:tcPr>
            <w:tcW w:w="107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23"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333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[****]-2021</w:t>
            </w:r>
          </w:p>
        </w:tc>
        <w:tc>
          <w:tcPr>
            <w:tcW w:w="107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23"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333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[****]-2021</w:t>
            </w:r>
          </w:p>
        </w:tc>
        <w:tc>
          <w:tcPr>
            <w:tcW w:w="107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23"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3330"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[****]-2021</w:t>
            </w:r>
          </w:p>
        </w:tc>
        <w:tc>
          <w:tcPr>
            <w:tcW w:w="1074"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23"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r>
    </w:tbl>
    <w:p>
      <w:pPr>
        <w:pStyle w:val="TextBody"/>
        <w:spacing w:before="0" w:after="0"/>
        <w:rPr/>
      </w:pPr>
      <w:r>
        <w:rPr/>
      </w:r>
    </w:p>
    <w:p>
      <w:pPr>
        <w:pStyle w:val="TextBody"/>
        <w:spacing w:before="0" w:after="0"/>
        <w:jc w:val="both"/>
        <w:rPr/>
      </w:pPr>
      <w:r>
        <w:rPr/>
      </w:r>
    </w:p>
    <w:p>
      <w:pPr>
        <w:pStyle w:val="TextBody"/>
        <w:spacing w:before="120" w:after="283"/>
        <w:rPr/>
      </w:pPr>
      <w:r>
        <w:rPr/>
      </w:r>
    </w:p>
    <w:p>
      <w:pPr>
        <w:pStyle w:val="TextBody"/>
        <w:spacing w:before="0" w:after="0"/>
        <w:rPr/>
      </w:pPr>
      <w:r>
        <w:rPr/>
      </w:r>
    </w:p>
    <w:p>
      <w:pPr>
        <w:pStyle w:val="TextBody"/>
        <w:jc w:val="center"/>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50520"/>
                <wp:effectExtent l="0" t="0" r="0" b="0"/>
                <wp:wrapNone/>
                <wp:docPr id="111" name="Frame10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Arial;sans-serif" w:hAnsi="Arial;sans-serif"/>
                                <w:b w:val="false"/>
                                <w:color w:val="000000"/>
                                <w:sz w:val="24"/>
                              </w:rPr>
                            </w:pPr>
                            <w:r>
                              <w:rPr>
                                <w:rFonts w:ascii="Arial;sans-serif" w:hAnsi="Arial;sans-serif"/>
                                <w:b w:val="false"/>
                                <w:color w:val="000000"/>
                                <w:sz w:val="24"/>
                              </w:rPr>
                              <w:t>SA-18</w:t>
                            </w:r>
                          </w:p>
                          <w:p>
                            <w:pPr>
                              <w:pStyle w:val="TextBody"/>
                              <w:spacing w:lineRule="auto" w:line="240" w:before="0" w:after="0"/>
                              <w:jc w:val="center"/>
                              <w:rPr>
                                <w:rFonts w:ascii="Arial;sans-serif" w:hAnsi="Arial;sans-serif"/>
                                <w:b/>
                                <w:color w:val="000000"/>
                                <w:sz w:val="24"/>
                              </w:rPr>
                            </w:pPr>
                            <w:r>
                              <w:rPr>
                                <w:rFonts w:ascii="Arial;sans-serif" w:hAnsi="Arial;sans-serif"/>
                                <w:b/>
                                <w:color w:val="000000"/>
                                <w:sz w:val="24"/>
                              </w:rPr>
                              <w:t>BOEING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Arial;sans-serif" w:hAnsi="Arial;sans-serif"/>
                          <w:b w:val="false"/>
                          <w:color w:val="000000"/>
                          <w:sz w:val="24"/>
                        </w:rPr>
                      </w:pPr>
                      <w:r>
                        <w:rPr>
                          <w:rFonts w:ascii="Arial;sans-serif" w:hAnsi="Arial;sans-serif"/>
                          <w:b w:val="false"/>
                          <w:color w:val="000000"/>
                          <w:sz w:val="24"/>
                        </w:rPr>
                        <w:t>SA-18</w:t>
                      </w:r>
                    </w:p>
                    <w:p>
                      <w:pPr>
                        <w:pStyle w:val="TextBody"/>
                        <w:spacing w:lineRule="auto" w:line="240" w:before="0" w:after="0"/>
                        <w:jc w:val="center"/>
                        <w:rPr>
                          <w:rFonts w:ascii="Arial;sans-serif" w:hAnsi="Arial;sans-serif"/>
                          <w:b/>
                          <w:color w:val="000000"/>
                          <w:sz w:val="24"/>
                        </w:rPr>
                      </w:pPr>
                      <w:r>
                        <w:rPr>
                          <w:rFonts w:ascii="Arial;sans-serif" w:hAnsi="Arial;sans-serif"/>
                          <w:b/>
                          <w:color w:val="000000"/>
                          <w:sz w:val="24"/>
                        </w:rPr>
                        <w:t>BOEING PROPRIETARY</w:t>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CEO CERTIFICATION</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 Robert D. Isom, certify that:</w:t>
      </w:r>
    </w:p>
    <w:p>
      <w:pPr>
        <w:pStyle w:val="TextBody"/>
        <w:spacing w:before="0" w:after="0"/>
        <w:rPr/>
      </w:pPr>
      <w:r>
        <w:rPr/>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American Airlines Group Inc.;</w:t>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jc w:val="both"/>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Date: April 27, 2023 </w:t>
      </w:r>
    </w:p>
    <w:tbl>
      <w:tblPr>
        <w:tblW w:w="4778" w:type="dxa"/>
        <w:jc w:val="center"/>
        <w:tblInd w:w="0" w:type="dxa"/>
        <w:tblCellMar>
          <w:top w:w="28" w:type="dxa"/>
          <w:left w:w="28" w:type="dxa"/>
          <w:bottom w:w="28" w:type="dxa"/>
          <w:right w:w="28" w:type="dxa"/>
        </w:tblCellMar>
      </w:tblPr>
      <w:tblGrid>
        <w:gridCol w:w="124"/>
        <w:gridCol w:w="109"/>
        <w:gridCol w:w="109"/>
        <w:gridCol w:w="109"/>
        <w:gridCol w:w="109"/>
        <w:gridCol w:w="109"/>
        <w:gridCol w:w="1198"/>
        <w:gridCol w:w="1198"/>
        <w:gridCol w:w="171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8" w:type="dxa"/>
            <w:tcBorders/>
            <w:shd w:fill="auto" w:val="clear"/>
            <w:vAlign w:val="center"/>
          </w:tcPr>
          <w:p>
            <w:pPr>
              <w:pStyle w:val="TableContents"/>
              <w:spacing w:before="0" w:after="283"/>
              <w:rPr>
                <w:sz w:val="4"/>
                <w:szCs w:val="4"/>
              </w:rPr>
            </w:pPr>
            <w:r>
              <w:rPr>
                <w:sz w:val="4"/>
                <w:szCs w:val="4"/>
              </w:rPr>
            </w:r>
          </w:p>
        </w:tc>
        <w:tc>
          <w:tcPr>
            <w:tcW w:w="1198" w:type="dxa"/>
            <w:tcBorders/>
            <w:shd w:fill="auto" w:val="clear"/>
            <w:vAlign w:val="center"/>
          </w:tcPr>
          <w:p>
            <w:pPr>
              <w:pStyle w:val="TableContents"/>
              <w:spacing w:before="0" w:after="283"/>
              <w:rPr>
                <w:sz w:val="4"/>
                <w:szCs w:val="4"/>
              </w:rPr>
            </w:pPr>
            <w:r>
              <w:rPr>
                <w:sz w:val="4"/>
                <w:szCs w:val="4"/>
              </w:rPr>
            </w:r>
          </w:p>
        </w:tc>
        <w:tc>
          <w:tcPr>
            <w:tcW w:w="171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Robert D. Isom</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Robert D. Isom</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Chief Executive Officer and President</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0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CFO CERTIFICATION</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 Devon E. May, certify that:</w:t>
      </w:r>
    </w:p>
    <w:p>
      <w:pPr>
        <w:pStyle w:val="TextBody"/>
        <w:spacing w:before="0" w:after="0"/>
        <w:rPr/>
      </w:pPr>
      <w:r>
        <w:rPr/>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American Airlines Group Inc.;</w:t>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Date: April 27, 2023 </w:t>
      </w:r>
    </w:p>
    <w:tbl>
      <w:tblPr>
        <w:tblW w:w="4245" w:type="dxa"/>
        <w:jc w:val="center"/>
        <w:tblInd w:w="0" w:type="dxa"/>
        <w:tblCellMar>
          <w:top w:w="28" w:type="dxa"/>
          <w:left w:w="28" w:type="dxa"/>
          <w:bottom w:w="28" w:type="dxa"/>
          <w:right w:w="28" w:type="dxa"/>
        </w:tblCellMar>
      </w:tblPr>
      <w:tblGrid>
        <w:gridCol w:w="124"/>
        <w:gridCol w:w="109"/>
        <w:gridCol w:w="109"/>
        <w:gridCol w:w="109"/>
        <w:gridCol w:w="109"/>
        <w:gridCol w:w="109"/>
        <w:gridCol w:w="262"/>
        <w:gridCol w:w="262"/>
        <w:gridCol w:w="262"/>
        <w:gridCol w:w="818"/>
        <w:gridCol w:w="818"/>
        <w:gridCol w:w="1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Devon E. May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27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Devon E. May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2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Executive Vice President and </w:t>
              <w:br/>
              <w:t>Chief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0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Exhibit 31.3</w:t>
      </w:r>
    </w:p>
    <w:p>
      <w:pPr>
        <w:pStyle w:val="TextBody"/>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CEO CERTIFICATION</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 Robert D. Isom, certify that:</w:t>
      </w:r>
    </w:p>
    <w:p>
      <w:pPr>
        <w:pStyle w:val="TextBody"/>
        <w:spacing w:before="0" w:after="0"/>
        <w:rPr/>
      </w:pPr>
      <w:r>
        <w:rPr/>
      </w:r>
    </w:p>
    <w:p>
      <w:pPr>
        <w:pStyle w:val="TextBody"/>
        <w:spacing w:lineRule="auto" w:line="288" w:before="0" w:after="120"/>
        <w:ind w:left="0" w:right="0" w:hanging="360"/>
        <w:rPr>
          <w:rFonts w:ascii="Arial;sans-serif" w:hAnsi="Arial;sans-serif"/>
          <w:b w:val="false"/>
          <w:color w:val="000000"/>
          <w:sz w:val="20"/>
        </w:rPr>
      </w:pPr>
      <w:r>
        <w:rPr>
          <w:rFonts w:ascii="Arial;sans-serif" w:hAnsi="Arial;sans-serif"/>
          <w:b w:val="false"/>
          <w:color w:val="000000"/>
          <w:sz w:val="20"/>
        </w:rPr>
        <w:t>(a)I have reviewed this Quarterly Report on Form 10-Q of American Airlines, Inc.;</w:t>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(b)Based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(c)Based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(d)The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120"/>
        <w:ind w:left="0" w:right="0" w:hanging="460"/>
        <w:jc w:val="both"/>
        <w:rPr>
          <w:rFonts w:ascii="Arial;sans-serif" w:hAnsi="Arial;sans-serif"/>
          <w:b w:val="false"/>
          <w:color w:val="000000"/>
          <w:sz w:val="20"/>
        </w:rPr>
      </w:pPr>
      <w:r>
        <w:rPr>
          <w:rFonts w:ascii="Arial;sans-serif" w:hAnsi="Arial;sans-serif"/>
          <w:b w:val="false"/>
          <w:color w:val="000000"/>
          <w:sz w:val="20"/>
        </w:rPr>
        <w:t>i.Designed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20"/>
        <w:ind w:left="0" w:right="0" w:hanging="504"/>
        <w:jc w:val="both"/>
        <w:rPr>
          <w:rFonts w:ascii="Arial;sans-serif" w:hAnsi="Arial;sans-serif"/>
          <w:b w:val="false"/>
          <w:color w:val="000000"/>
          <w:sz w:val="20"/>
        </w:rPr>
      </w:pPr>
      <w:r>
        <w:rPr>
          <w:rFonts w:ascii="Arial;sans-serif" w:hAnsi="Arial;sans-serif"/>
          <w:b w:val="false"/>
          <w:color w:val="000000"/>
          <w:sz w:val="20"/>
        </w:rPr>
        <w:t>ii.Designed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120"/>
        <w:ind w:left="0" w:right="0" w:hanging="549"/>
        <w:jc w:val="both"/>
        <w:rPr>
          <w:rFonts w:ascii="Arial;sans-serif" w:hAnsi="Arial;sans-serif"/>
          <w:b w:val="false"/>
          <w:color w:val="000000"/>
          <w:sz w:val="20"/>
        </w:rPr>
      </w:pPr>
      <w:r>
        <w:rPr>
          <w:rFonts w:ascii="Arial;sans-serif" w:hAnsi="Arial;sans-serif"/>
          <w:b w:val="false"/>
          <w:color w:val="000000"/>
          <w:sz w:val="20"/>
        </w:rPr>
        <w:t>iii.Evaluated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120"/>
        <w:ind w:left="0" w:right="0" w:hanging="560"/>
        <w:jc w:val="both"/>
        <w:rPr>
          <w:rFonts w:ascii="Arial;sans-serif" w:hAnsi="Arial;sans-serif"/>
          <w:b w:val="false"/>
          <w:color w:val="000000"/>
          <w:sz w:val="20"/>
        </w:rPr>
      </w:pPr>
      <w:r>
        <w:rPr>
          <w:rFonts w:ascii="Arial;sans-serif" w:hAnsi="Arial;sans-serif"/>
          <w:b w:val="false"/>
          <w:color w:val="000000"/>
          <w:sz w:val="20"/>
        </w:rPr>
        <w:t>iv.Disclosed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120"/>
        <w:ind w:left="0" w:right="0" w:hanging="460"/>
        <w:jc w:val="both"/>
        <w:rPr>
          <w:rFonts w:ascii="Arial;sans-serif" w:hAnsi="Arial;sans-serif"/>
          <w:b w:val="false"/>
          <w:color w:val="000000"/>
          <w:sz w:val="20"/>
        </w:rPr>
      </w:pPr>
      <w:r>
        <w:rPr>
          <w:rFonts w:ascii="Arial;sans-serif" w:hAnsi="Arial;sans-serif"/>
          <w:b w:val="false"/>
          <w:color w:val="000000"/>
          <w:sz w:val="20"/>
        </w:rPr>
        <w:t>i.All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20"/>
        <w:ind w:left="0" w:right="0" w:hanging="504"/>
        <w:jc w:val="both"/>
        <w:rPr>
          <w:rFonts w:ascii="Arial;sans-serif" w:hAnsi="Arial;sans-serif"/>
          <w:b w:val="false"/>
          <w:color w:val="000000"/>
          <w:sz w:val="20"/>
        </w:rPr>
      </w:pPr>
      <w:r>
        <w:rPr>
          <w:rFonts w:ascii="Arial;sans-serif" w:hAnsi="Arial;sans-serif"/>
          <w:b w:val="false"/>
          <w:color w:val="000000"/>
          <w:sz w:val="20"/>
        </w:rPr>
        <w:t>ii.Any fraud, whether or not material, that involves management or other employees who have a significant role in the registrant’s internal control over financial reporting.</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Date: April 27, 2023 </w:t>
      </w:r>
    </w:p>
    <w:tbl>
      <w:tblPr>
        <w:tblW w:w="4599" w:type="dxa"/>
        <w:jc w:val="center"/>
        <w:tblInd w:w="0" w:type="dxa"/>
        <w:tblCellMar>
          <w:top w:w="28" w:type="dxa"/>
          <w:left w:w="28" w:type="dxa"/>
          <w:bottom w:w="28" w:type="dxa"/>
          <w:right w:w="28" w:type="dxa"/>
        </w:tblCellMar>
      </w:tblPr>
      <w:tblGrid>
        <w:gridCol w:w="124"/>
        <w:gridCol w:w="109"/>
        <w:gridCol w:w="109"/>
        <w:gridCol w:w="109"/>
        <w:gridCol w:w="109"/>
        <w:gridCol w:w="109"/>
        <w:gridCol w:w="1146"/>
        <w:gridCol w:w="1146"/>
        <w:gridCol w:w="163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63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Robert D. Isom</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Robert D. Isom</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Chief Executive Officer and President</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0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Exhibit 31.4</w:t>
      </w:r>
    </w:p>
    <w:p>
      <w:pPr>
        <w:pStyle w:val="TextBody"/>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CFO CERTIFICATION</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 Devon E. May, certify that:</w:t>
      </w:r>
    </w:p>
    <w:p>
      <w:pPr>
        <w:pStyle w:val="TextBody"/>
        <w:spacing w:before="0" w:after="0"/>
        <w:rPr/>
      </w:pPr>
      <w:r>
        <w:rPr/>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American Airlines, Inc.;</w:t>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Date: April 27, 2023 </w:t>
      </w:r>
    </w:p>
    <w:p>
      <w:pPr>
        <w:pStyle w:val="TextBody"/>
        <w:spacing w:before="100" w:after="283"/>
        <w:jc w:val="center"/>
        <w:rPr/>
      </w:pPr>
      <w:r>
        <w:rPr/>
      </w:r>
    </w:p>
    <w:tbl>
      <w:tblPr>
        <w:tblW w:w="4245" w:type="dxa"/>
        <w:jc w:val="center"/>
        <w:tblInd w:w="0" w:type="dxa"/>
        <w:tblCellMar>
          <w:top w:w="28" w:type="dxa"/>
          <w:left w:w="28" w:type="dxa"/>
          <w:bottom w:w="28" w:type="dxa"/>
          <w:right w:w="28" w:type="dxa"/>
        </w:tblCellMar>
      </w:tblPr>
      <w:tblGrid>
        <w:gridCol w:w="124"/>
        <w:gridCol w:w="109"/>
        <w:gridCol w:w="109"/>
        <w:gridCol w:w="109"/>
        <w:gridCol w:w="109"/>
        <w:gridCol w:w="109"/>
        <w:gridCol w:w="262"/>
        <w:gridCol w:w="262"/>
        <w:gridCol w:w="262"/>
        <w:gridCol w:w="818"/>
        <w:gridCol w:w="818"/>
        <w:gridCol w:w="1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Devon E. May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27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Devon E. May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2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Executive Vice President and </w:t>
              <w:br/>
              <w:t>Chief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0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Certification of CEO and CFO Pursuant to</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spacing w:before="0" w:after="0"/>
        <w:jc w:val="center"/>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Quarterly Report on Form 10-Q of American Airlines Group Inc. (the “Company”) for the quarterly period ended March 31, 2023 (the “Report”), Robert D. Isom, as Chief Executive Officer and President of the Company, and Devon E. May, as Executive Vice President and Chief Financial Officer of the Company, each hereby certifies, pursuant to 18 U.S.C. Section 1350, as adopted pursuant to Section 906 of the Sarbanes-Oxley Act of 2002, that, to the best of his knowledge:</w:t>
      </w:r>
    </w:p>
    <w:p>
      <w:pPr>
        <w:pStyle w:val="TextBody"/>
        <w:spacing w:before="0" w:after="0"/>
        <w:rPr/>
      </w:pPr>
      <w:r>
        <w:rPr/>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3945" w:type="dxa"/>
        <w:jc w:val="left"/>
        <w:tblInd w:w="0" w:type="dxa"/>
        <w:tblCellMar>
          <w:top w:w="28" w:type="dxa"/>
          <w:left w:w="28" w:type="dxa"/>
          <w:bottom w:w="28" w:type="dxa"/>
          <w:right w:w="28" w:type="dxa"/>
        </w:tblCellMar>
      </w:tblPr>
      <w:tblGrid>
        <w:gridCol w:w="1259"/>
        <w:gridCol w:w="1110"/>
        <w:gridCol w:w="1576"/>
      </w:tblGrid>
      <w:tr>
        <w:trPr/>
        <w:tc>
          <w:tcPr>
            <w:tcW w:w="1259"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1576"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Robert D. Isom</w:t>
            </w:r>
          </w:p>
        </w:tc>
      </w:tr>
      <w:tr>
        <w:trPr/>
        <w:tc>
          <w:tcPr>
            <w:tcW w:w="39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Robert D. Isom</w:t>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Chief Executive Officer and President</w:t>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April 27, 2023</w:t>
            </w:r>
          </w:p>
        </w:tc>
      </w:tr>
    </w:tbl>
    <w:tbl>
      <w:tblPr>
        <w:tblW w:w="3300" w:type="dxa"/>
        <w:jc w:val="left"/>
        <w:tblInd w:w="0" w:type="dxa"/>
        <w:tblCellMar>
          <w:top w:w="28" w:type="dxa"/>
          <w:left w:w="28" w:type="dxa"/>
          <w:bottom w:w="28" w:type="dxa"/>
          <w:right w:w="28" w:type="dxa"/>
        </w:tblCellMar>
      </w:tblPr>
      <w:tblGrid>
        <w:gridCol w:w="1056"/>
        <w:gridCol w:w="927"/>
        <w:gridCol w:w="1317"/>
      </w:tblGrid>
      <w:tr>
        <w:trPr/>
        <w:tc>
          <w:tcPr>
            <w:tcW w:w="1056"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r>
      <w:tr>
        <w:trPr/>
        <w:tc>
          <w:tcPr>
            <w:tcW w:w="33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Devon E. May              </w:t>
            </w:r>
          </w:p>
        </w:tc>
      </w:tr>
      <w:tr>
        <w:trPr/>
        <w:tc>
          <w:tcPr>
            <w:tcW w:w="33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Devon E. May</w:t>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Title: Executive Vice President and </w:t>
              <w:br/>
              <w:t>Chief Financial Officer</w:t>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April 27, 2023</w:t>
            </w:r>
          </w:p>
        </w:tc>
      </w:tr>
    </w:tbl>
    <w:p>
      <w:pPr>
        <w:pStyle w:val="TextBody"/>
        <w:spacing w:before="0" w:after="0"/>
        <w:jc w:val="center"/>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0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Exhibit 32.2</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Certification of CEO and CFO Pursuant to</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spacing w:before="0" w:after="0"/>
        <w:jc w:val="center"/>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Quarterly Report on Form 10-Q of American Airlines, Inc. (the “Company”) for the quarterly period ended March 31, 2023 (the “Report”), Robert D. Isom, as Chief Executive Officer and President of the Company, and Devon E. May, as Executive Vice President and Chief Financial Officer of the Company, each hereby certifies, pursuant to 18 U.S.C. Section 1350, as adopted pursuant to Section 906 of the Sarbanes-Oxley Act of 2002, that, to the best of his knowledge:</w:t>
      </w:r>
    </w:p>
    <w:p>
      <w:pPr>
        <w:pStyle w:val="TextBody"/>
        <w:spacing w:before="0" w:after="0"/>
        <w:rPr/>
      </w:pPr>
      <w:r>
        <w:rPr/>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3945" w:type="dxa"/>
        <w:jc w:val="left"/>
        <w:tblInd w:w="0" w:type="dxa"/>
        <w:tblCellMar>
          <w:top w:w="28" w:type="dxa"/>
          <w:left w:w="28" w:type="dxa"/>
          <w:bottom w:w="28" w:type="dxa"/>
          <w:right w:w="28" w:type="dxa"/>
        </w:tblCellMar>
      </w:tblPr>
      <w:tblGrid>
        <w:gridCol w:w="1259"/>
        <w:gridCol w:w="1110"/>
        <w:gridCol w:w="1576"/>
      </w:tblGrid>
      <w:tr>
        <w:trPr/>
        <w:tc>
          <w:tcPr>
            <w:tcW w:w="1259"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1576"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Robert D. Isom</w:t>
            </w:r>
          </w:p>
        </w:tc>
      </w:tr>
      <w:tr>
        <w:trPr/>
        <w:tc>
          <w:tcPr>
            <w:tcW w:w="39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Robert D. Isom</w:t>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Chief Executive Officer and President</w:t>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April 27, 2023</w:t>
            </w:r>
          </w:p>
        </w:tc>
      </w:tr>
    </w:tbl>
    <w:tbl>
      <w:tblPr>
        <w:tblW w:w="3300" w:type="dxa"/>
        <w:jc w:val="left"/>
        <w:tblInd w:w="0" w:type="dxa"/>
        <w:tblCellMar>
          <w:top w:w="28" w:type="dxa"/>
          <w:left w:w="28" w:type="dxa"/>
          <w:bottom w:w="28" w:type="dxa"/>
          <w:right w:w="28" w:type="dxa"/>
        </w:tblCellMar>
      </w:tblPr>
      <w:tblGrid>
        <w:gridCol w:w="1055"/>
        <w:gridCol w:w="927"/>
        <w:gridCol w:w="1318"/>
      </w:tblGrid>
      <w:tr>
        <w:trPr/>
        <w:tc>
          <w:tcPr>
            <w:tcW w:w="1055"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1318" w:type="dxa"/>
            <w:tcBorders/>
            <w:shd w:fill="auto" w:val="clear"/>
            <w:vAlign w:val="center"/>
          </w:tcPr>
          <w:p>
            <w:pPr>
              <w:pStyle w:val="TableContents"/>
              <w:spacing w:before="0" w:after="283"/>
              <w:rPr>
                <w:sz w:val="4"/>
                <w:szCs w:val="4"/>
              </w:rPr>
            </w:pPr>
            <w:r>
              <w:rPr>
                <w:sz w:val="4"/>
                <w:szCs w:val="4"/>
              </w:rPr>
            </w:r>
          </w:p>
        </w:tc>
      </w:tr>
      <w:tr>
        <w:trPr/>
        <w:tc>
          <w:tcPr>
            <w:tcW w:w="33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Devon E. May</w:t>
            </w:r>
          </w:p>
        </w:tc>
      </w:tr>
      <w:tr>
        <w:trPr/>
        <w:tc>
          <w:tcPr>
            <w:tcW w:w="33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Devon E. May</w:t>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Title: Executive Vice President and </w:t>
              <w:br/>
              <w:t>Chief Financial Officer</w:t>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April 27, 2023</w:t>
            </w:r>
          </w:p>
        </w:tc>
      </w:tr>
    </w:tbl>
    <w:p>
      <w:pPr>
        <w:pStyle w:val="TextBody"/>
        <w:spacing w:before="0" w:after="0"/>
        <w:jc w:val="center"/>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0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6201/000119312523040349/d402365dex41.htm" TargetMode="External"/><Relationship Id="rId3" Type="http://schemas.openxmlformats.org/officeDocument/2006/relationships/hyperlink" Target="https://www.sec.gov/Archives/edgar/data/6201/000119312523040349/d402365dex41.htm" TargetMode="Externa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image" Target="media/image7.png"/><Relationship Id="rId11" Type="http://schemas.openxmlformats.org/officeDocument/2006/relationships/image" Target="media/image8.pn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31</Pages>
  <Words>53183</Words>
  <CharactersWithSpaces>348861</CharactersWithSpaces>
  <Paragraphs>4680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