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594995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560705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January 11, 2022</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GROUP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INC.</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40" w:type="dxa"/>
            <w:vAlign w:val="bottom"/>
          </w:tcPr>
          <w:p>
            <w:pPr>
              <w:spacing w:after="0"/>
              <w:rPr>
                <w:sz w:val="19"/>
                <w:szCs w:val="19"/>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Delaware</w:t>
            </w:r>
          </w:p>
        </w:tc>
        <w:tc>
          <w:tcPr>
            <w:tcW w:w="1140" w:type="dxa"/>
            <w:vAlign w:val="bottom"/>
          </w:tcPr>
          <w:p>
            <w:pPr>
              <w:spacing w:after="0"/>
              <w:rPr>
                <w:sz w:val="19"/>
                <w:szCs w:val="19"/>
                <w:color w:val="auto"/>
              </w:rPr>
            </w:pPr>
          </w:p>
        </w:tc>
        <w:tc>
          <w:tcPr>
            <w:tcW w:w="1600" w:type="dxa"/>
            <w:vAlign w:val="bottom"/>
          </w:tcPr>
          <w:p>
            <w:pPr>
              <w:jc w:val="center"/>
              <w:ind w:right="430"/>
              <w:spacing w:after="0"/>
              <w:rPr>
                <w:sz w:val="20"/>
                <w:szCs w:val="20"/>
                <w:color w:val="auto"/>
              </w:rPr>
            </w:pPr>
            <w:r>
              <w:rPr>
                <w:rFonts w:ascii="Arial" w:cs="Arial" w:eastAsia="Arial" w:hAnsi="Arial"/>
                <w:sz w:val="18"/>
                <w:szCs w:val="18"/>
                <w:b w:val="1"/>
                <w:bCs w:val="1"/>
                <w:color w:val="auto"/>
                <w:w w:val="99"/>
              </w:rPr>
              <w:t>1-8400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tcPr>
          <w:p>
            <w:pPr>
              <w:jc w:val="center"/>
              <w:ind w:left="136"/>
              <w:spacing w:after="0"/>
              <w:rPr>
                <w:sz w:val="20"/>
                <w:szCs w:val="20"/>
                <w:color w:val="auto"/>
              </w:rPr>
            </w:pPr>
            <w:r>
              <w:rPr>
                <w:rFonts w:ascii="Arial" w:cs="Arial" w:eastAsia="Arial" w:hAnsi="Arial"/>
                <w:sz w:val="18"/>
                <w:szCs w:val="18"/>
                <w:b w:val="1"/>
                <w:bCs w:val="1"/>
                <w:color w:val="auto"/>
                <w:w w:val="99"/>
              </w:rPr>
              <w:t>75-1825172</w:t>
            </w:r>
          </w:p>
        </w:tc>
        <w:tc>
          <w:tcPr>
            <w:tcW w:w="220" w:type="dxa"/>
            <w:vAlign w:val="bottom"/>
          </w:tcPr>
          <w:p>
            <w:pPr>
              <w:spacing w:after="0"/>
              <w:rPr>
                <w:sz w:val="19"/>
                <w:szCs w:val="19"/>
                <w:color w:val="auto"/>
              </w:rPr>
            </w:pPr>
          </w:p>
        </w:tc>
      </w:tr>
      <w:tr>
        <w:trPr>
          <w:trHeight w:val="239"/>
        </w:trPr>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center"/>
              <w:ind w:right="156"/>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99"/>
              </w:rPr>
              <w:t>1-2691</w:t>
            </w: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center"/>
              <w:ind w:left="136"/>
              <w:spacing w:after="0"/>
              <w:rPr>
                <w:sz w:val="20"/>
                <w:szCs w:val="20"/>
                <w:color w:val="auto"/>
              </w:rPr>
            </w:pPr>
            <w:r>
              <w:rPr>
                <w:rFonts w:ascii="Arial" w:cs="Arial" w:eastAsia="Arial" w:hAnsi="Arial"/>
                <w:sz w:val="18"/>
                <w:szCs w:val="18"/>
                <w:b w:val="1"/>
                <w:bCs w:val="1"/>
                <w:color w:val="auto"/>
                <w:w w:val="99"/>
              </w:rPr>
              <w:t>13-1502798</w:t>
            </w:r>
          </w:p>
        </w:tc>
        <w:tc>
          <w:tcPr>
            <w:tcW w:w="220" w:type="dxa"/>
            <w:vAlign w:val="bottom"/>
            <w:tcBorders>
              <w:bottom w:val="single" w:sz="8" w:color="auto"/>
            </w:tcBorders>
          </w:tcPr>
          <w:p>
            <w:pPr>
              <w:spacing w:after="0"/>
              <w:rPr>
                <w:sz w:val="20"/>
                <w:szCs w:val="20"/>
                <w:color w:val="auto"/>
              </w:rPr>
            </w:pPr>
          </w:p>
        </w:tc>
      </w:tr>
      <w:tr>
        <w:trPr>
          <w:trHeight w:val="184"/>
        </w:trPr>
        <w:tc>
          <w:tcPr>
            <w:tcW w:w="240" w:type="dxa"/>
            <w:vAlign w:val="bottom"/>
          </w:tcPr>
          <w:p>
            <w:pPr>
              <w:spacing w:after="0"/>
              <w:rPr>
                <w:sz w:val="16"/>
                <w:szCs w:val="16"/>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678"/>
        </w:trPr>
        <w:tc>
          <w:tcPr>
            <w:tcW w:w="240" w:type="dxa"/>
            <w:vAlign w:val="bottom"/>
          </w:tcPr>
          <w:p>
            <w:pPr>
              <w:spacing w:after="0"/>
              <w:rPr>
                <w:sz w:val="24"/>
                <w:szCs w:val="24"/>
                <w:color w:val="auto"/>
              </w:rPr>
            </w:pPr>
          </w:p>
        </w:tc>
        <w:tc>
          <w:tcPr>
            <w:tcW w:w="3800" w:type="dxa"/>
            <w:vAlign w:val="bottom"/>
            <w:gridSpan w:val="2"/>
          </w:tcPr>
          <w:p>
            <w:pPr>
              <w:ind w:left="2280"/>
              <w:spacing w:after="0"/>
              <w:rPr>
                <w:sz w:val="20"/>
                <w:szCs w:val="20"/>
                <w:color w:val="auto"/>
              </w:rPr>
            </w:pPr>
            <w:r>
              <w:rPr>
                <w:rFonts w:ascii="Arial" w:cs="Arial" w:eastAsia="Arial" w:hAnsi="Arial"/>
                <w:sz w:val="18"/>
                <w:szCs w:val="18"/>
                <w:b w:val="1"/>
                <w:bCs w:val="1"/>
                <w:color w:val="auto"/>
              </w:rPr>
              <w:t>1 Skyview Drive,</w:t>
            </w:r>
          </w:p>
        </w:tc>
        <w:tc>
          <w:tcPr>
            <w:tcW w:w="1140" w:type="dxa"/>
            <w:vAlign w:val="bottom"/>
          </w:tcPr>
          <w:p>
            <w:pPr>
              <w:ind w:left="80"/>
              <w:spacing w:after="0"/>
              <w:rPr>
                <w:sz w:val="20"/>
                <w:szCs w:val="20"/>
                <w:color w:val="auto"/>
              </w:rPr>
            </w:pPr>
            <w:r>
              <w:rPr>
                <w:rFonts w:ascii="Arial" w:cs="Arial" w:eastAsia="Arial" w:hAnsi="Arial"/>
                <w:sz w:val="18"/>
                <w:szCs w:val="18"/>
                <w:b w:val="1"/>
                <w:bCs w:val="1"/>
                <w:color w:val="auto"/>
              </w:rPr>
              <w:t>Fort Worth,</w:t>
            </w:r>
          </w:p>
        </w:tc>
        <w:tc>
          <w:tcPr>
            <w:tcW w:w="2420" w:type="dxa"/>
            <w:vAlign w:val="bottom"/>
            <w:gridSpan w:val="4"/>
          </w:tcPr>
          <w:p>
            <w:pPr>
              <w:ind w:left="100"/>
              <w:spacing w:after="0"/>
              <w:rPr>
                <w:sz w:val="20"/>
                <w:szCs w:val="20"/>
                <w:color w:val="auto"/>
              </w:rPr>
            </w:pPr>
            <w:r>
              <w:rPr>
                <w:rFonts w:ascii="Arial" w:cs="Arial" w:eastAsia="Arial" w:hAnsi="Arial"/>
                <w:sz w:val="18"/>
                <w:szCs w:val="18"/>
                <w:b w:val="1"/>
                <w:bCs w:val="1"/>
                <w:color w:val="auto"/>
              </w:rPr>
              <w:t>Texas</w:t>
            </w:r>
          </w:p>
        </w:tc>
        <w:tc>
          <w:tcPr>
            <w:tcW w:w="3380" w:type="dxa"/>
            <w:vAlign w:val="bottom"/>
          </w:tcPr>
          <w:p>
            <w:pPr>
              <w:jc w:val="center"/>
              <w:ind w:right="356"/>
              <w:spacing w:after="0"/>
              <w:rPr>
                <w:sz w:val="20"/>
                <w:szCs w:val="20"/>
                <w:color w:val="auto"/>
              </w:rPr>
            </w:pPr>
            <w:r>
              <w:rPr>
                <w:rFonts w:ascii="Arial" w:cs="Arial" w:eastAsia="Arial" w:hAnsi="Arial"/>
                <w:sz w:val="18"/>
                <w:szCs w:val="18"/>
                <w:b w:val="1"/>
                <w:bCs w:val="1"/>
                <w:color w:val="auto"/>
                <w:w w:val="99"/>
              </w:rPr>
              <w:t>76155</w:t>
            </w:r>
          </w:p>
        </w:tc>
        <w:tc>
          <w:tcPr>
            <w:tcW w:w="220" w:type="dxa"/>
            <w:vAlign w:val="bottom"/>
          </w:tcPr>
          <w:p>
            <w:pPr>
              <w:spacing w:after="0"/>
              <w:rPr>
                <w:sz w:val="24"/>
                <w:szCs w:val="24"/>
                <w:color w:val="auto"/>
              </w:rPr>
            </w:pPr>
          </w:p>
        </w:tc>
      </w:tr>
      <w:tr>
        <w:trPr>
          <w:trHeight w:val="239"/>
        </w:trPr>
        <w:tc>
          <w:tcPr>
            <w:tcW w:w="240" w:type="dxa"/>
            <w:vAlign w:val="bottom"/>
          </w:tcPr>
          <w:p>
            <w:pPr>
              <w:spacing w:after="0"/>
              <w:rPr>
                <w:sz w:val="20"/>
                <w:szCs w:val="20"/>
                <w:color w:val="auto"/>
              </w:rPr>
            </w:pPr>
          </w:p>
        </w:tc>
        <w:tc>
          <w:tcPr>
            <w:tcW w:w="3800" w:type="dxa"/>
            <w:vAlign w:val="bottom"/>
            <w:tcBorders>
              <w:bottom w:val="single" w:sz="8" w:color="auto"/>
            </w:tcBorders>
            <w:gridSpan w:val="2"/>
          </w:tcPr>
          <w:p>
            <w:pPr>
              <w:ind w:left="2280"/>
              <w:spacing w:after="0"/>
              <w:rPr>
                <w:sz w:val="20"/>
                <w:szCs w:val="20"/>
                <w:color w:val="auto"/>
              </w:rPr>
            </w:pPr>
            <w:r>
              <w:rPr>
                <w:rFonts w:ascii="Arial" w:cs="Arial" w:eastAsia="Arial" w:hAnsi="Arial"/>
                <w:sz w:val="18"/>
                <w:szCs w:val="18"/>
                <w:b w:val="1"/>
                <w:bCs w:val="1"/>
                <w:color w:val="auto"/>
              </w:rPr>
              <w:t>1 Skyview Drive,</w:t>
            </w: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Fort Worth,</w:t>
            </w: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Texas</w:t>
            </w:r>
          </w:p>
        </w:tc>
        <w:tc>
          <w:tcPr>
            <w:tcW w:w="400" w:type="dxa"/>
            <w:vAlign w:val="bottom"/>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3380" w:type="dxa"/>
            <w:vAlign w:val="bottom"/>
            <w:tcBorders>
              <w:bottom w:val="single" w:sz="8" w:color="auto"/>
            </w:tcBorders>
          </w:tcPr>
          <w:p>
            <w:pPr>
              <w:jc w:val="center"/>
              <w:ind w:right="356"/>
              <w:spacing w:after="0"/>
              <w:rPr>
                <w:sz w:val="20"/>
                <w:szCs w:val="20"/>
                <w:color w:val="auto"/>
              </w:rPr>
            </w:pPr>
            <w:r>
              <w:rPr>
                <w:rFonts w:ascii="Arial" w:cs="Arial" w:eastAsia="Arial" w:hAnsi="Arial"/>
                <w:sz w:val="18"/>
                <w:szCs w:val="18"/>
                <w:b w:val="1"/>
                <w:bCs w:val="1"/>
                <w:color w:val="auto"/>
                <w:w w:val="99"/>
              </w:rPr>
              <w:t>76155</w:t>
            </w:r>
          </w:p>
        </w:tc>
        <w:tc>
          <w:tcPr>
            <w:tcW w:w="220" w:type="dxa"/>
            <w:vAlign w:val="bottom"/>
          </w:tcPr>
          <w:p>
            <w:pPr>
              <w:spacing w:after="0"/>
              <w:rPr>
                <w:sz w:val="20"/>
                <w:szCs w:val="20"/>
                <w:color w:val="auto"/>
              </w:rPr>
            </w:pPr>
          </w:p>
        </w:tc>
      </w:tr>
      <w:tr>
        <w:trPr>
          <w:trHeight w:val="184"/>
        </w:trPr>
        <w:tc>
          <w:tcPr>
            <w:tcW w:w="240" w:type="dxa"/>
            <w:vAlign w:val="bottom"/>
          </w:tcPr>
          <w:p>
            <w:pPr>
              <w:spacing w:after="0"/>
              <w:rPr>
                <w:sz w:val="16"/>
                <w:szCs w:val="16"/>
                <w:color w:val="auto"/>
              </w:rPr>
            </w:pPr>
          </w:p>
        </w:tc>
        <w:tc>
          <w:tcPr>
            <w:tcW w:w="4940" w:type="dxa"/>
            <w:vAlign w:val="bottom"/>
            <w:gridSpan w:val="3"/>
          </w:tcPr>
          <w:p>
            <w:pPr>
              <w:ind w:left="1920"/>
              <w:spacing w:after="0"/>
              <w:rPr>
                <w:sz w:val="20"/>
                <w:szCs w:val="20"/>
                <w:color w:val="auto"/>
              </w:rPr>
            </w:pPr>
            <w:r>
              <w:rPr>
                <w:rFonts w:ascii="Arial" w:cs="Arial" w:eastAsia="Arial" w:hAnsi="Arial"/>
                <w:sz w:val="14"/>
                <w:szCs w:val="14"/>
                <w:b w:val="1"/>
                <w:bCs w:val="1"/>
                <w:color w:val="auto"/>
              </w:rPr>
              <w:t>(Address of principal executive offices)</w:t>
            </w:r>
          </w:p>
        </w:tc>
        <w:tc>
          <w:tcPr>
            <w:tcW w:w="1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(Zip Code)</w:t>
            </w:r>
          </w:p>
        </w:tc>
      </w:tr>
    </w:tbl>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1" w:lineRule="exact"/>
        <w:rPr>
          <w:sz w:val="24"/>
          <w:szCs w:val="24"/>
          <w:color w:val="auto"/>
        </w:rPr>
      </w:pPr>
    </w:p>
    <w:p>
      <w:pPr>
        <w:ind w:left="5480" w:hanging="471"/>
        <w:spacing w:after="0"/>
        <w:tabs>
          <w:tab w:leader="none" w:pos="5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9" w:lineRule="exact"/>
        <w:rPr>
          <w:rFonts w:ascii="Arial" w:cs="Arial" w:eastAsia="Arial" w:hAnsi="Arial"/>
          <w:sz w:val="18"/>
          <w:szCs w:val="18"/>
          <w:b w:val="1"/>
          <w:bCs w:val="1"/>
          <w:color w:val="auto"/>
        </w:rPr>
      </w:pPr>
    </w:p>
    <w:p>
      <w:pPr>
        <w:ind w:left="5480" w:hanging="471"/>
        <w:spacing w:after="0"/>
        <w:tabs>
          <w:tab w:leader="none" w:pos="5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20320</wp:posOffset>
            </wp:positionV>
            <wp:extent cx="5854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38" w:lineRule="exact"/>
        <w:rPr>
          <w:sz w:val="24"/>
          <w:szCs w:val="24"/>
          <w:color w:val="auto"/>
        </w:rPr>
      </w:pPr>
    </w:p>
    <w:p>
      <w:pPr>
        <w:ind w:right="380"/>
        <w:spacing w:after="0" w:line="25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32" w:lineRule="exact"/>
        <w:rPr>
          <w:sz w:val="24"/>
          <w:szCs w:val="24"/>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2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5"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vMerge w:val="restart"/>
          </w:tcPr>
          <w:p>
            <w:pPr>
              <w:spacing w:after="0"/>
              <w:rPr>
                <w:sz w:val="14"/>
                <w:szCs w:val="14"/>
                <w:color w:val="auto"/>
              </w:rPr>
            </w:pPr>
          </w:p>
        </w:tc>
        <w:tc>
          <w:tcPr>
            <w:tcW w:w="3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37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5"/>
                <w:szCs w:val="15"/>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142"/>
        </w:trPr>
        <w:tc>
          <w:tcPr>
            <w:tcW w:w="40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Common Stock, $0.01 par value per share</w:t>
            </w:r>
          </w:p>
        </w:tc>
        <w:tc>
          <w:tcPr>
            <w:tcW w:w="35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AAL</w:t>
            </w:r>
          </w:p>
        </w:tc>
        <w:tc>
          <w:tcPr>
            <w:tcW w:w="3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The Nasdaq Global Select Market</w:t>
            </w:r>
          </w:p>
        </w:tc>
        <w:tc>
          <w:tcPr>
            <w:tcW w:w="0" w:type="dxa"/>
            <w:vAlign w:val="bottom"/>
          </w:tcPr>
          <w:p>
            <w:pPr>
              <w:spacing w:after="0"/>
              <w:rPr>
                <w:sz w:val="1"/>
                <w:szCs w:val="1"/>
                <w:color w:val="auto"/>
              </w:rPr>
            </w:pPr>
          </w:p>
        </w:tc>
      </w:tr>
      <w:tr>
        <w:trPr>
          <w:trHeight w:val="154"/>
        </w:trPr>
        <w:tc>
          <w:tcPr>
            <w:tcW w:w="4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Preferred Stock Purchase Rights</w:t>
            </w:r>
          </w:p>
        </w:tc>
        <w:tc>
          <w:tcPr>
            <w:tcW w:w="35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w:t>
            </w: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77"/>
        </w:trPr>
        <w:tc>
          <w:tcPr>
            <w:tcW w:w="4000" w:type="dxa"/>
            <w:vAlign w:val="bottom"/>
            <w:gridSpan w:val="2"/>
            <w:vMerge w:val="continue"/>
          </w:tcPr>
          <w:p>
            <w:pPr>
              <w:spacing w:after="0"/>
              <w:rPr>
                <w:sz w:val="6"/>
                <w:szCs w:val="6"/>
                <w:color w:val="auto"/>
              </w:rPr>
            </w:pPr>
          </w:p>
        </w:tc>
        <w:tc>
          <w:tcPr>
            <w:tcW w:w="3560" w:type="dxa"/>
            <w:vAlign w:val="bottom"/>
            <w:gridSpan w:val="2"/>
            <w:vMerge w:val="continue"/>
          </w:tcPr>
          <w:p>
            <w:pPr>
              <w:spacing w:after="0"/>
              <w:rPr>
                <w:sz w:val="6"/>
                <w:szCs w:val="6"/>
                <w:color w:val="auto"/>
              </w:rPr>
            </w:pPr>
          </w:p>
        </w:tc>
        <w:tc>
          <w:tcPr>
            <w:tcW w:w="3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ind w:left="180" w:hanging="172"/>
        <w:spacing w:after="0"/>
        <w:tabs>
          <w:tab w:leader="none" w:pos="1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106"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57" w:lineRule="exact"/>
        <w:rPr>
          <w:sz w:val="24"/>
          <w:szCs w:val="24"/>
          <w:color w:val="auto"/>
        </w:rPr>
      </w:pPr>
    </w:p>
    <w:p>
      <w:pPr>
        <w:ind w:left="87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99" w:lineRule="exact"/>
        <w:rPr>
          <w:sz w:val="24"/>
          <w:szCs w:val="24"/>
          <w:color w:val="auto"/>
        </w:rPr>
      </w:pPr>
    </w:p>
    <w:p>
      <w:pPr>
        <w:ind w:right="6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740410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229870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1" w:name="page2"/>
    <w:bookmarkEnd w:id="1"/>
    <w:p>
      <w:pPr>
        <w:ind w:left="20"/>
        <w:spacing w:after="0"/>
        <w:tabs>
          <w:tab w:leader="none" w:pos="15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American Airlines Group Inc. (“AAG”) and American Airlines, Inc., a wholly owned subsidiary of AAG (“AAI” and, together with AAG and its other consolidated subsidiaries, the “Company”), are providing updated financial guidance relating to the fourth quarter of 2021.</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in Item 2.02 of this Current Report on Form 8-K, including Exhibit 99.1,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222"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40" w:type="dxa"/>
            <w:vAlign w:val="bottom"/>
          </w:tcPr>
          <w:p>
            <w:pPr>
              <w:ind w:left="400"/>
              <w:spacing w:after="0"/>
              <w:rPr>
                <w:sz w:val="20"/>
                <w:szCs w:val="20"/>
                <w:color w:val="auto"/>
              </w:rPr>
            </w:pPr>
            <w:r>
              <w:rPr>
                <w:rFonts w:ascii="Arial" w:cs="Arial" w:eastAsia="Arial" w:hAnsi="Arial"/>
                <w:sz w:val="18"/>
                <w:szCs w:val="18"/>
                <w:b w:val="1"/>
                <w:bCs w:val="1"/>
                <w:color w:val="auto"/>
              </w:rPr>
              <w:t>(d) Exhibits.</w:t>
            </w:r>
          </w:p>
        </w:tc>
        <w:tc>
          <w:tcPr>
            <w:tcW w:w="332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446"/>
        </w:trPr>
        <w:tc>
          <w:tcPr>
            <w:tcW w:w="2340" w:type="dxa"/>
            <w:vAlign w:val="bottom"/>
          </w:tcPr>
          <w:p>
            <w:pPr>
              <w:ind w:left="360"/>
              <w:spacing w:after="0"/>
              <w:rPr>
                <w:sz w:val="20"/>
                <w:szCs w:val="20"/>
                <w:color w:val="auto"/>
              </w:rPr>
            </w:pPr>
            <w:r>
              <w:rPr>
                <w:rFonts w:ascii="Arial" w:cs="Arial" w:eastAsia="Arial" w:hAnsi="Arial"/>
                <w:sz w:val="18"/>
                <w:szCs w:val="18"/>
                <w:b w:val="1"/>
                <w:bCs w:val="1"/>
                <w:color w:val="auto"/>
              </w:rPr>
              <w:t>Exhibit No.</w:t>
            </w:r>
          </w:p>
        </w:tc>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2340" w:type="dxa"/>
            <w:vAlign w:val="bottom"/>
          </w:tcPr>
          <w:p>
            <w:pPr>
              <w:ind w:left="360"/>
              <w:spacing w:after="0"/>
              <w:rPr>
                <w:sz w:val="20"/>
                <w:szCs w:val="20"/>
                <w:color w:val="auto"/>
              </w:rPr>
            </w:pPr>
            <w:r>
              <w:rPr>
                <w:rFonts w:ascii="Arial" w:cs="Arial" w:eastAsia="Arial" w:hAnsi="Arial"/>
                <w:sz w:val="18"/>
                <w:szCs w:val="18"/>
                <w:color w:val="auto"/>
              </w:rPr>
              <w:t>99.1</w:t>
            </w:r>
          </w:p>
        </w:tc>
        <w:tc>
          <w:tcPr>
            <w:tcW w:w="3320" w:type="dxa"/>
            <w:vAlign w:val="bottom"/>
            <w:tcBorders>
              <w:bottom w:val="single" w:sz="8" w:color="0000FF"/>
            </w:tcBorders>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Investor Update, dated January 11, 2022.</w:t>
              </w:r>
            </w:hyperlink>
          </w:p>
        </w:tc>
        <w:tc>
          <w:tcPr>
            <w:tcW w:w="5580" w:type="dxa"/>
            <w:vAlign w:val="bottom"/>
          </w:tcPr>
          <w:p>
            <w:pPr>
              <w:spacing w:after="0"/>
              <w:rPr>
                <w:sz w:val="21"/>
                <w:szCs w:val="21"/>
                <w:color w:val="auto"/>
              </w:rPr>
            </w:pPr>
          </w:p>
        </w:tc>
      </w:tr>
      <w:tr>
        <w:trPr>
          <w:trHeight w:val="304"/>
        </w:trPr>
        <w:tc>
          <w:tcPr>
            <w:tcW w:w="2340" w:type="dxa"/>
            <w:vAlign w:val="bottom"/>
          </w:tcPr>
          <w:p>
            <w:pPr>
              <w:ind w:left="360"/>
              <w:spacing w:after="0"/>
              <w:rPr>
                <w:sz w:val="20"/>
                <w:szCs w:val="20"/>
                <w:color w:val="auto"/>
              </w:rPr>
            </w:pPr>
            <w:r>
              <w:rPr>
                <w:rFonts w:ascii="Arial" w:cs="Arial" w:eastAsia="Arial" w:hAnsi="Arial"/>
                <w:sz w:val="18"/>
                <w:szCs w:val="18"/>
                <w:color w:val="auto"/>
              </w:rPr>
              <w:t>104.1</w:t>
            </w:r>
          </w:p>
        </w:tc>
        <w:tc>
          <w:tcPr>
            <w:tcW w:w="89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79"/>
        </w:trPr>
        <w:tc>
          <w:tcPr>
            <w:tcW w:w="23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060" w:type="dxa"/>
            <w:vAlign w:val="bottom"/>
          </w:tcPr>
          <w:p>
            <w:pPr>
              <w:spacing w:after="0"/>
              <w:rPr>
                <w:sz w:val="20"/>
                <w:szCs w:val="20"/>
                <w:color w:val="auto"/>
              </w:rPr>
            </w:pPr>
          </w:p>
        </w:tc>
        <w:tc>
          <w:tcPr>
            <w:tcW w:w="7140" w:type="dxa"/>
            <w:vAlign w:val="bottom"/>
            <w:gridSpan w:val="2"/>
          </w:tcPr>
          <w:p>
            <w:pPr>
              <w:ind w:left="2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99"/>
        </w:trPr>
        <w:tc>
          <w:tcPr>
            <w:tcW w:w="4060" w:type="dxa"/>
            <w:vAlign w:val="bottom"/>
          </w:tcPr>
          <w:p>
            <w:pPr>
              <w:spacing w:after="0"/>
              <w:rPr>
                <w:sz w:val="20"/>
                <w:szCs w:val="20"/>
                <w:color w:val="auto"/>
              </w:rPr>
            </w:pPr>
            <w:r>
              <w:rPr>
                <w:rFonts w:ascii="Arial" w:cs="Arial" w:eastAsia="Arial" w:hAnsi="Arial"/>
                <w:sz w:val="18"/>
                <w:szCs w:val="18"/>
                <w:color w:val="auto"/>
              </w:rPr>
              <w:t>Date: January 11, 2022</w:t>
            </w:r>
          </w:p>
        </w:tc>
        <w:tc>
          <w:tcPr>
            <w:tcW w:w="2760" w:type="dxa"/>
            <w:vAlign w:val="bottom"/>
          </w:tcPr>
          <w:p>
            <w:pPr>
              <w:ind w:left="220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Derek J. Kerr</w:t>
            </w:r>
          </w:p>
        </w:tc>
      </w:tr>
      <w:tr>
        <w:trPr>
          <w:trHeight w:val="223"/>
        </w:trPr>
        <w:tc>
          <w:tcPr>
            <w:tcW w:w="40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Derek J. Kerr</w:t>
            </w:r>
          </w:p>
        </w:tc>
      </w:tr>
      <w:tr>
        <w:trPr>
          <w:trHeight w:val="229"/>
        </w:trPr>
        <w:tc>
          <w:tcPr>
            <w:tcW w:w="40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Inc. has duly caused this report to be signed on its behalf by the undersigned hereunto duly authorized.</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060" w:type="dxa"/>
            <w:vAlign w:val="bottom"/>
          </w:tcPr>
          <w:p>
            <w:pPr>
              <w:spacing w:after="0"/>
              <w:rPr>
                <w:sz w:val="20"/>
                <w:szCs w:val="20"/>
                <w:color w:val="auto"/>
              </w:rPr>
            </w:pPr>
          </w:p>
        </w:tc>
        <w:tc>
          <w:tcPr>
            <w:tcW w:w="7140" w:type="dxa"/>
            <w:vAlign w:val="bottom"/>
            <w:gridSpan w:val="2"/>
          </w:tcPr>
          <w:p>
            <w:pPr>
              <w:ind w:left="2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99"/>
        </w:trPr>
        <w:tc>
          <w:tcPr>
            <w:tcW w:w="4060" w:type="dxa"/>
            <w:vAlign w:val="bottom"/>
          </w:tcPr>
          <w:p>
            <w:pPr>
              <w:spacing w:after="0"/>
              <w:rPr>
                <w:sz w:val="20"/>
                <w:szCs w:val="20"/>
                <w:color w:val="auto"/>
              </w:rPr>
            </w:pPr>
            <w:r>
              <w:rPr>
                <w:rFonts w:ascii="Arial" w:cs="Arial" w:eastAsia="Arial" w:hAnsi="Arial"/>
                <w:sz w:val="18"/>
                <w:szCs w:val="18"/>
                <w:color w:val="auto"/>
              </w:rPr>
              <w:t>Date: January 11, 2022</w:t>
            </w:r>
          </w:p>
        </w:tc>
        <w:tc>
          <w:tcPr>
            <w:tcW w:w="2640" w:type="dxa"/>
            <w:vAlign w:val="bottom"/>
          </w:tcPr>
          <w:p>
            <w:pPr>
              <w:ind w:left="220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Derek J. Kerr</w:t>
            </w:r>
          </w:p>
        </w:tc>
      </w:tr>
      <w:tr>
        <w:trPr>
          <w:trHeight w:val="223"/>
        </w:trPr>
        <w:tc>
          <w:tcPr>
            <w:tcW w:w="40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Derek J. Kerr</w:t>
            </w:r>
          </w:p>
        </w:tc>
      </w:tr>
      <w:tr>
        <w:trPr>
          <w:trHeight w:val="229"/>
        </w:trPr>
        <w:tc>
          <w:tcPr>
            <w:tcW w:w="40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86" w:right="359" w:bottom="1440" w:gutter="0" w:footer="0" w:header="0"/>
        </w:sectPr>
      </w:pPr>
    </w:p>
    <w:bookmarkStart w:id="3" w:name="page4"/>
    <w:bookmarkEnd w:id="3"/>
    <w:p>
      <w:pPr>
        <w:ind w:left="10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Exhibit 99.1</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Fourth Quarter Investor Relations Update</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January 11, 2022</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General Overview</w:t>
      </w:r>
    </w:p>
    <w:p>
      <w:pPr>
        <w:spacing w:after="0" w:line="207" w:lineRule="exact"/>
        <w:rPr>
          <w:sz w:val="20"/>
          <w:szCs w:val="20"/>
          <w:color w:val="auto"/>
        </w:rPr>
      </w:pPr>
    </w:p>
    <w:p>
      <w:pPr>
        <w:ind w:left="240" w:right="12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Capacity</w:t>
      </w:r>
      <w:r>
        <w:rPr>
          <w:rFonts w:ascii="Arial" w:cs="Arial" w:eastAsia="Arial" w:hAnsi="Arial"/>
          <w:sz w:val="18"/>
          <w:szCs w:val="18"/>
          <w:color w:val="auto"/>
        </w:rPr>
        <w:t>: During the fourth quarter, the Company flew 61.1 billion total available seat miles, down 13% versus the fourth quarter of 2019</w:t>
      </w:r>
      <w:r>
        <w:rPr>
          <w:rFonts w:ascii="Arial" w:cs="Arial" w:eastAsia="Arial" w:hAnsi="Arial"/>
          <w:sz w:val="18"/>
          <w:szCs w:val="18"/>
          <w:b w:val="1"/>
          <w:bCs w:val="1"/>
          <w:color w:val="auto"/>
        </w:rPr>
        <w:t xml:space="preserve"> </w:t>
      </w:r>
      <w:r>
        <w:rPr>
          <w:rFonts w:ascii="Arial" w:cs="Arial" w:eastAsia="Arial" w:hAnsi="Arial"/>
          <w:sz w:val="18"/>
          <w:szCs w:val="18"/>
          <w:color w:val="auto"/>
        </w:rPr>
        <w:t>and at the lower end of its prior guidance of down 11% to 13% versus the fourth quarter of 2019.</w:t>
      </w:r>
    </w:p>
    <w:p>
      <w:pPr>
        <w:spacing w:after="0" w:line="60" w:lineRule="exact"/>
        <w:rPr>
          <w:rFonts w:ascii="Arial" w:cs="Arial" w:eastAsia="Arial" w:hAnsi="Arial"/>
          <w:sz w:val="29"/>
          <w:szCs w:val="29"/>
          <w:color w:val="auto"/>
          <w:vertAlign w:val="superscript"/>
        </w:rPr>
      </w:pPr>
    </w:p>
    <w:p>
      <w:pPr>
        <w:ind w:left="240" w:right="14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Revenue</w:t>
      </w:r>
      <w:r>
        <w:rPr>
          <w:rFonts w:ascii="Arial" w:cs="Arial" w:eastAsia="Arial" w:hAnsi="Arial"/>
          <w:sz w:val="18"/>
          <w:szCs w:val="18"/>
          <w:color w:val="auto"/>
        </w:rPr>
        <w:t>: The Company expects its fourth quarter total revenue to be down approximately 17% versus the fourth quarter of 2019, which</w:t>
      </w:r>
      <w:r>
        <w:rPr>
          <w:rFonts w:ascii="Arial" w:cs="Arial" w:eastAsia="Arial" w:hAnsi="Arial"/>
          <w:sz w:val="18"/>
          <w:szCs w:val="18"/>
          <w:b w:val="1"/>
          <w:bCs w:val="1"/>
          <w:color w:val="auto"/>
        </w:rPr>
        <w:t xml:space="preserve"> </w:t>
      </w:r>
      <w:r>
        <w:rPr>
          <w:rFonts w:ascii="Arial" w:cs="Arial" w:eastAsia="Arial" w:hAnsi="Arial"/>
          <w:sz w:val="18"/>
          <w:szCs w:val="18"/>
          <w:color w:val="auto"/>
        </w:rPr>
        <w:t>is better than the Company’s previous guidance of down approximately 20%.</w:t>
      </w:r>
    </w:p>
    <w:p>
      <w:pPr>
        <w:spacing w:after="0" w:line="57" w:lineRule="exact"/>
        <w:rPr>
          <w:rFonts w:ascii="Arial" w:cs="Arial" w:eastAsia="Arial" w:hAnsi="Arial"/>
          <w:sz w:val="29"/>
          <w:szCs w:val="29"/>
          <w:color w:val="auto"/>
          <w:vertAlign w:val="superscript"/>
        </w:rPr>
      </w:pPr>
    </w:p>
    <w:p>
      <w:pPr>
        <w:ind w:left="240" w:right="20" w:hanging="214"/>
        <w:spacing w:after="0" w:line="198"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CASM</w:t>
      </w:r>
      <w:r>
        <w:rPr>
          <w:rFonts w:ascii="Arial" w:cs="Arial" w:eastAsia="Arial" w:hAnsi="Arial"/>
          <w:sz w:val="23"/>
          <w:szCs w:val="23"/>
          <w:b w:val="1"/>
          <w:bCs w:val="1"/>
          <w:color w:val="auto"/>
          <w:vertAlign w:val="superscript"/>
        </w:rPr>
        <w:t>1</w:t>
      </w:r>
      <w:r>
        <w:rPr>
          <w:rFonts w:ascii="Arial" w:cs="Arial" w:eastAsia="Arial" w:hAnsi="Arial"/>
          <w:sz w:val="18"/>
          <w:szCs w:val="18"/>
          <w:color w:val="auto"/>
        </w:rPr>
        <w:t>: The Company expects its fourth quarter CASM to be up between 13% and 14% compared to the fourth quarter of 2019 versus its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 guidance of up between 8% and 10%. This change versus previous guidance is mainly due to lower capacity, the Company’s fourth quarter holiday operational incentive program, and a write down of excess spare parts inventory.</w:t>
      </w:r>
    </w:p>
    <w:p>
      <w:pPr>
        <w:spacing w:after="0" w:line="60" w:lineRule="exact"/>
        <w:rPr>
          <w:rFonts w:ascii="Arial" w:cs="Arial" w:eastAsia="Arial" w:hAnsi="Arial"/>
          <w:sz w:val="29"/>
          <w:szCs w:val="29"/>
          <w:color w:val="auto"/>
          <w:vertAlign w:val="superscript"/>
        </w:rPr>
      </w:pPr>
    </w:p>
    <w:p>
      <w:pPr>
        <w:ind w:left="240" w:right="40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Fuel</w:t>
      </w:r>
      <w:r>
        <w:rPr>
          <w:rFonts w:ascii="Arial" w:cs="Arial" w:eastAsia="Arial" w:hAnsi="Arial"/>
          <w:sz w:val="18"/>
          <w:szCs w:val="18"/>
          <w:color w:val="auto"/>
        </w:rPr>
        <w:t>: The Company paid approximately $2.36 per gallon of jet fuel and consumed approximately 931 million gallons during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2021.</w:t>
      </w:r>
    </w:p>
    <w:p>
      <w:pPr>
        <w:spacing w:after="0" w:line="60" w:lineRule="exact"/>
        <w:rPr>
          <w:rFonts w:ascii="Arial" w:cs="Arial" w:eastAsia="Arial" w:hAnsi="Arial"/>
          <w:sz w:val="29"/>
          <w:szCs w:val="29"/>
          <w:color w:val="auto"/>
          <w:vertAlign w:val="superscript"/>
        </w:rPr>
      </w:pPr>
    </w:p>
    <w:p>
      <w:pPr>
        <w:ind w:left="240" w:right="42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Pretax Margin</w:t>
      </w:r>
      <w:r>
        <w:rPr>
          <w:rFonts w:ascii="Arial" w:cs="Arial" w:eastAsia="Arial" w:hAnsi="Arial"/>
          <w:sz w:val="18"/>
          <w:szCs w:val="18"/>
          <w:color w:val="auto"/>
        </w:rPr>
        <w:t>: Excluding net special items, the Company expects to report pretax margin of between approximately -12% and -13%</w:t>
      </w:r>
      <w:r>
        <w:rPr>
          <w:rFonts w:ascii="Arial" w:cs="Arial" w:eastAsia="Arial" w:hAnsi="Arial"/>
          <w:sz w:val="18"/>
          <w:szCs w:val="18"/>
          <w:b w:val="1"/>
          <w:bCs w:val="1"/>
          <w:color w:val="auto"/>
        </w:rPr>
        <w:t xml:space="preserve"> </w:t>
      </w:r>
      <w:r>
        <w:rPr>
          <w:rFonts w:ascii="Arial" w:cs="Arial" w:eastAsia="Arial" w:hAnsi="Arial"/>
          <w:sz w:val="18"/>
          <w:szCs w:val="18"/>
          <w:color w:val="auto"/>
        </w:rPr>
        <w:t>versus its previous guidance of -16% to -18%. See “Net Special Items” and “GAAP to Non-GAAP Reconciliation” below.</w:t>
      </w:r>
    </w:p>
    <w:p>
      <w:pPr>
        <w:spacing w:after="0" w:line="60" w:lineRule="exact"/>
        <w:rPr>
          <w:rFonts w:ascii="Arial" w:cs="Arial" w:eastAsia="Arial" w:hAnsi="Arial"/>
          <w:sz w:val="29"/>
          <w:szCs w:val="29"/>
          <w:color w:val="auto"/>
          <w:vertAlign w:val="superscript"/>
        </w:rPr>
      </w:pPr>
    </w:p>
    <w:p>
      <w:pPr>
        <w:ind w:left="240" w:right="4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Taxes</w:t>
      </w:r>
      <w:r>
        <w:rPr>
          <w:rFonts w:ascii="Arial" w:cs="Arial" w:eastAsia="Arial" w:hAnsi="Arial"/>
          <w:sz w:val="18"/>
          <w:szCs w:val="18"/>
          <w:color w:val="auto"/>
        </w:rPr>
        <w:t>: The Company expects to record an income tax benefit at an effective tax rate of 22%. See “Net Special Items” and “GAAP to Non-GAAP Reconciliation” below.</w:t>
      </w:r>
    </w:p>
    <w:p>
      <w:pPr>
        <w:spacing w:after="0" w:line="60" w:lineRule="exact"/>
        <w:rPr>
          <w:rFonts w:ascii="Arial" w:cs="Arial" w:eastAsia="Arial" w:hAnsi="Arial"/>
          <w:sz w:val="29"/>
          <w:szCs w:val="29"/>
          <w:color w:val="auto"/>
          <w:vertAlign w:val="superscript"/>
        </w:rPr>
      </w:pPr>
    </w:p>
    <w:p>
      <w:pPr>
        <w:ind w:left="24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Shares Outstanding</w:t>
      </w:r>
      <w:r>
        <w:rPr>
          <w:rFonts w:ascii="Arial" w:cs="Arial" w:eastAsia="Arial" w:hAnsi="Arial"/>
          <w:sz w:val="18"/>
          <w:szCs w:val="18"/>
          <w:color w:val="auto"/>
        </w:rPr>
        <w:t>: The Company’s basic and diluted weighted average shares outstanding for financial reporting purposes were 648.8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fourth quarter.</w:t>
      </w:r>
    </w:p>
    <w:p>
      <w:pPr>
        <w:spacing w:after="0" w:line="60" w:lineRule="exact"/>
        <w:rPr>
          <w:rFonts w:ascii="Arial" w:cs="Arial" w:eastAsia="Arial" w:hAnsi="Arial"/>
          <w:sz w:val="29"/>
          <w:szCs w:val="29"/>
          <w:color w:val="auto"/>
          <w:vertAlign w:val="superscript"/>
        </w:rPr>
      </w:pPr>
    </w:p>
    <w:p>
      <w:pPr>
        <w:ind w:left="240" w:right="140" w:hanging="214"/>
        <w:spacing w:after="0" w:line="189"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Net Special Items</w:t>
      </w:r>
      <w:r>
        <w:rPr>
          <w:rFonts w:ascii="Arial" w:cs="Arial" w:eastAsia="Arial" w:hAnsi="Arial"/>
          <w:sz w:val="18"/>
          <w:szCs w:val="18"/>
          <w:color w:val="auto"/>
        </w:rPr>
        <w:t>: The Company expects to report net special items of approximately $9 million in the fourth quarter before the effect of</w:t>
      </w:r>
      <w:r>
        <w:rPr>
          <w:rFonts w:ascii="Arial" w:cs="Arial" w:eastAsia="Arial" w:hAnsi="Arial"/>
          <w:sz w:val="18"/>
          <w:szCs w:val="18"/>
          <w:b w:val="1"/>
          <w:bCs w:val="1"/>
          <w:color w:val="auto"/>
        </w:rPr>
        <w:t xml:space="preserve"> </w:t>
      </w:r>
      <w:r>
        <w:rPr>
          <w:rFonts w:ascii="Arial" w:cs="Arial" w:eastAsia="Arial" w:hAnsi="Arial"/>
          <w:sz w:val="18"/>
          <w:szCs w:val="18"/>
          <w:color w:val="auto"/>
        </w:rPr>
        <w:t>taxes.</w:t>
      </w:r>
    </w:p>
    <w:p>
      <w:pPr>
        <w:spacing w:after="0" w:line="2" w:lineRule="exact"/>
        <w:rPr>
          <w:rFonts w:ascii="Arial" w:cs="Arial" w:eastAsia="Arial" w:hAnsi="Arial"/>
          <w:sz w:val="29"/>
          <w:szCs w:val="29"/>
          <w:color w:val="auto"/>
          <w:vertAlign w:val="superscript"/>
        </w:rPr>
      </w:pPr>
    </w:p>
    <w:p>
      <w:pPr>
        <w:ind w:left="240" w:hanging="214"/>
        <w:spacing w:after="0" w:line="213" w:lineRule="auto"/>
        <w:tabs>
          <w:tab w:leader="none" w:pos="2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color w:val="auto"/>
        </w:rPr>
        <w:t>Liquidity</w:t>
      </w:r>
      <w:r>
        <w:rPr>
          <w:rFonts w:ascii="Arial" w:cs="Arial" w:eastAsia="Arial" w:hAnsi="Arial"/>
          <w:sz w:val="18"/>
          <w:szCs w:val="18"/>
          <w:color w:val="auto"/>
        </w:rPr>
        <w:t>: The Company expects to end the fourth quarter with approximately $15.8 billion in total available liquidity.</w:t>
      </w:r>
    </w:p>
    <w:p>
      <w:pPr>
        <w:spacing w:after="0" w:line="18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These results and those reflected in the attached reconciliation tables are preliminary and final results for the fourth quarter may change. These preliminary results are based upon the Company's current estimates and are subject to completion of the Company's financial closing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19284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0" w:hanging="72"/>
        <w:spacing w:after="0"/>
        <w:tabs>
          <w:tab w:leader="none" w:pos="8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All CASM guidance excludes fuel and net special items to provide comparability to prior guidance. Please see the GAAP to non-GAAP reconciliation at the end of this document.</w:t>
      </w:r>
    </w:p>
    <w:p>
      <w:pPr>
        <w:sectPr>
          <w:pgSz w:w="11900" w:h="16838" w:orient="portrait"/>
          <w:cols w:equalWidth="0" w:num="1">
            <w:col w:w="11220"/>
          </w:cols>
          <w:pgMar w:left="320" w:top="981"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Fourth Quarter Investor Relations Update</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January 11, 2022</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Summary</w:t>
      </w:r>
    </w:p>
    <w:p>
      <w:pPr>
        <w:spacing w:after="0" w:line="244" w:lineRule="exact"/>
        <w:rPr>
          <w:sz w:val="20"/>
          <w:szCs w:val="20"/>
          <w:color w:val="auto"/>
        </w:rPr>
      </w:pPr>
    </w:p>
    <w:tbl>
      <w:tblPr>
        <w:tblLayout w:type="fixed"/>
        <w:tblInd w:w="50" w:type="dxa"/>
        <w:tblCellMar>
          <w:top w:w="0" w:type="dxa"/>
          <w:left w:w="0" w:type="dxa"/>
          <w:bottom w:w="0" w:type="dxa"/>
          <w:right w:w="0" w:type="dxa"/>
        </w:tblCellMar>
      </w:tblPr>
      <w:tr>
        <w:trPr>
          <w:trHeight w:val="256"/>
        </w:trPr>
        <w:tc>
          <w:tcPr>
            <w:tcW w:w="5880" w:type="dxa"/>
            <w:vAlign w:val="bottom"/>
            <w:tcBorders>
              <w:top w:val="single" w:sz="8" w:color="auto"/>
              <w:left w:val="single" w:sz="8" w:color="auto"/>
            </w:tcBorders>
          </w:tcPr>
          <w:p>
            <w:pPr>
              <w:spacing w:after="0"/>
              <w:rPr>
                <w:sz w:val="22"/>
                <w:szCs w:val="22"/>
                <w:color w:val="auto"/>
              </w:rPr>
            </w:pPr>
          </w:p>
        </w:tc>
        <w:tc>
          <w:tcPr>
            <w:tcW w:w="3560" w:type="dxa"/>
            <w:vAlign w:val="bottom"/>
            <w:tcBorders>
              <w:top w:val="single" w:sz="8" w:color="auto"/>
            </w:tcBorders>
            <w:gridSpan w:val="3"/>
          </w:tcPr>
          <w:p>
            <w:pPr>
              <w:ind w:left="1800"/>
              <w:spacing w:after="0" w:line="255" w:lineRule="exact"/>
              <w:rPr>
                <w:sz w:val="20"/>
                <w:szCs w:val="20"/>
                <w:color w:val="auto"/>
              </w:rPr>
            </w:pPr>
            <w:r>
              <w:rPr>
                <w:rFonts w:ascii="Arial" w:cs="Arial" w:eastAsia="Arial" w:hAnsi="Arial"/>
                <w:sz w:val="18"/>
                <w:szCs w:val="18"/>
                <w:b w:val="1"/>
                <w:bCs w:val="1"/>
                <w:color w:val="auto"/>
              </w:rPr>
              <w:t>4th Quarter 2021</w:t>
            </w:r>
            <w:r>
              <w:rPr>
                <w:rFonts w:ascii="Arial" w:cs="Arial" w:eastAsia="Arial" w:hAnsi="Arial"/>
                <w:sz w:val="23"/>
                <w:szCs w:val="23"/>
                <w:b w:val="1"/>
                <w:bCs w:val="1"/>
                <w:color w:val="auto"/>
                <w:vertAlign w:val="superscript"/>
              </w:rPr>
              <w:t>1,2</w:t>
            </w:r>
          </w:p>
        </w:tc>
        <w:tc>
          <w:tcPr>
            <w:tcW w:w="1620" w:type="dxa"/>
            <w:vAlign w:val="bottom"/>
            <w:tcBorders>
              <w:top w:val="single" w:sz="8" w:color="auto"/>
            </w:tcBorders>
          </w:tcPr>
          <w:p>
            <w:pPr>
              <w:spacing w:after="0"/>
              <w:rPr>
                <w:sz w:val="22"/>
                <w:szCs w:val="22"/>
                <w:color w:val="auto"/>
              </w:rPr>
            </w:pPr>
          </w:p>
        </w:tc>
        <w:tc>
          <w:tcPr>
            <w:tcW w:w="1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5880" w:type="dxa"/>
            <w:vAlign w:val="bottom"/>
            <w:tcBorders>
              <w:left w:val="single" w:sz="8" w:color="auto"/>
            </w:tcBorders>
          </w:tcPr>
          <w:p>
            <w:pPr>
              <w:spacing w:after="0"/>
              <w:rPr>
                <w:sz w:val="15"/>
                <w:szCs w:val="15"/>
                <w:color w:val="auto"/>
              </w:rPr>
            </w:pP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tcBorders>
              <w:right w:val="single" w:sz="8" w:color="auto"/>
            </w:tcBorders>
            <w:gridSpan w:val="2"/>
          </w:tcPr>
          <w:p>
            <w:pPr>
              <w:jc w:val="right"/>
              <w:ind w:right="160"/>
              <w:spacing w:after="0" w:line="176" w:lineRule="exact"/>
              <w:rPr>
                <w:sz w:val="20"/>
                <w:szCs w:val="20"/>
                <w:color w:val="auto"/>
              </w:rPr>
            </w:pPr>
            <w:r>
              <w:rPr>
                <w:rFonts w:ascii="Arial" w:cs="Arial" w:eastAsia="Arial" w:hAnsi="Arial"/>
                <w:sz w:val="18"/>
                <w:szCs w:val="18"/>
                <w:color w:val="auto"/>
              </w:rPr>
              <w:t>Current Guidance</w:t>
            </w:r>
          </w:p>
        </w:tc>
        <w:tc>
          <w:tcPr>
            <w:tcW w:w="0" w:type="dxa"/>
            <w:vAlign w:val="bottom"/>
          </w:tcPr>
          <w:p>
            <w:pPr>
              <w:spacing w:after="0"/>
              <w:rPr>
                <w:sz w:val="1"/>
                <w:szCs w:val="1"/>
                <w:color w:val="auto"/>
              </w:rPr>
            </w:pPr>
          </w:p>
        </w:tc>
      </w:tr>
      <w:tr>
        <w:trPr>
          <w:trHeight w:val="217"/>
        </w:trPr>
        <w:tc>
          <w:tcPr>
            <w:tcW w:w="5880" w:type="dxa"/>
            <w:vAlign w:val="bottom"/>
            <w:tcBorders>
              <w:left w:val="single" w:sz="8" w:color="auto"/>
            </w:tcBorders>
          </w:tcPr>
          <w:p>
            <w:pPr>
              <w:spacing w:after="0"/>
              <w:rPr>
                <w:sz w:val="18"/>
                <w:szCs w:val="18"/>
                <w:color w:val="auto"/>
              </w:rPr>
            </w:pP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Previous Guidance</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1/11/2022</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58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Total revenue</w:t>
            </w:r>
          </w:p>
        </w:tc>
        <w:tc>
          <w:tcPr>
            <w:tcW w:w="3560" w:type="dxa"/>
            <w:vAlign w:val="bottom"/>
            <w:gridSpan w:val="3"/>
          </w:tcPr>
          <w:p>
            <w:pPr>
              <w:jc w:val="right"/>
              <w:ind w:right="1040"/>
              <w:spacing w:after="0"/>
              <w:rPr>
                <w:sz w:val="20"/>
                <w:szCs w:val="20"/>
                <w:color w:val="auto"/>
              </w:rPr>
            </w:pPr>
            <w:r>
              <w:rPr>
                <w:rFonts w:ascii="Arial" w:cs="Arial" w:eastAsia="Arial" w:hAnsi="Arial"/>
                <w:sz w:val="18"/>
                <w:szCs w:val="18"/>
                <w:color w:val="auto"/>
              </w:rPr>
              <w:t>~ -20% (vs 4Q19)</w:t>
            </w:r>
          </w:p>
        </w:tc>
        <w:tc>
          <w:tcPr>
            <w:tcW w:w="1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 -17% (vs 4Q19)</w:t>
            </w:r>
          </w:p>
        </w:tc>
        <w:tc>
          <w:tcPr>
            <w:tcW w:w="0" w:type="dxa"/>
            <w:vAlign w:val="bottom"/>
          </w:tcPr>
          <w:p>
            <w:pPr>
              <w:spacing w:after="0"/>
              <w:rPr>
                <w:sz w:val="1"/>
                <w:szCs w:val="1"/>
                <w:color w:val="auto"/>
              </w:rPr>
            </w:pPr>
          </w:p>
        </w:tc>
      </w:tr>
      <w:tr>
        <w:trPr>
          <w:trHeight w:val="445"/>
        </w:trPr>
        <w:tc>
          <w:tcPr>
            <w:tcW w:w="588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Available seat miles (ASMs) (bil)</w:t>
            </w:r>
          </w:p>
        </w:tc>
        <w:tc>
          <w:tcPr>
            <w:tcW w:w="3560" w:type="dxa"/>
            <w:vAlign w:val="bottom"/>
            <w:gridSpan w:val="3"/>
          </w:tcPr>
          <w:p>
            <w:pPr>
              <w:jc w:val="right"/>
              <w:ind w:right="1040"/>
              <w:spacing w:after="0"/>
              <w:rPr>
                <w:sz w:val="20"/>
                <w:szCs w:val="20"/>
                <w:color w:val="auto"/>
              </w:rPr>
            </w:pPr>
            <w:r>
              <w:rPr>
                <w:rFonts w:ascii="Arial" w:cs="Arial" w:eastAsia="Arial" w:hAnsi="Arial"/>
                <w:sz w:val="18"/>
                <w:szCs w:val="18"/>
                <w:color w:val="auto"/>
              </w:rPr>
              <w:t>~ -11% to -13% (vs 4Q19)</w:t>
            </w:r>
          </w:p>
        </w:tc>
        <w:tc>
          <w:tcPr>
            <w:tcW w:w="1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 -13% (vs 4Q19)</w:t>
            </w:r>
          </w:p>
        </w:tc>
        <w:tc>
          <w:tcPr>
            <w:tcW w:w="0" w:type="dxa"/>
            <w:vAlign w:val="bottom"/>
          </w:tcPr>
          <w:p>
            <w:pPr>
              <w:spacing w:after="0"/>
              <w:rPr>
                <w:sz w:val="1"/>
                <w:szCs w:val="1"/>
                <w:color w:val="auto"/>
              </w:rPr>
            </w:pPr>
          </w:p>
        </w:tc>
      </w:tr>
      <w:tr>
        <w:trPr>
          <w:trHeight w:val="122"/>
        </w:trPr>
        <w:tc>
          <w:tcPr>
            <w:tcW w:w="5880" w:type="dxa"/>
            <w:vAlign w:val="bottom"/>
            <w:tcBorders>
              <w:left w:val="single" w:sz="8" w:color="auto"/>
            </w:tcBorders>
            <w:vMerge w:val="continue"/>
          </w:tcPr>
          <w:p>
            <w:pPr>
              <w:spacing w:after="0"/>
              <w:rPr>
                <w:sz w:val="10"/>
                <w:szCs w:val="10"/>
                <w:color w:val="auto"/>
              </w:rPr>
            </w:pPr>
          </w:p>
        </w:tc>
        <w:tc>
          <w:tcPr>
            <w:tcW w:w="3560" w:type="dxa"/>
            <w:vAlign w:val="bottom"/>
            <w:gridSpan w:val="3"/>
            <w:vMerge w:val="restart"/>
          </w:tcPr>
          <w:p>
            <w:pPr>
              <w:jc w:val="right"/>
              <w:ind w:right="1040"/>
              <w:spacing w:after="0"/>
              <w:rPr>
                <w:sz w:val="20"/>
                <w:szCs w:val="20"/>
                <w:color w:val="auto"/>
              </w:rPr>
            </w:pPr>
            <w:r>
              <w:rPr>
                <w:rFonts w:ascii="Arial" w:cs="Arial" w:eastAsia="Arial" w:hAnsi="Arial"/>
                <w:sz w:val="18"/>
                <w:szCs w:val="18"/>
                <w:color w:val="auto"/>
              </w:rPr>
              <w:t>to ~62 bil ASMs</w:t>
            </w:r>
          </w:p>
        </w:tc>
        <w:tc>
          <w:tcPr>
            <w:tcW w:w="1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rPr>
              <w:t>to ~61 bil ASMs</w:t>
            </w:r>
          </w:p>
        </w:tc>
        <w:tc>
          <w:tcPr>
            <w:tcW w:w="0" w:type="dxa"/>
            <w:vAlign w:val="bottom"/>
          </w:tcPr>
          <w:p>
            <w:pPr>
              <w:spacing w:after="0"/>
              <w:rPr>
                <w:sz w:val="1"/>
                <w:szCs w:val="1"/>
                <w:color w:val="auto"/>
              </w:rPr>
            </w:pPr>
          </w:p>
        </w:tc>
      </w:tr>
      <w:tr>
        <w:trPr>
          <w:trHeight w:val="94"/>
        </w:trPr>
        <w:tc>
          <w:tcPr>
            <w:tcW w:w="5880" w:type="dxa"/>
            <w:vAlign w:val="bottom"/>
            <w:tcBorders>
              <w:left w:val="single" w:sz="8" w:color="auto"/>
            </w:tcBorders>
          </w:tcPr>
          <w:p>
            <w:pPr>
              <w:spacing w:after="0"/>
              <w:rPr>
                <w:sz w:val="8"/>
                <w:szCs w:val="8"/>
                <w:color w:val="auto"/>
              </w:rPr>
            </w:pPr>
          </w:p>
        </w:tc>
        <w:tc>
          <w:tcPr>
            <w:tcW w:w="3560" w:type="dxa"/>
            <w:vAlign w:val="bottom"/>
            <w:gridSpan w:val="3"/>
            <w:vMerge w:val="continue"/>
          </w:tcPr>
          <w:p>
            <w:pPr>
              <w:spacing w:after="0"/>
              <w:rPr>
                <w:sz w:val="8"/>
                <w:szCs w:val="8"/>
                <w:color w:val="auto"/>
              </w:rPr>
            </w:pPr>
          </w:p>
        </w:tc>
        <w:tc>
          <w:tcPr>
            <w:tcW w:w="17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5"/>
        </w:trPr>
        <w:tc>
          <w:tcPr>
            <w:tcW w:w="588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CASM excluding fuel and net special items</w:t>
            </w:r>
          </w:p>
        </w:tc>
        <w:tc>
          <w:tcPr>
            <w:tcW w:w="3560" w:type="dxa"/>
            <w:vAlign w:val="bottom"/>
            <w:gridSpan w:val="3"/>
          </w:tcPr>
          <w:p>
            <w:pPr>
              <w:jc w:val="right"/>
              <w:ind w:right="1040"/>
              <w:spacing w:after="0"/>
              <w:rPr>
                <w:sz w:val="20"/>
                <w:szCs w:val="20"/>
                <w:color w:val="auto"/>
              </w:rPr>
            </w:pPr>
            <w:r>
              <w:rPr>
                <w:rFonts w:ascii="Arial" w:cs="Arial" w:eastAsia="Arial" w:hAnsi="Arial"/>
                <w:sz w:val="18"/>
                <w:szCs w:val="18"/>
                <w:color w:val="auto"/>
              </w:rPr>
              <w:t>~ +8% to +10%</w:t>
            </w:r>
          </w:p>
        </w:tc>
        <w:tc>
          <w:tcPr>
            <w:tcW w:w="1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 +13% to +14%</w:t>
            </w:r>
          </w:p>
        </w:tc>
        <w:tc>
          <w:tcPr>
            <w:tcW w:w="0" w:type="dxa"/>
            <w:vAlign w:val="bottom"/>
          </w:tcPr>
          <w:p>
            <w:pPr>
              <w:spacing w:after="0"/>
              <w:rPr>
                <w:sz w:val="1"/>
                <w:szCs w:val="1"/>
                <w:color w:val="auto"/>
              </w:rPr>
            </w:pPr>
          </w:p>
        </w:tc>
      </w:tr>
      <w:tr>
        <w:trPr>
          <w:trHeight w:val="122"/>
        </w:trPr>
        <w:tc>
          <w:tcPr>
            <w:tcW w:w="5880" w:type="dxa"/>
            <w:vAlign w:val="bottom"/>
            <w:tcBorders>
              <w:left w:val="single" w:sz="8" w:color="auto"/>
            </w:tcBorders>
            <w:vMerge w:val="continue"/>
          </w:tcPr>
          <w:p>
            <w:pPr>
              <w:spacing w:after="0"/>
              <w:rPr>
                <w:sz w:val="10"/>
                <w:szCs w:val="10"/>
                <w:color w:val="auto"/>
              </w:rPr>
            </w:pPr>
          </w:p>
        </w:tc>
        <w:tc>
          <w:tcPr>
            <w:tcW w:w="3560" w:type="dxa"/>
            <w:vAlign w:val="bottom"/>
            <w:gridSpan w:val="3"/>
            <w:vMerge w:val="restart"/>
          </w:tcPr>
          <w:p>
            <w:pPr>
              <w:jc w:val="right"/>
              <w:ind w:right="1040"/>
              <w:spacing w:after="0"/>
              <w:rPr>
                <w:sz w:val="20"/>
                <w:szCs w:val="20"/>
                <w:color w:val="auto"/>
              </w:rPr>
            </w:pPr>
            <w:r>
              <w:rPr>
                <w:rFonts w:ascii="Arial" w:cs="Arial" w:eastAsia="Arial" w:hAnsi="Arial"/>
                <w:sz w:val="18"/>
                <w:szCs w:val="18"/>
                <w:color w:val="auto"/>
              </w:rPr>
              <w:t>(vs 4Q19)</w:t>
            </w:r>
          </w:p>
        </w:tc>
        <w:tc>
          <w:tcPr>
            <w:tcW w:w="1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rPr>
              <w:t>(vs 4Q19)</w:t>
            </w:r>
          </w:p>
        </w:tc>
        <w:tc>
          <w:tcPr>
            <w:tcW w:w="0" w:type="dxa"/>
            <w:vAlign w:val="bottom"/>
          </w:tcPr>
          <w:p>
            <w:pPr>
              <w:spacing w:after="0"/>
              <w:rPr>
                <w:sz w:val="1"/>
                <w:szCs w:val="1"/>
                <w:color w:val="auto"/>
              </w:rPr>
            </w:pPr>
          </w:p>
        </w:tc>
      </w:tr>
      <w:tr>
        <w:trPr>
          <w:trHeight w:val="95"/>
        </w:trPr>
        <w:tc>
          <w:tcPr>
            <w:tcW w:w="5880" w:type="dxa"/>
            <w:vAlign w:val="bottom"/>
            <w:tcBorders>
              <w:left w:val="single" w:sz="8" w:color="auto"/>
            </w:tcBorders>
          </w:tcPr>
          <w:p>
            <w:pPr>
              <w:spacing w:after="0"/>
              <w:rPr>
                <w:sz w:val="8"/>
                <w:szCs w:val="8"/>
                <w:color w:val="auto"/>
              </w:rPr>
            </w:pPr>
          </w:p>
        </w:tc>
        <w:tc>
          <w:tcPr>
            <w:tcW w:w="3560" w:type="dxa"/>
            <w:vAlign w:val="bottom"/>
            <w:gridSpan w:val="3"/>
            <w:vMerge w:val="continue"/>
          </w:tcPr>
          <w:p>
            <w:pPr>
              <w:spacing w:after="0"/>
              <w:rPr>
                <w:sz w:val="8"/>
                <w:szCs w:val="8"/>
                <w:color w:val="auto"/>
              </w:rPr>
            </w:pPr>
          </w:p>
        </w:tc>
        <w:tc>
          <w:tcPr>
            <w:tcW w:w="17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6"/>
        </w:trPr>
        <w:tc>
          <w:tcPr>
            <w:tcW w:w="58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Average fuel price (incl. taxes) ($/gal)</w:t>
            </w:r>
          </w:p>
        </w:tc>
        <w:tc>
          <w:tcPr>
            <w:tcW w:w="3560" w:type="dxa"/>
            <w:vAlign w:val="bottom"/>
            <w:gridSpan w:val="3"/>
          </w:tcPr>
          <w:p>
            <w:pPr>
              <w:jc w:val="right"/>
              <w:ind w:right="1040"/>
              <w:spacing w:after="0"/>
              <w:rPr>
                <w:sz w:val="20"/>
                <w:szCs w:val="20"/>
                <w:color w:val="auto"/>
              </w:rPr>
            </w:pPr>
            <w:r>
              <w:rPr>
                <w:rFonts w:ascii="Arial" w:cs="Arial" w:eastAsia="Arial" w:hAnsi="Arial"/>
                <w:sz w:val="18"/>
                <w:szCs w:val="18"/>
                <w:color w:val="auto"/>
              </w:rPr>
              <w:t>~ $2.43 to $2.48</w:t>
            </w:r>
          </w:p>
        </w:tc>
        <w:tc>
          <w:tcPr>
            <w:tcW w:w="1620" w:type="dxa"/>
            <w:vAlign w:val="bottom"/>
          </w:tcPr>
          <w:p>
            <w:pPr>
              <w:jc w:val="right"/>
              <w:spacing w:after="0"/>
              <w:rPr>
                <w:sz w:val="20"/>
                <w:szCs w:val="20"/>
                <w:color w:val="auto"/>
              </w:rPr>
            </w:pPr>
            <w:r>
              <w:rPr>
                <w:rFonts w:ascii="Arial" w:cs="Arial" w:eastAsia="Arial" w:hAnsi="Arial"/>
                <w:sz w:val="18"/>
                <w:szCs w:val="18"/>
                <w:color w:val="auto"/>
              </w:rPr>
              <w:t>~ $2.36</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Fuel gallons consumed (mil)</w:t>
            </w:r>
          </w:p>
        </w:tc>
        <w:tc>
          <w:tcPr>
            <w:tcW w:w="2540" w:type="dxa"/>
            <w:vAlign w:val="bottom"/>
          </w:tcPr>
          <w:p>
            <w:pPr>
              <w:jc w:val="right"/>
              <w:spacing w:after="0"/>
              <w:rPr>
                <w:sz w:val="20"/>
                <w:szCs w:val="20"/>
                <w:color w:val="auto"/>
              </w:rPr>
            </w:pPr>
            <w:r>
              <w:rPr>
                <w:rFonts w:ascii="Arial" w:cs="Arial" w:eastAsia="Arial" w:hAnsi="Arial"/>
                <w:sz w:val="18"/>
                <w:szCs w:val="18"/>
                <w:color w:val="auto"/>
              </w:rPr>
              <w:t>~ 970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 931</w:t>
            </w: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58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Other nonoperating expense excluding net special items ($ mil)</w:t>
            </w:r>
          </w:p>
        </w:tc>
        <w:tc>
          <w:tcPr>
            <w:tcW w:w="2540" w:type="dxa"/>
            <w:vAlign w:val="bottom"/>
          </w:tcPr>
          <w:p>
            <w:pPr>
              <w:jc w:val="right"/>
              <w:spacing w:after="0"/>
              <w:rPr>
                <w:sz w:val="20"/>
                <w:szCs w:val="20"/>
                <w:color w:val="auto"/>
              </w:rPr>
            </w:pPr>
            <w:r>
              <w:rPr>
                <w:rFonts w:ascii="Arial" w:cs="Arial" w:eastAsia="Arial" w:hAnsi="Arial"/>
                <w:sz w:val="18"/>
                <w:szCs w:val="18"/>
                <w:color w:val="auto"/>
              </w:rPr>
              <w:t>~ 380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 382</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8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Pretax margin excluding net special items</w:t>
            </w:r>
          </w:p>
        </w:tc>
        <w:tc>
          <w:tcPr>
            <w:tcW w:w="3560" w:type="dxa"/>
            <w:vAlign w:val="bottom"/>
            <w:gridSpan w:val="3"/>
          </w:tcPr>
          <w:p>
            <w:pPr>
              <w:jc w:val="right"/>
              <w:ind w:right="1040"/>
              <w:spacing w:after="0"/>
              <w:rPr>
                <w:sz w:val="20"/>
                <w:szCs w:val="20"/>
                <w:color w:val="auto"/>
              </w:rPr>
            </w:pPr>
            <w:r>
              <w:rPr>
                <w:rFonts w:ascii="Arial" w:cs="Arial" w:eastAsia="Arial" w:hAnsi="Arial"/>
                <w:sz w:val="18"/>
                <w:szCs w:val="18"/>
                <w:color w:val="auto"/>
              </w:rPr>
              <w:t>~ -16% to -18%</w:t>
            </w:r>
          </w:p>
        </w:tc>
        <w:tc>
          <w:tcPr>
            <w:tcW w:w="1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 -12% to -13%</w:t>
            </w:r>
          </w:p>
        </w:tc>
        <w:tc>
          <w:tcPr>
            <w:tcW w:w="0" w:type="dxa"/>
            <w:vAlign w:val="bottom"/>
          </w:tcPr>
          <w:p>
            <w:pPr>
              <w:spacing w:after="0"/>
              <w:rPr>
                <w:sz w:val="1"/>
                <w:szCs w:val="1"/>
                <w:color w:val="auto"/>
              </w:rPr>
            </w:pPr>
          </w:p>
        </w:tc>
      </w:tr>
      <w:tr>
        <w:trPr>
          <w:trHeight w:val="256"/>
        </w:trPr>
        <w:tc>
          <w:tcPr>
            <w:tcW w:w="5880" w:type="dxa"/>
            <w:vAlign w:val="bottom"/>
            <w:tcBorders>
              <w:left w:val="single" w:sz="8" w:color="auto"/>
              <w:bottom w:val="single" w:sz="8" w:color="auto"/>
            </w:tcBorders>
          </w:tcPr>
          <w:p>
            <w:pPr>
              <w:spacing w:after="0"/>
              <w:rPr>
                <w:sz w:val="22"/>
                <w:szCs w:val="22"/>
                <w:color w:val="auto"/>
              </w:rPr>
            </w:pPr>
          </w:p>
        </w:tc>
        <w:tc>
          <w:tcPr>
            <w:tcW w:w="2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54" w:lineRule="exact"/>
        <w:rPr>
          <w:sz w:val="20"/>
          <w:szCs w:val="20"/>
          <w:color w:val="auto"/>
        </w:rPr>
      </w:pPr>
    </w:p>
    <w:p>
      <w:pPr>
        <w:ind w:left="440" w:right="380" w:hanging="414"/>
        <w:spacing w:after="0" w:line="237" w:lineRule="auto"/>
        <w:tabs>
          <w:tab w:leader="none" w:pos="4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guidance on certain non-GAAP measures, which exclude, among other things, net special items. Please see the GAAP to non-GAAP reconciliation at the end of this document.</w:t>
      </w:r>
    </w:p>
    <w:p>
      <w:pPr>
        <w:spacing w:after="0" w:line="1" w:lineRule="exact"/>
        <w:rPr>
          <w:rFonts w:ascii="Arial" w:cs="Arial" w:eastAsia="Arial" w:hAnsi="Arial"/>
          <w:sz w:val="18"/>
          <w:szCs w:val="18"/>
          <w:i w:val="1"/>
          <w:iCs w:val="1"/>
          <w:color w:val="auto"/>
        </w:rPr>
      </w:pPr>
    </w:p>
    <w:p>
      <w:pPr>
        <w:ind w:left="440" w:hanging="414"/>
        <w:spacing w:after="0"/>
        <w:tabs>
          <w:tab w:leader="none" w:pos="4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Numbers may not recalculate due to rounding.</w:t>
      </w:r>
    </w:p>
    <w:p>
      <w:pPr>
        <w:sectPr>
          <w:pgSz w:w="11900" w:h="16838" w:orient="portrait"/>
          <w:cols w:equalWidth="0" w:num="1">
            <w:col w:w="11220"/>
          </w:cols>
          <w:pgMar w:left="320" w:top="1349" w:right="3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GAAP to Non-GAAP Reconciliation</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January 11, 2022</w:t>
      </w:r>
    </w:p>
    <w:p>
      <w:pPr>
        <w:spacing w:after="0" w:line="289" w:lineRule="exact"/>
        <w:rPr>
          <w:sz w:val="20"/>
          <w:szCs w:val="20"/>
          <w:color w:val="auto"/>
        </w:rPr>
      </w:pPr>
    </w:p>
    <w:p>
      <w:pPr>
        <w:spacing w:after="0" w:line="245" w:lineRule="auto"/>
        <w:rPr>
          <w:sz w:val="20"/>
          <w:szCs w:val="20"/>
          <w:color w:val="auto"/>
        </w:rPr>
      </w:pPr>
      <w:r>
        <w:rPr>
          <w:rFonts w:ascii="Arial" w:cs="Arial" w:eastAsia="Arial" w:hAnsi="Arial"/>
          <w:sz w:val="15"/>
          <w:szCs w:val="15"/>
          <w:color w:val="auto"/>
        </w:rPr>
        <w:t>The Company sometimes uses financial measures that are derived from the condensed consolidated financial statements but that are not presented in accordance with GAAP to understand and evaluate its current operating performance and to allow for period-to-period comparisons. The Company believes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The Company is providing a reconciliation of reported non-GAAP financial measures to their comparable financial measures on a GAAP basis. The tables below present the reconciliations of the following GAAP measures to their non-GAAP measures: Pretax loss (GAAP measure) to pretax loss excluding net special items (non-GAAP measure) and pretax margin (GAAP measure) to pretax margin excluding net special items (non-GAAP measure). Management uses these non-GAAP financial measures to evaluate the Company's current operating performance and to allow for period-to-period comparisons. As net special items may vary from period-to-period in nature and amount, the adjustment to exclude net special items allows management an additional tool to understand the Company’s core operating performance. Additionally, the tables below present the reconciliations of total operating costs (GAAP measure) to total operating costs excluding net special items and fuel (non-GAAP measure) and total operating costs per ASM (CASM) to CASM excluding net special items and fuel. Management uses total operating costs and CASM excluding net special items and fuel to evaluate the Company's current operating performance and for period-to-period comparisons. The price of fuel, over which the Company has no control, impacts the comparability of period-to-period financial performance. The adjustment to exclude fuel and net special items allows management an additional tool to understand and analyze the Company’s non-fuel costs and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GAAP to Non-GAAP Reconciliation of Pretax Loss</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mil except share and per share amounts)</w:t>
      </w:r>
    </w:p>
    <w:p>
      <w:pPr>
        <w:spacing w:after="0" w:line="23"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4Q21 Range</w:t>
            </w:r>
          </w:p>
        </w:tc>
        <w:tc>
          <w:tcPr>
            <w:tcW w:w="940" w:type="dxa"/>
            <w:vAlign w:val="bottom"/>
            <w:tcBorders>
              <w:bottom w:val="single" w:sz="8" w:color="auto"/>
            </w:tcBorders>
          </w:tcPr>
          <w:p>
            <w:pPr>
              <w:spacing w:after="0"/>
              <w:rPr>
                <w:sz w:val="18"/>
                <w:szCs w:val="18"/>
                <w:color w:val="auto"/>
              </w:rPr>
            </w:pPr>
          </w:p>
        </w:tc>
      </w:tr>
      <w:tr>
        <w:trPr>
          <w:trHeight w:val="209"/>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6"/>
                <w:szCs w:val="16"/>
                <w:b w:val="1"/>
                <w:bCs w:val="1"/>
                <w:color w:val="auto"/>
              </w:rPr>
              <w:t>Low</w:t>
            </w:r>
          </w:p>
        </w:tc>
        <w:tc>
          <w:tcPr>
            <w:tcW w:w="480" w:type="dxa"/>
            <w:vAlign w:val="bottom"/>
          </w:tcPr>
          <w:p>
            <w:pPr>
              <w:spacing w:after="0"/>
              <w:rPr>
                <w:sz w:val="18"/>
                <w:szCs w:val="18"/>
                <w:color w:val="auto"/>
              </w:rPr>
            </w:pPr>
          </w:p>
        </w:tc>
        <w:tc>
          <w:tcPr>
            <w:tcW w:w="940" w:type="dxa"/>
            <w:vAlign w:val="bottom"/>
          </w:tcPr>
          <w:p>
            <w:pPr>
              <w:jc w:val="right"/>
              <w:ind w:right="459"/>
              <w:spacing w:after="0"/>
              <w:rPr>
                <w:sz w:val="20"/>
                <w:szCs w:val="20"/>
                <w:color w:val="auto"/>
              </w:rPr>
            </w:pPr>
            <w:r>
              <w:rPr>
                <w:rFonts w:ascii="Arial" w:cs="Arial" w:eastAsia="Arial" w:hAnsi="Arial"/>
                <w:sz w:val="16"/>
                <w:szCs w:val="16"/>
                <w:b w:val="1"/>
                <w:bCs w:val="1"/>
                <w:color w:val="auto"/>
              </w:rPr>
              <w:t>High</w:t>
            </w:r>
          </w:p>
        </w:tc>
      </w:tr>
      <w:tr>
        <w:trPr>
          <w:trHeight w:val="305"/>
        </w:trPr>
        <w:tc>
          <w:tcPr>
            <w:tcW w:w="7240" w:type="dxa"/>
            <w:vAlign w:val="bottom"/>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9,420</w:t>
            </w:r>
          </w:p>
        </w:tc>
        <w:tc>
          <w:tcPr>
            <w:tcW w:w="100" w:type="dxa"/>
            <w:vAlign w:val="bottom"/>
          </w:tcPr>
          <w:p>
            <w:pPr>
              <w:spacing w:after="0"/>
              <w:rPr>
                <w:sz w:val="24"/>
                <w:szCs w:val="24"/>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9,420</w:t>
            </w:r>
          </w:p>
        </w:tc>
      </w:tr>
      <w:tr>
        <w:trPr>
          <w:trHeight w:val="481"/>
        </w:trPr>
        <w:tc>
          <w:tcPr>
            <w:tcW w:w="7240" w:type="dxa"/>
            <w:vAlign w:val="bottom"/>
          </w:tcPr>
          <w:p>
            <w:pPr>
              <w:spacing w:after="0"/>
              <w:rPr>
                <w:sz w:val="20"/>
                <w:szCs w:val="20"/>
                <w:color w:val="auto"/>
              </w:rPr>
            </w:pPr>
            <w:r>
              <w:rPr>
                <w:rFonts w:ascii="Arial" w:cs="Arial" w:eastAsia="Arial" w:hAnsi="Arial"/>
                <w:sz w:val="18"/>
                <w:szCs w:val="18"/>
                <w:color w:val="auto"/>
              </w:rPr>
              <w:t>Pretax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24"/>
                <w:szCs w:val="24"/>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(1,170)</w:t>
            </w:r>
          </w:p>
        </w:tc>
      </w:tr>
      <w:tr>
        <w:trPr>
          <w:trHeight w:val="235"/>
        </w:trPr>
        <w:tc>
          <w:tcPr>
            <w:tcW w:w="7240" w:type="dxa"/>
            <w:vAlign w:val="bottom"/>
          </w:tcPr>
          <w:p>
            <w:pPr>
              <w:ind w:left="760"/>
              <w:spacing w:after="0"/>
              <w:rPr>
                <w:sz w:val="20"/>
                <w:szCs w:val="20"/>
                <w:color w:val="auto"/>
              </w:rPr>
            </w:pPr>
            <w:r>
              <w:rPr>
                <w:rFonts w:ascii="Arial" w:cs="Arial" w:eastAsia="Arial" w:hAnsi="Arial"/>
                <w:sz w:val="18"/>
                <w:szCs w:val="18"/>
                <w:i w:val="1"/>
                <w:iCs w:val="1"/>
                <w:color w:val="auto"/>
              </w:rPr>
              <w:t>Pretax margin</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-13 %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-12 %</w:t>
            </w: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Pretax net special items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w:t>
            </w:r>
          </w:p>
        </w:tc>
      </w:tr>
      <w:tr>
        <w:trPr>
          <w:trHeight w:val="204"/>
        </w:trPr>
        <w:tc>
          <w:tcPr>
            <w:tcW w:w="7240" w:type="dxa"/>
            <w:vAlign w:val="bottom"/>
          </w:tcPr>
          <w:p>
            <w:pPr>
              <w:spacing w:after="0" w:line="204" w:lineRule="exact"/>
              <w:rPr>
                <w:sz w:val="20"/>
                <w:szCs w:val="20"/>
                <w:color w:val="auto"/>
              </w:rPr>
            </w:pPr>
            <w:r>
              <w:rPr>
                <w:rFonts w:ascii="Arial" w:cs="Arial" w:eastAsia="Arial" w:hAnsi="Arial"/>
                <w:sz w:val="18"/>
                <w:szCs w:val="18"/>
                <w:color w:val="auto"/>
              </w:rPr>
              <w:t>Pretax loss excluding net special items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17"/>
                <w:szCs w:val="17"/>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(1,161)</w:t>
            </w:r>
          </w:p>
        </w:tc>
      </w:tr>
      <w:tr>
        <w:trPr>
          <w:trHeight w:val="235"/>
        </w:trPr>
        <w:tc>
          <w:tcPr>
            <w:tcW w:w="7240" w:type="dxa"/>
            <w:vAlign w:val="bottom"/>
          </w:tcPr>
          <w:p>
            <w:pPr>
              <w:ind w:left="760"/>
              <w:spacing w:after="0"/>
              <w:rPr>
                <w:sz w:val="20"/>
                <w:szCs w:val="20"/>
                <w:color w:val="auto"/>
              </w:rPr>
            </w:pPr>
            <w:r>
              <w:rPr>
                <w:rFonts w:ascii="Arial" w:cs="Arial" w:eastAsia="Arial" w:hAnsi="Arial"/>
                <w:sz w:val="18"/>
                <w:szCs w:val="18"/>
                <w:i w:val="1"/>
                <w:iCs w:val="1"/>
                <w:color w:val="auto"/>
              </w:rPr>
              <w:t>Pretax margin excluding net special items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-13 %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-12 %</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Note: Amounts may not recalculate due to rounding.</w:t>
      </w:r>
    </w:p>
    <w:p>
      <w:pPr>
        <w:sectPr>
          <w:pgSz w:w="11900" w:h="16838" w:orient="portrait"/>
          <w:cols w:equalWidth="0" w:num="1">
            <w:col w:w="11220"/>
          </w:cols>
          <w:pgMar w:left="320" w:top="1349" w:right="35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GAAP to Non-GAAP Reconciliation</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January 11, 2022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80"/>
        <w:spacing w:after="0" w:line="303" w:lineRule="auto"/>
        <w:rPr>
          <w:sz w:val="20"/>
          <w:szCs w:val="20"/>
          <w:color w:val="auto"/>
        </w:rPr>
      </w:pPr>
      <w:r>
        <w:rPr>
          <w:rFonts w:ascii="Arial" w:cs="Arial" w:eastAsia="Arial" w:hAnsi="Arial"/>
          <w:sz w:val="18"/>
          <w:szCs w:val="18"/>
          <w:b w:val="1"/>
          <w:bCs w:val="1"/>
          <w:color w:val="auto"/>
        </w:rPr>
        <w:t>GAAP to Non-GAAP Reconciliation of Total Operating Costs and CASM ($ mil except ASM and CASM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4Q21 Range</w:t>
            </w:r>
          </w:p>
        </w:tc>
        <w:tc>
          <w:tcPr>
            <w:tcW w:w="960" w:type="dxa"/>
            <w:vAlign w:val="bottom"/>
            <w:tcBorders>
              <w:bottom w:val="single" w:sz="8" w:color="auto"/>
            </w:tcBorders>
          </w:tcPr>
          <w:p>
            <w:pPr>
              <w:spacing w:after="0"/>
              <w:rPr>
                <w:sz w:val="20"/>
                <w:szCs w:val="20"/>
                <w:color w:val="auto"/>
              </w:rPr>
            </w:pPr>
          </w:p>
        </w:tc>
      </w:tr>
      <w:tr>
        <w:trPr>
          <w:trHeight w:val="223"/>
        </w:trPr>
        <w:tc>
          <w:tcPr>
            <w:tcW w:w="7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Low</w:t>
            </w:r>
          </w:p>
        </w:tc>
        <w:tc>
          <w:tcPr>
            <w:tcW w:w="480" w:type="dxa"/>
            <w:vAlign w:val="bottom"/>
          </w:tcPr>
          <w:p>
            <w:pPr>
              <w:spacing w:after="0"/>
              <w:rPr>
                <w:sz w:val="19"/>
                <w:szCs w:val="19"/>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rPr>
              <w:t>High</w:t>
            </w:r>
          </w:p>
        </w:tc>
      </w:tr>
      <w:tr>
        <w:trPr>
          <w:trHeight w:val="642"/>
        </w:trPr>
        <w:tc>
          <w:tcPr>
            <w:tcW w:w="71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10,179</w:t>
            </w:r>
          </w:p>
        </w:tc>
        <w:tc>
          <w:tcPr>
            <w:tcW w:w="100" w:type="dxa"/>
            <w:vAlign w:val="bottom"/>
          </w:tcPr>
          <w:p>
            <w:pPr>
              <w:spacing w:after="0"/>
              <w:rPr>
                <w:sz w:val="24"/>
                <w:szCs w:val="24"/>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10,250</w:t>
            </w:r>
          </w:p>
        </w:tc>
      </w:tr>
      <w:tr>
        <w:trPr>
          <w:trHeight w:val="229"/>
        </w:trPr>
        <w:tc>
          <w:tcPr>
            <w:tcW w:w="7180" w:type="dxa"/>
            <w:vAlign w:val="bottom"/>
          </w:tcPr>
          <w:p>
            <w:pPr>
              <w:spacing w:after="0"/>
              <w:rPr>
                <w:sz w:val="20"/>
                <w:szCs w:val="20"/>
                <w:color w:val="auto"/>
              </w:rPr>
            </w:pPr>
            <w:r>
              <w:rPr>
                <w:rFonts w:ascii="Arial" w:cs="Arial" w:eastAsia="Arial" w:hAnsi="Arial"/>
                <w:sz w:val="18"/>
                <w:szCs w:val="18"/>
                <w:color w:val="auto"/>
              </w:rPr>
              <w:t>Less fuel expense</w:t>
            </w:r>
          </w:p>
        </w:tc>
        <w:tc>
          <w:tcPr>
            <w:tcW w:w="32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2,197</w:t>
            </w:r>
          </w:p>
        </w:tc>
      </w:tr>
      <w:tr>
        <w:trPr>
          <w:trHeight w:val="229"/>
        </w:trPr>
        <w:tc>
          <w:tcPr>
            <w:tcW w:w="7180" w:type="dxa"/>
            <w:vAlign w:val="bottom"/>
          </w:tcPr>
          <w:p>
            <w:pPr>
              <w:spacing w:after="0"/>
              <w:rPr>
                <w:sz w:val="20"/>
                <w:szCs w:val="20"/>
                <w:color w:val="auto"/>
              </w:rPr>
            </w:pPr>
            <w:r>
              <w:rPr>
                <w:rFonts w:ascii="Arial" w:cs="Arial" w:eastAsia="Arial" w:hAnsi="Arial"/>
                <w:sz w:val="18"/>
                <w:szCs w:val="18"/>
                <w:color w:val="auto"/>
              </w:rPr>
              <w:t>Less operating net special items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w:t>
            </w: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Total operating expense excluding fuel and net special items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8,002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8,073</w:t>
            </w:r>
          </w:p>
        </w:tc>
      </w:tr>
      <w:tr>
        <w:trPr>
          <w:trHeight w:val="500"/>
        </w:trPr>
        <w:tc>
          <w:tcPr>
            <w:tcW w:w="7180" w:type="dxa"/>
            <w:vAlign w:val="bottom"/>
          </w:tcPr>
          <w:p>
            <w:pPr>
              <w:spacing w:after="0"/>
              <w:rPr>
                <w:sz w:val="20"/>
                <w:szCs w:val="20"/>
                <w:color w:val="auto"/>
              </w:rPr>
            </w:pPr>
            <w:r>
              <w:rPr>
                <w:rFonts w:ascii="Arial" w:cs="Arial" w:eastAsia="Arial" w:hAnsi="Arial"/>
                <w:sz w:val="18"/>
                <w:szCs w:val="18"/>
                <w:color w:val="auto"/>
              </w:rPr>
              <w:t>Total CASM (cts)</w:t>
            </w:r>
          </w:p>
        </w:tc>
        <w:tc>
          <w:tcPr>
            <w:tcW w:w="32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16.78</w:t>
            </w:r>
          </w:p>
        </w:tc>
      </w:tr>
      <w:tr>
        <w:trPr>
          <w:trHeight w:val="494"/>
        </w:trPr>
        <w:tc>
          <w:tcPr>
            <w:tcW w:w="7180" w:type="dxa"/>
            <w:vAlign w:val="bottom"/>
          </w:tcPr>
          <w:p>
            <w:pPr>
              <w:spacing w:after="0"/>
              <w:rPr>
                <w:sz w:val="20"/>
                <w:szCs w:val="20"/>
                <w:color w:val="auto"/>
              </w:rPr>
            </w:pPr>
            <w:r>
              <w:rPr>
                <w:rFonts w:ascii="Arial" w:cs="Arial" w:eastAsia="Arial" w:hAnsi="Arial"/>
                <w:sz w:val="18"/>
                <w:szCs w:val="18"/>
                <w:color w:val="auto"/>
              </w:rPr>
              <w:t>Total CASM excluding fuel and net special items (cts)</w:t>
            </w:r>
          </w:p>
        </w:tc>
        <w:tc>
          <w:tcPr>
            <w:tcW w:w="32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13.21</w:t>
            </w:r>
          </w:p>
        </w:tc>
      </w:tr>
      <w:tr>
        <w:trPr>
          <w:trHeight w:val="235"/>
        </w:trPr>
        <w:tc>
          <w:tcPr>
            <w:tcW w:w="7180" w:type="dxa"/>
            <w:vAlign w:val="bottom"/>
          </w:tcPr>
          <w:p>
            <w:pPr>
              <w:ind w:left="120"/>
              <w:spacing w:after="0"/>
              <w:rPr>
                <w:sz w:val="20"/>
                <w:szCs w:val="20"/>
                <w:color w:val="auto"/>
              </w:rPr>
            </w:pPr>
            <w:r>
              <w:rPr>
                <w:rFonts w:ascii="Arial" w:cs="Arial" w:eastAsia="Arial" w:hAnsi="Arial"/>
                <w:sz w:val="18"/>
                <w:szCs w:val="18"/>
                <w:i w:val="1"/>
                <w:iCs w:val="1"/>
                <w:color w:val="auto"/>
              </w:rPr>
              <w:t>Percentage change compared to 4Q 2019 (%)</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13.0 %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14.0 %</w:t>
            </w:r>
          </w:p>
        </w:tc>
      </w:tr>
      <w:tr>
        <w:trPr>
          <w:trHeight w:val="500"/>
        </w:trPr>
        <w:tc>
          <w:tcPr>
            <w:tcW w:w="7180" w:type="dxa"/>
            <w:vAlign w:val="bottom"/>
          </w:tcPr>
          <w:p>
            <w:pPr>
              <w:spacing w:after="0"/>
              <w:rPr>
                <w:sz w:val="20"/>
                <w:szCs w:val="20"/>
                <w:color w:val="auto"/>
              </w:rPr>
            </w:pPr>
            <w:r>
              <w:rPr>
                <w:rFonts w:ascii="Arial" w:cs="Arial" w:eastAsia="Arial" w:hAnsi="Arial"/>
                <w:sz w:val="18"/>
                <w:szCs w:val="18"/>
                <w:color w:val="auto"/>
              </w:rPr>
              <w:t>Total ASMs (bil)</w:t>
            </w:r>
          </w:p>
        </w:tc>
        <w:tc>
          <w:tcPr>
            <w:tcW w:w="32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61.1</w:t>
            </w:r>
          </w:p>
        </w:tc>
      </w:tr>
    </w:tbl>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Amounts may not recalculate due to rounding.</w:t>
      </w:r>
    </w:p>
    <w:p>
      <w:pPr>
        <w:sectPr>
          <w:pgSz w:w="11900" w:h="16838" w:orient="portrait"/>
          <w:cols w:equalWidth="0" w:num="1">
            <w:col w:w="10160"/>
          </w:cols>
          <w:pgMar w:left="880" w:top="1349" w:right="859" w:bottom="1440" w:gutter="0" w:footer="0" w:header="0"/>
        </w:sectPr>
      </w:pPr>
    </w:p>
    <w:bookmarkStart w:id="7" w:name="page8"/>
    <w:bookmarkEnd w:id="7"/>
    <w:p>
      <w:pPr>
        <w:ind w:left="47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2188210</wp:posOffset>
            </wp:positionH>
            <wp:positionV relativeFrom="page">
              <wp:posOffset>88900</wp:posOffset>
            </wp:positionV>
            <wp:extent cx="3171825"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80060"/>
                    </a:xfrm>
                    <a:prstGeom prst="rect">
                      <a:avLst/>
                    </a:prstGeom>
                    <a:noFill/>
                  </pic:spPr>
                </pic:pic>
              </a:graphicData>
            </a:graphic>
          </wp:anchor>
        </w:drawing>
        <w:t>January 11, 2022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the continuing availability of borrowings under revolving lines of credit,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herein as well as in the Company’s Quarterly Report on Form 10-Q for the quarter ended September 30, 2021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In particular, the consequences of the coronavirus outbreak to economic conditions and the travel industry in general and the financial position and operating results of the Company in particular have been material, are changing rapidly, and cannot be predicted.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sectPr>
      <w:pgSz w:w="11900" w:h="16838" w:orient="portrait"/>
      <w:cols w:equalWidth="0" w:num="1">
        <w:col w:w="11160"/>
      </w:cols>
      <w:pgMar w:left="320" w:top="134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682"/>
    </w:lvl>
  </w:abstractNum>
  <w:abstractNum w:abstractNumId="1">
    <w:nsid w:val="238E1F29"/>
    <w:multiLevelType w:val="hybridMultilevel"/>
    <w:lvl w:ilvl="0">
      <w:lvlJc w:val="left"/>
      <w:lvlText w:val="(%1)"/>
      <w:numFmt w:val="decimal"/>
      <w:start w:val="682"/>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2022-01-11T06:32:37Z</dcterms:created>
  <dcterms:modified xsi:type="dcterms:W3CDTF">2022-01-11T06:32:37Z</dcterms:modified>
</cp:coreProperties>
</file>