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shd w:fill="FFFFFF" w:val="clear"/>
        </w:rPr>
      </w:pPr>
      <w:bookmarkStart w:id="0" w:name="d800477d8k.htm"/>
      <w:bookmarkStart w:id="1" w:name="ksd800477d8k"/>
      <w:bookmarkEnd w:id="0"/>
      <w:bookmarkEnd w:id="1"/>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80" w:after="0"/>
        <w:jc w:val="center"/>
        <w:rPr>
          <w:rFonts w:ascii="Times New Roman" w:hAnsi="Times New Roman"/>
          <w:b/>
          <w:sz w:val="36"/>
          <w:shd w:fill="FFFFFF" w:val="clear"/>
        </w:rPr>
      </w:pPr>
      <w:r>
        <w:rPr>
          <w:rFonts w:ascii="Times New Roman" w:hAnsi="Times New Roman"/>
          <w:b/>
          <w:sz w:val="36"/>
          <w:shd w:fill="FFFFFF" w:val="clear"/>
        </w:rPr>
        <w:t xml:space="preserve">UNITED STATES </w:t>
      </w:r>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 xml:space="preserve">SECURITIES AND EXCHANGE COMMISSION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 xml:space="preserve">FORM 8-K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Times New Roman" w:hAnsi="Times New Roman"/>
          <w:b/>
          <w:sz w:val="24"/>
          <w:shd w:fill="FFFFFF" w:val="clear"/>
        </w:rPr>
      </w:pPr>
      <w:r>
        <w:rPr>
          <w:rFonts w:ascii="Times New Roman" w:hAnsi="Times New Roman"/>
          <w:b/>
          <w:sz w:val="24"/>
          <w:shd w:fill="FFFFFF" w:val="clear"/>
        </w:rPr>
        <w:t xml:space="preserve">CURRENT REPORT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Pursuant to Section 13 or 15(d)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of the Securities Exchange Act of 1934 </w:t>
      </w:r>
    </w:p>
    <w:p>
      <w:pPr>
        <w:pStyle w:val="TextBody"/>
        <w:bidi w:val="0"/>
        <w:spacing w:before="240" w:after="0"/>
        <w:jc w:val="center"/>
        <w:rPr>
          <w:rFonts w:ascii="Times New Roman" w:hAnsi="Times New Roman"/>
          <w:b/>
          <w:sz w:val="24"/>
          <w:shd w:fill="FFFFFF" w:val="clear"/>
        </w:rPr>
      </w:pPr>
      <w:r>
        <w:rPr>
          <w:rFonts w:ascii="Times New Roman" w:hAnsi="Times New Roman"/>
          <w:b/>
          <w:sz w:val="24"/>
          <w:shd w:fill="FFFFFF" w:val="clear"/>
        </w:rPr>
        <w:t xml:space="preserve">Date of Report (Date of earliest event reported): May 28, 2024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Times New Roman" w:hAnsi="Times New Roman"/>
          <w:b/>
          <w:sz w:val="48"/>
          <w:shd w:fill="FFFFFF" w:val="clear"/>
        </w:rPr>
      </w:pPr>
      <w:r>
        <w:rPr>
          <w:rFonts w:ascii="Times New Roman" w:hAnsi="Times New Roman"/>
          <w:b/>
          <w:sz w:val="48"/>
          <w:shd w:fill="FFFFFF" w:val="clear"/>
        </w:rPr>
        <w:t xml:space="preserve">AMERICAN AIRLINES GROUP INC. </w:t>
      </w:r>
    </w:p>
    <w:p>
      <w:pPr>
        <w:pStyle w:val="TextBody"/>
        <w:bidi w:val="0"/>
        <w:spacing w:before="240" w:after="0"/>
        <w:jc w:val="center"/>
        <w:rPr>
          <w:rFonts w:ascii="Times New Roman" w:hAnsi="Times New Roman"/>
          <w:b/>
          <w:sz w:val="48"/>
          <w:shd w:fill="FFFFFF" w:val="clear"/>
        </w:rPr>
      </w:pPr>
      <w:r>
        <w:rPr>
          <w:rFonts w:ascii="Times New Roman" w:hAnsi="Times New Roman"/>
          <w:b/>
          <w:sz w:val="48"/>
          <w:shd w:fill="FFFFFF" w:val="clear"/>
        </w:rPr>
        <w:t xml:space="preserve">AMERICAN AIRLINES, INC.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(Exact name of registrant as specified in its charter)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0" w:after="0"/>
        <w:jc w:val="left"/>
        <w:rPr>
          <w:shd w:fill="FFFFFF" w:val="clear"/>
        </w:rPr>
      </w:pPr>
      <w:r>
        <w:rPr>
          <w:shd w:fill="FFFFFF" w:val="clear"/>
        </w:rPr>
        <w:t> </w:t>
      </w:r>
    </w:p>
    <w:tbl>
      <w:tblPr>
        <w:tblW w:w="6150" w:type="dxa"/>
        <w:jc w:val="left"/>
        <w:tblInd w:w="0" w:type="dxa"/>
        <w:tblLayout w:type="fixed"/>
        <w:tblCellMar>
          <w:top w:w="0" w:type="dxa"/>
          <w:left w:w="0" w:type="dxa"/>
          <w:bottom w:w="0" w:type="dxa"/>
          <w:right w:w="0" w:type="dxa"/>
        </w:tblCellMar>
      </w:tblPr>
      <w:tblGrid>
        <w:gridCol w:w="2765"/>
        <w:gridCol w:w="60"/>
        <w:gridCol w:w="1385"/>
        <w:gridCol w:w="60"/>
        <w:gridCol w:w="1880"/>
      </w:tblGrid>
      <w:tr>
        <w:trPr/>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65" w:type="dxa"/>
            <w:tcBorders/>
            <w:vAlign w:val="center"/>
          </w:tcPr>
          <w:p>
            <w:pPr>
              <w:pStyle w:val="TableContents"/>
              <w:bidi w:val="0"/>
              <w:spacing w:before="0" w:after="0"/>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center"/>
              <w:rPr>
                <w:b/>
              </w:rPr>
            </w:pPr>
            <w:r>
              <w:rPr>
                <w:b/>
              </w:rPr>
              <w:t>1-8400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rPr>
            </w:pPr>
            <w:r>
              <w:rPr>
                <w:b/>
              </w:rPr>
              <w:t>75-1825172</w:t>
            </w:r>
          </w:p>
        </w:tc>
      </w:tr>
      <w:tr>
        <w:trPr/>
        <w:tc>
          <w:tcPr>
            <w:tcW w:w="2765" w:type="dxa"/>
            <w:tcBorders/>
            <w:vAlign w:val="center"/>
          </w:tcPr>
          <w:p>
            <w:pPr>
              <w:pStyle w:val="TableContents"/>
              <w:bidi w:val="0"/>
              <w:spacing w:before="0" w:after="0"/>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center"/>
              <w:rPr>
                <w:b/>
              </w:rPr>
            </w:pPr>
            <w:r>
              <w:rPr>
                <w:b/>
              </w:rPr>
              <w:t>1-2691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rPr>
            </w:pPr>
            <w:r>
              <w:rPr>
                <w:b/>
              </w:rPr>
              <w:t>13-1502798</w:t>
            </w:r>
          </w:p>
        </w:tc>
      </w:tr>
      <w:tr>
        <w:trPr/>
        <w:tc>
          <w:tcPr>
            <w:tcW w:w="2765" w:type="dxa"/>
            <w:tcBorders/>
            <w:vAlign w:val="center"/>
          </w:tcPr>
          <w:p>
            <w:pPr>
              <w:pStyle w:val="TableContents"/>
              <w:bidi w:val="0"/>
              <w:spacing w:before="0" w:after="0"/>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rPr>
            </w:pPr>
            <w:r>
              <w:rPr>
                <w:b/>
              </w:rPr>
              <w:t>(IRS Employer</w:t>
              <w:br/>
              <w:t>Identification No.)</w:t>
            </w:r>
          </w:p>
        </w:tc>
      </w:tr>
    </w:tbl>
    <w:p>
      <w:pPr>
        <w:pStyle w:val="TextBody"/>
        <w:bidi w:val="0"/>
        <w:spacing w:before="0" w:after="0"/>
        <w:jc w:val="left"/>
        <w:rPr>
          <w:shd w:fill="FFFFFF" w:val="clear"/>
        </w:rPr>
      </w:pPr>
      <w:r>
        <w:rPr>
          <w:shd w:fill="FFFFFF" w:val="clea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rPr>
            </w:pPr>
            <w:r>
              <w:rPr>
                <w:b/>
              </w:rPr>
              <w:t>1 Skyview Drive, Fort Worth,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rPr>
            </w:pPr>
            <w:r>
              <w:rPr>
                <w:b/>
              </w:rPr>
              <w:t>76155</w:t>
            </w:r>
          </w:p>
        </w:tc>
      </w:tr>
      <w:tr>
        <w:trPr/>
        <w:tc>
          <w:tcPr>
            <w:tcW w:w="3935" w:type="dxa"/>
            <w:tcBorders/>
            <w:vAlign w:val="center"/>
          </w:tcPr>
          <w:p>
            <w:pPr>
              <w:pStyle w:val="TableContents"/>
              <w:bidi w:val="0"/>
              <w:spacing w:before="0" w:after="0"/>
              <w:jc w:val="center"/>
              <w:rPr>
                <w:b/>
              </w:rPr>
            </w:pPr>
            <w:r>
              <w:rPr>
                <w:b/>
              </w:rPr>
              <w:t>1 Skyview Drive, Fort Worth,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rPr>
            </w:pPr>
            <w:r>
              <w:rPr>
                <w:b/>
              </w:rPr>
              <w:t>76155</w:t>
            </w:r>
          </w:p>
        </w:tc>
      </w:tr>
      <w:tr>
        <w:trPr/>
        <w:tc>
          <w:tcPr>
            <w:tcW w:w="3935" w:type="dxa"/>
            <w:tcBorders/>
            <w:vAlign w:val="center"/>
          </w:tcPr>
          <w:p>
            <w:pPr>
              <w:pStyle w:val="TableContents"/>
              <w:bidi w:val="0"/>
              <w:spacing w:before="0" w:after="0"/>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rPr>
            </w:pPr>
            <w:r>
              <w:rPr>
                <w:b/>
              </w:rPr>
              <w:t>(Zip Code)</w:t>
            </w:r>
          </w:p>
        </w:tc>
      </w:tr>
    </w:tbl>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Registrant’s telephone number, including area code: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(682) 278-9000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(682) 278-9000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shd w:fill="FFFFFF" w:val="clear"/>
        </w:rPr>
      </w:pPr>
      <w:r>
        <w:rPr>
          <w:shd w:fill="FFFFFF" w:val="clea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shd w:fill="FFFFFF" w:val="clear"/>
        </w:rPr>
      </w:pPr>
      <w:r>
        <w:rPr>
          <w:shd w:fill="FFFFFF" w:val="clear"/>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shd w:fill="FFFFFF" w:val="clear"/>
        </w:rPr>
      </w:pPr>
      <w:r>
        <w:rPr>
          <w:shd w:fill="FFFFFF" w:val="clear"/>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shd w:fill="FFFFFF" w:val="clear"/>
        </w:rPr>
      </w:pPr>
      <w:r>
        <w:rPr>
          <w:shd w:fill="FFFFFF" w:val="clear"/>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Securities registered pursuant to Section 12(b) of the Act: </w:t>
      </w:r>
    </w:p>
    <w:p>
      <w:pPr>
        <w:pStyle w:val="TextBody"/>
        <w:bidi w:val="0"/>
        <w:spacing w:before="0" w:after="0"/>
        <w:jc w:val="left"/>
        <w:rPr>
          <w:shd w:fill="FFFFFF" w:val="clear"/>
        </w:rPr>
      </w:pPr>
      <w:r>
        <w:rPr>
          <w:shd w:fill="FFFFFF" w:val="clear"/>
        </w:rPr>
        <w:t> </w:t>
      </w:r>
    </w:p>
    <w:tbl>
      <w:tblPr>
        <w:tblW w:w="8145" w:type="dxa"/>
        <w:jc w:val="left"/>
        <w:tblInd w:w="0" w:type="dxa"/>
        <w:tblLayout w:type="fixed"/>
        <w:tblCellMar>
          <w:top w:w="0" w:type="dxa"/>
          <w:left w:w="0" w:type="dxa"/>
          <w:bottom w:w="0" w:type="dxa"/>
          <w:right w:w="0" w:type="dxa"/>
        </w:tblCellMar>
      </w:tblPr>
      <w:tblGrid>
        <w:gridCol w:w="4025"/>
        <w:gridCol w:w="60"/>
        <w:gridCol w:w="740"/>
        <w:gridCol w:w="60"/>
        <w:gridCol w:w="32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AAL</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r>
        <w:trPr/>
        <w:tc>
          <w:tcPr>
            <w:tcW w:w="4025" w:type="dxa"/>
            <w:tcBorders/>
            <w:vAlign w:val="center"/>
          </w:tcPr>
          <w:p>
            <w:pPr>
              <w:pStyle w:val="TableContents"/>
              <w:bidi w:val="0"/>
              <w:spacing w:before="0" w:after="0"/>
              <w:jc w:val="center"/>
              <w:rPr/>
            </w:pPr>
            <w:r>
              <w:rPr/>
              <w:t>Preferred Stock Purchase Righ</w:t>
            </w:r>
          </w:p>
          <w:p>
            <w:pPr>
              <w:pStyle w:val="TableContents"/>
              <w:bidi w:val="0"/>
              <w:spacing w:before="0" w:after="0"/>
              <w:jc w:val="center"/>
              <w:rPr/>
            </w:pPr>
            <w:r>
              <w:rPr/>
              <w:t>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jc w:val="center"/>
              <w:rPr>
                <w:sz w:val="12"/>
              </w:rPr>
            </w:pPr>
            <w:r>
              <w:rPr>
                <w:sz w:val="12"/>
              </w:rPr>
              <w:t>(1)</w:t>
            </w:r>
          </w:p>
          <w:p>
            <w:pPr>
              <w:pStyle w:val="TableContents"/>
              <w:bidi w:val="0"/>
              <w:spacing w:before="0" w:after="0"/>
              <w:jc w:val="center"/>
              <w:rPr/>
            </w:pPr>
            <w:r>
              <w:rPr/>
              <w:t> </w:t>
            </w:r>
          </w:p>
        </w:tc>
      </w:tr>
    </w:tbl>
    <w:p>
      <w:pPr>
        <w:pStyle w:val="TextBody"/>
        <w:bidi w:val="0"/>
        <w:spacing w:before="0" w:after="0"/>
        <w:jc w:val="left"/>
        <w:rPr>
          <w:shd w:fill="FFFFFF" w:val="clear"/>
        </w:rPr>
      </w:pPr>
      <w:r>
        <w:rPr>
          <w:shd w:fill="FFFFFF" w:val="clear"/>
        </w:rPr>
        <w:t> </w:t>
      </w:r>
    </w:p>
    <w:tbl>
      <w:tblPr>
        <w:tblW w:w="2815" w:type="dxa"/>
        <w:jc w:val="left"/>
        <w:tblInd w:w="0" w:type="dxa"/>
        <w:tblLayout w:type="fixed"/>
        <w:tblCellMar>
          <w:top w:w="0" w:type="dxa"/>
          <w:left w:w="0" w:type="dxa"/>
          <w:bottom w:w="0" w:type="dxa"/>
          <w:right w:w="0" w:type="dxa"/>
        </w:tblCellMar>
      </w:tblPr>
      <w:tblGrid>
        <w:gridCol w:w="185"/>
        <w:gridCol w:w="2630"/>
      </w:tblGrid>
      <w:tr>
        <w:trPr/>
        <w:tc>
          <w:tcPr>
            <w:tcW w:w="185" w:type="dxa"/>
            <w:tcBorders/>
            <w:vAlign w:val="center"/>
          </w:tcPr>
          <w:p>
            <w:pPr>
              <w:pStyle w:val="TableContents"/>
              <w:bidi w:val="0"/>
              <w:spacing w:before="0" w:after="0"/>
              <w:jc w:val="left"/>
              <w:rPr>
                <w:sz w:val="12"/>
              </w:rPr>
            </w:pPr>
            <w:r>
              <w:rPr>
                <w:sz w:val="12"/>
              </w:rPr>
              <w:t>(1)</w:t>
            </w:r>
          </w:p>
          <w:p>
            <w:pPr>
              <w:pStyle w:val="TableContents"/>
              <w:bidi w:val="0"/>
              <w:spacing w:before="0" w:after="0"/>
              <w:jc w:val="left"/>
              <w:rPr/>
            </w:pPr>
            <w:r>
              <w:rPr/>
              <w:t> </w:t>
            </w:r>
          </w:p>
        </w:tc>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Attached to the Common Stock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is an emerging growth company as defined in Rule 405 of the Securities Act of 1933 or Rule 12b-2 of the Securities Exchange Act of 1934. </w:t>
      </w:r>
    </w:p>
    <w:p>
      <w:pPr>
        <w:pStyle w:val="TextBody"/>
        <w:bidi w:val="0"/>
        <w:spacing w:before="240" w:after="0"/>
        <w:jc w:val="right"/>
        <w:rPr>
          <w:rFonts w:ascii="Times New Roman" w:hAnsi="Times New Roman"/>
          <w:sz w:val="20"/>
          <w:shd w:fill="FFFFFF" w:val="clear"/>
        </w:rPr>
      </w:pPr>
      <w:r>
        <w:rPr>
          <w:rFonts w:ascii="Times New Roman" w:hAnsi="Times New Roman"/>
          <w:sz w:val="20"/>
          <w:shd w:fill="FFFFFF" w:val="clear"/>
        </w:rPr>
        <w:t xml:space="preserve">Emerging growth company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960"/>
        <w:gridCol w:w="9245"/>
      </w:tblGrid>
      <w:tr>
        <w:trPr/>
        <w:tc>
          <w:tcPr>
            <w:tcW w:w="960" w:type="dxa"/>
            <w:tcBorders/>
            <w:vAlign w:val="center"/>
          </w:tcPr>
          <w:p>
            <w:pPr>
              <w:pStyle w:val="TableContents"/>
              <w:bidi w:val="0"/>
              <w:spacing w:before="0" w:after="0"/>
              <w:jc w:val="left"/>
              <w:rPr/>
            </w:pPr>
            <w:r>
              <w:rPr/>
              <w:t>ITEM 5.02</w:t>
            </w:r>
          </w:p>
        </w:tc>
        <w:tc>
          <w:tcPr>
            <w:tcW w:w="92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(b). On May 28, 2024, American Airlines Group Inc. (the “Company”) announced that Vasu Raja, Chief Commercial Officer of the Company, will depart the Company in June 2024. Effective immediately, Stephen Johnson, Vice Chair and Chief Strategy Officer, will assume leadership of the commercial organization and help lead the search for a new Chief Commercial Officer. </w:t>
      </w:r>
    </w:p>
    <w:p>
      <w:pPr>
        <w:pStyle w:val="TextBody"/>
        <w:bidi w:val="0"/>
        <w:spacing w:before="0" w:after="0"/>
        <w:jc w:val="left"/>
        <w:rPr>
          <w:shd w:fill="FFFFFF" w:val="clear"/>
        </w:rPr>
      </w:pPr>
      <w:r>
        <w:rPr>
          <w:shd w:fill="FFFFFF" w:val="clear"/>
        </w:rPr>
        <w:t> </w:t>
      </w:r>
    </w:p>
    <w:tbl>
      <w:tblPr>
        <w:tblW w:w="3370" w:type="dxa"/>
        <w:jc w:val="left"/>
        <w:tblInd w:w="0" w:type="dxa"/>
        <w:tblLayout w:type="fixed"/>
        <w:tblCellMar>
          <w:top w:w="0" w:type="dxa"/>
          <w:left w:w="0" w:type="dxa"/>
          <w:bottom w:w="0" w:type="dxa"/>
          <w:right w:w="0" w:type="dxa"/>
        </w:tblCellMar>
      </w:tblPr>
      <w:tblGrid>
        <w:gridCol w:w="1085"/>
        <w:gridCol w:w="2285"/>
      </w:tblGrid>
      <w:tr>
        <w:trPr/>
        <w:tc>
          <w:tcPr>
            <w:tcW w:w="1085" w:type="dxa"/>
            <w:tcBorders/>
            <w:vAlign w:val="center"/>
          </w:tcPr>
          <w:p>
            <w:pPr>
              <w:pStyle w:val="TableContents"/>
              <w:bidi w:val="0"/>
              <w:spacing w:before="0" w:after="0"/>
              <w:jc w:val="left"/>
              <w:rPr/>
            </w:pPr>
            <w:r>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On May 29, 2024, the Company is presenting information relating to its financial and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operational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outlook at Bernstein’s 40</w:t>
      </w:r>
    </w:p>
    <w:p>
      <w:pPr>
        <w:pStyle w:val="TextBody"/>
        <w:bidi w:val="0"/>
        <w:spacing w:before="120" w:after="0"/>
        <w:jc w:val="left"/>
        <w:rPr>
          <w:rFonts w:ascii="Times New Roman" w:hAnsi="Times New Roman"/>
          <w:sz w:val="12"/>
          <w:shd w:fill="FFFFFF" w:val="clear"/>
        </w:rPr>
      </w:pPr>
      <w:r>
        <w:rPr>
          <w:rFonts w:ascii="Times New Roman" w:hAnsi="Times New Roman"/>
          <w:sz w:val="12"/>
          <w:shd w:fill="FFFFFF" w:val="clear"/>
        </w:rPr>
        <w:t>th</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Annual Strategic Decisions Conference. As previously announced, this presentation will be webcast with the link available at the Company’s website at www.aa.com under “Investor Relations.”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Additionally, the Company is providing investors an update regarding its financial and operational guidance for the second quarter of 2024. The Company is lowering its guidance for adjusted operating margin</w:t>
      </w:r>
    </w:p>
    <w:p>
      <w:pPr>
        <w:pStyle w:val="TextBody"/>
        <w:bidi w:val="0"/>
        <w:spacing w:before="240" w:after="0"/>
        <w:jc w:val="left"/>
        <w:rPr>
          <w:rFonts w:ascii="Times New Roman" w:hAnsi="Times New Roman"/>
          <w:sz w:val="12"/>
          <w:shd w:fill="FFFFFF" w:val="clear"/>
        </w:rPr>
      </w:pPr>
      <w:r>
        <w:rPr>
          <w:rFonts w:ascii="Times New Roman" w:hAnsi="Times New Roman"/>
          <w:sz w:val="12"/>
          <w:shd w:fill="FFFFFF" w:val="clear"/>
        </w:rPr>
        <w:t>1</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by 1 percentage point, to between approximately 8.5% to 10.5%. The Company now expects second-quarter adjusted earnings per diluted share</w:t>
      </w:r>
    </w:p>
    <w:p>
      <w:pPr>
        <w:pStyle w:val="TextBody"/>
        <w:bidi w:val="0"/>
        <w:spacing w:before="240" w:after="0"/>
        <w:jc w:val="left"/>
        <w:rPr>
          <w:rFonts w:ascii="Times New Roman" w:hAnsi="Times New Roman"/>
          <w:sz w:val="12"/>
          <w:shd w:fill="FFFFFF" w:val="clear"/>
        </w:rPr>
      </w:pPr>
      <w:r>
        <w:rPr>
          <w:rFonts w:ascii="Times New Roman" w:hAnsi="Times New Roman"/>
          <w:sz w:val="12"/>
          <w:shd w:fill="FFFFFF" w:val="clear"/>
        </w:rPr>
        <w:t>1</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to be between approximately $1.00 and $1.15. Second-quarter TRASM</w:t>
      </w:r>
    </w:p>
    <w:p>
      <w:pPr>
        <w:pStyle w:val="TextBody"/>
        <w:bidi w:val="0"/>
        <w:spacing w:before="240" w:after="0"/>
        <w:jc w:val="left"/>
        <w:rPr>
          <w:rFonts w:ascii="Times New Roman" w:hAnsi="Times New Roman"/>
          <w:sz w:val="12"/>
          <w:shd w:fill="FFFFFF" w:val="clear"/>
        </w:rPr>
      </w:pPr>
      <w:r>
        <w:rPr>
          <w:rFonts w:ascii="Times New Roman" w:hAnsi="Times New Roman"/>
          <w:sz w:val="12"/>
          <w:shd w:fill="FFFFFF" w:val="clear"/>
        </w:rPr>
        <w:t>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is now expected to be down approximately 5% to 6% versus the second quarter of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CASM-ex</w:t>
      </w:r>
    </w:p>
    <w:p>
      <w:pPr>
        <w:pStyle w:val="TextBody"/>
        <w:bidi w:val="0"/>
        <w:spacing w:before="240" w:after="0"/>
        <w:jc w:val="left"/>
        <w:rPr>
          <w:rFonts w:ascii="Times New Roman" w:hAnsi="Times New Roman"/>
          <w:sz w:val="12"/>
          <w:shd w:fill="FFFFFF" w:val="clear"/>
        </w:rPr>
      </w:pPr>
      <w:r>
        <w:rPr>
          <w:rFonts w:ascii="Times New Roman" w:hAnsi="Times New Roman"/>
          <w:sz w:val="12"/>
          <w:shd w:fill="FFFFFF" w:val="clear"/>
        </w:rPr>
        <w:t>3</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in the second quarter is now expected to be approximately flat to up 1% year over year. Second-quarter average fuel price is now expected to be approximately $2.70 to $2.80 per gallon of jet fuel</w:t>
      </w:r>
    </w:p>
    <w:p>
      <w:pPr>
        <w:pStyle w:val="TextBody"/>
        <w:bidi w:val="0"/>
        <w:spacing w:before="240" w:after="0"/>
        <w:jc w:val="left"/>
        <w:rPr>
          <w:rFonts w:ascii="Times New Roman" w:hAnsi="Times New Roman"/>
          <w:sz w:val="12"/>
          <w:shd w:fill="FFFFFF" w:val="clear"/>
        </w:rPr>
      </w:pPr>
      <w:r>
        <w:rPr>
          <w:rFonts w:ascii="Times New Roman" w:hAnsi="Times New Roman"/>
          <w:sz w:val="12"/>
          <w:shd w:fill="FFFFFF" w:val="clear"/>
        </w:rPr>
        <w:t>4</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(including taxes). </w:t>
      </w:r>
    </w:p>
    <w:p>
      <w:pPr>
        <w:pStyle w:val="TextBody"/>
        <w:bidi w:val="0"/>
        <w:spacing w:before="0" w:after="0"/>
        <w:jc w:val="left"/>
        <w:rPr>
          <w:shd w:fill="FFFFFF" w:val="clear"/>
        </w:rPr>
      </w:pPr>
      <w:r>
        <w:rPr>
          <w:shd w:fill="FFFFFF" w:val="clear"/>
        </w:rPr>
        <w:t> </w:t>
      </w:r>
    </w:p>
    <w:tbl>
      <w:tblPr>
        <w:tblW w:w="6990" w:type="dxa"/>
        <w:jc w:val="left"/>
        <w:tblInd w:w="0" w:type="dxa"/>
        <w:tblLayout w:type="fixed"/>
        <w:tblCellMar>
          <w:top w:w="0" w:type="dxa"/>
          <w:left w:w="0" w:type="dxa"/>
          <w:bottom w:w="0" w:type="dxa"/>
          <w:right w:w="0" w:type="dxa"/>
        </w:tblCellMar>
      </w:tblPr>
      <w:tblGrid>
        <w:gridCol w:w="2900"/>
        <w:gridCol w:w="120"/>
        <w:gridCol w:w="1895"/>
        <w:gridCol w:w="120"/>
        <w:gridCol w:w="195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70" w:type="dxa"/>
            <w:gridSpan w:val="3"/>
            <w:tcBorders>
              <w:bottom w:val="single" w:sz="8" w:space="0" w:color="000000"/>
            </w:tcBorders>
            <w:tcMar>
              <w:bottom w:w="28" w:type="dxa"/>
            </w:tcMar>
            <w:vAlign w:val="center"/>
          </w:tcPr>
          <w:p>
            <w:pPr>
              <w:pStyle w:val="TableContents"/>
              <w:bidi w:val="0"/>
              <w:spacing w:before="0" w:after="0"/>
              <w:jc w:val="center"/>
              <w:rPr>
                <w:b/>
              </w:rPr>
            </w:pPr>
            <w:r>
              <w:rPr>
                <w:b/>
              </w:rPr>
              <w:t>Estimated 2Q 2024</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tcBorders>
              <w:bottom w:val="single" w:sz="8" w:space="0" w:color="000000"/>
            </w:tcBorders>
            <w:tcMar>
              <w:bottom w:w="28" w:type="dxa"/>
            </w:tcMar>
            <w:vAlign w:val="center"/>
          </w:tcPr>
          <w:p>
            <w:pPr>
              <w:pStyle w:val="TableContents"/>
              <w:bidi w:val="0"/>
              <w:spacing w:before="0" w:after="0"/>
              <w:jc w:val="center"/>
              <w:rPr>
                <w:b/>
              </w:rPr>
            </w:pPr>
            <w:r>
              <w:rPr>
                <w:b/>
              </w:rPr>
              <w:t>Current Guidance</w:t>
            </w:r>
          </w:p>
        </w:tc>
        <w:tc>
          <w:tcPr>
            <w:tcW w:w="120" w:type="dxa"/>
            <w:tcBorders/>
            <w:vAlign w:val="center"/>
          </w:tcPr>
          <w:p>
            <w:pPr>
              <w:pStyle w:val="TableContents"/>
              <w:bidi w:val="0"/>
              <w:spacing w:before="0" w:after="283"/>
              <w:jc w:val="left"/>
              <w:rPr/>
            </w:pPr>
            <w:r>
              <w:rPr/>
              <w:t>  </w:t>
            </w:r>
          </w:p>
        </w:tc>
        <w:tc>
          <w:tcPr>
            <w:tcW w:w="1955" w:type="dxa"/>
            <w:tcBorders>
              <w:bottom w:val="single" w:sz="8" w:space="0" w:color="000000"/>
            </w:tcBorders>
            <w:tcMar>
              <w:bottom w:w="28" w:type="dxa"/>
            </w:tcMar>
            <w:vAlign w:val="center"/>
          </w:tcPr>
          <w:p>
            <w:pPr>
              <w:pStyle w:val="TableContents"/>
              <w:bidi w:val="0"/>
              <w:spacing w:before="0" w:after="0"/>
              <w:jc w:val="center"/>
              <w:rPr>
                <w:b/>
              </w:rPr>
            </w:pPr>
            <w:r>
              <w:rPr>
                <w:b/>
              </w:rPr>
              <w:t>Previous Guidance</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operating margin</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pPr>
            <w:r>
              <w:rPr/>
              <w:t>~ 8.5% to 10.5%</w:t>
            </w:r>
          </w:p>
        </w:tc>
        <w:tc>
          <w:tcPr>
            <w:tcW w:w="120" w:type="dxa"/>
            <w:tcBorders/>
            <w:shd w:fill="CCEEFF" w:val="clear"/>
            <w:vAlign w:val="center"/>
          </w:tcPr>
          <w:p>
            <w:pPr>
              <w:pStyle w:val="TableContents"/>
              <w:bidi w:val="0"/>
              <w:spacing w:before="0" w:after="283"/>
              <w:jc w:val="left"/>
              <w:rPr/>
            </w:pPr>
            <w:r>
              <w:rPr/>
              <w:t>  </w:t>
            </w:r>
          </w:p>
        </w:tc>
        <w:tc>
          <w:tcPr>
            <w:tcW w:w="1955" w:type="dxa"/>
            <w:tcBorders/>
            <w:shd w:fill="CCEEFF" w:val="clear"/>
            <w:vAlign w:val="center"/>
          </w:tcPr>
          <w:p>
            <w:pPr>
              <w:pStyle w:val="TableContents"/>
              <w:bidi w:val="0"/>
              <w:spacing w:before="0" w:after="283"/>
              <w:jc w:val="center"/>
              <w:rPr/>
            </w:pPr>
            <w:r>
              <w:rPr/>
              <w:t>~ 9.5% to 11.5%</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nonoperating expense</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pPr>
            <w:r>
              <w:rPr/>
              <w:t>No change</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center"/>
              <w:rPr/>
            </w:pPr>
            <w:r>
              <w:rPr/>
              <w:t>~ $350</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earnings per diluted share</w:t>
            </w:r>
          </w:p>
          <w:p>
            <w:pPr>
              <w:pStyle w:val="TableContents"/>
              <w:bidi w:val="0"/>
              <w:spacing w:before="0" w:after="0"/>
              <w:jc w:val="left"/>
              <w:rPr>
                <w:rFonts w:ascii="Times New Roman" w:hAnsi="Times New Roman"/>
                <w:sz w:val="12"/>
              </w:rPr>
            </w:pPr>
            <w:r>
              <w:rPr>
                <w:rFonts w:ascii="Times New Roman" w:hAnsi="Times New Roman"/>
                <w:sz w:val="12"/>
              </w:rPr>
              <w:t>1</w:t>
            </w:r>
          </w:p>
          <w:p>
            <w:pPr>
              <w:pStyle w:val="TableContents"/>
              <w:bidi w:val="0"/>
              <w:spacing w:before="0" w:after="0"/>
              <w:jc w:val="left"/>
              <w:rPr>
                <w:rFonts w:ascii="Times New Roman" w:hAnsi="Times New Roman"/>
                <w:sz w:val="20"/>
              </w:rPr>
            </w:pPr>
            <w:r>
              <w:rPr>
                <w:rFonts w:ascii="Times New Roman" w:hAnsi="Times New Roman"/>
                <w:sz w:val="20"/>
              </w:rPr>
              <w:t>($/share)</w:t>
            </w:r>
          </w:p>
        </w:tc>
        <w:tc>
          <w:tcPr>
            <w:tcW w:w="12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pPr>
            <w:r>
              <w:rPr/>
              <w:t>~ $1.00 to $1.15</w:t>
            </w:r>
          </w:p>
        </w:tc>
        <w:tc>
          <w:tcPr>
            <w:tcW w:w="120" w:type="dxa"/>
            <w:tcBorders/>
            <w:shd w:fill="CCEEFF" w:val="clear"/>
            <w:vAlign w:val="center"/>
          </w:tcPr>
          <w:p>
            <w:pPr>
              <w:pStyle w:val="TableContents"/>
              <w:bidi w:val="0"/>
              <w:spacing w:before="0" w:after="283"/>
              <w:jc w:val="left"/>
              <w:rPr/>
            </w:pPr>
            <w:r>
              <w:rPr/>
              <w:t>  </w:t>
            </w:r>
          </w:p>
        </w:tc>
        <w:tc>
          <w:tcPr>
            <w:tcW w:w="1955" w:type="dxa"/>
            <w:tcBorders/>
            <w:shd w:fill="CCEEFF" w:val="clear"/>
            <w:vAlign w:val="center"/>
          </w:tcPr>
          <w:p>
            <w:pPr>
              <w:pStyle w:val="TableContents"/>
              <w:bidi w:val="0"/>
              <w:spacing w:before="0" w:after="283"/>
              <w:jc w:val="center"/>
              <w:rPr/>
            </w:pPr>
            <w:r>
              <w:rPr/>
              <w:t>~ $1.15 to $1.45</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Available seat miles (vs. 2Q 2023)</w:t>
            </w:r>
          </w:p>
        </w:tc>
        <w:tc>
          <w:tcPr>
            <w:tcW w:w="1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pPr>
            <w:r>
              <w:rPr/>
              <w:t>No change</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center"/>
              <w:rPr/>
            </w:pPr>
            <w:r>
              <w:rPr/>
              <w:t>~ +7% to +9%</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TRASM</w:t>
            </w:r>
          </w:p>
          <w:p>
            <w:pPr>
              <w:pStyle w:val="TableContents"/>
              <w:bidi w:val="0"/>
              <w:spacing w:before="0" w:after="0"/>
              <w:jc w:val="left"/>
              <w:rPr>
                <w:rFonts w:ascii="Times New Roman" w:hAnsi="Times New Roman"/>
                <w:sz w:val="12"/>
              </w:rPr>
            </w:pPr>
            <w:r>
              <w:rPr>
                <w:rFonts w:ascii="Times New Roman" w:hAnsi="Times New Roman"/>
                <w:sz w:val="12"/>
              </w:rPr>
              <w:t>2</w:t>
            </w:r>
          </w:p>
          <w:p>
            <w:pPr>
              <w:pStyle w:val="TableContents"/>
              <w:bidi w:val="0"/>
              <w:spacing w:before="0" w:after="0"/>
              <w:jc w:val="left"/>
              <w:rPr>
                <w:rFonts w:ascii="Times New Roman" w:hAnsi="Times New Roman"/>
                <w:sz w:val="20"/>
              </w:rPr>
            </w:pPr>
            <w:r>
              <w:rPr>
                <w:rFonts w:ascii="Times New Roman" w:hAnsi="Times New Roman"/>
                <w:sz w:val="20"/>
              </w:rPr>
              <w:t>(vs. 2Q 2023)</w:t>
            </w:r>
          </w:p>
        </w:tc>
        <w:tc>
          <w:tcPr>
            <w:tcW w:w="12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0"/>
              <w:jc w:val="center"/>
              <w:rPr/>
            </w:pPr>
            <w:r>
              <w:rPr/>
              <w:t xml:space="preserve">~ </w:t>
            </w:r>
          </w:p>
          <w:p>
            <w:pPr>
              <w:pStyle w:val="TableContents"/>
              <w:bidi w:val="0"/>
              <w:spacing w:before="0" w:after="0"/>
              <w:jc w:val="center"/>
              <w:rPr/>
            </w:pPr>
            <w:r>
              <w:rPr/>
              <w:t>-5%</w:t>
            </w:r>
          </w:p>
          <w:p>
            <w:pPr>
              <w:pStyle w:val="TableContents"/>
              <w:bidi w:val="0"/>
              <w:spacing w:before="0" w:after="0"/>
              <w:jc w:val="center"/>
              <w:rPr/>
            </w:pPr>
            <w:r>
              <w:rPr/>
              <w:t xml:space="preserve">to </w:t>
            </w:r>
          </w:p>
          <w:p>
            <w:pPr>
              <w:pStyle w:val="TableContents"/>
              <w:bidi w:val="0"/>
              <w:spacing w:before="0" w:after="0"/>
              <w:jc w:val="center"/>
              <w:rPr/>
            </w:pPr>
            <w:r>
              <w:rPr/>
              <w:t>-6%</w:t>
            </w:r>
          </w:p>
        </w:tc>
        <w:tc>
          <w:tcPr>
            <w:tcW w:w="120" w:type="dxa"/>
            <w:tcBorders/>
            <w:shd w:fill="CCEEFF" w:val="clear"/>
            <w:vAlign w:val="center"/>
          </w:tcPr>
          <w:p>
            <w:pPr>
              <w:pStyle w:val="TableContents"/>
              <w:bidi w:val="0"/>
              <w:spacing w:before="0" w:after="283"/>
              <w:jc w:val="left"/>
              <w:rPr/>
            </w:pPr>
            <w:r>
              <w:rPr/>
              <w:t>  </w:t>
            </w:r>
          </w:p>
        </w:tc>
        <w:tc>
          <w:tcPr>
            <w:tcW w:w="1955" w:type="dxa"/>
            <w:tcBorders/>
            <w:shd w:fill="CCEEFF" w:val="clear"/>
            <w:vAlign w:val="center"/>
          </w:tcPr>
          <w:p>
            <w:pPr>
              <w:pStyle w:val="TableContents"/>
              <w:bidi w:val="0"/>
              <w:spacing w:before="0" w:after="0"/>
              <w:jc w:val="center"/>
              <w:rPr/>
            </w:pPr>
            <w:r>
              <w:rPr/>
              <w:t xml:space="preserve">~ </w:t>
            </w:r>
          </w:p>
          <w:p>
            <w:pPr>
              <w:pStyle w:val="TableContents"/>
              <w:bidi w:val="0"/>
              <w:spacing w:before="0" w:after="0"/>
              <w:jc w:val="center"/>
              <w:rPr/>
            </w:pPr>
            <w:r>
              <w:rPr/>
              <w:t>-1%</w:t>
            </w:r>
          </w:p>
          <w:p>
            <w:pPr>
              <w:pStyle w:val="TableContents"/>
              <w:bidi w:val="0"/>
              <w:spacing w:before="0" w:after="0"/>
              <w:jc w:val="center"/>
              <w:rPr/>
            </w:pPr>
            <w:r>
              <w:rPr/>
              <w:t xml:space="preserve">to </w:t>
            </w:r>
          </w:p>
          <w:p>
            <w:pPr>
              <w:pStyle w:val="TableContents"/>
              <w:bidi w:val="0"/>
              <w:spacing w:before="0" w:after="0"/>
              <w:jc w:val="center"/>
              <w:rPr/>
            </w:pPr>
            <w:r>
              <w:rPr/>
              <w:t>-3%</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CASM-ex</w:t>
            </w:r>
          </w:p>
          <w:p>
            <w:pPr>
              <w:pStyle w:val="TableContents"/>
              <w:bidi w:val="0"/>
              <w:spacing w:before="0" w:after="0"/>
              <w:jc w:val="left"/>
              <w:rPr>
                <w:rFonts w:ascii="Times New Roman" w:hAnsi="Times New Roman"/>
                <w:sz w:val="12"/>
              </w:rPr>
            </w:pPr>
            <w:r>
              <w:rPr>
                <w:rFonts w:ascii="Times New Roman" w:hAnsi="Times New Roman"/>
                <w:sz w:val="12"/>
              </w:rPr>
              <w:t>3</w:t>
            </w:r>
          </w:p>
          <w:p>
            <w:pPr>
              <w:pStyle w:val="TableContents"/>
              <w:bidi w:val="0"/>
              <w:spacing w:before="0" w:after="0"/>
              <w:jc w:val="left"/>
              <w:rPr>
                <w:rFonts w:ascii="Times New Roman" w:hAnsi="Times New Roman"/>
                <w:sz w:val="20"/>
              </w:rPr>
            </w:pPr>
            <w:r>
              <w:rPr>
                <w:rFonts w:ascii="Times New Roman" w:hAnsi="Times New Roman"/>
                <w:sz w:val="20"/>
              </w:rPr>
              <w:t>(vs. 2Q 2023)</w:t>
            </w:r>
          </w:p>
        </w:tc>
        <w:tc>
          <w:tcPr>
            <w:tcW w:w="1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pPr>
            <w:r>
              <w:rPr/>
              <w:t>Flat to +1%</w:t>
            </w:r>
          </w:p>
        </w:tc>
        <w:tc>
          <w:tcPr>
            <w:tcW w:w="1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center"/>
              <w:rPr/>
            </w:pPr>
            <w:r>
              <w:rPr/>
              <w:t>~ +1% to +3%</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Average fuel price</w:t>
            </w:r>
          </w:p>
          <w:p>
            <w:pPr>
              <w:pStyle w:val="TableContents"/>
              <w:bidi w:val="0"/>
              <w:spacing w:before="0" w:after="0"/>
              <w:jc w:val="left"/>
              <w:rPr>
                <w:rFonts w:ascii="Times New Roman" w:hAnsi="Times New Roman"/>
                <w:sz w:val="12"/>
              </w:rPr>
            </w:pPr>
            <w:r>
              <w:rPr>
                <w:rFonts w:ascii="Times New Roman" w:hAnsi="Times New Roman"/>
                <w:sz w:val="12"/>
              </w:rPr>
              <w:t>4</w:t>
            </w:r>
          </w:p>
          <w:p>
            <w:pPr>
              <w:pStyle w:val="TableContents"/>
              <w:bidi w:val="0"/>
              <w:spacing w:before="0" w:after="0"/>
              <w:jc w:val="left"/>
              <w:rPr>
                <w:rFonts w:ascii="Times New Roman" w:hAnsi="Times New Roman"/>
                <w:sz w:val="20"/>
              </w:rPr>
            </w:pPr>
            <w:r>
              <w:rPr>
                <w:rFonts w:ascii="Times New Roman" w:hAnsi="Times New Roman"/>
                <w:sz w:val="20"/>
              </w:rPr>
              <w:t>(incl. taxes) ($/gallon)</w:t>
            </w:r>
          </w:p>
        </w:tc>
        <w:tc>
          <w:tcPr>
            <w:tcW w:w="12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center"/>
              <w:rPr/>
            </w:pPr>
            <w:r>
              <w:rPr/>
              <w:t>~ $2.70 to $2.80</w:t>
            </w:r>
          </w:p>
        </w:tc>
        <w:tc>
          <w:tcPr>
            <w:tcW w:w="120" w:type="dxa"/>
            <w:tcBorders/>
            <w:shd w:fill="CCEEFF" w:val="clear"/>
            <w:vAlign w:val="center"/>
          </w:tcPr>
          <w:p>
            <w:pPr>
              <w:pStyle w:val="TableContents"/>
              <w:bidi w:val="0"/>
              <w:spacing w:before="0" w:after="283"/>
              <w:jc w:val="left"/>
              <w:rPr/>
            </w:pPr>
            <w:r>
              <w:rPr/>
              <w:t>  </w:t>
            </w:r>
          </w:p>
        </w:tc>
        <w:tc>
          <w:tcPr>
            <w:tcW w:w="1955" w:type="dxa"/>
            <w:tcBorders/>
            <w:shd w:fill="CCEEFF" w:val="clear"/>
            <w:vAlign w:val="center"/>
          </w:tcPr>
          <w:p>
            <w:pPr>
              <w:pStyle w:val="TableContents"/>
              <w:bidi w:val="0"/>
              <w:spacing w:before="0" w:after="283"/>
              <w:jc w:val="center"/>
              <w:rPr/>
            </w:pPr>
            <w:r>
              <w:rPr/>
              <w:t>~ $2.75 to $2.95</w:t>
            </w:r>
          </w:p>
        </w:tc>
      </w:tr>
    </w:tbl>
    <w:p>
      <w:pPr>
        <w:pStyle w:val="TextBody"/>
        <w:bidi w:val="0"/>
        <w:spacing w:before="0" w:after="0"/>
        <w:jc w:val="left"/>
        <w:rPr>
          <w:shd w:fill="FFFFFF" w:val="clear"/>
        </w:rPr>
      </w:pPr>
      <w:r>
        <w:rPr>
          <w:shd w:fill="FFFFFF" w:val="clear"/>
        </w:rPr>
        <w:t> </w:t>
      </w:r>
    </w:p>
    <w:p>
      <w:pPr>
        <w:pStyle w:val="TextBody"/>
        <w:bidi w:val="0"/>
        <w:spacing w:lineRule="atLeast" w:line="160" w:before="0" w:after="40"/>
        <w:jc w:val="left"/>
        <w:rPr>
          <w:bdr w:val="single" w:sz="2" w:space="1" w:color="000000"/>
          <w:shd w:fill="FFFFFF" w:val="clear"/>
        </w:rPr>
      </w:pPr>
      <w:r>
        <w:rPr>
          <w:bdr w:val="single" w:sz="2"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0"/>
              <w:jc w:val="left"/>
              <w:rPr>
                <w:sz w:val="12"/>
              </w:rPr>
            </w:pPr>
            <w:r>
              <w:rPr>
                <w:sz w:val="12"/>
              </w:rPr>
              <w:t>1</w:t>
            </w:r>
          </w:p>
          <w:p>
            <w:pPr>
              <w:pStyle w:val="TableContents"/>
              <w:bidi w:val="0"/>
              <w:spacing w:before="0" w:after="0"/>
              <w:jc w:val="left"/>
              <w:rPr/>
            </w:pPr>
            <w:r>
              <w:rPr/>
              <w:t> </w:t>
            </w:r>
          </w:p>
        </w:tc>
        <w:tc>
          <w:tcPr>
            <w:tcW w:w="10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operating margin, adjusted nonoperating expense, and adjusted earnings per diluted share excludes net special items and are </w:t>
            </w:r>
          </w:p>
          <w:p>
            <w:pPr>
              <w:pStyle w:val="TableContents"/>
              <w:bidi w:val="0"/>
              <w:spacing w:before="0" w:after="0"/>
              <w:jc w:val="left"/>
              <w:rPr>
                <w:rFonts w:ascii="Times New Roman" w:hAnsi="Times New Roman"/>
                <w:sz w:val="20"/>
              </w:rPr>
            </w:pPr>
            <w:r>
              <w:rPr>
                <w:rFonts w:ascii="Times New Roman" w:hAnsi="Times New Roman"/>
                <w:sz w:val="20"/>
              </w:rPr>
              <w:t>non-GAAP</w:t>
            </w:r>
          </w:p>
          <w:p>
            <w:pPr>
              <w:pStyle w:val="TableContents"/>
              <w:bidi w:val="0"/>
              <w:spacing w:before="0" w:after="0"/>
              <w:jc w:val="left"/>
              <w:rPr>
                <w:rFonts w:ascii="Times New Roman" w:hAnsi="Times New Roman"/>
                <w:sz w:val="20"/>
              </w:rPr>
            </w:pPr>
            <w:r>
              <w:rPr>
                <w:rFonts w:ascii="Times New Roman" w:hAnsi="Times New Roman"/>
                <w:sz w:val="20"/>
              </w:rPr>
              <w:t xml:space="preserve">measures. Adjusted earnings per diluted share calculation assumes an interest expense addback for the 6.5% convertible notes of $11 million net of estimated profit sharing and tax effects, and a diluted share count of 722.5 million for 2Q 2024. Shares outstanding are based upon several estimates and assumptions, including average per share stock price and stock award activity. The number of shares in actual calculations of earnings per share will likely differ from those set forth above. </w:t>
            </w:r>
          </w:p>
        </w:tc>
      </w:tr>
    </w:tbl>
    <w:tbl>
      <w:tblPr>
        <w:tblW w:w="3205" w:type="dxa"/>
        <w:jc w:val="left"/>
        <w:tblInd w:w="0" w:type="dxa"/>
        <w:tblLayout w:type="fixed"/>
        <w:tblCellMar>
          <w:top w:w="0" w:type="dxa"/>
          <w:left w:w="0" w:type="dxa"/>
          <w:bottom w:w="0" w:type="dxa"/>
          <w:right w:w="0" w:type="dxa"/>
        </w:tblCellMar>
      </w:tblPr>
      <w:tblGrid>
        <w:gridCol w:w="95"/>
        <w:gridCol w:w="3110"/>
      </w:tblGrid>
      <w:tr>
        <w:trPr/>
        <w:tc>
          <w:tcPr>
            <w:tcW w:w="95" w:type="dxa"/>
            <w:tcBorders/>
            <w:vAlign w:val="center"/>
          </w:tcPr>
          <w:p>
            <w:pPr>
              <w:pStyle w:val="TableContents"/>
              <w:bidi w:val="0"/>
              <w:spacing w:before="0" w:after="0"/>
              <w:jc w:val="left"/>
              <w:rPr>
                <w:sz w:val="12"/>
              </w:rPr>
            </w:pPr>
            <w:r>
              <w:rPr>
                <w:sz w:val="12"/>
              </w:rPr>
              <w:t>2</w:t>
            </w:r>
          </w:p>
          <w:p>
            <w:pPr>
              <w:pStyle w:val="TableContents"/>
              <w:bidi w:val="0"/>
              <w:spacing w:before="0" w:after="0"/>
              <w:jc w:val="left"/>
              <w:rPr/>
            </w:pPr>
            <w:r>
              <w:rPr/>
              <w:t> </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revenue per available seat mile. </w:t>
            </w:r>
          </w:p>
        </w:tc>
      </w:tr>
    </w:tbl>
    <w:tbl>
      <w:tblPr>
        <w:tblW w:w="6895" w:type="dxa"/>
        <w:jc w:val="left"/>
        <w:tblInd w:w="0" w:type="dxa"/>
        <w:tblLayout w:type="fixed"/>
        <w:tblCellMar>
          <w:top w:w="0" w:type="dxa"/>
          <w:left w:w="0" w:type="dxa"/>
          <w:bottom w:w="0" w:type="dxa"/>
          <w:right w:w="0" w:type="dxa"/>
        </w:tblCellMar>
      </w:tblPr>
      <w:tblGrid>
        <w:gridCol w:w="95"/>
        <w:gridCol w:w="6800"/>
      </w:tblGrid>
      <w:tr>
        <w:trPr/>
        <w:tc>
          <w:tcPr>
            <w:tcW w:w="95" w:type="dxa"/>
            <w:tcBorders/>
            <w:vAlign w:val="center"/>
          </w:tcPr>
          <w:p>
            <w:pPr>
              <w:pStyle w:val="TableContents"/>
              <w:bidi w:val="0"/>
              <w:spacing w:before="0" w:after="0"/>
              <w:jc w:val="left"/>
              <w:rPr>
                <w:sz w:val="12"/>
              </w:rPr>
            </w:pPr>
            <w:r>
              <w:rPr>
                <w:sz w:val="12"/>
              </w:rPr>
              <w:t>3</w:t>
            </w:r>
          </w:p>
          <w:p>
            <w:pPr>
              <w:pStyle w:val="TableContents"/>
              <w:bidi w:val="0"/>
              <w:spacing w:before="0" w:after="0"/>
              <w:jc w:val="left"/>
              <w:rPr/>
            </w:pPr>
            <w:r>
              <w:rPr/>
              <w:t> </w:t>
            </w:r>
          </w:p>
        </w:tc>
        <w:tc>
          <w:tcPr>
            <w:tcW w:w="6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CASM-ex</w:t>
            </w:r>
          </w:p>
          <w:p>
            <w:pPr>
              <w:pStyle w:val="TableContents"/>
              <w:bidi w:val="0"/>
              <w:spacing w:before="0" w:after="0"/>
              <w:jc w:val="left"/>
              <w:rPr>
                <w:rFonts w:ascii="Times New Roman" w:hAnsi="Times New Roman"/>
                <w:sz w:val="20"/>
              </w:rPr>
            </w:pPr>
            <w:r>
              <w:rPr>
                <w:rFonts w:ascii="Times New Roman" w:hAnsi="Times New Roman"/>
                <w:sz w:val="20"/>
              </w:rPr>
              <w:t xml:space="preserve">is cost per available seat mile (CASM) excluding fuel and net special items and is a </w:t>
            </w:r>
          </w:p>
          <w:p>
            <w:pPr>
              <w:pStyle w:val="TableContents"/>
              <w:bidi w:val="0"/>
              <w:spacing w:before="0" w:after="0"/>
              <w:jc w:val="left"/>
              <w:rPr>
                <w:rFonts w:ascii="Times New Roman" w:hAnsi="Times New Roman"/>
                <w:sz w:val="20"/>
              </w:rPr>
            </w:pPr>
            <w:r>
              <w:rPr>
                <w:rFonts w:ascii="Times New Roman" w:hAnsi="Times New Roman"/>
                <w:sz w:val="20"/>
              </w:rPr>
              <w:t>non-GAAP</w:t>
            </w:r>
          </w:p>
          <w:p>
            <w:pPr>
              <w:pStyle w:val="TableContents"/>
              <w:bidi w:val="0"/>
              <w:spacing w:before="0" w:after="0"/>
              <w:jc w:val="left"/>
              <w:rPr>
                <w:rFonts w:ascii="Times New Roman" w:hAnsi="Times New Roman"/>
                <w:sz w:val="20"/>
              </w:rPr>
            </w:pPr>
            <w:r>
              <w:rPr>
                <w:rFonts w:ascii="Times New Roman" w:hAnsi="Times New Roman"/>
                <w:sz w:val="20"/>
              </w:rPr>
              <w:t xml:space="preserve">measure. </w:t>
            </w:r>
          </w:p>
        </w:tc>
      </w:tr>
    </w:tbl>
    <w:tbl>
      <w:tblPr>
        <w:tblW w:w="9865" w:type="dxa"/>
        <w:jc w:val="left"/>
        <w:tblInd w:w="0" w:type="dxa"/>
        <w:tblLayout w:type="fixed"/>
        <w:tblCellMar>
          <w:top w:w="0" w:type="dxa"/>
          <w:left w:w="0" w:type="dxa"/>
          <w:bottom w:w="0" w:type="dxa"/>
          <w:right w:w="0" w:type="dxa"/>
        </w:tblCellMar>
      </w:tblPr>
      <w:tblGrid>
        <w:gridCol w:w="95"/>
        <w:gridCol w:w="9770"/>
      </w:tblGrid>
      <w:tr>
        <w:trPr/>
        <w:tc>
          <w:tcPr>
            <w:tcW w:w="95" w:type="dxa"/>
            <w:tcBorders/>
            <w:vAlign w:val="center"/>
          </w:tcPr>
          <w:p>
            <w:pPr>
              <w:pStyle w:val="TableContents"/>
              <w:bidi w:val="0"/>
              <w:spacing w:before="0" w:after="0"/>
              <w:jc w:val="left"/>
              <w:rPr>
                <w:sz w:val="12"/>
              </w:rPr>
            </w:pPr>
            <w:r>
              <w:rPr>
                <w:sz w:val="12"/>
              </w:rPr>
              <w:t>4</w:t>
            </w:r>
          </w:p>
          <w:p>
            <w:pPr>
              <w:pStyle w:val="TableContents"/>
              <w:bidi w:val="0"/>
              <w:spacing w:before="0" w:after="0"/>
              <w:jc w:val="left"/>
              <w:rPr/>
            </w:pPr>
            <w:r>
              <w:rPr/>
              <w:t> </w:t>
            </w:r>
          </w:p>
        </w:tc>
        <w:tc>
          <w:tcPr>
            <w:tcW w:w="9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the forward fuel curve as of May 22, 2024. Consumption of ~1.12 to 1.14 billion gallons assumed in 2Q 2024.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Certain components of the guidance provided exclude fuel and net special items. The updated guidance provided herein is presented to provide comparability with prior guidance. The Company is unable to fully reconcile such forward-looking guidance to the corresponding GAAP measure because the full nature and amount of net special items cannot be determined at this time. </w:t>
      </w:r>
    </w:p>
    <w:p>
      <w:pPr>
        <w:pStyle w:val="TextBody"/>
        <w:bidi w:val="0"/>
        <w:spacing w:before="0" w:after="0"/>
        <w:jc w:val="left"/>
        <w:rPr>
          <w:shd w:fill="FFFFFF" w:val="clear"/>
        </w:rPr>
      </w:pPr>
      <w:r>
        <w:rPr>
          <w:shd w:fill="FFFFFF" w:val="clea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The information in this Item 7.01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Non-GAAP</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Financial Information and Financial Guidance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sometimes uses financial measures that are derived from the condensed consolidated financial statements or otherwise provided in the form of guidance but that are not presented in accordance with GAAP to understand and evaluate its current operating performance and to allow for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period-to-period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comparisons. The Company believes these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non-GAAP</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financial measures may also provide useful information to investors and others. These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non-GAAP</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measures may not be comparable to similarly titled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non-GAAP</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measures of other companies, and should be considered in addition to, and not as a substitute for or superior to, any measure of performance, cash flow or liquidity prepared in accordance with GAAP. The price of fuel, over which the Company has no control, impacts the comparability of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period-to-period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financial performance. Additionally, net special items may vary from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period-to-period</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 nature and amount. These adjustments to exclude fuel and net special items allow management an additional tool to understand and analyze the Company’s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non-fuel</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costs and core operating performance.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Cautionary Statement Regarding Forward-Looking Statements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This document includes forward-looking statements within the meaning of the Securities Act of 1933, as amended, the Securities Exchange Act of 1934, as amended,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herein as well as in the Company’s Quarterly Report on Form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10-Q</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for the quarter ended March 31, 2024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SIGNATURES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Pursuant to the requirements of the Securities Exchange Act of 1934, American Airlines Group Inc. has duly caused this report to be signed on its behalf by the undersigned hereunto duly authorized. </w:t>
      </w:r>
    </w:p>
    <w:p>
      <w:pPr>
        <w:pStyle w:val="TextBody"/>
        <w:bidi w:val="0"/>
        <w:spacing w:before="0" w:after="0"/>
        <w:jc w:val="left"/>
        <w:rPr>
          <w:shd w:fill="FFFFFF" w:val="clear"/>
        </w:rPr>
      </w:pPr>
      <w:r>
        <w:rPr>
          <w:shd w:fill="FFFFFF" w:val="clear"/>
        </w:rPr>
        <w:t> </w:t>
      </w:r>
    </w:p>
    <w:tbl>
      <w:tblPr>
        <w:tblW w:w="7583" w:type="dxa"/>
        <w:jc w:val="left"/>
        <w:tblInd w:w="0" w:type="dxa"/>
        <w:tblLayout w:type="fixed"/>
        <w:tblCellMar>
          <w:top w:w="0" w:type="dxa"/>
          <w:left w:w="0" w:type="dxa"/>
          <w:bottom w:w="0" w:type="dxa"/>
          <w:right w:w="0" w:type="dxa"/>
        </w:tblCellMar>
      </w:tblPr>
      <w:tblGrid>
        <w:gridCol w:w="1940"/>
        <w:gridCol w:w="60"/>
        <w:gridCol w:w="23"/>
        <w:gridCol w:w="60"/>
        <w:gridCol w:w="365"/>
        <w:gridCol w:w="60"/>
        <w:gridCol w:w="507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0" w:type="dxa"/>
            <w:gridSpan w:val="3"/>
            <w:tcBorders/>
            <w:vAlign w:val="center"/>
          </w:tcPr>
          <w:p>
            <w:pPr>
              <w:pStyle w:val="TableContents"/>
              <w:bidi w:val="0"/>
              <w:spacing w:before="0" w:after="0"/>
              <w:jc w:val="left"/>
              <w:rPr>
                <w:b/>
              </w:rPr>
            </w:pPr>
            <w:r>
              <w:rPr>
                <w:b/>
              </w:rPr>
              <w:t>A</w:t>
            </w:r>
          </w:p>
          <w:p>
            <w:pPr>
              <w:pStyle w:val="TableContents"/>
              <w:bidi w:val="0"/>
              <w:spacing w:before="0" w:after="0"/>
              <w:jc w:val="left"/>
              <w:rPr>
                <w:b/>
                <w:u w:val="single"/>
              </w:rPr>
            </w:pPr>
            <w:r>
              <w:rPr>
                <w:b/>
                <w:u w:val="single"/>
              </w:rPr>
              <w:t>MERICAN</w:t>
            </w:r>
          </w:p>
          <w:p>
            <w:pPr>
              <w:pStyle w:val="TableContents"/>
              <w:bidi w:val="0"/>
              <w:spacing w:before="0" w:after="0"/>
              <w:jc w:val="left"/>
              <w:rPr>
                <w:b/>
              </w:rPr>
            </w:pPr>
            <w:r>
              <w:rPr>
                <w:b/>
              </w:rPr>
              <w:t>A</w:t>
            </w:r>
          </w:p>
          <w:p>
            <w:pPr>
              <w:pStyle w:val="TableContents"/>
              <w:bidi w:val="0"/>
              <w:spacing w:before="0" w:after="0"/>
              <w:jc w:val="left"/>
              <w:rPr>
                <w:b/>
                <w:u w:val="single"/>
              </w:rPr>
            </w:pPr>
            <w:r>
              <w:rPr>
                <w:b/>
                <w:u w:val="single"/>
              </w:rPr>
              <w:t>IRLINES</w:t>
            </w:r>
          </w:p>
          <w:p>
            <w:pPr>
              <w:pStyle w:val="TableContents"/>
              <w:bidi w:val="0"/>
              <w:spacing w:before="0" w:after="0"/>
              <w:jc w:val="left"/>
              <w:rPr>
                <w:b/>
              </w:rPr>
            </w:pPr>
            <w:r>
              <w:rPr>
                <w:b/>
              </w:rPr>
              <w:t>G</w:t>
            </w:r>
          </w:p>
          <w:p>
            <w:pPr>
              <w:pStyle w:val="TableContents"/>
              <w:bidi w:val="0"/>
              <w:spacing w:before="0" w:after="0"/>
              <w:jc w:val="left"/>
              <w:rPr>
                <w:b/>
                <w:u w:val="single"/>
              </w:rPr>
            </w:pPr>
            <w:r>
              <w:rPr>
                <w:b/>
                <w:u w:val="single"/>
              </w:rPr>
              <w:t>ROUP</w:t>
            </w:r>
          </w:p>
          <w:p>
            <w:pPr>
              <w:pStyle w:val="TableContents"/>
              <w:bidi w:val="0"/>
              <w:spacing w:before="0" w:after="0"/>
              <w:jc w:val="left"/>
              <w:rPr>
                <w:b/>
              </w:rPr>
            </w:pPr>
            <w:r>
              <w:rPr>
                <w:b/>
              </w:rPr>
              <w:t>I</w:t>
            </w:r>
          </w:p>
          <w:p>
            <w:pPr>
              <w:pStyle w:val="TableContents"/>
              <w:bidi w:val="0"/>
              <w:spacing w:before="0" w:after="0"/>
              <w:jc w:val="left"/>
              <w:rPr>
                <w:b/>
                <w:u w:val="single"/>
              </w:rPr>
            </w:pPr>
            <w:r>
              <w:rPr>
                <w:b/>
                <w:u w:val="single"/>
              </w:rPr>
              <w:t>NC</w:t>
            </w:r>
          </w:p>
          <w:p>
            <w:pPr>
              <w:pStyle w:val="TableContents"/>
              <w:bidi w:val="0"/>
              <w:spacing w:before="0" w:after="0"/>
              <w:jc w:val="left"/>
              <w:rPr>
                <w:b/>
              </w:rPr>
            </w:pPr>
            <w:r>
              <w:rPr>
                <w:b/>
              </w:rPr>
              <w:t>.</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28,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Devon E. May</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Devon E. May</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Pursuant to the requirements of the Securities Exchange Act of 1934, American Airlines, Inc. has duly caused this report to be signed on its behalf by the undersigned hereunto duly authorized. </w:t>
      </w:r>
    </w:p>
    <w:p>
      <w:pPr>
        <w:pStyle w:val="TextBody"/>
        <w:bidi w:val="0"/>
        <w:spacing w:before="0" w:after="0"/>
        <w:jc w:val="left"/>
        <w:rPr>
          <w:shd w:fill="FFFFFF" w:val="clear"/>
        </w:rPr>
      </w:pPr>
      <w:r>
        <w:rPr>
          <w:shd w:fill="FFFFFF" w:val="clear"/>
        </w:rPr>
        <w:t> </w:t>
      </w:r>
    </w:p>
    <w:tbl>
      <w:tblPr>
        <w:tblW w:w="7583" w:type="dxa"/>
        <w:jc w:val="left"/>
        <w:tblInd w:w="0" w:type="dxa"/>
        <w:tblLayout w:type="fixed"/>
        <w:tblCellMar>
          <w:top w:w="0" w:type="dxa"/>
          <w:left w:w="0" w:type="dxa"/>
          <w:bottom w:w="0" w:type="dxa"/>
          <w:right w:w="0" w:type="dxa"/>
        </w:tblCellMar>
      </w:tblPr>
      <w:tblGrid>
        <w:gridCol w:w="1940"/>
        <w:gridCol w:w="60"/>
        <w:gridCol w:w="23"/>
        <w:gridCol w:w="60"/>
        <w:gridCol w:w="365"/>
        <w:gridCol w:w="60"/>
        <w:gridCol w:w="507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0" w:type="dxa"/>
            <w:gridSpan w:val="3"/>
            <w:tcBorders/>
            <w:vAlign w:val="center"/>
          </w:tcPr>
          <w:p>
            <w:pPr>
              <w:pStyle w:val="TableContents"/>
              <w:bidi w:val="0"/>
              <w:spacing w:before="0" w:after="0"/>
              <w:jc w:val="left"/>
              <w:rPr>
                <w:b/>
              </w:rPr>
            </w:pPr>
            <w:r>
              <w:rPr>
                <w:b/>
              </w:rPr>
              <w:t>A</w:t>
            </w:r>
          </w:p>
          <w:p>
            <w:pPr>
              <w:pStyle w:val="TableContents"/>
              <w:bidi w:val="0"/>
              <w:spacing w:before="0" w:after="0"/>
              <w:jc w:val="left"/>
              <w:rPr>
                <w:b/>
                <w:u w:val="single"/>
              </w:rPr>
            </w:pPr>
            <w:r>
              <w:rPr>
                <w:b/>
                <w:u w:val="single"/>
              </w:rPr>
              <w:t>MERICAN</w:t>
            </w:r>
          </w:p>
          <w:p>
            <w:pPr>
              <w:pStyle w:val="TableContents"/>
              <w:bidi w:val="0"/>
              <w:spacing w:before="0" w:after="0"/>
              <w:jc w:val="left"/>
              <w:rPr>
                <w:b/>
              </w:rPr>
            </w:pPr>
            <w:r>
              <w:rPr>
                <w:b/>
              </w:rPr>
              <w:t>A</w:t>
            </w:r>
          </w:p>
          <w:p>
            <w:pPr>
              <w:pStyle w:val="TableContents"/>
              <w:bidi w:val="0"/>
              <w:spacing w:before="0" w:after="0"/>
              <w:jc w:val="left"/>
              <w:rPr>
                <w:b/>
                <w:u w:val="single"/>
              </w:rPr>
            </w:pPr>
            <w:r>
              <w:rPr>
                <w:b/>
                <w:u w:val="single"/>
              </w:rPr>
              <w:t>IRLINES</w:t>
            </w:r>
          </w:p>
          <w:p>
            <w:pPr>
              <w:pStyle w:val="TableContents"/>
              <w:bidi w:val="0"/>
              <w:spacing w:before="0" w:after="0"/>
              <w:jc w:val="left"/>
              <w:rPr>
                <w:b/>
              </w:rPr>
            </w:pPr>
            <w:r>
              <w:rPr>
                <w:b/>
              </w:rPr>
              <w:t>, I</w:t>
            </w:r>
          </w:p>
          <w:p>
            <w:pPr>
              <w:pStyle w:val="TableContents"/>
              <w:bidi w:val="0"/>
              <w:spacing w:before="0" w:after="0"/>
              <w:jc w:val="left"/>
              <w:rPr>
                <w:b/>
                <w:u w:val="single"/>
              </w:rPr>
            </w:pPr>
            <w:r>
              <w:rPr>
                <w:b/>
                <w:u w:val="single"/>
              </w:rPr>
              <w:t>NC</w:t>
            </w:r>
          </w:p>
          <w:p>
            <w:pPr>
              <w:pStyle w:val="TableContents"/>
              <w:bidi w:val="0"/>
              <w:spacing w:before="0" w:after="0"/>
              <w:jc w:val="left"/>
              <w:rPr>
                <w:b/>
              </w:rPr>
            </w:pPr>
            <w:r>
              <w:rPr>
                <w:b/>
              </w:rPr>
              <w:t>.</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28,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Devon E. May</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Devon E. May</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1535</Words>
  <Characters>8354</Characters>
  <CharactersWithSpaces>9876</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