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396875</wp:posOffset>
            </wp:positionH>
            <wp:positionV relativeFrom="page">
              <wp:posOffset>628015</wp:posOffset>
            </wp:positionV>
            <wp:extent cx="6755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5765" cy="8255"/>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585470</wp:posOffset>
            </wp:positionV>
            <wp:extent cx="67557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765" cy="17145"/>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11"/>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86360</wp:posOffset>
            </wp:positionV>
            <wp:extent cx="2277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150" w:lineRule="exact"/>
        <w:rPr>
          <w:sz w:val="24"/>
          <w:szCs w:val="24"/>
          <w:color w:val="auto"/>
        </w:rPr>
      </w:pPr>
    </w:p>
    <w:p>
      <w:pPr>
        <w:jc w:val="center"/>
        <w:ind w:right="88"/>
        <w:spacing w:after="0"/>
        <w:rPr>
          <w:sz w:val="20"/>
          <w:szCs w:val="20"/>
          <w:color w:val="auto"/>
        </w:rPr>
      </w:pPr>
      <w:r>
        <w:rPr>
          <w:rFonts w:ascii="Arial" w:cs="Arial" w:eastAsia="Arial" w:hAnsi="Arial"/>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58420</wp:posOffset>
            </wp:positionV>
            <wp:extent cx="2277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77745" cy="8255"/>
                    </a:xfrm>
                    <a:prstGeom prst="rect">
                      <a:avLst/>
                    </a:prstGeom>
                    <a:noFill/>
                  </pic:spPr>
                </pic:pic>
              </a:graphicData>
            </a:graphic>
          </wp:anchor>
        </w:drawing>
      </w:r>
    </w:p>
    <w:p>
      <w:pPr>
        <w:spacing w:after="0" w:line="359" w:lineRule="exact"/>
        <w:rPr>
          <w:sz w:val="24"/>
          <w:szCs w:val="24"/>
          <w:color w:val="auto"/>
        </w:rPr>
      </w:pPr>
    </w:p>
    <w:p>
      <w:pPr>
        <w:ind w:left="632" w:hanging="614"/>
        <w:spacing w:after="0"/>
        <w:tabs>
          <w:tab w:leader="none" w:pos="632"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79" w:lineRule="exact"/>
        <w:rPr>
          <w:sz w:val="24"/>
          <w:szCs w:val="24"/>
          <w:color w:val="auto"/>
        </w:rPr>
      </w:pPr>
    </w:p>
    <w:p>
      <w:pPr>
        <w:ind w:left="452"/>
        <w:spacing w:after="0"/>
        <w:rPr>
          <w:sz w:val="20"/>
          <w:szCs w:val="20"/>
          <w:color w:val="auto"/>
        </w:rPr>
      </w:pPr>
      <w:r>
        <w:rPr>
          <w:rFonts w:ascii="Arial" w:cs="Arial" w:eastAsia="Arial" w:hAnsi="Arial"/>
          <w:sz w:val="18"/>
          <w:szCs w:val="18"/>
          <w:b w:val="1"/>
          <w:bCs w:val="1"/>
          <w:color w:val="auto"/>
        </w:rPr>
        <w:t>For the Fiscal Year Ended December 31, 2023</w:t>
      </w:r>
    </w:p>
    <w:p>
      <w:pPr>
        <w:spacing w:after="0" w:line="287" w:lineRule="exact"/>
        <w:rPr>
          <w:sz w:val="24"/>
          <w:szCs w:val="24"/>
          <w:color w:val="auto"/>
        </w:rPr>
      </w:pPr>
    </w:p>
    <w:p>
      <w:pPr>
        <w:ind w:left="632" w:hanging="614"/>
        <w:spacing w:after="0"/>
        <w:tabs>
          <w:tab w:leader="none" w:pos="632" w:val="left"/>
        </w:tabs>
        <w:numPr>
          <w:ilvl w:val="0"/>
          <w:numId w:val="2"/>
        </w:numPr>
        <w:rPr>
          <w:rFonts w:ascii="MS PGothic" w:cs="MS PGothic" w:eastAsia="MS PGothic" w:hAnsi="MS PGothic"/>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23" w:lineRule="exact"/>
        <w:rPr>
          <w:sz w:val="24"/>
          <w:szCs w:val="24"/>
          <w:color w:val="auto"/>
        </w:rPr>
      </w:pPr>
    </w:p>
    <w:p>
      <w:pPr>
        <w:ind w:left="452"/>
        <w:spacing w:after="0"/>
        <w:tabs>
          <w:tab w:leader="none" w:pos="4352"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111"/>
        <w:spacing w:after="0"/>
        <w:rPr>
          <w:sz w:val="20"/>
          <w:szCs w:val="20"/>
          <w:color w:val="auto"/>
        </w:rPr>
      </w:pPr>
      <w:r>
        <w:rPr>
          <w:rFonts w:ascii="Arial" w:cs="Arial" w:eastAsia="Arial" w:hAnsi="Arial"/>
          <w:sz w:val="18"/>
          <w:szCs w:val="18"/>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1858010</wp:posOffset>
            </wp:positionH>
            <wp:positionV relativeFrom="paragraph">
              <wp:posOffset>102870</wp:posOffset>
            </wp:positionV>
            <wp:extent cx="34163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spacing w:after="0" w:line="217" w:lineRule="exact"/>
        <w:rPr>
          <w:sz w:val="24"/>
          <w:szCs w:val="24"/>
          <w:color w:val="auto"/>
        </w:rPr>
      </w:pPr>
    </w:p>
    <w:p>
      <w:pPr>
        <w:jc w:val="center"/>
        <w:ind w:right="-111"/>
        <w:spacing w:after="0"/>
        <w:rPr>
          <w:sz w:val="20"/>
          <w:szCs w:val="20"/>
          <w:color w:val="auto"/>
        </w:rPr>
      </w:pPr>
      <w:r>
        <w:rPr>
          <w:rFonts w:ascii="Arial" w:cs="Arial" w:eastAsia="Arial" w:hAnsi="Arial"/>
          <w:sz w:val="23"/>
          <w:szCs w:val="23"/>
          <w:b w:val="1"/>
          <w:bCs w:val="1"/>
          <w:color w:val="auto"/>
        </w:rPr>
        <w:t>American Airlines Group Inc.</w:t>
      </w:r>
    </w:p>
    <w:p>
      <w:pPr>
        <w:spacing w:after="0" w:line="60" w:lineRule="exact"/>
        <w:rPr>
          <w:sz w:val="24"/>
          <w:szCs w:val="24"/>
          <w:color w:val="auto"/>
        </w:rPr>
      </w:pPr>
    </w:p>
    <w:p>
      <w:pPr>
        <w:jc w:val="center"/>
        <w:ind w:right="-111"/>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1858010</wp:posOffset>
            </wp:positionH>
            <wp:positionV relativeFrom="paragraph">
              <wp:posOffset>52070</wp:posOffset>
            </wp:positionV>
            <wp:extent cx="34163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sectPr>
          <w:pgSz w:w="11900" w:h="16838" w:orient="portrait"/>
          <w:cols w:equalWidth="0" w:num="1">
            <w:col w:w="11132"/>
          </w:cols>
          <w:pgMar w:left="328" w:top="1077" w:right="439" w:bottom="1440" w:gutter="0" w:footer="0" w:header="0"/>
        </w:sectPr>
      </w:pPr>
    </w:p>
    <w:p>
      <w:pPr>
        <w:spacing w:after="0" w:line="319" w:lineRule="exact"/>
        <w:rPr>
          <w:sz w:val="24"/>
          <w:szCs w:val="24"/>
          <w:color w:val="auto"/>
        </w:rPr>
      </w:pPr>
    </w:p>
    <w:p>
      <w:pPr>
        <w:ind w:left="2332"/>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ind w:left="412"/>
        <w:spacing w:after="0"/>
        <w:rPr>
          <w:sz w:val="20"/>
          <w:szCs w:val="20"/>
          <w:color w:val="auto"/>
        </w:rPr>
      </w:pPr>
      <w:r>
        <w:rPr>
          <w:rFonts w:ascii="Arial" w:cs="Arial" w:eastAsia="Arial" w:hAnsi="Arial"/>
          <w:sz w:val="17"/>
          <w:szCs w:val="17"/>
          <w:i w:val="1"/>
          <w:iCs w:val="1"/>
          <w:color w:val="auto"/>
        </w:rPr>
        <w:t>(State or other jurisdiction of incorporation or organization)</w:t>
      </w:r>
    </w:p>
    <w:p>
      <w:pPr>
        <w:spacing w:after="0" w:line="26" w:lineRule="exact"/>
        <w:rPr>
          <w:sz w:val="24"/>
          <w:szCs w:val="24"/>
          <w:color w:val="auto"/>
        </w:rPr>
      </w:pPr>
    </w:p>
    <w:p>
      <w:pPr>
        <w:ind w:left="812"/>
        <w:spacing w:after="0"/>
        <w:tabs>
          <w:tab w:leader="none" w:pos="2392" w:val="left"/>
          <w:tab w:leader="none" w:pos="3692" w:val="left"/>
          <w:tab w:leader="none" w:pos="4352" w:val="left"/>
        </w:tabs>
        <w:rPr>
          <w:sz w:val="20"/>
          <w:szCs w:val="20"/>
          <w:color w:val="auto"/>
        </w:rPr>
      </w:pPr>
      <w:r>
        <w:rPr>
          <w:rFonts w:ascii="Arial" w:cs="Arial" w:eastAsia="Arial" w:hAnsi="Arial"/>
          <w:sz w:val="18"/>
          <w:szCs w:val="18"/>
          <w:b w:val="1"/>
          <w:bCs w:val="1"/>
          <w:color w:val="auto"/>
        </w:rPr>
        <w:t>1 Skyview Drive,</w:t>
        <w:tab/>
        <w:t>Fort Worth,</w:t>
      </w:r>
      <w:r>
        <w:rPr>
          <w:sz w:val="20"/>
          <w:szCs w:val="20"/>
          <w:color w:val="auto"/>
        </w:rPr>
        <w:tab/>
      </w:r>
      <w:r>
        <w:rPr>
          <w:rFonts w:ascii="Arial" w:cs="Arial" w:eastAsia="Arial" w:hAnsi="Arial"/>
          <w:sz w:val="18"/>
          <w:szCs w:val="18"/>
          <w:b w:val="1"/>
          <w:bCs w:val="1"/>
          <w:color w:val="auto"/>
        </w:rPr>
        <w:t>Texas</w:t>
      </w:r>
      <w:r>
        <w:rPr>
          <w:sz w:val="20"/>
          <w:szCs w:val="20"/>
          <w:color w:val="auto"/>
        </w:rPr>
        <w:tab/>
      </w:r>
      <w:r>
        <w:rPr>
          <w:rFonts w:ascii="Arial" w:cs="Arial" w:eastAsia="Arial" w:hAnsi="Arial"/>
          <w:sz w:val="17"/>
          <w:szCs w:val="17"/>
          <w:b w:val="1"/>
          <w:bCs w:val="1"/>
          <w:color w:val="auto"/>
        </w:rPr>
        <w:t>76155</w:t>
      </w:r>
    </w:p>
    <w:p>
      <w:pPr>
        <w:spacing w:after="0" w:line="30" w:lineRule="exact"/>
        <w:rPr>
          <w:sz w:val="24"/>
          <w:szCs w:val="24"/>
          <w:color w:val="auto"/>
        </w:rPr>
      </w:pPr>
    </w:p>
    <w:p>
      <w:pPr>
        <w:ind w:left="432"/>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75-1825172</w:t>
      </w:r>
    </w:p>
    <w:p>
      <w:pPr>
        <w:spacing w:after="0" w:line="40" w:lineRule="exact"/>
        <w:rPr>
          <w:sz w:val="24"/>
          <w:szCs w:val="24"/>
          <w:color w:val="auto"/>
        </w:rPr>
      </w:pPr>
    </w:p>
    <w:p>
      <w:pPr>
        <w:jc w:val="center"/>
        <w:ind w:right="500"/>
        <w:spacing w:after="0"/>
        <w:rPr>
          <w:sz w:val="20"/>
          <w:szCs w:val="20"/>
          <w:color w:val="auto"/>
        </w:rPr>
      </w:pPr>
      <w:r>
        <w:rPr>
          <w:rFonts w:ascii="Arial" w:cs="Arial" w:eastAsia="Arial" w:hAnsi="Arial"/>
          <w:sz w:val="18"/>
          <w:szCs w:val="18"/>
          <w:i w:val="1"/>
          <w:iCs w:val="1"/>
          <w:color w:val="auto"/>
        </w:rPr>
        <w:t>(I.R.S. Employer Identification No.)</w:t>
      </w:r>
    </w:p>
    <w:p>
      <w:pPr>
        <w:spacing w:after="0" w:line="14"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(682) 278-9000</w:t>
      </w:r>
    </w:p>
    <w:p>
      <w:pPr>
        <w:spacing w:after="0" w:line="30" w:lineRule="exact"/>
        <w:rPr>
          <w:sz w:val="24"/>
          <w:szCs w:val="24"/>
          <w:color w:val="auto"/>
        </w:rPr>
      </w:pPr>
    </w:p>
    <w:p>
      <w:pPr>
        <w:jc w:val="center"/>
        <w:ind w:right="500"/>
        <w:spacing w:after="0"/>
        <w:rPr>
          <w:sz w:val="20"/>
          <w:szCs w:val="20"/>
          <w:color w:val="auto"/>
        </w:rPr>
      </w:pPr>
      <w:r>
        <w:rPr>
          <w:rFonts w:ascii="Arial" w:cs="Arial" w:eastAsia="Arial" w:hAnsi="Arial"/>
          <w:sz w:val="17"/>
          <w:szCs w:val="17"/>
          <w:i w:val="1"/>
          <w:iCs w:val="1"/>
          <w:color w:val="auto"/>
        </w:rPr>
        <w:t>Registrant’s telephone number, including area code</w:t>
      </w:r>
    </w:p>
    <w:p>
      <w:pPr>
        <w:spacing w:after="0" w:line="211" w:lineRule="exact"/>
        <w:rPr>
          <w:sz w:val="24"/>
          <w:szCs w:val="24"/>
          <w:color w:val="auto"/>
        </w:rPr>
      </w:pPr>
    </w:p>
    <w:p>
      <w:pPr>
        <w:sectPr>
          <w:pgSz w:w="11900" w:h="16838" w:orient="portrait"/>
          <w:cols w:equalWidth="0" w:num="2">
            <w:col w:w="5812" w:space="720"/>
            <w:col w:w="4600"/>
          </w:cols>
          <w:pgMar w:left="328" w:top="1077" w:right="439" w:bottom="1440" w:gutter="0" w:footer="0" w:header="0"/>
          <w:type w:val="continuous"/>
        </w:sectPr>
      </w:pPr>
    </w:p>
    <w:p>
      <w:pPr>
        <w:spacing w:after="0" w:line="331" w:lineRule="exact"/>
        <w:rPr>
          <w:sz w:val="24"/>
          <w:szCs w:val="24"/>
          <w:color w:val="auto"/>
        </w:rPr>
      </w:pPr>
    </w:p>
    <w:p>
      <w:pPr>
        <w:jc w:val="center"/>
        <w:ind w:right="-91"/>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7" w:lineRule="exact"/>
        <w:rPr>
          <w:sz w:val="24"/>
          <w:szCs w:val="24"/>
          <w:color w:val="auto"/>
        </w:rPr>
      </w:pPr>
    </w:p>
    <w:tbl>
      <w:tblPr>
        <w:tblLayout w:type="fixed"/>
        <w:tblInd w:w="112" w:type="dxa"/>
        <w:tblCellMar>
          <w:top w:w="0" w:type="dxa"/>
          <w:left w:w="0" w:type="dxa"/>
          <w:bottom w:w="0" w:type="dxa"/>
          <w:right w:w="0" w:type="dxa"/>
        </w:tblCellMar>
      </w:tblPr>
      <w:tr>
        <w:trPr>
          <w:trHeight w:val="235"/>
        </w:trPr>
        <w:tc>
          <w:tcPr>
            <w:tcW w:w="4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Title of each class</w:t>
            </w: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Trading Symbol(s)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99"/>
        </w:trPr>
        <w:tc>
          <w:tcPr>
            <w:tcW w:w="450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18"/>
                <w:szCs w:val="18"/>
                <w:b w:val="1"/>
                <w:bCs w:val="1"/>
                <w:color w:val="auto"/>
              </w:rPr>
              <w:t>Common Stock, $0.01 par value per share</w:t>
            </w:r>
          </w:p>
        </w:tc>
        <w:tc>
          <w:tcPr>
            <w:tcW w:w="200" w:type="dxa"/>
            <w:vAlign w:val="bottom"/>
          </w:tcPr>
          <w:p>
            <w:pPr>
              <w:spacing w:after="0"/>
              <w:rPr>
                <w:sz w:val="17"/>
                <w:szCs w:val="17"/>
                <w:color w:val="auto"/>
              </w:rPr>
            </w:pPr>
          </w:p>
        </w:tc>
        <w:tc>
          <w:tcPr>
            <w:tcW w:w="220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18"/>
                <w:szCs w:val="18"/>
                <w:b w:val="1"/>
                <w:bCs w:val="1"/>
                <w:color w:val="auto"/>
              </w:rPr>
              <w:t>AAL</w:t>
            </w:r>
          </w:p>
        </w:tc>
        <w:tc>
          <w:tcPr>
            <w:tcW w:w="200" w:type="dxa"/>
            <w:vAlign w:val="bottom"/>
          </w:tcPr>
          <w:p>
            <w:pPr>
              <w:spacing w:after="0"/>
              <w:rPr>
                <w:sz w:val="17"/>
                <w:szCs w:val="17"/>
                <w:color w:val="auto"/>
              </w:rPr>
            </w:pPr>
          </w:p>
        </w:tc>
        <w:tc>
          <w:tcPr>
            <w:tcW w:w="392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18"/>
                <w:szCs w:val="18"/>
                <w:b w:val="1"/>
                <w:bCs w:val="1"/>
                <w:color w:val="auto"/>
                <w:w w:val="99"/>
              </w:rPr>
              <w:t>The Nasdaq Global Select Market</w:t>
            </w:r>
          </w:p>
        </w:tc>
        <w:tc>
          <w:tcPr>
            <w:tcW w:w="0" w:type="dxa"/>
            <w:vAlign w:val="bottom"/>
          </w:tcPr>
          <w:p>
            <w:pPr>
              <w:spacing w:after="0"/>
              <w:rPr>
                <w:sz w:val="1"/>
                <w:szCs w:val="1"/>
                <w:color w:val="auto"/>
              </w:rPr>
            </w:pPr>
          </w:p>
        </w:tc>
      </w:tr>
      <w:tr>
        <w:trPr>
          <w:trHeight w:val="160"/>
        </w:trPr>
        <w:tc>
          <w:tcPr>
            <w:tcW w:w="470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rPr>
              <w:t>Preferred Stock Purchase Rights</w:t>
            </w:r>
          </w:p>
        </w:tc>
        <w:tc>
          <w:tcPr>
            <w:tcW w:w="2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392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105"/>
        </w:trPr>
        <w:tc>
          <w:tcPr>
            <w:tcW w:w="4700" w:type="dxa"/>
            <w:vAlign w:val="bottom"/>
            <w:gridSpan w:val="2"/>
            <w:vMerge w:val="continue"/>
          </w:tcPr>
          <w:p>
            <w:pPr>
              <w:spacing w:after="0"/>
              <w:rPr>
                <w:sz w:val="9"/>
                <w:szCs w:val="9"/>
                <w:color w:val="auto"/>
              </w:rPr>
            </w:pPr>
          </w:p>
        </w:tc>
        <w:tc>
          <w:tcPr>
            <w:tcW w:w="2400" w:type="dxa"/>
            <w:vAlign w:val="bottom"/>
            <w:gridSpan w:val="2"/>
            <w:vMerge w:val="continue"/>
          </w:tcPr>
          <w:p>
            <w:pPr>
              <w:spacing w:after="0"/>
              <w:rPr>
                <w:sz w:val="9"/>
                <w:szCs w:val="9"/>
                <w:color w:val="auto"/>
              </w:rPr>
            </w:pPr>
          </w:p>
        </w:tc>
        <w:tc>
          <w:tcPr>
            <w:tcW w:w="3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52" w:hanging="152"/>
        <w:spacing w:after="0"/>
        <w:tabs>
          <w:tab w:leader="none" w:pos="152"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Attached to the Common Stock</w:t>
      </w:r>
    </w:p>
    <w:p>
      <w:pPr>
        <w:spacing w:after="0" w:line="57" w:lineRule="exact"/>
        <w:rPr>
          <w:sz w:val="24"/>
          <w:szCs w:val="24"/>
          <w:color w:val="auto"/>
        </w:rPr>
      </w:pPr>
    </w:p>
    <w:p>
      <w:pPr>
        <w:jc w:val="center"/>
        <w:ind w:right="-91"/>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21" w:lineRule="exact"/>
        <w:rPr>
          <w:sz w:val="24"/>
          <w:szCs w:val="24"/>
          <w:color w:val="auto"/>
        </w:rPr>
      </w:pPr>
    </w:p>
    <w:p>
      <w:pPr>
        <w:jc w:val="center"/>
        <w:ind w:right="-91"/>
        <w:spacing w:after="0"/>
        <w:rPr>
          <w:sz w:val="20"/>
          <w:szCs w:val="20"/>
          <w:color w:val="auto"/>
        </w:rPr>
      </w:pPr>
      <w:r>
        <w:rPr>
          <w:rFonts w:ascii="Arial" w:cs="Arial" w:eastAsia="Arial" w:hAnsi="Arial"/>
          <w:sz w:val="16"/>
          <w:szCs w:val="16"/>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1858010</wp:posOffset>
            </wp:positionH>
            <wp:positionV relativeFrom="paragraph">
              <wp:posOffset>106045</wp:posOffset>
            </wp:positionV>
            <wp:extent cx="3416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spacing w:after="0" w:line="222" w:lineRule="exact"/>
        <w:rPr>
          <w:sz w:val="24"/>
          <w:szCs w:val="24"/>
          <w:color w:val="auto"/>
        </w:rPr>
      </w:pPr>
    </w:p>
    <w:p>
      <w:pPr>
        <w:jc w:val="center"/>
        <w:ind w:right="-91"/>
        <w:spacing w:after="0"/>
        <w:rPr>
          <w:sz w:val="20"/>
          <w:szCs w:val="20"/>
          <w:color w:val="auto"/>
        </w:rPr>
      </w:pPr>
      <w:r>
        <w:rPr>
          <w:rFonts w:ascii="Arial" w:cs="Arial" w:eastAsia="Arial" w:hAnsi="Arial"/>
          <w:sz w:val="23"/>
          <w:szCs w:val="23"/>
          <w:b w:val="1"/>
          <w:bCs w:val="1"/>
          <w:color w:val="auto"/>
        </w:rPr>
        <w:t>American Airlines, Inc.</w:t>
      </w:r>
    </w:p>
    <w:p>
      <w:pPr>
        <w:spacing w:after="0" w:line="60" w:lineRule="exact"/>
        <w:rPr>
          <w:sz w:val="24"/>
          <w:szCs w:val="24"/>
          <w:color w:val="auto"/>
        </w:rPr>
      </w:pPr>
    </w:p>
    <w:p>
      <w:pPr>
        <w:jc w:val="center"/>
        <w:ind w:right="-91"/>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1858010</wp:posOffset>
            </wp:positionH>
            <wp:positionV relativeFrom="paragraph">
              <wp:posOffset>52070</wp:posOffset>
            </wp:positionV>
            <wp:extent cx="34163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sectPr>
          <w:pgSz w:w="11900" w:h="16838" w:orient="portrait"/>
          <w:cols w:equalWidth="0" w:num="1">
            <w:col w:w="11132"/>
          </w:cols>
          <w:pgMar w:left="328" w:top="1077" w:right="439" w:bottom="1440" w:gutter="0" w:footer="0" w:header="0"/>
          <w:type w:val="continuous"/>
        </w:sectPr>
      </w:pPr>
    </w:p>
    <w:p>
      <w:pPr>
        <w:spacing w:after="0" w:line="305" w:lineRule="exact"/>
        <w:rPr>
          <w:sz w:val="24"/>
          <w:szCs w:val="24"/>
          <w:color w:val="auto"/>
        </w:rPr>
      </w:pPr>
    </w:p>
    <w:p>
      <w:pPr>
        <w:ind w:left="2492"/>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ind w:left="572"/>
        <w:spacing w:after="0"/>
        <w:rPr>
          <w:sz w:val="20"/>
          <w:szCs w:val="20"/>
          <w:color w:val="auto"/>
        </w:rPr>
      </w:pPr>
      <w:r>
        <w:rPr>
          <w:rFonts w:ascii="Arial" w:cs="Arial" w:eastAsia="Arial" w:hAnsi="Arial"/>
          <w:sz w:val="17"/>
          <w:szCs w:val="17"/>
          <w:i w:val="1"/>
          <w:iCs w:val="1"/>
          <w:color w:val="auto"/>
        </w:rPr>
        <w:t>(State or other jurisdiction of incorporation or organization)</w:t>
      </w:r>
    </w:p>
    <w:p>
      <w:pPr>
        <w:spacing w:after="0" w:line="26" w:lineRule="exact"/>
        <w:rPr>
          <w:sz w:val="24"/>
          <w:szCs w:val="24"/>
          <w:color w:val="auto"/>
        </w:rPr>
      </w:pPr>
    </w:p>
    <w:p>
      <w:pPr>
        <w:ind w:left="952"/>
        <w:spacing w:after="0"/>
        <w:tabs>
          <w:tab w:leader="none" w:pos="2532" w:val="left"/>
          <w:tab w:leader="none" w:pos="3852" w:val="left"/>
          <w:tab w:leader="none" w:pos="4532" w:val="left"/>
        </w:tabs>
        <w:rPr>
          <w:sz w:val="20"/>
          <w:szCs w:val="20"/>
          <w:color w:val="auto"/>
        </w:rPr>
      </w:pPr>
      <w:r>
        <w:rPr>
          <w:rFonts w:ascii="Arial" w:cs="Arial" w:eastAsia="Arial" w:hAnsi="Arial"/>
          <w:sz w:val="18"/>
          <w:szCs w:val="18"/>
          <w:b w:val="1"/>
          <w:bCs w:val="1"/>
          <w:color w:val="auto"/>
        </w:rPr>
        <w:t>1 Skyview Drive,</w:t>
        <w:tab/>
        <w:t>Fort Worth,</w:t>
      </w:r>
      <w:r>
        <w:rPr>
          <w:sz w:val="20"/>
          <w:szCs w:val="20"/>
          <w:color w:val="auto"/>
        </w:rPr>
        <w:tab/>
      </w:r>
      <w:r>
        <w:rPr>
          <w:rFonts w:ascii="Arial" w:cs="Arial" w:eastAsia="Arial" w:hAnsi="Arial"/>
          <w:sz w:val="18"/>
          <w:szCs w:val="18"/>
          <w:b w:val="1"/>
          <w:bCs w:val="1"/>
          <w:color w:val="auto"/>
        </w:rPr>
        <w:t>Texas</w:t>
      </w:r>
      <w:r>
        <w:rPr>
          <w:sz w:val="20"/>
          <w:szCs w:val="20"/>
          <w:color w:val="auto"/>
        </w:rPr>
        <w:tab/>
      </w:r>
      <w:r>
        <w:rPr>
          <w:rFonts w:ascii="Arial" w:cs="Arial" w:eastAsia="Arial" w:hAnsi="Arial"/>
          <w:sz w:val="17"/>
          <w:szCs w:val="17"/>
          <w:b w:val="1"/>
          <w:bCs w:val="1"/>
          <w:color w:val="auto"/>
        </w:rPr>
        <w:t>76155</w:t>
      </w:r>
    </w:p>
    <w:p>
      <w:pPr>
        <w:spacing w:after="0" w:line="30" w:lineRule="exact"/>
        <w:rPr>
          <w:sz w:val="24"/>
          <w:szCs w:val="24"/>
          <w:color w:val="auto"/>
        </w:rPr>
      </w:pPr>
    </w:p>
    <w:p>
      <w:pPr>
        <w:ind w:left="592"/>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13-1502798</w:t>
      </w:r>
    </w:p>
    <w:p>
      <w:pPr>
        <w:spacing w:after="0" w:line="40" w:lineRule="exact"/>
        <w:rPr>
          <w:sz w:val="24"/>
          <w:szCs w:val="24"/>
          <w:color w:val="auto"/>
        </w:rPr>
      </w:pPr>
    </w:p>
    <w:p>
      <w:pPr>
        <w:ind w:left="660"/>
        <w:spacing w:after="0"/>
        <w:rPr>
          <w:sz w:val="20"/>
          <w:szCs w:val="20"/>
          <w:color w:val="auto"/>
        </w:rPr>
      </w:pPr>
      <w:r>
        <w:rPr>
          <w:rFonts w:ascii="Arial" w:cs="Arial" w:eastAsia="Arial" w:hAnsi="Arial"/>
          <w:sz w:val="18"/>
          <w:szCs w:val="18"/>
          <w:i w:val="1"/>
          <w:iCs w:val="1"/>
          <w:color w:val="auto"/>
        </w:rPr>
        <w:t>(I.R.S. Employer Identification No.)</w:t>
      </w:r>
    </w:p>
    <w:p>
      <w:pPr>
        <w:spacing w:after="0" w:line="14" w:lineRule="exact"/>
        <w:rPr>
          <w:sz w:val="24"/>
          <w:szCs w:val="24"/>
          <w:color w:val="auto"/>
        </w:rPr>
      </w:pPr>
    </w:p>
    <w:p>
      <w:pPr>
        <w:ind w:left="1600"/>
        <w:spacing w:after="0"/>
        <w:rPr>
          <w:sz w:val="20"/>
          <w:szCs w:val="20"/>
          <w:color w:val="auto"/>
        </w:rPr>
      </w:pPr>
      <w:r>
        <w:rPr>
          <w:rFonts w:ascii="Arial" w:cs="Arial" w:eastAsia="Arial" w:hAnsi="Arial"/>
          <w:sz w:val="18"/>
          <w:szCs w:val="18"/>
          <w:b w:val="1"/>
          <w:bCs w:val="1"/>
          <w:color w:val="auto"/>
        </w:rPr>
        <w:t>(682) 278-9000</w:t>
      </w:r>
    </w:p>
    <w:p>
      <w:pPr>
        <w:spacing w:after="0" w:line="30" w:lineRule="exact"/>
        <w:rPr>
          <w:sz w:val="24"/>
          <w:szCs w:val="24"/>
          <w:color w:val="auto"/>
        </w:rPr>
      </w:pPr>
    </w:p>
    <w:p>
      <w:pPr>
        <w:spacing w:after="0"/>
        <w:rPr>
          <w:sz w:val="20"/>
          <w:szCs w:val="20"/>
          <w:color w:val="auto"/>
        </w:rPr>
      </w:pPr>
      <w:r>
        <w:rPr>
          <w:rFonts w:ascii="Arial" w:cs="Arial" w:eastAsia="Arial" w:hAnsi="Arial"/>
          <w:sz w:val="17"/>
          <w:szCs w:val="17"/>
          <w:i w:val="1"/>
          <w:iCs w:val="1"/>
          <w:color w:val="auto"/>
        </w:rPr>
        <w:t>Registrant’s telephone number, including area code</w:t>
      </w:r>
    </w:p>
    <w:p>
      <w:pPr>
        <w:spacing w:after="0" w:line="110" w:lineRule="exact"/>
        <w:rPr>
          <w:sz w:val="24"/>
          <w:szCs w:val="24"/>
          <w:color w:val="auto"/>
        </w:rPr>
      </w:pPr>
    </w:p>
    <w:p>
      <w:pPr>
        <w:sectPr>
          <w:pgSz w:w="11900" w:h="16838" w:orient="portrait"/>
          <w:cols w:equalWidth="0" w:num="2">
            <w:col w:w="5972" w:space="720"/>
            <w:col w:w="4440"/>
          </w:cols>
          <w:pgMar w:left="328" w:top="1077" w:right="439" w:bottom="1440" w:gutter="0" w:footer="0" w:header="0"/>
          <w:type w:val="continuous"/>
        </w:sectPr>
      </w:pPr>
    </w:p>
    <w:p>
      <w:pPr>
        <w:ind w:left="2892"/>
        <w:spacing w:after="0"/>
        <w:rPr>
          <w:sz w:val="20"/>
          <w:szCs w:val="20"/>
          <w:color w:val="auto"/>
        </w:rPr>
      </w:pPr>
      <w:r>
        <w:rPr>
          <w:rFonts w:ascii="Arial" w:cs="Arial" w:eastAsia="Arial" w:hAnsi="Arial"/>
          <w:sz w:val="17"/>
          <w:szCs w:val="17"/>
          <w:b w:val="1"/>
          <w:bCs w:val="1"/>
          <w:color w:val="auto"/>
        </w:rPr>
        <w:t>Securities registered pursuant to Section 12(b) of the Act: None</w:t>
      </w:r>
    </w:p>
    <w:p>
      <w:pPr>
        <w:spacing w:after="0" w:line="101" w:lineRule="exact"/>
        <w:rPr>
          <w:sz w:val="24"/>
          <w:szCs w:val="24"/>
          <w:color w:val="auto"/>
        </w:rPr>
      </w:pPr>
    </w:p>
    <w:p>
      <w:pPr>
        <w:ind w:left="2892"/>
        <w:spacing w:after="0"/>
        <w:rPr>
          <w:sz w:val="20"/>
          <w:szCs w:val="20"/>
          <w:color w:val="auto"/>
        </w:rPr>
      </w:pPr>
      <w:r>
        <w:rPr>
          <w:rFonts w:ascii="Arial" w:cs="Arial" w:eastAsia="Arial" w:hAnsi="Arial"/>
          <w:sz w:val="17"/>
          <w:szCs w:val="17"/>
          <w:b w:val="1"/>
          <w:bCs w:val="1"/>
          <w:color w:val="auto"/>
        </w:rPr>
        <w:t>Securities registered pursuant to Section 12(g) of the Act: None</w:t>
      </w:r>
    </w:p>
    <w:p>
      <w:pPr>
        <w:spacing w:after="0" w:line="41" w:lineRule="exact"/>
        <w:rPr>
          <w:sz w:val="24"/>
          <w:szCs w:val="24"/>
          <w:color w:val="auto"/>
        </w:rPr>
      </w:pPr>
    </w:p>
    <w:p>
      <w:pPr>
        <w:ind w:left="3272"/>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608330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1077" w:right="439" w:bottom="1440" w:gutter="0" w:footer="0" w:header="0"/>
          <w:type w:val="continuous"/>
        </w:sectPr>
      </w:pPr>
    </w:p>
    <w:bookmarkStart w:id="1" w:name="page2"/>
    <w:bookmarkEnd w:id="1"/>
    <w:p>
      <w:pPr>
        <w:ind w:left="120"/>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ectPr>
          <w:pgSz w:w="11900" w:h="16838" w:orient="portrait"/>
          <w:cols w:equalWidth="0" w:num="1">
            <w:col w:w="11240"/>
          </w:cols>
          <w:pgMar w:left="320" w:top="889" w:right="339" w:bottom="1440" w:gutter="0" w:footer="0" w:header="0"/>
        </w:sectPr>
      </w:pPr>
    </w:p>
    <w:p>
      <w:pPr>
        <w:spacing w:after="0" w:line="169" w:lineRule="exact"/>
        <w:rPr>
          <w:sz w:val="20"/>
          <w:szCs w:val="20"/>
          <w:color w:val="auto"/>
        </w:rPr>
      </w:pPr>
    </w:p>
    <w:p>
      <w:pPr>
        <w:ind w:left="20"/>
        <w:spacing w:after="0"/>
        <w:tabs>
          <w:tab w:leader="none" w:pos="930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5"/>
          <w:szCs w:val="15"/>
          <w:color w:val="auto"/>
        </w:rPr>
        <w:t>Yes</w:t>
      </w:r>
    </w:p>
    <w:p>
      <w:pPr>
        <w:spacing w:after="0" w:line="32" w:lineRule="exact"/>
        <w:rPr>
          <w:sz w:val="20"/>
          <w:szCs w:val="20"/>
          <w:color w:val="auto"/>
        </w:rPr>
      </w:pPr>
    </w:p>
    <w:p>
      <w:pPr>
        <w:ind w:left="20"/>
        <w:spacing w:after="0"/>
        <w:tabs>
          <w:tab w:leader="none" w:pos="930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Arial" w:cs="Arial" w:eastAsia="Arial" w:hAnsi="Arial"/>
          <w:sz w:val="15"/>
          <w:szCs w:val="15"/>
          <w:color w:val="auto"/>
        </w:rPr>
        <w:t>Yes</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858" w:hanging="858"/>
        <w:spacing w:after="0" w:line="207" w:lineRule="exact"/>
        <w:tabs>
          <w:tab w:leader="none" w:pos="858"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76" w:lineRule="exact"/>
        <w:rPr>
          <w:rFonts w:ascii="MS PGothic" w:cs="MS PGothic" w:eastAsia="MS PGothic" w:hAnsi="MS PGothic"/>
          <w:sz w:val="18"/>
          <w:szCs w:val="18"/>
          <w:color w:val="auto"/>
        </w:rPr>
      </w:pPr>
    </w:p>
    <w:p>
      <w:pPr>
        <w:ind w:left="858" w:hanging="858"/>
        <w:spacing w:after="0" w:line="207" w:lineRule="exact"/>
        <w:tabs>
          <w:tab w:leader="none" w:pos="858"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426" w:lineRule="exact"/>
        <w:rPr>
          <w:sz w:val="20"/>
          <w:szCs w:val="20"/>
          <w:color w:val="auto"/>
        </w:rPr>
      </w:pPr>
    </w:p>
    <w:p>
      <w:pPr>
        <w:sectPr>
          <w:pgSz w:w="11900" w:h="16838" w:orient="portrait"/>
          <w:cols w:equalWidth="0" w:num="2">
            <w:col w:w="9580" w:space="222"/>
            <w:col w:w="1438"/>
          </w:cols>
          <w:pgMar w:left="320" w:top="889" w:right="339" w:bottom="1440" w:gutter="0" w:footer="0" w:header="0"/>
          <w:type w:val="continuous"/>
        </w:sectPr>
      </w:pPr>
    </w:p>
    <w:p>
      <w:pPr>
        <w:ind w:left="20"/>
        <w:spacing w:after="0" w:line="207" w:lineRule="exact"/>
        <w:tabs>
          <w:tab w:leader="none" w:pos="9300" w:val="left"/>
          <w:tab w:leader="none" w:pos="9780" w:val="left"/>
          <w:tab w:leader="none" w:pos="10680" w:val="left"/>
          <w:tab w:leader="none" w:pos="1104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76" w:lineRule="exact"/>
        <w:rPr>
          <w:sz w:val="20"/>
          <w:szCs w:val="20"/>
          <w:color w:val="auto"/>
        </w:rPr>
      </w:pPr>
    </w:p>
    <w:p>
      <w:pPr>
        <w:ind w:left="20"/>
        <w:spacing w:after="0" w:line="207" w:lineRule="exact"/>
        <w:tabs>
          <w:tab w:leader="none" w:pos="9300" w:val="left"/>
          <w:tab w:leader="none" w:pos="9780" w:val="left"/>
          <w:tab w:leader="none" w:pos="10680" w:val="left"/>
          <w:tab w:leader="none" w:pos="1104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103" w:lineRule="exact"/>
        <w:rPr>
          <w:sz w:val="20"/>
          <w:szCs w:val="20"/>
          <w:color w:val="auto"/>
        </w:rPr>
      </w:pPr>
    </w:p>
    <w:p>
      <w:pPr>
        <w:jc w:val="both"/>
        <w:ind w:firstLine="121"/>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2" w:lineRule="exact"/>
        <w:rPr>
          <w:sz w:val="20"/>
          <w:szCs w:val="20"/>
          <w:color w:val="auto"/>
        </w:rPr>
      </w:pPr>
    </w:p>
    <w:p>
      <w:pPr>
        <w:ind w:left="20"/>
        <w:spacing w:after="0" w:line="207" w:lineRule="exact"/>
        <w:tabs>
          <w:tab w:leader="none" w:pos="9300" w:val="left"/>
          <w:tab w:leader="none" w:pos="9780" w:val="left"/>
          <w:tab w:leader="none" w:pos="10640" w:val="left"/>
          <w:tab w:leader="none" w:pos="1104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76" w:lineRule="exact"/>
        <w:rPr>
          <w:sz w:val="20"/>
          <w:szCs w:val="20"/>
          <w:color w:val="auto"/>
        </w:rPr>
      </w:pPr>
    </w:p>
    <w:p>
      <w:pPr>
        <w:ind w:left="20"/>
        <w:spacing w:after="0" w:line="207" w:lineRule="exact"/>
        <w:tabs>
          <w:tab w:leader="none" w:pos="9300" w:val="left"/>
          <w:tab w:leader="none" w:pos="9780" w:val="left"/>
          <w:tab w:leader="none" w:pos="10640" w:val="left"/>
          <w:tab w:leader="none" w:pos="1104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03" w:lineRule="exact"/>
        <w:rPr>
          <w:sz w:val="20"/>
          <w:szCs w:val="20"/>
          <w:color w:val="auto"/>
        </w:rPr>
      </w:pPr>
    </w:p>
    <w:p>
      <w:pPr>
        <w:jc w:val="both"/>
        <w:ind w:firstLine="121"/>
        <w:spacing w:after="0" w:line="26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62" w:lineRule="exact"/>
        <w:rPr>
          <w:sz w:val="20"/>
          <w:szCs w:val="20"/>
          <w:color w:val="auto"/>
        </w:rPr>
      </w:pPr>
    </w:p>
    <w:p>
      <w:pPr>
        <w:ind w:left="20"/>
        <w:spacing w:after="0" w:line="207" w:lineRule="exact"/>
        <w:tabs>
          <w:tab w:leader="none" w:pos="9300" w:val="left"/>
          <w:tab w:leader="none" w:pos="9780" w:val="left"/>
          <w:tab w:leader="none" w:pos="10640" w:val="left"/>
          <w:tab w:leader="none" w:pos="1104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76" w:lineRule="exact"/>
        <w:rPr>
          <w:sz w:val="20"/>
          <w:szCs w:val="20"/>
          <w:color w:val="auto"/>
        </w:rPr>
      </w:pPr>
    </w:p>
    <w:p>
      <w:pPr>
        <w:ind w:left="20"/>
        <w:spacing w:after="0" w:line="207" w:lineRule="exact"/>
        <w:tabs>
          <w:tab w:leader="none" w:pos="9300" w:val="left"/>
          <w:tab w:leader="none" w:pos="9780" w:val="left"/>
          <w:tab w:leader="none" w:pos="10640" w:val="left"/>
          <w:tab w:leader="none" w:pos="1104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03" w:lineRule="exact"/>
        <w:rPr>
          <w:sz w:val="20"/>
          <w:szCs w:val="20"/>
          <w:color w:val="auto"/>
        </w:rPr>
      </w:pPr>
    </w:p>
    <w:p>
      <w:pPr>
        <w:jc w:val="both"/>
        <w:ind w:firstLine="121"/>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89" w:right="339" w:bottom="1440" w:gutter="0" w:footer="0" w:header="0"/>
          <w:type w:val="continuous"/>
        </w:sectPr>
      </w:pPr>
    </w:p>
    <w:p>
      <w:pPr>
        <w:spacing w:after="0" w:line="126" w:lineRule="exact"/>
        <w:rPr>
          <w:sz w:val="20"/>
          <w:szCs w:val="20"/>
          <w:color w:val="auto"/>
        </w:rPr>
      </w:pPr>
    </w:p>
    <w:p>
      <w:pPr>
        <w:ind w:left="20"/>
        <w:spacing w:after="0"/>
        <w:rPr>
          <w:sz w:val="20"/>
          <w:szCs w:val="20"/>
          <w:color w:val="auto"/>
        </w:rPr>
      </w:pPr>
      <w:r>
        <w:rPr>
          <w:rFonts w:ascii="Arial" w:cs="Arial" w:eastAsia="Arial" w:hAnsi="Arial"/>
          <w:sz w:val="12"/>
          <w:szCs w:val="12"/>
          <w:color w:val="auto"/>
        </w:rPr>
        <w:t>American Airlines Group Inc.</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color w:val="auto"/>
        </w:rPr>
        <w:t>American Airlines, Inc.</w:t>
      </w:r>
    </w:p>
    <w:p>
      <w:pPr>
        <w:spacing w:after="0" w:line="20" w:lineRule="exact"/>
        <w:rPr>
          <w:sz w:val="20"/>
          <w:szCs w:val="20"/>
          <w:color w:val="auto"/>
        </w:rPr>
      </w:pPr>
      <w:r>
        <w:rPr>
          <w:sz w:val="20"/>
          <w:szCs w:val="20"/>
          <w:color w:val="auto"/>
        </w:rPr>
        <w:br w:type="column"/>
      </w:r>
    </w:p>
    <w:p>
      <w:pPr>
        <w:spacing w:after="0" w:line="348" w:lineRule="exact"/>
        <w:tabs>
          <w:tab w:leader="none" w:pos="280" w:val="left"/>
          <w:tab w:leader="none" w:pos="188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3"/>
          <w:szCs w:val="13"/>
          <w:color w:val="auto"/>
        </w:rPr>
        <w:tab/>
        <w:t>Large accelerated filer</w:t>
      </w:r>
      <w:r>
        <w:rPr>
          <w:sz w:val="20"/>
          <w:szCs w:val="20"/>
          <w:color w:val="auto"/>
        </w:rPr>
        <w:tab/>
      </w:r>
      <w:r>
        <w:rPr>
          <w:rFonts w:ascii="MS PGothic" w:cs="MS PGothic" w:eastAsia="MS PGothic" w:hAnsi="MS PGothic"/>
          <w:sz w:val="30"/>
          <w:szCs w:val="30"/>
          <w:color w:val="auto"/>
          <w:vertAlign w:val="subscript"/>
        </w:rPr>
        <w:t xml:space="preserve">☐ </w:t>
      </w:r>
      <w:r>
        <w:rPr>
          <w:rFonts w:ascii="Arial" w:cs="Arial" w:eastAsia="Arial" w:hAnsi="Arial"/>
          <w:sz w:val="11"/>
          <w:szCs w:val="11"/>
          <w:color w:val="auto"/>
        </w:rPr>
        <w:t>Accelerated filer</w:t>
      </w:r>
      <w:r>
        <w:rPr>
          <w:rFonts w:ascii="MS PGothic" w:cs="MS PGothic" w:eastAsia="MS PGothic" w:hAnsi="MS PGothic"/>
          <w:sz w:val="30"/>
          <w:szCs w:val="30"/>
          <w:color w:val="auto"/>
        </w:rPr>
        <w:t xml:space="preserve">     </w:t>
      </w:r>
      <w:r>
        <w:rPr>
          <w:rFonts w:ascii="MS PGothic" w:cs="MS PGothic" w:eastAsia="MS PGothic" w:hAnsi="MS PGothic"/>
          <w:sz w:val="30"/>
          <w:szCs w:val="30"/>
          <w:color w:val="auto"/>
          <w:vertAlign w:val="subscript"/>
        </w:rPr>
        <w:t>☐</w:t>
      </w:r>
      <w:r>
        <w:rPr>
          <w:rFonts w:ascii="MS PGothic" w:cs="MS PGothic" w:eastAsia="MS PGothic" w:hAnsi="MS PGothic"/>
          <w:sz w:val="30"/>
          <w:szCs w:val="30"/>
          <w:color w:val="auto"/>
        </w:rPr>
        <w:t xml:space="preserve"> </w:t>
      </w:r>
      <w:r>
        <w:rPr>
          <w:rFonts w:ascii="Arial" w:cs="Arial" w:eastAsia="Arial" w:hAnsi="Arial"/>
          <w:sz w:val="11"/>
          <w:szCs w:val="11"/>
          <w:color w:val="auto"/>
        </w:rPr>
        <w:t>Non-accelerated filer</w:t>
      </w:r>
      <w:r>
        <w:rPr>
          <w:rFonts w:ascii="MS PGothic" w:cs="MS PGothic" w:eastAsia="MS PGothic" w:hAnsi="MS PGothic"/>
          <w:sz w:val="30"/>
          <w:szCs w:val="30"/>
          <w:color w:val="auto"/>
        </w:rPr>
        <w:t xml:space="preserve">     </w:t>
      </w:r>
      <w:r>
        <w:rPr>
          <w:rFonts w:ascii="MS PGothic" w:cs="MS PGothic" w:eastAsia="MS PGothic" w:hAnsi="MS PGothic"/>
          <w:sz w:val="30"/>
          <w:szCs w:val="30"/>
          <w:color w:val="auto"/>
          <w:vertAlign w:val="subscript"/>
        </w:rPr>
        <w:t>☐</w:t>
      </w:r>
      <w:r>
        <w:rPr>
          <w:rFonts w:ascii="MS PGothic" w:cs="MS PGothic" w:eastAsia="MS PGothic" w:hAnsi="MS PGothic"/>
          <w:sz w:val="30"/>
          <w:szCs w:val="30"/>
          <w:color w:val="auto"/>
        </w:rPr>
        <w:t xml:space="preserve"> </w:t>
      </w:r>
      <w:r>
        <w:rPr>
          <w:rFonts w:ascii="Arial" w:cs="Arial" w:eastAsia="Arial" w:hAnsi="Arial"/>
          <w:sz w:val="11"/>
          <w:szCs w:val="11"/>
          <w:color w:val="auto"/>
        </w:rPr>
        <w:t>Smaller reporting company</w:t>
      </w:r>
      <w:r>
        <w:rPr>
          <w:rFonts w:ascii="MS PGothic" w:cs="MS PGothic" w:eastAsia="MS PGothic" w:hAnsi="MS PGothic"/>
          <w:sz w:val="30"/>
          <w:szCs w:val="30"/>
          <w:color w:val="auto"/>
        </w:rPr>
        <w:t xml:space="preserve">      </w:t>
      </w:r>
      <w:r>
        <w:rPr>
          <w:rFonts w:ascii="MS PGothic" w:cs="MS PGothic" w:eastAsia="MS PGothic" w:hAnsi="MS PGothic"/>
          <w:sz w:val="30"/>
          <w:szCs w:val="30"/>
          <w:color w:val="auto"/>
          <w:vertAlign w:val="subscript"/>
        </w:rPr>
        <w:t>☐</w:t>
      </w:r>
      <w:r>
        <w:rPr>
          <w:rFonts w:ascii="MS PGothic" w:cs="MS PGothic" w:eastAsia="MS PGothic" w:hAnsi="MS PGothic"/>
          <w:sz w:val="30"/>
          <w:szCs w:val="30"/>
          <w:color w:val="auto"/>
        </w:rPr>
        <w:t xml:space="preserve"> </w:t>
      </w:r>
      <w:r>
        <w:rPr>
          <w:rFonts w:ascii="Arial" w:cs="Arial" w:eastAsia="Arial" w:hAnsi="Arial"/>
          <w:sz w:val="11"/>
          <w:szCs w:val="11"/>
          <w:color w:val="auto"/>
        </w:rPr>
        <w:t>Emerging growth company</w:t>
      </w:r>
    </w:p>
    <w:p>
      <w:pPr>
        <w:spacing w:after="0" w:line="251" w:lineRule="exact"/>
        <w:tabs>
          <w:tab w:leader="none" w:pos="280" w:val="left"/>
          <w:tab w:leader="none" w:pos="1880" w:val="left"/>
        </w:tabs>
        <w:rPr>
          <w:sz w:val="20"/>
          <w:szCs w:val="20"/>
          <w:color w:val="auto"/>
        </w:rPr>
      </w:pPr>
      <w:r>
        <w:rPr>
          <w:rFonts w:ascii="MS PGothic" w:cs="MS PGothic" w:eastAsia="MS PGothic" w:hAnsi="MS PGothic"/>
          <w:sz w:val="28"/>
          <w:szCs w:val="28"/>
          <w:color w:val="auto"/>
          <w:vertAlign w:val="subscript"/>
        </w:rPr>
        <w:t>☐</w:t>
      </w:r>
      <w:r>
        <w:rPr>
          <w:sz w:val="20"/>
          <w:szCs w:val="20"/>
          <w:color w:val="auto"/>
        </w:rPr>
        <w:tab/>
      </w: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30"/>
          <w:szCs w:val="30"/>
          <w:color w:val="auto"/>
          <w:vertAlign w:val="subscript"/>
        </w:rPr>
        <w:t xml:space="preserve">☐ </w:t>
      </w:r>
      <w:r>
        <w:rPr>
          <w:rFonts w:ascii="Arial" w:cs="Arial" w:eastAsia="Arial" w:hAnsi="Arial"/>
          <w:sz w:val="11"/>
          <w:szCs w:val="11"/>
          <w:color w:val="auto"/>
        </w:rPr>
        <w:t>Accelerated filer</w:t>
      </w:r>
      <w:r>
        <w:rPr>
          <w:rFonts w:ascii="MS PGothic" w:cs="MS PGothic" w:eastAsia="MS PGothic" w:hAnsi="MS PGothic"/>
          <w:sz w:val="30"/>
          <w:szCs w:val="30"/>
          <w:color w:val="auto"/>
        </w:rPr>
        <w:t xml:space="preserve">     </w:t>
      </w:r>
      <w:r>
        <w:rPr>
          <w:rFonts w:ascii="MS PGothic" w:cs="MS PGothic" w:eastAsia="MS PGothic" w:hAnsi="MS PGothic"/>
          <w:sz w:val="30"/>
          <w:szCs w:val="30"/>
          <w:color w:val="auto"/>
          <w:vertAlign w:val="subscript"/>
        </w:rPr>
        <w:t>☒</w:t>
      </w:r>
      <w:r>
        <w:rPr>
          <w:rFonts w:ascii="MS PGothic" w:cs="MS PGothic" w:eastAsia="MS PGothic" w:hAnsi="MS PGothic"/>
          <w:sz w:val="30"/>
          <w:szCs w:val="30"/>
          <w:color w:val="auto"/>
        </w:rPr>
        <w:t xml:space="preserve"> </w:t>
      </w:r>
      <w:r>
        <w:rPr>
          <w:rFonts w:ascii="Arial" w:cs="Arial" w:eastAsia="Arial" w:hAnsi="Arial"/>
          <w:sz w:val="11"/>
          <w:szCs w:val="11"/>
          <w:color w:val="auto"/>
        </w:rPr>
        <w:t>Non-accelerated filer</w:t>
      </w:r>
      <w:r>
        <w:rPr>
          <w:rFonts w:ascii="MS PGothic" w:cs="MS PGothic" w:eastAsia="MS PGothic" w:hAnsi="MS PGothic"/>
          <w:sz w:val="30"/>
          <w:szCs w:val="30"/>
          <w:color w:val="auto"/>
        </w:rPr>
        <w:t xml:space="preserve">     </w:t>
      </w:r>
      <w:r>
        <w:rPr>
          <w:rFonts w:ascii="MS PGothic" w:cs="MS PGothic" w:eastAsia="MS PGothic" w:hAnsi="MS PGothic"/>
          <w:sz w:val="30"/>
          <w:szCs w:val="30"/>
          <w:color w:val="auto"/>
          <w:vertAlign w:val="subscript"/>
        </w:rPr>
        <w:t>☐</w:t>
      </w:r>
      <w:r>
        <w:rPr>
          <w:rFonts w:ascii="MS PGothic" w:cs="MS PGothic" w:eastAsia="MS PGothic" w:hAnsi="MS PGothic"/>
          <w:sz w:val="30"/>
          <w:szCs w:val="30"/>
          <w:color w:val="auto"/>
        </w:rPr>
        <w:t xml:space="preserve"> </w:t>
      </w:r>
      <w:r>
        <w:rPr>
          <w:rFonts w:ascii="Arial" w:cs="Arial" w:eastAsia="Arial" w:hAnsi="Arial"/>
          <w:sz w:val="11"/>
          <w:szCs w:val="11"/>
          <w:color w:val="auto"/>
        </w:rPr>
        <w:t>Smaller reporting company</w:t>
      </w:r>
      <w:r>
        <w:rPr>
          <w:rFonts w:ascii="MS PGothic" w:cs="MS PGothic" w:eastAsia="MS PGothic" w:hAnsi="MS PGothic"/>
          <w:sz w:val="30"/>
          <w:szCs w:val="30"/>
          <w:color w:val="auto"/>
        </w:rPr>
        <w:t xml:space="preserve">      </w:t>
      </w:r>
      <w:r>
        <w:rPr>
          <w:rFonts w:ascii="MS PGothic" w:cs="MS PGothic" w:eastAsia="MS PGothic" w:hAnsi="MS PGothic"/>
          <w:sz w:val="30"/>
          <w:szCs w:val="30"/>
          <w:color w:val="auto"/>
          <w:vertAlign w:val="subscript"/>
        </w:rPr>
        <w:t>☐</w:t>
      </w:r>
      <w:r>
        <w:rPr>
          <w:rFonts w:ascii="MS PGothic" w:cs="MS PGothic" w:eastAsia="MS PGothic" w:hAnsi="MS PGothic"/>
          <w:sz w:val="30"/>
          <w:szCs w:val="30"/>
          <w:color w:val="auto"/>
        </w:rPr>
        <w:t xml:space="preserve"> </w:t>
      </w:r>
      <w:r>
        <w:rPr>
          <w:rFonts w:ascii="Arial" w:cs="Arial" w:eastAsia="Arial" w:hAnsi="Arial"/>
          <w:sz w:val="11"/>
          <w:szCs w:val="11"/>
          <w:color w:val="auto"/>
        </w:rPr>
        <w:t>Emerging growth company</w:t>
      </w:r>
    </w:p>
    <w:p>
      <w:pPr>
        <w:spacing w:after="0" w:line="61" w:lineRule="exact"/>
        <w:rPr>
          <w:sz w:val="20"/>
          <w:szCs w:val="20"/>
          <w:color w:val="auto"/>
        </w:rPr>
      </w:pPr>
    </w:p>
    <w:p>
      <w:pPr>
        <w:sectPr>
          <w:pgSz w:w="11900" w:h="16838" w:orient="portrait"/>
          <w:cols w:equalWidth="0" w:num="2">
            <w:col w:w="1620" w:space="300"/>
            <w:col w:w="9320"/>
          </w:cols>
          <w:pgMar w:left="320" w:top="889" w:right="339" w:bottom="1440" w:gutter="0" w:footer="0" w:header="0"/>
          <w:type w:val="continuous"/>
        </w:sectPr>
      </w:pPr>
    </w:p>
    <w:p>
      <w:pPr>
        <w:jc w:val="both"/>
        <w:ind w:firstLine="121"/>
        <w:spacing w:after="0" w:line="28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46" w:lineRule="exact"/>
        <w:rPr>
          <w:sz w:val="20"/>
          <w:szCs w:val="20"/>
          <w:color w:val="auto"/>
        </w:rPr>
      </w:pPr>
    </w:p>
    <w:p>
      <w:pPr>
        <w:ind w:left="20"/>
        <w:spacing w:after="0" w:line="207" w:lineRule="exact"/>
        <w:tabs>
          <w:tab w:leader="none" w:pos="972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MS PGothic" w:cs="MS PGothic" w:eastAsia="MS PGothic" w:hAnsi="MS PGothic"/>
          <w:sz w:val="16"/>
          <w:szCs w:val="16"/>
          <w:color w:val="auto"/>
        </w:rPr>
        <w:t>☐</w:t>
      </w:r>
    </w:p>
    <w:p>
      <w:pPr>
        <w:spacing w:after="0" w:line="76" w:lineRule="exact"/>
        <w:rPr>
          <w:sz w:val="20"/>
          <w:szCs w:val="20"/>
          <w:color w:val="auto"/>
        </w:rPr>
      </w:pPr>
    </w:p>
    <w:p>
      <w:pPr>
        <w:ind w:left="20"/>
        <w:spacing w:after="0" w:line="207" w:lineRule="exact"/>
        <w:tabs>
          <w:tab w:leader="none" w:pos="972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MS PGothic" w:cs="MS PGothic" w:eastAsia="MS PGothic" w:hAnsi="MS PGothic"/>
          <w:sz w:val="16"/>
          <w:szCs w:val="16"/>
          <w:color w:val="auto"/>
        </w:rPr>
        <w:t>☐</w:t>
      </w:r>
    </w:p>
    <w:p>
      <w:pPr>
        <w:spacing w:after="0" w:line="103" w:lineRule="exact"/>
        <w:rPr>
          <w:sz w:val="20"/>
          <w:szCs w:val="20"/>
          <w:color w:val="auto"/>
        </w:rPr>
      </w:pPr>
    </w:p>
    <w:p>
      <w:pPr>
        <w:jc w:val="both"/>
        <w:ind w:firstLine="121"/>
        <w:spacing w:after="0" w:line="268"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62" w:lineRule="exact"/>
        <w:rPr>
          <w:sz w:val="20"/>
          <w:szCs w:val="20"/>
          <w:color w:val="auto"/>
        </w:rPr>
      </w:pPr>
    </w:p>
    <w:p>
      <w:pPr>
        <w:ind w:left="20"/>
        <w:spacing w:after="0" w:line="207" w:lineRule="exact"/>
        <w:tabs>
          <w:tab w:leader="none" w:pos="9300" w:val="left"/>
          <w:tab w:leader="none" w:pos="9780" w:val="left"/>
          <w:tab w:leader="none" w:pos="10640" w:val="left"/>
          <w:tab w:leader="none" w:pos="1104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76" w:lineRule="exact"/>
        <w:rPr>
          <w:sz w:val="20"/>
          <w:szCs w:val="20"/>
          <w:color w:val="auto"/>
        </w:rPr>
      </w:pPr>
    </w:p>
    <w:p>
      <w:pPr>
        <w:ind w:left="20"/>
        <w:spacing w:after="0" w:line="207" w:lineRule="exact"/>
        <w:tabs>
          <w:tab w:leader="none" w:pos="9300" w:val="left"/>
          <w:tab w:leader="none" w:pos="9780" w:val="left"/>
          <w:tab w:leader="none" w:pos="10640" w:val="left"/>
          <w:tab w:leader="none" w:pos="1104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03" w:lineRule="exact"/>
        <w:rPr>
          <w:sz w:val="20"/>
          <w:szCs w:val="20"/>
          <w:color w:val="auto"/>
        </w:rPr>
      </w:pPr>
    </w:p>
    <w:p>
      <w:pPr>
        <w:jc w:val="both"/>
        <w:ind w:firstLine="121"/>
        <w:spacing w:after="0" w:line="286" w:lineRule="auto"/>
        <w:rPr>
          <w:sz w:val="20"/>
          <w:szCs w:val="20"/>
          <w:color w:val="auto"/>
        </w:rPr>
      </w:pPr>
      <w:r>
        <w:rPr>
          <w:rFonts w:ascii="Arial" w:cs="Arial" w:eastAsia="Arial" w:hAnsi="Arial"/>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46" w:lineRule="exact"/>
        <w:rPr>
          <w:sz w:val="20"/>
          <w:szCs w:val="20"/>
          <w:color w:val="auto"/>
        </w:rPr>
      </w:pPr>
    </w:p>
    <w:p>
      <w:pPr>
        <w:ind w:left="140"/>
        <w:spacing w:after="0" w:line="207" w:lineRule="exact"/>
        <w:tabs>
          <w:tab w:leader="none" w:pos="984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MS PGothic" w:cs="MS PGothic" w:eastAsia="MS PGothic" w:hAnsi="MS PGothic"/>
          <w:sz w:val="18"/>
          <w:szCs w:val="18"/>
          <w:color w:val="auto"/>
        </w:rPr>
        <w:t>☐</w:t>
      </w:r>
    </w:p>
    <w:p>
      <w:pPr>
        <w:spacing w:after="0" w:line="76" w:lineRule="exact"/>
        <w:rPr>
          <w:sz w:val="20"/>
          <w:szCs w:val="20"/>
          <w:color w:val="auto"/>
        </w:rPr>
      </w:pPr>
    </w:p>
    <w:p>
      <w:pPr>
        <w:ind w:left="140"/>
        <w:spacing w:after="0" w:line="207" w:lineRule="exact"/>
        <w:tabs>
          <w:tab w:leader="none" w:pos="984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MS PGothic" w:cs="MS PGothic" w:eastAsia="MS PGothic" w:hAnsi="MS PGothic"/>
          <w:sz w:val="18"/>
          <w:szCs w:val="18"/>
          <w:color w:val="auto"/>
        </w:rPr>
        <w:t>☐</w:t>
      </w:r>
    </w:p>
    <w:p>
      <w:pPr>
        <w:spacing w:after="0" w:line="103" w:lineRule="exact"/>
        <w:rPr>
          <w:sz w:val="20"/>
          <w:szCs w:val="20"/>
          <w:color w:val="auto"/>
        </w:rPr>
      </w:pPr>
    </w:p>
    <w:p>
      <w:pPr>
        <w:jc w:val="both"/>
        <w:ind w:firstLine="121"/>
        <w:spacing w:after="0" w:line="286" w:lineRule="auto"/>
        <w:rPr>
          <w:sz w:val="20"/>
          <w:szCs w:val="20"/>
          <w:color w:val="auto"/>
        </w:rPr>
      </w:pPr>
      <w:r>
        <w:rPr>
          <w:rFonts w:ascii="Arial" w:cs="Arial" w:eastAsia="Arial" w:hAnsi="Arial"/>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46" w:lineRule="exact"/>
        <w:rPr>
          <w:sz w:val="20"/>
          <w:szCs w:val="20"/>
          <w:color w:val="auto"/>
        </w:rPr>
      </w:pPr>
    </w:p>
    <w:p>
      <w:pPr>
        <w:ind w:left="140"/>
        <w:spacing w:after="0" w:line="207" w:lineRule="exact"/>
        <w:tabs>
          <w:tab w:leader="none" w:pos="984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MS PGothic" w:cs="MS PGothic" w:eastAsia="MS PGothic" w:hAnsi="MS PGothic"/>
          <w:sz w:val="18"/>
          <w:szCs w:val="18"/>
          <w:color w:val="auto"/>
        </w:rPr>
        <w:t>☐</w:t>
      </w:r>
    </w:p>
    <w:p>
      <w:pPr>
        <w:spacing w:after="0" w:line="76" w:lineRule="exact"/>
        <w:rPr>
          <w:sz w:val="20"/>
          <w:szCs w:val="20"/>
          <w:color w:val="auto"/>
        </w:rPr>
      </w:pPr>
    </w:p>
    <w:p>
      <w:pPr>
        <w:ind w:left="140"/>
        <w:spacing w:after="0" w:line="207" w:lineRule="exact"/>
        <w:tabs>
          <w:tab w:leader="none" w:pos="984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MS PGothic" w:cs="MS PGothic" w:eastAsia="MS PGothic" w:hAnsi="MS PGothic"/>
          <w:sz w:val="18"/>
          <w:szCs w:val="18"/>
          <w:color w:val="auto"/>
        </w:rPr>
        <w:t>☐</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17" w:lineRule="exact"/>
        <w:rPr>
          <w:sz w:val="20"/>
          <w:szCs w:val="20"/>
          <w:color w:val="auto"/>
        </w:rPr>
      </w:pPr>
    </w:p>
    <w:p>
      <w:pPr>
        <w:ind w:left="20"/>
        <w:spacing w:after="0" w:line="207" w:lineRule="exact"/>
        <w:tabs>
          <w:tab w:leader="none" w:pos="9300" w:val="left"/>
          <w:tab w:leader="none" w:pos="9780" w:val="left"/>
          <w:tab w:leader="none" w:pos="10640" w:val="left"/>
          <w:tab w:leader="none" w:pos="11040" w:val="left"/>
        </w:tabs>
        <w:rPr>
          <w:sz w:val="20"/>
          <w:szCs w:val="20"/>
          <w:color w:val="auto"/>
        </w:rPr>
      </w:pPr>
      <w:r>
        <w:rPr>
          <w:rFonts w:ascii="Arial" w:cs="Arial" w:eastAsia="Arial" w:hAnsi="Arial"/>
          <w:sz w:val="18"/>
          <w:szCs w:val="18"/>
          <w:color w:val="auto"/>
        </w:rPr>
        <w:t>American Airlines Group Inc.</w:t>
      </w:r>
      <w:r>
        <w:rPr>
          <w:sz w:val="20"/>
          <w:szCs w:val="20"/>
          <w:color w:val="auto"/>
        </w:rPr>
        <w:tab/>
      </w:r>
      <w:r>
        <w:rPr>
          <w:rFonts w:ascii="Arial" w:cs="Arial" w:eastAsia="Arial" w:hAnsi="Arial"/>
          <w:sz w:val="18"/>
          <w:szCs w:val="18"/>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76" w:lineRule="exact"/>
        <w:rPr>
          <w:sz w:val="20"/>
          <w:szCs w:val="20"/>
          <w:color w:val="auto"/>
        </w:rPr>
      </w:pPr>
    </w:p>
    <w:p>
      <w:pPr>
        <w:ind w:left="20"/>
        <w:spacing w:after="0" w:line="207" w:lineRule="exact"/>
        <w:tabs>
          <w:tab w:leader="none" w:pos="9300" w:val="left"/>
          <w:tab w:leader="none" w:pos="9780" w:val="left"/>
          <w:tab w:leader="none" w:pos="10640" w:val="left"/>
          <w:tab w:leader="none" w:pos="11040" w:val="left"/>
        </w:tabs>
        <w:rPr>
          <w:sz w:val="20"/>
          <w:szCs w:val="20"/>
          <w:color w:val="auto"/>
        </w:rPr>
      </w:pPr>
      <w:r>
        <w:rPr>
          <w:rFonts w:ascii="Arial" w:cs="Arial" w:eastAsia="Arial" w:hAnsi="Arial"/>
          <w:sz w:val="18"/>
          <w:szCs w:val="18"/>
          <w:color w:val="auto"/>
        </w:rPr>
        <w:t>American Airlines, Inc.</w:t>
      </w:r>
      <w:r>
        <w:rPr>
          <w:sz w:val="20"/>
          <w:szCs w:val="20"/>
          <w:color w:val="auto"/>
        </w:rPr>
        <w:tab/>
      </w:r>
      <w:r>
        <w:rPr>
          <w:rFonts w:ascii="Arial" w:cs="Arial" w:eastAsia="Arial" w:hAnsi="Arial"/>
          <w:sz w:val="18"/>
          <w:szCs w:val="18"/>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103" w:lineRule="exact"/>
        <w:rPr>
          <w:sz w:val="20"/>
          <w:szCs w:val="20"/>
          <w:color w:val="auto"/>
        </w:rPr>
      </w:pPr>
    </w:p>
    <w:p>
      <w:pPr>
        <w:jc w:val="both"/>
        <w:ind w:firstLine="121"/>
        <w:spacing w:after="0" w:line="268" w:lineRule="auto"/>
        <w:rPr>
          <w:sz w:val="20"/>
          <w:szCs w:val="20"/>
          <w:color w:val="auto"/>
        </w:rPr>
      </w:pPr>
      <w:r>
        <w:rPr>
          <w:rFonts w:ascii="Arial" w:cs="Arial" w:eastAsia="Arial" w:hAnsi="Arial"/>
          <w:sz w:val="18"/>
          <w:szCs w:val="18"/>
          <w:color w:val="auto"/>
        </w:rPr>
        <w:t>The aggregate market value of the voting stock held by non-affiliates of American Airlines Group Inc. as of June 30, 2023, was approximately $11.7 billion. As of February 16, 2024, there were 654,756,816 shares of American Airlines Group Inc. common stock outstanding.</w:t>
      </w:r>
    </w:p>
    <w:p>
      <w:pPr>
        <w:spacing w:after="0" w:line="62" w:lineRule="exact"/>
        <w:rPr>
          <w:sz w:val="20"/>
          <w:szCs w:val="20"/>
          <w:color w:val="auto"/>
        </w:rPr>
      </w:pPr>
    </w:p>
    <w:p>
      <w:pPr>
        <w:jc w:val="both"/>
        <w:ind w:right="20" w:firstLine="121"/>
        <w:spacing w:after="0" w:line="286" w:lineRule="auto"/>
        <w:rPr>
          <w:sz w:val="20"/>
          <w:szCs w:val="20"/>
          <w:color w:val="auto"/>
        </w:rPr>
      </w:pPr>
      <w:r>
        <w:rPr>
          <w:rFonts w:ascii="Arial" w:cs="Arial" w:eastAsia="Arial" w:hAnsi="Arial"/>
          <w:sz w:val="18"/>
          <w:szCs w:val="18"/>
          <w:color w:val="auto"/>
        </w:rPr>
        <w:t>As of February 16, 2024, there were 1,000 shares of American Airlines, Inc. common stock outstanding, all of which were held by American Airlines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OMISSION OF CERTAIN INFORMATION</w:t>
      </w:r>
    </w:p>
    <w:p>
      <w:pPr>
        <w:spacing w:after="0" w:line="40" w:lineRule="exact"/>
        <w:rPr>
          <w:sz w:val="20"/>
          <w:szCs w:val="20"/>
          <w:color w:val="auto"/>
        </w:rPr>
      </w:pPr>
    </w:p>
    <w:p>
      <w:pPr>
        <w:jc w:val="both"/>
        <w:ind w:firstLine="121"/>
        <w:spacing w:after="0" w:line="266" w:lineRule="auto"/>
        <w:rPr>
          <w:sz w:val="20"/>
          <w:szCs w:val="20"/>
          <w:color w:val="auto"/>
        </w:rPr>
      </w:pPr>
      <w:r>
        <w:rPr>
          <w:rFonts w:ascii="Arial" w:cs="Arial" w:eastAsia="Arial" w:hAnsi="Arial"/>
          <w:sz w:val="18"/>
          <w:szCs w:val="18"/>
          <w:color w:val="auto"/>
        </w:rPr>
        <w:t>American Airlines, Inc. meets the conditions set forth in General Instruction I(1)(a) and (b) of Form 10-K and has therefore omitted the information otherwise called for by Items 10-13 of Form 10-K as allowed under General Instruction I(2)(c).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40" w:lineRule="exact"/>
        <w:rPr>
          <w:sz w:val="20"/>
          <w:szCs w:val="20"/>
          <w:color w:val="auto"/>
        </w:rPr>
      </w:pPr>
    </w:p>
    <w:p>
      <w:pPr>
        <w:jc w:val="both"/>
        <w:ind w:firstLine="121"/>
        <w:spacing w:after="0" w:line="266" w:lineRule="auto"/>
        <w:rPr>
          <w:sz w:val="20"/>
          <w:szCs w:val="20"/>
          <w:color w:val="auto"/>
        </w:rPr>
      </w:pPr>
      <w:r>
        <w:rPr>
          <w:rFonts w:ascii="Arial" w:cs="Arial" w:eastAsia="Arial" w:hAnsi="Arial"/>
          <w:sz w:val="18"/>
          <w:szCs w:val="18"/>
          <w:color w:val="auto"/>
        </w:rPr>
        <w:t>Portions of the proxy statement related to American Airlines Group Inc.’s 2024 Annual Meeting of Stockholders, which proxy statement will be filed under the Securities Exchange Act of 1934 within 120 days of the end of American Airlines Group Inc.’s fiscal year ended December 31, 2023,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77470</wp:posOffset>
            </wp:positionV>
            <wp:extent cx="67729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910" cy="17145"/>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52070</wp:posOffset>
            </wp:positionV>
            <wp:extent cx="67729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291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00" w:type="dxa"/>
            <w:vAlign w:val="bottom"/>
            <w:gridSpan w:val="19"/>
          </w:tcPr>
          <w:p>
            <w:pPr>
              <w:jc w:val="center"/>
              <w:ind w:right="3380"/>
              <w:spacing w:after="0"/>
              <w:rPr>
                <w:sz w:val="20"/>
                <w:szCs w:val="20"/>
                <w:color w:val="auto"/>
              </w:rPr>
            </w:pPr>
            <w:r>
              <w:rPr>
                <w:rFonts w:ascii="Arial" w:cs="Arial" w:eastAsia="Arial" w:hAnsi="Arial"/>
                <w:sz w:val="18"/>
                <w:szCs w:val="18"/>
                <w:b w:val="1"/>
                <w:bCs w:val="1"/>
                <w:color w:val="auto"/>
                <w:w w:val="99"/>
              </w:rPr>
              <w:t>American Airlines Group Inc.</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80" w:type="dxa"/>
            <w:vAlign w:val="bottom"/>
            <w:gridSpan w:val="18"/>
          </w:tcPr>
          <w:p>
            <w:pPr>
              <w:jc w:val="center"/>
              <w:ind w:right="3680"/>
              <w:spacing w:after="0"/>
              <w:rPr>
                <w:sz w:val="20"/>
                <w:szCs w:val="20"/>
                <w:color w:val="auto"/>
              </w:rPr>
            </w:pPr>
            <w:r>
              <w:rPr>
                <w:rFonts w:ascii="Arial" w:cs="Arial" w:eastAsia="Arial" w:hAnsi="Arial"/>
                <w:sz w:val="18"/>
                <w:szCs w:val="18"/>
                <w:b w:val="1"/>
                <w:bCs w:val="1"/>
                <w:color w:val="auto"/>
                <w:w w:val="99"/>
              </w:rPr>
              <w:t>American Airlines, Inc.</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80" w:type="dxa"/>
            <w:vAlign w:val="bottom"/>
            <w:gridSpan w:val="18"/>
          </w:tcPr>
          <w:p>
            <w:pPr>
              <w:jc w:val="center"/>
              <w:ind w:right="3700"/>
              <w:spacing w:after="0"/>
              <w:rPr>
                <w:sz w:val="20"/>
                <w:szCs w:val="20"/>
                <w:color w:val="auto"/>
              </w:rPr>
            </w:pPr>
            <w:r>
              <w:rPr>
                <w:rFonts w:ascii="Arial" w:cs="Arial" w:eastAsia="Arial" w:hAnsi="Arial"/>
                <w:sz w:val="18"/>
                <w:szCs w:val="18"/>
                <w:b w:val="1"/>
                <w:bCs w:val="1"/>
                <w:color w:val="auto"/>
                <w:w w:val="98"/>
              </w:rPr>
              <w:t>Form 10-K</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00" w:type="dxa"/>
            <w:vAlign w:val="bottom"/>
            <w:gridSpan w:val="19"/>
          </w:tcPr>
          <w:p>
            <w:pPr>
              <w:jc w:val="center"/>
              <w:ind w:right="3380"/>
              <w:spacing w:after="0"/>
              <w:rPr>
                <w:sz w:val="20"/>
                <w:szCs w:val="20"/>
                <w:color w:val="auto"/>
              </w:rPr>
            </w:pPr>
            <w:r>
              <w:rPr>
                <w:rFonts w:ascii="Arial" w:cs="Arial" w:eastAsia="Arial" w:hAnsi="Arial"/>
                <w:sz w:val="18"/>
                <w:szCs w:val="18"/>
                <w:b w:val="1"/>
                <w:bCs w:val="1"/>
                <w:color w:val="auto"/>
                <w:w w:val="99"/>
              </w:rPr>
              <w:t>Year Ended December 31, 2023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780" w:type="dxa"/>
            <w:vAlign w:val="bottom"/>
            <w:gridSpan w:val="18"/>
          </w:tcPr>
          <w:p>
            <w:pPr>
              <w:jc w:val="center"/>
              <w:ind w:right="3740"/>
              <w:spacing w:after="0"/>
              <w:rPr>
                <w:sz w:val="20"/>
                <w:szCs w:val="20"/>
                <w:color w:val="auto"/>
              </w:rPr>
            </w:pPr>
            <w:r>
              <w:rPr>
                <w:rFonts w:ascii="Arial" w:cs="Arial" w:eastAsia="Arial" w:hAnsi="Arial"/>
                <w:sz w:val="18"/>
                <w:szCs w:val="18"/>
                <w:b w:val="1"/>
                <w:bCs w:val="1"/>
                <w:color w:val="auto"/>
                <w:w w:val="99"/>
              </w:rPr>
              <w:t>Table of Contents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0000FF"/>
                <w:w w:val="98"/>
              </w:rPr>
              <w:t>PART I</w:t>
            </w:r>
          </w:p>
        </w:tc>
        <w:tc>
          <w:tcPr>
            <w:tcW w:w="4440" w:type="dxa"/>
            <w:vAlign w:val="bottom"/>
            <w:gridSpan w:val="12"/>
            <w:vMerge w:val="restart"/>
          </w:tcPr>
          <w:p>
            <w:pPr>
              <w:spacing w:after="0"/>
              <w:rPr>
                <w:sz w:val="24"/>
                <w:szCs w:val="24"/>
                <w:color w:val="auto"/>
              </w:rPr>
            </w:pPr>
          </w:p>
        </w:tc>
        <w:tc>
          <w:tcPr>
            <w:tcW w:w="880" w:type="dxa"/>
            <w:vAlign w:val="bottom"/>
            <w:tcBorders>
              <w:bottom w:val="single" w:sz="8" w:color="435363"/>
            </w:tcBorders>
            <w:gridSpan w:val="5"/>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0000FF"/>
            </w:tcBorders>
            <w:gridSpan w:val="3"/>
            <w:vMerge w:val="continue"/>
          </w:tcPr>
          <w:p>
            <w:pPr>
              <w:spacing w:after="0"/>
              <w:rPr>
                <w:sz w:val="14"/>
                <w:szCs w:val="14"/>
                <w:color w:val="auto"/>
              </w:rPr>
            </w:pPr>
          </w:p>
        </w:tc>
        <w:tc>
          <w:tcPr>
            <w:tcW w:w="4440" w:type="dxa"/>
            <w:vAlign w:val="bottom"/>
            <w:gridSpan w:val="12"/>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9280" w:type="dxa"/>
            <w:vAlign w:val="bottom"/>
            <w:gridSpan w:val="33"/>
          </w:tcPr>
          <w:p>
            <w:pPr>
              <w:spacing w:after="0"/>
              <w:rPr>
                <w:sz w:val="20"/>
                <w:szCs w:val="20"/>
                <w:color w:val="auto"/>
              </w:rPr>
            </w:pPr>
            <w:r>
              <w:rPr>
                <w:rFonts w:ascii="Arial" w:cs="Arial" w:eastAsia="Arial" w:hAnsi="Arial"/>
                <w:sz w:val="18"/>
                <w:szCs w:val="18"/>
                <w:color w:val="0000FF"/>
              </w:rPr>
              <w:t>Business</w:t>
            </w:r>
          </w:p>
        </w:tc>
        <w:tc>
          <w:tcPr>
            <w:tcW w:w="860" w:type="dxa"/>
            <w:vAlign w:val="bottom"/>
            <w:gridSpan w:val="4"/>
          </w:tcPr>
          <w:p>
            <w:pPr>
              <w:jc w:val="right"/>
              <w:spacing w:after="0"/>
              <w:rPr>
                <w:sz w:val="20"/>
                <w:szCs w:val="20"/>
                <w:color w:val="auto"/>
              </w:rPr>
            </w:pPr>
            <w:r>
              <w:rPr>
                <w:rFonts w:ascii="Arial" w:cs="Arial" w:eastAsia="Arial" w:hAnsi="Arial"/>
                <w:sz w:val="18"/>
                <w:szCs w:val="18"/>
                <w:color w:val="0000FF"/>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5"/>
          </w:tcPr>
          <w:p>
            <w:pPr>
              <w:spacing w:after="0"/>
              <w:rPr>
                <w:sz w:val="20"/>
                <w:szCs w:val="20"/>
                <w:color w:val="auto"/>
              </w:rPr>
            </w:pPr>
            <w:r>
              <w:rPr>
                <w:rFonts w:ascii="Arial" w:cs="Arial" w:eastAsia="Arial" w:hAnsi="Arial"/>
                <w:sz w:val="18"/>
                <w:szCs w:val="18"/>
                <w:color w:val="0000FF"/>
                <w:w w:val="97"/>
              </w:rPr>
              <w:t>Risk Factors</w:t>
            </w:r>
          </w:p>
        </w:tc>
        <w:tc>
          <w:tcPr>
            <w:tcW w:w="8280" w:type="dxa"/>
            <w:vAlign w:val="bottom"/>
            <w:gridSpan w:val="28"/>
          </w:tcPr>
          <w:p>
            <w:pPr>
              <w:spacing w:after="0"/>
              <w:rPr>
                <w:sz w:val="18"/>
                <w:szCs w:val="18"/>
                <w:color w:val="auto"/>
              </w:rPr>
            </w:pPr>
          </w:p>
        </w:tc>
        <w:tc>
          <w:tcPr>
            <w:tcW w:w="6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1B.</w:t>
            </w:r>
          </w:p>
        </w:tc>
        <w:tc>
          <w:tcPr>
            <w:tcW w:w="9280" w:type="dxa"/>
            <w:vAlign w:val="bottom"/>
            <w:gridSpan w:val="33"/>
          </w:tcPr>
          <w:p>
            <w:pPr>
              <w:spacing w:after="0"/>
              <w:rPr>
                <w:sz w:val="20"/>
                <w:szCs w:val="20"/>
                <w:color w:val="auto"/>
              </w:rPr>
            </w:pPr>
            <w:r>
              <w:rPr>
                <w:rFonts w:ascii="Arial" w:cs="Arial" w:eastAsia="Arial" w:hAnsi="Arial"/>
                <w:sz w:val="18"/>
                <w:szCs w:val="18"/>
                <w:color w:val="0000FF"/>
              </w:rPr>
              <w:t>Unresolved Staff Comments</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0000FF"/>
              </w:rPr>
              <w:t>49</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1C.</w:t>
            </w:r>
          </w:p>
        </w:tc>
        <w:tc>
          <w:tcPr>
            <w:tcW w:w="1100" w:type="dxa"/>
            <w:vAlign w:val="bottom"/>
            <w:gridSpan w:val="6"/>
          </w:tcPr>
          <w:p>
            <w:pPr>
              <w:spacing w:after="0"/>
              <w:rPr>
                <w:sz w:val="20"/>
                <w:szCs w:val="20"/>
                <w:color w:val="auto"/>
              </w:rPr>
            </w:pPr>
            <w:r>
              <w:rPr>
                <w:rFonts w:ascii="Arial" w:cs="Arial" w:eastAsia="Arial" w:hAnsi="Arial"/>
                <w:sz w:val="18"/>
                <w:szCs w:val="18"/>
                <w:color w:val="0000FF"/>
                <w:w w:val="98"/>
              </w:rPr>
              <w:t>Cybersecurity</w:t>
            </w:r>
          </w:p>
        </w:tc>
        <w:tc>
          <w:tcPr>
            <w:tcW w:w="1140" w:type="dxa"/>
            <w:vAlign w:val="bottom"/>
            <w:gridSpan w:val="6"/>
          </w:tcPr>
          <w:p>
            <w:pPr>
              <w:spacing w:after="0"/>
              <w:rPr>
                <w:sz w:val="18"/>
                <w:szCs w:val="18"/>
                <w:color w:val="auto"/>
              </w:rPr>
            </w:pPr>
          </w:p>
        </w:tc>
        <w:tc>
          <w:tcPr>
            <w:tcW w:w="7040" w:type="dxa"/>
            <w:vAlign w:val="bottom"/>
            <w:gridSpan w:val="21"/>
          </w:tcPr>
          <w:p>
            <w:pPr>
              <w:spacing w:after="0"/>
              <w:rPr>
                <w:sz w:val="18"/>
                <w:szCs w:val="18"/>
                <w:color w:val="auto"/>
              </w:rPr>
            </w:pPr>
          </w:p>
        </w:tc>
        <w:tc>
          <w:tcPr>
            <w:tcW w:w="6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49</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2.</w:t>
            </w:r>
          </w:p>
        </w:tc>
        <w:tc>
          <w:tcPr>
            <w:tcW w:w="820" w:type="dxa"/>
            <w:vAlign w:val="bottom"/>
            <w:gridSpan w:val="4"/>
          </w:tcPr>
          <w:p>
            <w:pPr>
              <w:spacing w:after="0"/>
              <w:rPr>
                <w:sz w:val="20"/>
                <w:szCs w:val="20"/>
                <w:color w:val="auto"/>
              </w:rPr>
            </w:pPr>
            <w:r>
              <w:rPr>
                <w:rFonts w:ascii="Arial" w:cs="Arial" w:eastAsia="Arial" w:hAnsi="Arial"/>
                <w:sz w:val="18"/>
                <w:szCs w:val="18"/>
                <w:color w:val="0000FF"/>
                <w:w w:val="97"/>
              </w:rPr>
              <w:t>Properties</w:t>
            </w:r>
          </w:p>
        </w:tc>
        <w:tc>
          <w:tcPr>
            <w:tcW w:w="280" w:type="dxa"/>
            <w:vAlign w:val="bottom"/>
            <w:gridSpan w:val="2"/>
          </w:tcPr>
          <w:p>
            <w:pPr>
              <w:spacing w:after="0"/>
              <w:rPr>
                <w:sz w:val="18"/>
                <w:szCs w:val="18"/>
                <w:color w:val="auto"/>
              </w:rPr>
            </w:pPr>
          </w:p>
        </w:tc>
        <w:tc>
          <w:tcPr>
            <w:tcW w:w="8180" w:type="dxa"/>
            <w:vAlign w:val="bottom"/>
            <w:gridSpan w:val="27"/>
          </w:tcPr>
          <w:p>
            <w:pPr>
              <w:spacing w:after="0"/>
              <w:rPr>
                <w:sz w:val="18"/>
                <w:szCs w:val="18"/>
                <w:color w:val="auto"/>
              </w:rPr>
            </w:pPr>
          </w:p>
        </w:tc>
        <w:tc>
          <w:tcPr>
            <w:tcW w:w="6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9280" w:type="dxa"/>
            <w:vAlign w:val="bottom"/>
            <w:gridSpan w:val="33"/>
          </w:tcPr>
          <w:p>
            <w:pPr>
              <w:spacing w:after="0"/>
              <w:rPr>
                <w:sz w:val="20"/>
                <w:szCs w:val="20"/>
                <w:color w:val="auto"/>
              </w:rPr>
            </w:pPr>
            <w:r>
              <w:rPr>
                <w:rFonts w:ascii="Arial" w:cs="Arial" w:eastAsia="Arial" w:hAnsi="Arial"/>
                <w:sz w:val="18"/>
                <w:szCs w:val="18"/>
                <w:color w:val="0000FF"/>
              </w:rPr>
              <w:t>Legal Proceedings</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0000FF"/>
              </w:rPr>
              <w:t>53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9280" w:type="dxa"/>
            <w:vAlign w:val="bottom"/>
            <w:gridSpan w:val="33"/>
          </w:tcPr>
          <w:p>
            <w:pPr>
              <w:spacing w:after="0"/>
              <w:rPr>
                <w:sz w:val="20"/>
                <w:szCs w:val="20"/>
                <w:color w:val="auto"/>
              </w:rPr>
            </w:pPr>
            <w:r>
              <w:rPr>
                <w:rFonts w:ascii="Arial" w:cs="Arial" w:eastAsia="Arial" w:hAnsi="Arial"/>
                <w:sz w:val="18"/>
                <w:szCs w:val="18"/>
                <w:color w:val="0000FF"/>
              </w:rPr>
              <w:t>Mine Safety Disclosures</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0000FF"/>
              </w:rPr>
              <w:t>53</w:t>
            </w:r>
          </w:p>
        </w:tc>
        <w:tc>
          <w:tcPr>
            <w:tcW w:w="0" w:type="dxa"/>
            <w:vAlign w:val="bottom"/>
          </w:tcPr>
          <w:p>
            <w:pPr>
              <w:spacing w:after="0"/>
              <w:rPr>
                <w:sz w:val="1"/>
                <w:szCs w:val="1"/>
                <w:color w:val="auto"/>
              </w:rPr>
            </w:pPr>
          </w:p>
        </w:tc>
      </w:tr>
      <w:tr>
        <w:trPr>
          <w:trHeight w:val="479"/>
        </w:trPr>
        <w:tc>
          <w:tcPr>
            <w:tcW w:w="10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b w:val="1"/>
                <w:bCs w:val="1"/>
                <w:color w:val="0000FF"/>
                <w:w w:val="96"/>
              </w:rPr>
              <w:t>PART II</w:t>
            </w:r>
          </w:p>
        </w:tc>
        <w:tc>
          <w:tcPr>
            <w:tcW w:w="4420" w:type="dxa"/>
            <w:vAlign w:val="bottom"/>
            <w:gridSpan w:val="11"/>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5.</w:t>
            </w:r>
          </w:p>
        </w:tc>
        <w:tc>
          <w:tcPr>
            <w:tcW w:w="9280" w:type="dxa"/>
            <w:vAlign w:val="bottom"/>
            <w:gridSpan w:val="33"/>
          </w:tcPr>
          <w:p>
            <w:pPr>
              <w:spacing w:after="0"/>
              <w:rPr>
                <w:sz w:val="20"/>
                <w:szCs w:val="20"/>
                <w:color w:val="auto"/>
              </w:rPr>
            </w:pPr>
            <w:r>
              <w:rPr>
                <w:rFonts w:ascii="Arial" w:cs="Arial" w:eastAsia="Arial" w:hAnsi="Arial"/>
                <w:sz w:val="18"/>
                <w:szCs w:val="18"/>
                <w:color w:val="0000FF"/>
              </w:rPr>
              <w:t>Market for American Airlines Group’s Common Stock, Related Stockholder Matters and Issuer Purchases of Equity</w:t>
            </w:r>
          </w:p>
        </w:tc>
        <w:tc>
          <w:tcPr>
            <w:tcW w:w="660" w:type="dxa"/>
            <w:vAlign w:val="bottom"/>
            <w:gridSpan w:val="2"/>
            <w:vMerge w:val="restart"/>
          </w:tcPr>
          <w:p>
            <w:pPr>
              <w:spacing w:after="0"/>
              <w:rPr>
                <w:sz w:val="18"/>
                <w:szCs w:val="18"/>
                <w:color w:val="auto"/>
              </w:rPr>
            </w:pP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w w:val="89"/>
              </w:rPr>
              <w:t>54</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40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Securities</w:t>
            </w:r>
          </w:p>
        </w:tc>
        <w:tc>
          <w:tcPr>
            <w:tcW w:w="7720" w:type="dxa"/>
            <w:vAlign w:val="bottom"/>
            <w:tcBorders>
              <w:top w:val="single" w:sz="8" w:color="0000FF"/>
            </w:tcBorders>
            <w:gridSpan w:val="25"/>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300" w:type="dxa"/>
            <w:vAlign w:val="bottom"/>
            <w:gridSpan w:val="6"/>
            <w:shd w:val="clear" w:color="auto" w:fill="0000FF"/>
          </w:tcPr>
          <w:p>
            <w:pPr>
              <w:spacing w:after="0"/>
              <w:rPr>
                <w:sz w:val="2"/>
                <w:szCs w:val="2"/>
                <w:color w:val="auto"/>
              </w:rPr>
            </w:pPr>
          </w:p>
        </w:tc>
        <w:tc>
          <w:tcPr>
            <w:tcW w:w="26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3000" w:type="dxa"/>
            <w:vAlign w:val="bottom"/>
            <w:gridSpan w:val="13"/>
          </w:tcPr>
          <w:p>
            <w:pPr>
              <w:spacing w:after="0"/>
              <w:rPr>
                <w:sz w:val="20"/>
                <w:szCs w:val="20"/>
                <w:color w:val="auto"/>
              </w:rPr>
            </w:pPr>
            <w:r>
              <w:rPr>
                <w:rFonts w:ascii="Arial" w:cs="Arial" w:eastAsia="Arial" w:hAnsi="Arial"/>
                <w:sz w:val="18"/>
                <w:szCs w:val="18"/>
                <w:color w:val="0000FF"/>
                <w:w w:val="99"/>
              </w:rPr>
              <w:t>Selected Consolidated Financial Data</w:t>
            </w:r>
          </w:p>
        </w:tc>
        <w:tc>
          <w:tcPr>
            <w:tcW w:w="6280" w:type="dxa"/>
            <w:vAlign w:val="bottom"/>
            <w:gridSpan w:val="20"/>
          </w:tcPr>
          <w:p>
            <w:pPr>
              <w:spacing w:after="0"/>
              <w:rPr>
                <w:sz w:val="18"/>
                <w:szCs w:val="18"/>
                <w:color w:val="auto"/>
              </w:rPr>
            </w:pPr>
          </w:p>
        </w:tc>
        <w:tc>
          <w:tcPr>
            <w:tcW w:w="6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57</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7.</w:t>
            </w:r>
          </w:p>
        </w:tc>
        <w:tc>
          <w:tcPr>
            <w:tcW w:w="9280" w:type="dxa"/>
            <w:vAlign w:val="bottom"/>
            <w:gridSpan w:val="3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0000FF"/>
              </w:rPr>
              <w:t>61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7A.</w:t>
            </w:r>
          </w:p>
        </w:tc>
        <w:tc>
          <w:tcPr>
            <w:tcW w:w="7060" w:type="dxa"/>
            <w:vAlign w:val="bottom"/>
            <w:gridSpan w:val="28"/>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220" w:type="dxa"/>
            <w:vAlign w:val="bottom"/>
            <w:gridSpan w:val="5"/>
          </w:tcPr>
          <w:p>
            <w:pPr>
              <w:spacing w:after="0"/>
              <w:rPr>
                <w:sz w:val="18"/>
                <w:szCs w:val="18"/>
                <w:color w:val="auto"/>
              </w:rPr>
            </w:pPr>
          </w:p>
        </w:tc>
        <w:tc>
          <w:tcPr>
            <w:tcW w:w="6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78</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8A.</w:t>
            </w:r>
          </w:p>
        </w:tc>
        <w:tc>
          <w:tcPr>
            <w:tcW w:w="9280" w:type="dxa"/>
            <w:vAlign w:val="bottom"/>
            <w:gridSpan w:val="33"/>
          </w:tcPr>
          <w:p>
            <w:pPr>
              <w:spacing w:after="0"/>
              <w:rPr>
                <w:sz w:val="20"/>
                <w:szCs w:val="20"/>
                <w:color w:val="auto"/>
              </w:rPr>
            </w:pPr>
            <w:r>
              <w:rPr>
                <w:rFonts w:ascii="Arial" w:cs="Arial" w:eastAsia="Arial" w:hAnsi="Arial"/>
                <w:sz w:val="18"/>
                <w:szCs w:val="18"/>
                <w:color w:val="0000FF"/>
              </w:rPr>
              <w:t>Consolidated Financial Statements and Supplementary Data of American Airlines Group Inc.</w:t>
            </w:r>
          </w:p>
        </w:tc>
        <w:tc>
          <w:tcPr>
            <w:tcW w:w="880" w:type="dxa"/>
            <w:vAlign w:val="bottom"/>
            <w:gridSpan w:val="5"/>
          </w:tcPr>
          <w:p>
            <w:pPr>
              <w:jc w:val="right"/>
              <w:ind w:right="20"/>
              <w:spacing w:after="0"/>
              <w:rPr>
                <w:sz w:val="20"/>
                <w:szCs w:val="20"/>
                <w:color w:val="auto"/>
              </w:rPr>
            </w:pPr>
            <w:r>
              <w:rPr>
                <w:rFonts w:ascii="Arial" w:cs="Arial" w:eastAsia="Arial" w:hAnsi="Arial"/>
                <w:sz w:val="18"/>
                <w:szCs w:val="18"/>
                <w:color w:val="0000FF"/>
              </w:rPr>
              <w:t>80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8B.</w:t>
            </w:r>
          </w:p>
        </w:tc>
        <w:tc>
          <w:tcPr>
            <w:tcW w:w="686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9"/>
              </w:rPr>
              <w:t>Consolidated Financial Statements and Supplementary Data of American Airlines, Inc.</w:t>
            </w:r>
          </w:p>
        </w:tc>
        <w:tc>
          <w:tcPr>
            <w:tcW w:w="480" w:type="dxa"/>
            <w:vAlign w:val="bottom"/>
            <w:gridSpan w:val="3"/>
          </w:tcPr>
          <w:p>
            <w:pPr>
              <w:spacing w:after="0"/>
              <w:rPr>
                <w:sz w:val="18"/>
                <w:szCs w:val="18"/>
                <w:color w:val="auto"/>
              </w:rPr>
            </w:pPr>
          </w:p>
        </w:tc>
        <w:tc>
          <w:tcPr>
            <w:tcW w:w="1940" w:type="dxa"/>
            <w:vAlign w:val="bottom"/>
            <w:gridSpan w:val="3"/>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9.</w:t>
            </w:r>
          </w:p>
        </w:tc>
        <w:tc>
          <w:tcPr>
            <w:tcW w:w="714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214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9A.</w:t>
            </w:r>
          </w:p>
        </w:tc>
        <w:tc>
          <w:tcPr>
            <w:tcW w:w="9280" w:type="dxa"/>
            <w:vAlign w:val="bottom"/>
            <w:gridSpan w:val="33"/>
          </w:tcPr>
          <w:p>
            <w:pPr>
              <w:spacing w:after="0"/>
              <w:rPr>
                <w:sz w:val="20"/>
                <w:szCs w:val="20"/>
                <w:color w:val="auto"/>
              </w:rPr>
            </w:pPr>
            <w:r>
              <w:rPr>
                <w:rFonts w:ascii="Arial" w:cs="Arial" w:eastAsia="Arial" w:hAnsi="Arial"/>
                <w:sz w:val="18"/>
                <w:szCs w:val="18"/>
                <w:color w:val="0000FF"/>
              </w:rPr>
              <w:t>Controls and Procedures</w:t>
            </w:r>
          </w:p>
        </w:tc>
        <w:tc>
          <w:tcPr>
            <w:tcW w:w="860" w:type="dxa"/>
            <w:vAlign w:val="bottom"/>
            <w:gridSpan w:val="4"/>
          </w:tcPr>
          <w:p>
            <w:pPr>
              <w:jc w:val="right"/>
              <w:spacing w:after="0"/>
              <w:rPr>
                <w:sz w:val="20"/>
                <w:szCs w:val="20"/>
                <w:color w:val="auto"/>
              </w:rPr>
            </w:pPr>
            <w:r>
              <w:rPr>
                <w:rFonts w:ascii="Arial" w:cs="Arial" w:eastAsia="Arial" w:hAnsi="Arial"/>
                <w:sz w:val="18"/>
                <w:szCs w:val="18"/>
                <w:color w:val="0000FF"/>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9B.</w:t>
            </w:r>
          </w:p>
        </w:tc>
        <w:tc>
          <w:tcPr>
            <w:tcW w:w="14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FF"/>
            </w:tcBorders>
            <w:gridSpan w:val="4"/>
          </w:tcPr>
          <w:p>
            <w:pPr>
              <w:spacing w:after="0"/>
              <w:rPr>
                <w:sz w:val="18"/>
                <w:szCs w:val="18"/>
                <w:color w:val="auto"/>
              </w:rPr>
            </w:pPr>
          </w:p>
        </w:tc>
        <w:tc>
          <w:tcPr>
            <w:tcW w:w="7300" w:type="dxa"/>
            <w:vAlign w:val="bottom"/>
            <w:gridSpan w:val="22"/>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60" w:type="dxa"/>
            <w:vAlign w:val="bottom"/>
          </w:tcPr>
          <w:p>
            <w:pPr>
              <w:spacing w:after="0"/>
              <w:rPr>
                <w:sz w:val="20"/>
                <w:szCs w:val="20"/>
                <w:color w:val="auto"/>
              </w:rPr>
            </w:pPr>
            <w:r>
              <w:rPr>
                <w:rFonts w:ascii="Arial" w:cs="Arial" w:eastAsia="Arial" w:hAnsi="Arial"/>
                <w:sz w:val="18"/>
                <w:szCs w:val="18"/>
                <w:color w:val="auto"/>
              </w:rPr>
              <w:t>Item 9C.</w:t>
            </w:r>
          </w:p>
        </w:tc>
        <w:tc>
          <w:tcPr>
            <w:tcW w:w="540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9"/>
              </w:rPr>
              <w:t>Disclosure Regarding Foreign Jurisdictions that Prevent Inspections</w:t>
            </w:r>
          </w:p>
        </w:tc>
        <w:tc>
          <w:tcPr>
            <w:tcW w:w="3880" w:type="dxa"/>
            <w:vAlign w:val="bottom"/>
            <w:gridSpan w:val="8"/>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80" w:type="dxa"/>
            <w:vAlign w:val="bottom"/>
            <w:gridSpan w:val="17"/>
          </w:tcPr>
          <w:p>
            <w:pPr>
              <w:jc w:val="center"/>
              <w:ind w:right="4400"/>
              <w:spacing w:after="0"/>
              <w:rPr>
                <w:sz w:val="20"/>
                <w:szCs w:val="20"/>
                <w:color w:val="auto"/>
              </w:rPr>
            </w:pPr>
            <w:r>
              <w:rPr>
                <w:rFonts w:ascii="Arial" w:cs="Arial" w:eastAsia="Arial" w:hAnsi="Arial"/>
                <w:sz w:val="18"/>
                <w:szCs w:val="18"/>
                <w:b w:val="1"/>
                <w:bCs w:val="1"/>
                <w:color w:val="0000FF"/>
                <w:w w:val="98"/>
              </w:rPr>
              <w:t>PART III</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10.</w:t>
            </w:r>
          </w:p>
        </w:tc>
        <w:tc>
          <w:tcPr>
            <w:tcW w:w="9280" w:type="dxa"/>
            <w:vAlign w:val="bottom"/>
            <w:gridSpan w:val="33"/>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860" w:type="dxa"/>
            <w:vAlign w:val="bottom"/>
            <w:gridSpan w:val="4"/>
          </w:tcPr>
          <w:p>
            <w:pPr>
              <w:jc w:val="right"/>
              <w:spacing w:after="0"/>
              <w:rPr>
                <w:sz w:val="20"/>
                <w:szCs w:val="20"/>
                <w:color w:val="auto"/>
              </w:rPr>
            </w:pPr>
            <w:r>
              <w:rPr>
                <w:rFonts w:ascii="Arial" w:cs="Arial" w:eastAsia="Arial" w:hAnsi="Arial"/>
                <w:sz w:val="18"/>
                <w:szCs w:val="18"/>
                <w:color w:val="0000FF"/>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11.</w:t>
            </w:r>
          </w:p>
        </w:tc>
        <w:tc>
          <w:tcPr>
            <w:tcW w:w="448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Executive Compensation</w:t>
            </w:r>
          </w:p>
        </w:tc>
        <w:tc>
          <w:tcPr>
            <w:tcW w:w="4800" w:type="dxa"/>
            <w:vAlign w:val="bottom"/>
            <w:gridSpan w:val="14"/>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12.</w:t>
            </w:r>
          </w:p>
        </w:tc>
        <w:tc>
          <w:tcPr>
            <w:tcW w:w="800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128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13.</w:t>
            </w:r>
          </w:p>
        </w:tc>
        <w:tc>
          <w:tcPr>
            <w:tcW w:w="9280" w:type="dxa"/>
            <w:vAlign w:val="bottom"/>
            <w:gridSpan w:val="33"/>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860" w:type="dxa"/>
            <w:vAlign w:val="bottom"/>
            <w:gridSpan w:val="4"/>
          </w:tcPr>
          <w:p>
            <w:pPr>
              <w:jc w:val="right"/>
              <w:spacing w:after="0"/>
              <w:rPr>
                <w:sz w:val="20"/>
                <w:szCs w:val="20"/>
                <w:color w:val="auto"/>
              </w:rPr>
            </w:pPr>
            <w:r>
              <w:rPr>
                <w:rFonts w:ascii="Arial" w:cs="Arial" w:eastAsia="Arial" w:hAnsi="Arial"/>
                <w:sz w:val="18"/>
                <w:szCs w:val="18"/>
                <w:color w:val="0000FF"/>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14.</w:t>
            </w:r>
          </w:p>
        </w:tc>
        <w:tc>
          <w:tcPr>
            <w:tcW w:w="6060" w:type="dxa"/>
            <w:vAlign w:val="bottom"/>
            <w:tcBorders>
              <w:top w:val="single" w:sz="8" w:color="0000FF"/>
            </w:tcBorders>
            <w:gridSpan w:val="26"/>
          </w:tcPr>
          <w:p>
            <w:pPr>
              <w:spacing w:after="0"/>
              <w:rPr>
                <w:sz w:val="20"/>
                <w:szCs w:val="20"/>
                <w:color w:val="auto"/>
              </w:rPr>
            </w:pPr>
            <w:r>
              <w:rPr>
                <w:rFonts w:ascii="Arial" w:cs="Arial" w:eastAsia="Arial" w:hAnsi="Arial"/>
                <w:sz w:val="18"/>
                <w:szCs w:val="18"/>
                <w:color w:val="0000FF"/>
              </w:rPr>
              <w:t>Principal Accountant Fees and Services</w:t>
            </w:r>
          </w:p>
        </w:tc>
        <w:tc>
          <w:tcPr>
            <w:tcW w:w="3220" w:type="dxa"/>
            <w:vAlign w:val="bottom"/>
            <w:gridSpan w:val="7"/>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10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Borders>
              <w:bottom w:val="single" w:sz="8" w:color="0000FF"/>
            </w:tcBorders>
            <w:gridSpan w:val="8"/>
          </w:tcPr>
          <w:p>
            <w:pPr>
              <w:jc w:val="center"/>
              <w:spacing w:after="0"/>
              <w:rPr>
                <w:sz w:val="20"/>
                <w:szCs w:val="20"/>
                <w:color w:val="auto"/>
              </w:rPr>
            </w:pPr>
            <w:r>
              <w:rPr>
                <w:rFonts w:ascii="Arial" w:cs="Arial" w:eastAsia="Arial" w:hAnsi="Arial"/>
                <w:sz w:val="18"/>
                <w:szCs w:val="18"/>
                <w:b w:val="1"/>
                <w:bCs w:val="1"/>
                <w:color w:val="0000FF"/>
                <w:w w:val="98"/>
              </w:rPr>
              <w:t>PART IV</w:t>
            </w:r>
          </w:p>
        </w:tc>
        <w:tc>
          <w:tcPr>
            <w:tcW w:w="4380" w:type="dxa"/>
            <w:vAlign w:val="bottom"/>
            <w:gridSpan w:val="9"/>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15.</w:t>
            </w:r>
          </w:p>
        </w:tc>
        <w:tc>
          <w:tcPr>
            <w:tcW w:w="9280" w:type="dxa"/>
            <w:vAlign w:val="bottom"/>
            <w:gridSpan w:val="33"/>
          </w:tcPr>
          <w:p>
            <w:pPr>
              <w:spacing w:after="0"/>
              <w:rPr>
                <w:sz w:val="20"/>
                <w:szCs w:val="20"/>
                <w:color w:val="auto"/>
              </w:rPr>
            </w:pPr>
            <w:r>
              <w:rPr>
                <w:rFonts w:ascii="Arial" w:cs="Arial" w:eastAsia="Arial" w:hAnsi="Arial"/>
                <w:sz w:val="18"/>
                <w:szCs w:val="18"/>
                <w:color w:val="0000FF"/>
              </w:rPr>
              <w:t>Exhibits and Financial Statement Schedules</w:t>
            </w:r>
          </w:p>
        </w:tc>
        <w:tc>
          <w:tcPr>
            <w:tcW w:w="860" w:type="dxa"/>
            <w:vAlign w:val="bottom"/>
            <w:gridSpan w:val="4"/>
          </w:tcPr>
          <w:p>
            <w:pPr>
              <w:jc w:val="right"/>
              <w:spacing w:after="0"/>
              <w:rPr>
                <w:sz w:val="20"/>
                <w:szCs w:val="20"/>
                <w:color w:val="auto"/>
              </w:rPr>
            </w:pPr>
            <w:r>
              <w:rPr>
                <w:rFonts w:ascii="Arial" w:cs="Arial" w:eastAsia="Arial" w:hAnsi="Arial"/>
                <w:sz w:val="18"/>
                <w:szCs w:val="18"/>
                <w:color w:val="0000FF"/>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Item 16.</w:t>
            </w:r>
          </w:p>
        </w:tc>
        <w:tc>
          <w:tcPr>
            <w:tcW w:w="35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Form 10-K Summary</w:t>
            </w:r>
          </w:p>
        </w:tc>
        <w:tc>
          <w:tcPr>
            <w:tcW w:w="5780" w:type="dxa"/>
            <w:vAlign w:val="bottom"/>
            <w:gridSpan w:val="18"/>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7620" w:type="dxa"/>
            <w:vAlign w:val="bottom"/>
            <w:gridSpan w:val="2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40" w:type="dxa"/>
            <w:vAlign w:val="bottom"/>
            <w:gridSpan w:val="34"/>
          </w:tcPr>
          <w:p>
            <w:pPr>
              <w:spacing w:after="0"/>
              <w:rPr>
                <w:sz w:val="20"/>
                <w:szCs w:val="20"/>
                <w:color w:val="auto"/>
              </w:rPr>
            </w:pPr>
            <w:r>
              <w:rPr>
                <w:rFonts w:ascii="Arial" w:cs="Arial" w:eastAsia="Arial" w:hAnsi="Arial"/>
                <w:sz w:val="18"/>
                <w:szCs w:val="18"/>
                <w:color w:val="0000FF"/>
              </w:rPr>
              <w:t>SIGNATURES</w:t>
            </w:r>
          </w:p>
        </w:tc>
        <w:tc>
          <w:tcPr>
            <w:tcW w:w="860" w:type="dxa"/>
            <w:vAlign w:val="bottom"/>
            <w:gridSpan w:val="4"/>
          </w:tcPr>
          <w:p>
            <w:pPr>
              <w:jc w:val="right"/>
              <w:spacing w:after="0"/>
              <w:rPr>
                <w:sz w:val="20"/>
                <w:szCs w:val="20"/>
                <w:color w:val="auto"/>
              </w:rPr>
            </w:pPr>
            <w:r>
              <w:rPr>
                <w:rFonts w:ascii="Arial" w:cs="Arial" w:eastAsia="Arial" w:hAnsi="Arial"/>
                <w:sz w:val="18"/>
                <w:szCs w:val="18"/>
                <w:color w:val="0000FF"/>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0"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Annual Report on Form 10-K to “we,” “us,” “our,” the “Company” and similar terms refer to AAG and its consolidated subsidiaries. References in this report to “mainline” refer to the operations of American only and exclude regional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90"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1A. Risk Factors, Part II, Item 7. Management’s Discussion and Analysis of Financial Condition and Results of Operations and other risks and uncertainties listed from time to time in our filings with the Securities and Exchange Commission (the SEC).</w:t>
      </w:r>
    </w:p>
    <w:p>
      <w:pPr>
        <w:spacing w:after="0" w:line="135"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All of the forward-looking statements are qualified in their entirety by reference to the factors discussed in Part 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Any forward-looking statements speak only as of the date of this report or as of the dates indicated in the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business is subject to a number of risks and uncertainties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 These risks are more fully described in Part I, Item 1A. Risk Factors. These risks include, among others, the following:</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95" w:lineRule="exact"/>
        <w:rPr>
          <w:sz w:val="20"/>
          <w:szCs w:val="20"/>
          <w:color w:val="auto"/>
        </w:rPr>
      </w:pPr>
    </w:p>
    <w:p>
      <w:pPr>
        <w:ind w:left="640" w:hanging="309"/>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18"/>
          <w:szCs w:val="18"/>
          <w:color w:val="auto"/>
        </w:rPr>
        <w:t>Downturns in economic conditions could adversely affect our business.</w:t>
      </w:r>
    </w:p>
    <w:p>
      <w:pPr>
        <w:spacing w:after="0" w:line="165" w:lineRule="exact"/>
        <w:rPr>
          <w:rFonts w:ascii="Arial" w:cs="Arial" w:eastAsia="Arial" w:hAnsi="Arial"/>
          <w:sz w:val="22"/>
          <w:szCs w:val="22"/>
          <w:color w:val="auto"/>
        </w:rPr>
      </w:pPr>
    </w:p>
    <w:p>
      <w:pPr>
        <w:ind w:left="640" w:hanging="309"/>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will need to obtain sufficient financing or other capital to operate successfully.</w:t>
      </w:r>
    </w:p>
    <w:p>
      <w:pPr>
        <w:spacing w:after="0" w:line="179" w:lineRule="exact"/>
        <w:rPr>
          <w:rFonts w:ascii="Arial" w:cs="Arial" w:eastAsia="Arial" w:hAnsi="Arial"/>
          <w:sz w:val="22"/>
          <w:szCs w:val="22"/>
          <w:color w:val="auto"/>
        </w:rPr>
      </w:pPr>
    </w:p>
    <w:p>
      <w:pPr>
        <w:jc w:val="both"/>
        <w:ind w:left="660" w:hanging="329"/>
        <w:spacing w:after="0" w:line="248" w:lineRule="auto"/>
        <w:tabs>
          <w:tab w:leader="none" w:pos="654"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w:t>
      </w:r>
    </w:p>
    <w:p>
      <w:pPr>
        <w:spacing w:after="0" w:line="173" w:lineRule="exact"/>
        <w:rPr>
          <w:rFonts w:ascii="Arial" w:cs="Arial" w:eastAsia="Arial" w:hAnsi="Arial"/>
          <w:sz w:val="22"/>
          <w:szCs w:val="22"/>
          <w:color w:val="auto"/>
        </w:rPr>
      </w:pPr>
    </w:p>
    <w:p>
      <w:pPr>
        <w:ind w:left="660" w:hanging="329"/>
        <w:spacing w:after="0" w:line="237" w:lineRule="auto"/>
        <w:tabs>
          <w:tab w:leader="none" w:pos="654"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have significant pension and other postretirement benefit funding obligations, which may adversely affect our liquidity, results of operations and financial condition.</w:t>
      </w:r>
    </w:p>
    <w:p>
      <w:pPr>
        <w:spacing w:after="0" w:line="179" w:lineRule="exact"/>
        <w:rPr>
          <w:rFonts w:ascii="Arial" w:cs="Arial" w:eastAsia="Arial" w:hAnsi="Arial"/>
          <w:sz w:val="22"/>
          <w:szCs w:val="22"/>
          <w:color w:val="auto"/>
        </w:rPr>
      </w:pPr>
    </w:p>
    <w:p>
      <w:pPr>
        <w:ind w:left="660" w:right="20" w:hanging="329"/>
        <w:spacing w:after="0" w:line="237" w:lineRule="auto"/>
        <w:tabs>
          <w:tab w:leader="none" w:pos="654" w:val="left"/>
        </w:tabs>
        <w:numPr>
          <w:ilvl w:val="0"/>
          <w:numId w:val="5"/>
        </w:numPr>
        <w:rPr>
          <w:rFonts w:ascii="Arial" w:cs="Arial" w:eastAsia="Arial" w:hAnsi="Arial"/>
          <w:sz w:val="22"/>
          <w:szCs w:val="22"/>
          <w:color w:val="auto"/>
        </w:rPr>
      </w:pPr>
      <w:r>
        <w:rPr>
          <w:rFonts w:ascii="Arial" w:cs="Arial" w:eastAsia="Arial" w:hAnsi="Arial"/>
          <w:sz w:val="18"/>
          <w:szCs w:val="18"/>
          <w:color w:val="auto"/>
        </w:rPr>
        <w:t>If our financial condition worsens, provisions in our credit card processing and other commercial agreements may adversely affect our liquidity.</w:t>
      </w:r>
    </w:p>
    <w:p>
      <w:pPr>
        <w:spacing w:after="0" w:line="179" w:lineRule="exact"/>
        <w:rPr>
          <w:rFonts w:ascii="Arial" w:cs="Arial" w:eastAsia="Arial" w:hAnsi="Arial"/>
          <w:sz w:val="22"/>
          <w:szCs w:val="22"/>
          <w:color w:val="auto"/>
        </w:rPr>
      </w:pPr>
    </w:p>
    <w:p>
      <w:pPr>
        <w:ind w:left="660" w:hanging="329"/>
        <w:spacing w:after="0" w:line="237" w:lineRule="auto"/>
        <w:tabs>
          <w:tab w:leader="none" w:pos="654"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loss of key personnel upon whom we depend to operate our business or the inability to attract, develop and retain additional qualified personnel could adversely affect our business.</w:t>
      </w:r>
    </w:p>
    <w:p>
      <w:pPr>
        <w:spacing w:after="0" w:line="179" w:lineRule="exact"/>
        <w:rPr>
          <w:rFonts w:ascii="Arial" w:cs="Arial" w:eastAsia="Arial" w:hAnsi="Arial"/>
          <w:sz w:val="22"/>
          <w:szCs w:val="22"/>
          <w:color w:val="auto"/>
        </w:rPr>
      </w:pPr>
    </w:p>
    <w:p>
      <w:pPr>
        <w:jc w:val="both"/>
        <w:ind w:left="660" w:hanging="329"/>
        <w:spacing w:after="0" w:line="241" w:lineRule="auto"/>
        <w:tabs>
          <w:tab w:leader="none" w:pos="654"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business has been and will continue to be materially affected by many changing economic, geopolitical, commercial, regulatory and other conditions beyond our control, including global events that affect travel behavior, and our results of operations could be volatile and fluctuate materially due to changes in such conditions.</w:t>
      </w:r>
    </w:p>
    <w:p>
      <w:pPr>
        <w:spacing w:after="0" w:line="165" w:lineRule="exact"/>
        <w:rPr>
          <w:rFonts w:ascii="Arial" w:cs="Arial" w:eastAsia="Arial" w:hAnsi="Arial"/>
          <w:sz w:val="22"/>
          <w:szCs w:val="22"/>
          <w:color w:val="auto"/>
        </w:rPr>
      </w:pPr>
    </w:p>
    <w:p>
      <w:pPr>
        <w:ind w:left="640" w:hanging="309"/>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airline industry is intensely competitive and dynamic.</w:t>
      </w:r>
    </w:p>
    <w:p>
      <w:pPr>
        <w:spacing w:after="0" w:line="178" w:lineRule="exact"/>
        <w:rPr>
          <w:rFonts w:ascii="Arial" w:cs="Arial" w:eastAsia="Arial" w:hAnsi="Arial"/>
          <w:sz w:val="22"/>
          <w:szCs w:val="22"/>
          <w:color w:val="auto"/>
        </w:rPr>
      </w:pPr>
    </w:p>
    <w:p>
      <w:pPr>
        <w:ind w:left="640" w:hanging="309"/>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18"/>
          <w:szCs w:val="18"/>
          <w:color w:val="auto"/>
        </w:rPr>
        <w:t>Union disputes, employee strikes and other labor-related disruptions may adversely affect our operations and financial performance.</w:t>
      </w:r>
    </w:p>
    <w:p>
      <w:pPr>
        <w:spacing w:after="0" w:line="179" w:lineRule="exact"/>
        <w:rPr>
          <w:rFonts w:ascii="Arial" w:cs="Arial" w:eastAsia="Arial" w:hAnsi="Arial"/>
          <w:sz w:val="22"/>
          <w:szCs w:val="22"/>
          <w:color w:val="auto"/>
        </w:rPr>
      </w:pPr>
    </w:p>
    <w:p>
      <w:pPr>
        <w:ind w:left="660" w:hanging="329"/>
        <w:spacing w:after="0" w:line="237" w:lineRule="auto"/>
        <w:tabs>
          <w:tab w:leader="none" w:pos="654" w:val="left"/>
        </w:tabs>
        <w:numPr>
          <w:ilvl w:val="0"/>
          <w:numId w:val="5"/>
        </w:numPr>
        <w:rPr>
          <w:rFonts w:ascii="Arial" w:cs="Arial" w:eastAsia="Arial" w:hAnsi="Arial"/>
          <w:sz w:val="22"/>
          <w:szCs w:val="22"/>
          <w:color w:val="auto"/>
        </w:rPr>
      </w:pPr>
      <w:r>
        <w:rPr>
          <w:rFonts w:ascii="Arial" w:cs="Arial" w:eastAsia="Arial" w:hAnsi="Arial"/>
          <w:sz w:val="18"/>
          <w:szCs w:val="18"/>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165" w:lineRule="exact"/>
        <w:rPr>
          <w:rFonts w:ascii="Arial" w:cs="Arial" w:eastAsia="Arial" w:hAnsi="Arial"/>
          <w:sz w:val="22"/>
          <w:szCs w:val="22"/>
          <w:color w:val="auto"/>
        </w:rPr>
      </w:pPr>
    </w:p>
    <w:p>
      <w:pPr>
        <w:ind w:left="640" w:hanging="309"/>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18"/>
          <w:szCs w:val="18"/>
          <w:color w:val="auto"/>
        </w:rPr>
        <w:t>Any damage to our reputation or brand image could adversely affect our business or financial results.</w:t>
      </w:r>
    </w:p>
    <w:p>
      <w:pPr>
        <w:spacing w:after="0" w:line="179" w:lineRule="exact"/>
        <w:rPr>
          <w:rFonts w:ascii="Arial" w:cs="Arial" w:eastAsia="Arial" w:hAnsi="Arial"/>
          <w:sz w:val="22"/>
          <w:szCs w:val="22"/>
          <w:color w:val="auto"/>
        </w:rPr>
      </w:pPr>
    </w:p>
    <w:p>
      <w:pPr>
        <w:ind w:left="660" w:hanging="329"/>
        <w:spacing w:after="0" w:line="237" w:lineRule="auto"/>
        <w:tabs>
          <w:tab w:leader="none" w:pos="654" w:val="left"/>
        </w:tabs>
        <w:numPr>
          <w:ilvl w:val="0"/>
          <w:numId w:val="5"/>
        </w:numPr>
        <w:rPr>
          <w:rFonts w:ascii="Arial" w:cs="Arial" w:eastAsia="Arial" w:hAnsi="Arial"/>
          <w:sz w:val="22"/>
          <w:szCs w:val="22"/>
          <w:color w:val="auto"/>
        </w:rPr>
      </w:pPr>
      <w:r>
        <w:rPr>
          <w:rFonts w:ascii="Arial" w:cs="Arial" w:eastAsia="Arial" w:hAnsi="Arial"/>
          <w:sz w:val="18"/>
          <w:szCs w:val="18"/>
          <w:color w:val="auto"/>
        </w:rPr>
        <w:t>Changes to our business model that are designed to increase revenues may not be successful and may cause operational difficulties or decreased demand.</w:t>
      </w:r>
    </w:p>
    <w:p>
      <w:pPr>
        <w:spacing w:after="0" w:line="179" w:lineRule="exact"/>
        <w:rPr>
          <w:rFonts w:ascii="Arial" w:cs="Arial" w:eastAsia="Arial" w:hAnsi="Arial"/>
          <w:sz w:val="22"/>
          <w:szCs w:val="22"/>
          <w:color w:val="auto"/>
        </w:rPr>
      </w:pPr>
    </w:p>
    <w:p>
      <w:pPr>
        <w:ind w:left="660" w:hanging="329"/>
        <w:spacing w:after="0" w:line="237" w:lineRule="auto"/>
        <w:tabs>
          <w:tab w:leader="none" w:pos="654"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intellectual property rights, particularly our branding rights, are valuable, and any inability to protect them may adversely affect our business and financial results.</w:t>
      </w:r>
    </w:p>
    <w:p>
      <w:pPr>
        <w:spacing w:after="0" w:line="165" w:lineRule="exact"/>
        <w:rPr>
          <w:rFonts w:ascii="Arial" w:cs="Arial" w:eastAsia="Arial" w:hAnsi="Arial"/>
          <w:sz w:val="22"/>
          <w:szCs w:val="22"/>
          <w:color w:val="auto"/>
        </w:rPr>
      </w:pPr>
    </w:p>
    <w:p>
      <w:pPr>
        <w:ind w:left="640" w:hanging="309"/>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18"/>
          <w:szCs w:val="18"/>
          <w:color w:val="auto"/>
        </w:rPr>
        <w:t>We may be a party to litigation in the normal course of business or otherwise, which could affect our financial position and liquidity.</w:t>
      </w:r>
    </w:p>
    <w:p>
      <w:pPr>
        <w:spacing w:after="0" w:line="178" w:lineRule="exact"/>
        <w:rPr>
          <w:rFonts w:ascii="Arial" w:cs="Arial" w:eastAsia="Arial" w:hAnsi="Arial"/>
          <w:sz w:val="22"/>
          <w:szCs w:val="22"/>
          <w:color w:val="auto"/>
        </w:rPr>
      </w:pPr>
    </w:p>
    <w:p>
      <w:pPr>
        <w:ind w:left="640" w:hanging="309"/>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utilize our NOLs and other carryforwards may be limited.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right="20" w:hanging="329"/>
        <w:spacing w:after="0" w:line="237"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179" w:lineRule="exact"/>
        <w:rPr>
          <w:rFonts w:ascii="Arial" w:cs="Arial" w:eastAsia="Arial" w:hAnsi="Arial"/>
          <w:sz w:val="22"/>
          <w:szCs w:val="22"/>
          <w:color w:val="auto"/>
        </w:rPr>
      </w:pPr>
    </w:p>
    <w:p>
      <w:pPr>
        <w:ind w:left="660" w:hanging="329"/>
        <w:spacing w:after="0" w:line="237"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commercial relationships that we have with other companies, including any related equity investments, may not produce the returns or results we expect.</w:t>
      </w:r>
    </w:p>
    <w:p>
      <w:pPr>
        <w:spacing w:after="0" w:line="179" w:lineRule="exact"/>
        <w:rPr>
          <w:rFonts w:ascii="Arial" w:cs="Arial" w:eastAsia="Arial" w:hAnsi="Arial"/>
          <w:sz w:val="22"/>
          <w:szCs w:val="22"/>
          <w:color w:val="auto"/>
        </w:rPr>
      </w:pPr>
    </w:p>
    <w:p>
      <w:pPr>
        <w:jc w:val="both"/>
        <w:ind w:left="660" w:hanging="329"/>
        <w:spacing w:after="0" w:line="248"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173" w:lineRule="exact"/>
        <w:rPr>
          <w:rFonts w:ascii="Arial" w:cs="Arial" w:eastAsia="Arial" w:hAnsi="Arial"/>
          <w:sz w:val="22"/>
          <w:szCs w:val="22"/>
          <w:color w:val="auto"/>
        </w:rPr>
      </w:pPr>
    </w:p>
    <w:p>
      <w:pPr>
        <w:ind w:left="660" w:right="20" w:hanging="329"/>
        <w:spacing w:after="0" w:line="237"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179" w:lineRule="exact"/>
        <w:rPr>
          <w:rFonts w:ascii="Arial" w:cs="Arial" w:eastAsia="Arial" w:hAnsi="Arial"/>
          <w:sz w:val="22"/>
          <w:szCs w:val="22"/>
          <w:color w:val="auto"/>
        </w:rPr>
      </w:pPr>
    </w:p>
    <w:p>
      <w:pPr>
        <w:ind w:left="660" w:right="20" w:hanging="329"/>
        <w:spacing w:after="0" w:line="237"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179" w:lineRule="exact"/>
        <w:rPr>
          <w:rFonts w:ascii="Arial" w:cs="Arial" w:eastAsia="Arial" w:hAnsi="Arial"/>
          <w:sz w:val="22"/>
          <w:szCs w:val="22"/>
          <w:color w:val="auto"/>
        </w:rPr>
      </w:pPr>
    </w:p>
    <w:p>
      <w:pPr>
        <w:ind w:left="660" w:right="20" w:hanging="329"/>
        <w:spacing w:after="0" w:line="237"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may be adversely affected by conflicts overseas, terrorist attacks or other acts of violence, domestically or abroad; the travel industry continues to face ongoing security concerns.</w:t>
      </w:r>
    </w:p>
    <w:p>
      <w:pPr>
        <w:spacing w:after="0" w:line="179" w:lineRule="exact"/>
        <w:rPr>
          <w:rFonts w:ascii="Arial" w:cs="Arial" w:eastAsia="Arial" w:hAnsi="Arial"/>
          <w:sz w:val="22"/>
          <w:szCs w:val="22"/>
          <w:color w:val="auto"/>
        </w:rPr>
      </w:pPr>
    </w:p>
    <w:p>
      <w:pPr>
        <w:jc w:val="both"/>
        <w:ind w:left="660" w:hanging="329"/>
        <w:spacing w:after="0" w:line="241"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are subject to risks associated with climate change, including increased regulation of our greenhouse gas (GHG) emissions, changing consumer preferences and the potential for increased impacts of severe weather events on our operations and infrastructure.</w:t>
      </w:r>
    </w:p>
    <w:p>
      <w:pPr>
        <w:spacing w:after="0" w:line="165" w:lineRule="exact"/>
        <w:rPr>
          <w:rFonts w:ascii="Arial" w:cs="Arial" w:eastAsia="Arial" w:hAnsi="Arial"/>
          <w:sz w:val="22"/>
          <w:szCs w:val="22"/>
          <w:color w:val="auto"/>
        </w:rPr>
      </w:pPr>
    </w:p>
    <w:p>
      <w:pPr>
        <w:ind w:left="640" w:hanging="309"/>
        <w:spacing w:after="0"/>
        <w:tabs>
          <w:tab w:leader="none" w:pos="640" w:val="left"/>
        </w:tabs>
        <w:numPr>
          <w:ilvl w:val="0"/>
          <w:numId w:val="6"/>
        </w:numPr>
        <w:rPr>
          <w:rFonts w:ascii="Arial" w:cs="Arial" w:eastAsia="Arial" w:hAnsi="Arial"/>
          <w:sz w:val="22"/>
          <w:szCs w:val="22"/>
          <w:color w:val="auto"/>
        </w:rPr>
      </w:pPr>
      <w:r>
        <w:rPr>
          <w:rFonts w:ascii="Arial" w:cs="Arial" w:eastAsia="Arial" w:hAnsi="Arial"/>
          <w:sz w:val="18"/>
          <w:szCs w:val="18"/>
          <w:color w:val="auto"/>
        </w:rPr>
        <w:t>A shortage of pilots or other personnel has in the past and could continue to materially adversely affect our business.</w:t>
      </w:r>
    </w:p>
    <w:p>
      <w:pPr>
        <w:spacing w:after="0" w:line="192" w:lineRule="exact"/>
        <w:rPr>
          <w:rFonts w:ascii="Arial" w:cs="Arial" w:eastAsia="Arial" w:hAnsi="Arial"/>
          <w:sz w:val="22"/>
          <w:szCs w:val="22"/>
          <w:color w:val="auto"/>
        </w:rPr>
      </w:pPr>
    </w:p>
    <w:p>
      <w:pPr>
        <w:jc w:val="both"/>
        <w:ind w:left="660" w:hanging="329"/>
        <w:spacing w:after="0" w:line="244"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depend on a limited number of suppliers for 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may adversely impact our business, results of operations and financial condition.</w:t>
      </w:r>
    </w:p>
    <w:p>
      <w:pPr>
        <w:spacing w:after="0" w:line="176" w:lineRule="exact"/>
        <w:rPr>
          <w:rFonts w:ascii="Arial" w:cs="Arial" w:eastAsia="Arial" w:hAnsi="Arial"/>
          <w:sz w:val="22"/>
          <w:szCs w:val="22"/>
          <w:color w:val="auto"/>
        </w:rPr>
      </w:pPr>
    </w:p>
    <w:p>
      <w:pPr>
        <w:ind w:left="660" w:hanging="329"/>
        <w:spacing w:after="0" w:line="237"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rely heavily on technology and automated systems to operate our business, and any failure of these technologies or systems could harm our business, results of operations and financial condition.</w:t>
      </w:r>
    </w:p>
    <w:p>
      <w:pPr>
        <w:spacing w:after="0" w:line="179" w:lineRule="exact"/>
        <w:rPr>
          <w:rFonts w:ascii="Arial" w:cs="Arial" w:eastAsia="Arial" w:hAnsi="Arial"/>
          <w:sz w:val="22"/>
          <w:szCs w:val="22"/>
          <w:color w:val="auto"/>
        </w:rPr>
      </w:pPr>
    </w:p>
    <w:p>
      <w:pPr>
        <w:jc w:val="both"/>
        <w:ind w:left="660" w:hanging="329"/>
        <w:spacing w:after="0" w:line="244"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Evolving data privacy requirements (in particular, compliance with applicable federal, state and foreign laws relating to handling of personal information about individuals) could increase our costs, and any significant data privacy incident could disrupt our operations, harm our reputation, expose us to legal risks and otherwise materially adversely affect our business, results of operations and financial condition.</w:t>
      </w:r>
    </w:p>
    <w:p>
      <w:pPr>
        <w:spacing w:after="0" w:line="136" w:lineRule="exact"/>
        <w:rPr>
          <w:rFonts w:ascii="Arial" w:cs="Arial" w:eastAsia="Arial" w:hAnsi="Arial"/>
          <w:sz w:val="22"/>
          <w:szCs w:val="22"/>
          <w:color w:val="auto"/>
        </w:rPr>
      </w:pPr>
    </w:p>
    <w:p>
      <w:pPr>
        <w:jc w:val="both"/>
        <w:ind w:left="660" w:hanging="329"/>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exposed to risks from cyberattacks, and any cybersecurity incidents involving us, our third-party service providers, or one of our AAdvantage partners or other business partners, could materially adversely affect our business, results of operations and financial condition.</w:t>
      </w:r>
    </w:p>
    <w:p>
      <w:pPr>
        <w:spacing w:after="0" w:line="141" w:lineRule="exact"/>
        <w:rPr>
          <w:rFonts w:ascii="Arial" w:cs="Arial" w:eastAsia="Arial" w:hAnsi="Arial"/>
          <w:sz w:val="18"/>
          <w:szCs w:val="18"/>
          <w:color w:val="auto"/>
        </w:rPr>
      </w:pPr>
    </w:p>
    <w:p>
      <w:pPr>
        <w:ind w:left="640" w:hanging="309"/>
        <w:spacing w:after="0"/>
        <w:tabs>
          <w:tab w:leader="none" w:pos="640"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rely on third-party distribution channels and must effectively manage the costs, rights and functionality of these channels.</w:t>
      </w:r>
    </w:p>
    <w:p>
      <w:pPr>
        <w:spacing w:after="0" w:line="179" w:lineRule="exact"/>
        <w:rPr>
          <w:rFonts w:ascii="Arial" w:cs="Arial" w:eastAsia="Arial" w:hAnsi="Arial"/>
          <w:sz w:val="22"/>
          <w:szCs w:val="22"/>
          <w:color w:val="auto"/>
        </w:rPr>
      </w:pPr>
    </w:p>
    <w:p>
      <w:pPr>
        <w:jc w:val="both"/>
        <w:ind w:left="660" w:hanging="329"/>
        <w:spacing w:after="0" w:line="241" w:lineRule="auto"/>
        <w:tabs>
          <w:tab w:leader="none" w:pos="654" w:val="left"/>
        </w:tabs>
        <w:numPr>
          <w:ilvl w:val="0"/>
          <w:numId w:val="6"/>
        </w:numPr>
        <w:rPr>
          <w:rFonts w:ascii="Arial" w:cs="Arial" w:eastAsia="Arial" w:hAnsi="Arial"/>
          <w:sz w:val="22"/>
          <w:szCs w:val="22"/>
          <w:color w:val="auto"/>
        </w:rPr>
      </w:pPr>
      <w:r>
        <w:rPr>
          <w:rFonts w:ascii="Arial" w:cs="Arial" w:eastAsia="Arial" w:hAnsi="Arial"/>
          <w:sz w:val="18"/>
          <w:szCs w:val="18"/>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American Airlines Group Inc. (AAG), a Delaware corporation, is a holding company and its principal, wholly-owned subsidiaries are American Airlines, Inc. (American), Envoy Aviation Group Inc., PSA Airlines, Inc. (PSA) and Piedmont Airlines, Inc. (Piedmont). AAG was formed in 1982, under the name AMR Corporation (AMR), as the parent company of American, which was founded in 1934.</w:t>
      </w:r>
    </w:p>
    <w:p>
      <w:pPr>
        <w:spacing w:after="0" w:line="116"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8"/>
          <w:szCs w:val="18"/>
          <w:color w:val="auto"/>
        </w:rPr>
        <w:t>AAG’s and American’s principal executive offices are located at 1 Skyview Drive, Fort Worth, Texas 76155 and their telephone number is 682-278-9000.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Airline Operations</w:t>
      </w:r>
    </w:p>
    <w:p>
      <w:pPr>
        <w:spacing w:after="0" w:line="90"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Together with our wholly-owned regional airline subsidiaries and third-party regional carriers operating as American Eagle, our primary business activity is the operation of a major network air carrier, providing scheduled air transportation for passengers and cargo through our hubs in Charlotte, Chicago, Dallas/Fort Worth, Los Angeles, Miami, New York, Philadelphia, Phoenix and Washington, D.C. and partner gateways, including in London, Doha, Madrid, Seattle/Tacoma, Sydney and Tokyo (among others). In 2023, approximately 211 million passengers boarded our flights. During 2023, we launched more than 50 new routes, providing service to close to 350 destinations around the world, and we announced several new destinations for customers to explore in 2024: Copenhagen, Denmark; Naples, Italy; Nice, France; Governor’s Harbour, Bahamas; Tijuana, Mexico; Tulum, Mexico; Ocho Rios, Jamaica; Pasco, Washington and Hyannis, Massachusetts. In 2024, we announced new service to Brisbane, Australia and Veracruz, Mexico, as well as additional nonstop service between New York and Tokyo, Japan.</w:t>
      </w:r>
    </w:p>
    <w:p>
      <w:pPr>
        <w:spacing w:after="0" w:line="132"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 xml:space="preserve">As of December 31, 2023, we operated 965 mainline aircraft supported by our regional airline subsidiaries and third-party regional carriers, which together operated an additional 556 regional aircraft. See Part I, Item 2. Properties for further discussion of our mainline and regional aircraft and </w:t>
      </w:r>
      <w:r>
        <w:rPr>
          <w:rFonts w:ascii="Arial" w:cs="Arial" w:eastAsia="Arial" w:hAnsi="Arial"/>
          <w:sz w:val="18"/>
          <w:szCs w:val="18"/>
          <w:i w:val="1"/>
          <w:iCs w:val="1"/>
          <w:color w:val="auto"/>
        </w:rPr>
        <w:t>“Regional”</w:t>
      </w:r>
      <w:r>
        <w:rPr>
          <w:rFonts w:ascii="Arial" w:cs="Arial" w:eastAsia="Arial" w:hAnsi="Arial"/>
          <w:sz w:val="18"/>
          <w:szCs w:val="18"/>
          <w:color w:val="auto"/>
        </w:rPr>
        <w:t xml:space="preserve"> below for further discussion of our regional operations.</w:t>
      </w:r>
    </w:p>
    <w:p>
      <w:pPr>
        <w:spacing w:after="0" w:line="113" w:lineRule="exact"/>
        <w:rPr>
          <w:sz w:val="20"/>
          <w:szCs w:val="20"/>
          <w:color w:val="auto"/>
        </w:rPr>
      </w:pPr>
    </w:p>
    <w:p>
      <w:pPr>
        <w:jc w:val="both"/>
        <w:ind w:firstLine="202"/>
        <w:spacing w:after="0" w:line="241" w:lineRule="auto"/>
        <w:rPr>
          <w:sz w:val="20"/>
          <w:szCs w:val="20"/>
          <w:color w:val="auto"/>
        </w:rPr>
      </w:pPr>
      <w:r>
        <w:rPr>
          <w:rFonts w:ascii="Arial" w:cs="Arial" w:eastAsia="Arial" w:hAnsi="Arial"/>
          <w:sz w:val="18"/>
          <w:szCs w:val="18"/>
          <w:color w:val="auto"/>
        </w:rPr>
        <w:t xml:space="preserve">American is a founding member of the </w:t>
      </w:r>
      <w:r>
        <w:rPr>
          <w:rFonts w:ascii="Arial" w:cs="Arial" w:eastAsia="Arial" w:hAnsi="Arial"/>
          <w:sz w:val="18"/>
          <w:szCs w:val="18"/>
          <w:b w:val="1"/>
          <w:bCs w:val="1"/>
          <w:color w:val="auto"/>
        </w:rPr>
        <w:t>one</w:t>
      </w:r>
      <w:r>
        <w:rPr>
          <w:rFonts w:ascii="Arial" w:cs="Arial" w:eastAsia="Arial" w:hAnsi="Arial"/>
          <w:sz w:val="18"/>
          <w:szCs w:val="18"/>
          <w:color w:val="auto"/>
        </w:rPr>
        <w:t>world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Alliance, which brings together a global network of 13 world-class member airlines and their affiliates, working together to provide a superior and seamless travel experience. See </w:t>
      </w:r>
      <w:r>
        <w:rPr>
          <w:rFonts w:ascii="Arial" w:cs="Arial" w:eastAsia="Arial" w:hAnsi="Arial"/>
          <w:sz w:val="18"/>
          <w:szCs w:val="18"/>
          <w:i w:val="1"/>
          <w:iCs w:val="1"/>
          <w:color w:val="auto"/>
        </w:rPr>
        <w:t>“Distribution and Marketing Agreements”</w:t>
      </w:r>
      <w:r>
        <w:rPr>
          <w:rFonts w:ascii="Arial" w:cs="Arial" w:eastAsia="Arial" w:hAnsi="Arial"/>
          <w:sz w:val="18"/>
          <w:szCs w:val="18"/>
          <w:color w:val="auto"/>
        </w:rPr>
        <w:t xml:space="preserve"> below for further discussion on the </w:t>
      </w:r>
      <w:r>
        <w:rPr>
          <w:rFonts w:ascii="Arial" w:cs="Arial" w:eastAsia="Arial" w:hAnsi="Arial"/>
          <w:sz w:val="18"/>
          <w:szCs w:val="18"/>
          <w:b w:val="1"/>
          <w:bCs w:val="1"/>
          <w:color w:val="auto"/>
        </w:rPr>
        <w:t>one</w:t>
      </w:r>
      <w:r>
        <w:rPr>
          <w:rFonts w:ascii="Arial" w:cs="Arial" w:eastAsia="Arial" w:hAnsi="Arial"/>
          <w:sz w:val="18"/>
          <w:szCs w:val="18"/>
          <w:color w:val="auto"/>
        </w:rPr>
        <w:t>world Alliance and other agreements with domestic and international airlines.</w:t>
      </w:r>
    </w:p>
    <w:p>
      <w:pPr>
        <w:spacing w:after="0" w:line="130"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 xml:space="preserve">See Part II, Item 7. Management’s Discussion and Analysis of Financial Condition and Results of Operations – </w:t>
      </w:r>
      <w:r>
        <w:rPr>
          <w:rFonts w:ascii="Arial" w:cs="Arial" w:eastAsia="Arial" w:hAnsi="Arial"/>
          <w:sz w:val="18"/>
          <w:szCs w:val="18"/>
          <w:i w:val="1"/>
          <w:iCs w:val="1"/>
          <w:color w:val="auto"/>
        </w:rPr>
        <w:t>“2023 Financial Overview,”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“AAG’s Results of Operations”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“American’s Results of Operations” </w:t>
      </w:r>
      <w:r>
        <w:rPr>
          <w:rFonts w:ascii="Arial" w:cs="Arial" w:eastAsia="Arial" w:hAnsi="Arial"/>
          <w:sz w:val="18"/>
          <w:szCs w:val="18"/>
          <w:color w:val="auto"/>
        </w:rPr>
        <w:t>for further discussion of AAG’s and American’s operating results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Also, see Note 1(m) to each of AAG’s and American’s Consolidated Financial Statements in Part II, Items 8A and 8B, respectively, for passenger revenue by geographic region and Note 13 to AAG’s Consolidated Financial Statements in Part II, Item 8A and Note 12 to American’s Consolidated Financial Statements in Part II, Item 8B for information regarding operating segments.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Regional</w:t>
      </w:r>
    </w:p>
    <w:p>
      <w:pPr>
        <w:spacing w:after="0" w:line="88"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color w:val="auto"/>
        </w:rPr>
        <w:t>Our regional carriers provide scheduled air transportation under the brand name “American Eagle.” The American Eagle carriers include our wholly-owned regional carriers Envoy Air Inc. (Envoy), PSA and Piedmont, as well as third -party regional carriers including Republic Airways Inc. (Republic), SkyWest Airlines, Inc. (SkyWest) and Air Wisconsin Airlines LLC (Air Wisconsin). Our regional carriers are an integral component of our operating network. We rely heavily on regional carriers to serve small markets and also to drive connecting traffic to our hubs from markets that are not economical for us to serve with larger, mainline aircraft. In addition, regional carriers offer complementary service in many of our mainline markets. All American Eagle carriers use logos, service marks, aircraft paint schemes and uniforms similar to those of our mainline operations. In 2023, 46 million passengers boarded our regional flights, approximately 45% of whom connected to or from our mainline flights.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Our regional carrier arrangements are in the form of capacity purchase agreements with our third-party regional partners and similar arrangements with our wholly-owned affiliates which provide that all revenues, including passenger, in-flight, ancillary, mail and freight revenues, go to us. We control marketing, scheduling, ticketing, pricing and seat inventories. In return, we agree to pay predetermined fees to these airlines for operating an agreed-upon number of aircraft, without regard to the number of passengers on board. In addition, these agreements provide that we either reimburse or pay 100% of certain variable costs, such as airport landing fees, fuel and passenger liability insurance. In 2023, Air Wisconsin began operating scheduled flights under the American Eagle name.</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Cargo</w:t>
      </w:r>
    </w:p>
    <w:p>
      <w:pPr>
        <w:spacing w:after="0" w:line="8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Our cargo division provides a wide range of freight and mail services, with facilities and interline connections available across the globe. In 2023, we served more than 21,000 unique origin and destination pairs, transporting over 900 million pounds of time-sensitive freight and mail across our network.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 Agreements</w:t>
      </w:r>
    </w:p>
    <w:p>
      <w:pPr>
        <w:spacing w:after="0" w:line="90"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color w:val="auto"/>
        </w:rPr>
        <w:t>Passengers can purchase tickets for travel on American through several distribution channels, including our website (</w:t>
      </w:r>
      <w:r>
        <w:rPr>
          <w:rFonts w:ascii="Arial" w:cs="Arial" w:eastAsia="Arial" w:hAnsi="Arial"/>
          <w:sz w:val="18"/>
          <w:szCs w:val="18"/>
          <w:i w:val="1"/>
          <w:iCs w:val="1"/>
          <w:color w:val="auto"/>
        </w:rPr>
        <w:t>www.aa.com</w:t>
      </w:r>
      <w:r>
        <w:rPr>
          <w:rFonts w:ascii="Arial" w:cs="Arial" w:eastAsia="Arial" w:hAnsi="Arial"/>
          <w:sz w:val="18"/>
          <w:szCs w:val="18"/>
          <w:color w:val="auto"/>
        </w:rPr>
        <w:t>), our mobile app, our reservations centers and third-party distribution channels, including conventional travel agents, travel management companies and online travel agents (e.g., Expedia, including its booking sites Orbitz and Travelocity, and Booking Holdings, including its booking sites Kayak and Priceline). Over the last decade, American has been a leader in deploying new distribution technologies such as IATA New Distribution Capability (NDC) technology, which is now the primary means by which we distribute our content to third parties through aggregators (e.g., Amadeus, Sabre, Travelport and Travelfusion) or through direct connections. NDC technology provides customers access to enhanced content and functionality, providing a simplified booking experience, and enabling us to provide more relevant, tailored offers to customers.</w:t>
      </w:r>
    </w:p>
    <w:p>
      <w:pPr>
        <w:spacing w:after="0" w:line="12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To remain competitive, we will need to successfully manage our distribution costs and rights, increase our distribution flexibility and improve the functionality of our distribution channels, while maintaining an industry-competitive cost structure. For more discussion, see Part I, Item 1A. Risk Factors – “</w:t>
      </w:r>
      <w:r>
        <w:rPr>
          <w:rFonts w:ascii="Arial" w:cs="Arial" w:eastAsia="Arial" w:hAnsi="Arial"/>
          <w:sz w:val="18"/>
          <w:szCs w:val="18"/>
          <w:i w:val="1"/>
          <w:iCs w:val="1"/>
          <w:color w:val="auto"/>
        </w:rPr>
        <w:t>We rely on third-party distribution channels and must effectively manage the costs, rights and functionality of these</w:t>
      </w:r>
      <w:r>
        <w:rPr>
          <w:rFonts w:ascii="Arial" w:cs="Arial" w:eastAsia="Arial" w:hAnsi="Arial"/>
          <w:sz w:val="18"/>
          <w:szCs w:val="18"/>
          <w:color w:val="auto"/>
        </w:rPr>
        <w:t xml:space="preserve"> </w:t>
      </w:r>
      <w:r>
        <w:rPr>
          <w:rFonts w:ascii="Arial" w:cs="Arial" w:eastAsia="Arial" w:hAnsi="Arial"/>
          <w:sz w:val="18"/>
          <w:szCs w:val="18"/>
          <w:i w:val="1"/>
          <w:iCs w:val="1"/>
          <w:color w:val="auto"/>
        </w:rPr>
        <w:t>channels</w:t>
      </w:r>
      <w:r>
        <w:rPr>
          <w:rFonts w:ascii="Arial" w:cs="Arial" w:eastAsia="Arial" w:hAnsi="Arial"/>
          <w:sz w:val="18"/>
          <w:szCs w:val="18"/>
          <w:color w:val="auto"/>
        </w:rPr>
        <w:t>.”</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Member of oneworld Alliance</w:t>
      </w:r>
    </w:p>
    <w:p>
      <w:pPr>
        <w:spacing w:after="0" w:line="88"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 xml:space="preserve">American is a founding member of the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Alliance, which currently includes Alaska Airlines, British Airways, Cathay Pacific, Finnair, Iberia, Japan Airlines, Malaysia Airlines, Qantas Airways (Qantas), Qatar Airways, Royal Air Maroc, Royal Jordanian Airlines and SriLankan Airlines. Oman Air is expected to join the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Alliance in 2024, and Fiji Airways is a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connect partner offering select alliance benefits to </w:t>
      </w:r>
      <w:r>
        <w:rPr>
          <w:rFonts w:ascii="Arial" w:cs="Arial" w:eastAsia="Arial" w:hAnsi="Arial"/>
          <w:sz w:val="18"/>
          <w:szCs w:val="18"/>
          <w:b w:val="1"/>
          <w:bCs w:val="1"/>
          <w:color w:val="auto"/>
        </w:rPr>
        <w:t>one</w:t>
      </w:r>
      <w:r>
        <w:rPr>
          <w:rFonts w:ascii="Arial" w:cs="Arial" w:eastAsia="Arial" w:hAnsi="Arial"/>
          <w:sz w:val="18"/>
          <w:szCs w:val="18"/>
          <w:color w:val="auto"/>
        </w:rPr>
        <w:t xml:space="preserve">world frequent flyers. The </w:t>
      </w:r>
      <w:r>
        <w:rPr>
          <w:rFonts w:ascii="Arial" w:cs="Arial" w:eastAsia="Arial" w:hAnsi="Arial"/>
          <w:sz w:val="18"/>
          <w:szCs w:val="18"/>
          <w:b w:val="1"/>
          <w:bCs w:val="1"/>
          <w:color w:val="auto"/>
        </w:rPr>
        <w:t>one</w:t>
      </w:r>
      <w:r>
        <w:rPr>
          <w:rFonts w:ascii="Arial" w:cs="Arial" w:eastAsia="Arial" w:hAnsi="Arial"/>
          <w:sz w:val="18"/>
          <w:szCs w:val="18"/>
          <w:color w:val="auto"/>
        </w:rPr>
        <w:t>world Alliance links the networks of member carriers and their respective affiliates to enhance customer service and provide smooth connections to the destinations served by the alliance, including linking member carriers’ loyalty programs and providing reciprocal access to the carriers’ airport lounge facilities.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Joint Business Agreements and Other Cooperation Agreements</w:t>
      </w:r>
    </w:p>
    <w:p>
      <w:pPr>
        <w:spacing w:after="0" w:line="88"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American has established a transatlantic joint business with British Airways, Aer Lingus, Iberia and Finnair, a transpacific joint business with Japan Airlines and a joint business covering Australia and New Zealand with Qantas. Joint business agreements enable the carriers involved to cooperate on flights between particular destinations and allow pooling and sharing of certain revenues and costs, enhanced loyalty program reciprocity and cooperation in other areas. Joint business agreements have become a common approach among major carriers to address key regulatory restrictions typically applicable to international airline service, including limitations on the foreign ownership of airlines and national laws prohibiting foreign airlines from carrying passengers beyond specific gateway cities.</w:t>
      </w:r>
    </w:p>
    <w:p>
      <w:pPr>
        <w:spacing w:after="0" w:line="126"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We also have established a strategic alliance with Alaska Airlines covering certain routes on the West Coast of the United States and a strategic alliance with Qatar Airways covering the Middle East in order to provide customers with improved schedules and network connection opportunities, enhanced loyalty program reciprocity and cooperation in other areas.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In July 2010, in connection with a regulatory review related to our transatlantic joint business, we provided certain commitments to the European Commission (EC) regarding, among other things, the availability of take-off and landing slots at London Heathrow (LHR) or London Gatwick (LGW) airports. The commitments accepted by the EC were binding for 10 years. In anticipation of both the exit of the United Kingdom from the European Union (EU), commonly referred to as Brexit, and the expiry of the EC commitments in July 2020, the United Kingdom Competition and Markets Authority (CMA), in October 2018, opened an investigation into the transatlantic joint business. In September 2020 and April 2022, the CMA adopted interim measures that effectively extend the EC commitments until March 2026 in light of the uncertainty and other impacts resulting from the COVID-19 pandemic. The CMA restarted its investigation in September 2023 after a pause related to the COVID-19 pandemic and plans to complete the investigation before the scheduled expiration of the interim measures in March 2026. We continue to cooperate fully with the CMA.</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Marketing Relationships</w:t>
      </w:r>
    </w:p>
    <w:p>
      <w:pPr>
        <w:spacing w:after="0" w:line="88" w:lineRule="exact"/>
        <w:rPr>
          <w:sz w:val="20"/>
          <w:szCs w:val="20"/>
          <w:color w:val="auto"/>
        </w:rPr>
      </w:pPr>
    </w:p>
    <w:p>
      <w:pPr>
        <w:jc w:val="both"/>
        <w:ind w:firstLine="202"/>
        <w:spacing w:after="0" w:line="255" w:lineRule="auto"/>
        <w:rPr>
          <w:sz w:val="20"/>
          <w:szCs w:val="20"/>
          <w:color w:val="auto"/>
        </w:rPr>
      </w:pPr>
      <w:r>
        <w:rPr>
          <w:rFonts w:ascii="Arial" w:cs="Arial" w:eastAsia="Arial" w:hAnsi="Arial"/>
          <w:sz w:val="18"/>
          <w:szCs w:val="18"/>
          <w:color w:val="auto"/>
        </w:rPr>
        <w:t>To improve access to each other’s markets, various U.S. and foreign air carriers, including American, have established marketing agreements with other airlines. These marketing agreements vary in scope and are intended to provide enhanced customer choice by means of an expanded network with reciprocal loyalty program participation, but do not involve the same level of cooperation as our joint businesses or strategic alliances. As of December 31, 2023, in addition to the relationships described above, American had codeshare, marketing and/or loyalty program relationships with Air Tahiti Nui, Cape Air, Cathay Pacific, China Southern Airlines Company Limited (China Southern Airlines), EL AL Israel Airlines, Etihad Airways, Fiji Airways, GOL Linhas Aéreas Inteligentes S.A. (GOL), Gulf Air, Hawaiian Airlines, IndiGo, JetSMART, Jetstar, Jetstar Japan, Malaysia Airlines, Philippine Airlines, Royal Air Maroc, Royal Jordanian Airlines, Silver Airways, SriLankan Airlines and Vueling Airlines.</w:t>
      </w:r>
    </w:p>
    <w:p>
      <w:pPr>
        <w:spacing w:after="0" w:line="12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In 2023, we completed codeshare agreements with JetSMART, enabling American’s customers to book travel on JetSMART’s network beyond Santiago, Chile and Lima, Peru, and which will allow for further extension of our network to other markets in South America, such as Argentina, on JetSMART operated flights, subject to all necessary regulatory approvals.</w:t>
      </w:r>
    </w:p>
    <w:p>
      <w:pPr>
        <w:spacing w:after="0" w:line="116"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8"/>
          <w:szCs w:val="18"/>
          <w:color w:val="auto"/>
        </w:rPr>
        <w:t>Also in 2023, we launched a codeshare partnership with Philippine Airlines. This partnership introduced the first marketed flights by a Philippine carrier to several U.S. destinations and allows American’s customers to travel to Manila and Cebu, Philippines.</w:t>
      </w:r>
    </w:p>
    <w:p>
      <w:pPr>
        <w:spacing w:after="0" w:line="100"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We had a marketing relationship, the Northeast Alliance arrangement (NEA), with JetBlue Airways Corporation (JetBlue) that included an alliance agreement with reciprocal codesharing on certain domestic and international routes from New York (John F. Kennedy International Airport (JFK), LaGuardia Airport (LGA) and Newark Liberty International Airport) and Boston Logan International Airport. On May 19, 2023, the U.S. District Court for the District of Massachusetts issued an order permanently enjoining American and JetBlue from continuing and further implementing the NEA. In June 2023, JetBlue delivered a notice of termination of the NEA, effective July 29, 2023, and the carriers have commenced wind-down activities to accommodate mutual customers.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AAdvantage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Program</w:t>
      </w:r>
    </w:p>
    <w:p>
      <w:pPr>
        <w:spacing w:after="0" w:line="54" w:lineRule="exact"/>
        <w:rPr>
          <w:sz w:val="20"/>
          <w:szCs w:val="20"/>
          <w:color w:val="auto"/>
        </w:rPr>
      </w:pPr>
    </w:p>
    <w:p>
      <w:pPr>
        <w:jc w:val="both"/>
        <w:ind w:firstLine="202"/>
        <w:spacing w:after="0" w:line="236" w:lineRule="auto"/>
        <w:rPr>
          <w:sz w:val="20"/>
          <w:szCs w:val="20"/>
          <w:color w:val="auto"/>
        </w:rPr>
      </w:pPr>
      <w:r>
        <w:rPr>
          <w:rFonts w:ascii="Arial" w:cs="Arial" w:eastAsia="Arial" w:hAnsi="Arial"/>
          <w:sz w:val="18"/>
          <w:szCs w:val="18"/>
          <w:color w:val="auto"/>
        </w:rPr>
        <w:t xml:space="preserve">Our AAdvantage program was established to develop passenger loyalty by offering benefits and rewards to travelers for their continued patronage with American and our partners. AAdvantage members enjoy exclusive benefits and earn mileage credits for flying on eligible tickets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Alliance airline or other partner airlines. For every dollar spent by flying on an eligible American ticket, members earn mileage credits, and AAdvantage Gold</w:t>
      </w:r>
      <w:r>
        <w:rPr>
          <w:rFonts w:ascii="Arial" w:cs="Arial" w:eastAsia="Arial" w:hAnsi="Arial"/>
          <w:sz w:val="23"/>
          <w:szCs w:val="23"/>
          <w:color w:val="auto"/>
          <w:vertAlign w:val="superscript"/>
        </w:rPr>
        <w:t>®</w:t>
      </w:r>
      <w:r>
        <w:rPr>
          <w:rFonts w:ascii="Arial" w:cs="Arial" w:eastAsia="Arial" w:hAnsi="Arial"/>
          <w:sz w:val="18"/>
          <w:szCs w:val="18"/>
          <w:color w:val="auto"/>
        </w:rPr>
        <w:t>, AAdvantage Platinum</w:t>
      </w:r>
      <w:r>
        <w:rPr>
          <w:rFonts w:ascii="Arial" w:cs="Arial" w:eastAsia="Arial" w:hAnsi="Arial"/>
          <w:sz w:val="23"/>
          <w:szCs w:val="23"/>
          <w:color w:val="auto"/>
          <w:vertAlign w:val="superscript"/>
        </w:rPr>
        <w:t>®</w:t>
      </w:r>
      <w:r>
        <w:rPr>
          <w:rFonts w:ascii="Arial" w:cs="Arial" w:eastAsia="Arial" w:hAnsi="Arial"/>
          <w:sz w:val="18"/>
          <w:szCs w:val="18"/>
          <w:color w:val="auto"/>
        </w:rPr>
        <w:t>, AAdvantage Platinum Pro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AAdvantage Executive Platinum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status holders earn additional bonus mileage credits of 40%, 60%, 80% and 120%, respectively. Members also earn mileage credits by using the services of more than 1,000 non-flight partners, such as our co-branded credit cards, certain hotel and car rental companies and shopping and dining partners. The AAdvantage program in general, and our co-branded credit card programs in particular, are material assets of our business and have become increasingly important to our company over time. During 2023 and 2022, cash payments from co-branded credit card and other partners were $5.2 billion and $4.5 billion, respectively.</w:t>
      </w:r>
    </w:p>
    <w:p>
      <w:pPr>
        <w:spacing w:after="0" w:line="142" w:lineRule="exact"/>
        <w:rPr>
          <w:sz w:val="20"/>
          <w:szCs w:val="20"/>
          <w:color w:val="auto"/>
        </w:rPr>
      </w:pPr>
    </w:p>
    <w:p>
      <w:pPr>
        <w:jc w:val="both"/>
        <w:ind w:firstLine="202"/>
        <w:spacing w:after="0" w:line="243" w:lineRule="auto"/>
        <w:rPr>
          <w:sz w:val="20"/>
          <w:szCs w:val="20"/>
          <w:color w:val="auto"/>
        </w:rPr>
      </w:pPr>
      <w:r>
        <w:rPr>
          <w:rFonts w:ascii="Arial" w:cs="Arial" w:eastAsia="Arial" w:hAnsi="Arial"/>
          <w:sz w:val="18"/>
          <w:szCs w:val="18"/>
          <w:color w:val="auto"/>
        </w:rPr>
        <w:t>Mileage credits can be redeemed for travel and upgraded experiences on American and participating airlines, membership to our Admirals Club</w:t>
      </w:r>
      <w:r>
        <w:rPr>
          <w:rFonts w:ascii="Arial" w:cs="Arial" w:eastAsia="Arial" w:hAnsi="Arial"/>
          <w:sz w:val="23"/>
          <w:szCs w:val="23"/>
          <w:color w:val="auto"/>
          <w:vertAlign w:val="superscript"/>
        </w:rPr>
        <w:t>®</w:t>
      </w:r>
      <w:r>
        <w:rPr>
          <w:rFonts w:ascii="Arial" w:cs="Arial" w:eastAsia="Arial" w:hAnsi="Arial"/>
          <w:sz w:val="18"/>
          <w:szCs w:val="18"/>
          <w:color w:val="auto"/>
        </w:rPr>
        <w:t>, or for other non-flight awards, such as car rentals and hotels, from our program partners. Travel awards are available on all flights operated by American and, subject to capacity-controlled seating, on flights operated by our partners. A member’s mileage credits generally do not expire if that member has any type of qualifying activity at least once every 24 months or if the AAdvantage member is the primary holder of a co-branded credit card. AAdvantage members qualify for status over a 12-month period beginning on March 1 of each year by earning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Loyalty Points, which can be earned through a variety of qualifying travel and non-travel activities, including use of our co-branded credit cards. Status members can enjoy additional travel benefits of the AAdvantage program, including complimentary upgrades, checked bags, and Preferred and Main Cabin Extra seats, as well as priority check-in, security, boarding and baggage delivery when traveling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Alliance airline or select partner airlines. In addition, AAdvantage members can unlock benefits, rewards and choices before, between and beyond the traditional status tiers with Loyalty Point Rewards. In 2023, we introduced a new business loyalty program, AAdvantage Business, which rewards both eligible companies with AAdvantage miles and their travelers with additional Loyalty Points for booking business travel through our website or mobile app.</w:t>
      </w:r>
    </w:p>
    <w:p>
      <w:pPr>
        <w:spacing w:after="0" w:line="127"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 xml:space="preserve">In 2023, the editorial staff of the digital news outlet, </w:t>
      </w:r>
      <w:r>
        <w:rPr>
          <w:rFonts w:ascii="Arial" w:cs="Arial" w:eastAsia="Arial" w:hAnsi="Arial"/>
          <w:sz w:val="18"/>
          <w:szCs w:val="18"/>
          <w:i w:val="1"/>
          <w:iCs w:val="1"/>
          <w:color w:val="auto"/>
        </w:rPr>
        <w:t>The Points Guy</w:t>
      </w:r>
      <w:r>
        <w:rPr>
          <w:rFonts w:ascii="Arial" w:cs="Arial" w:eastAsia="Arial" w:hAnsi="Arial"/>
          <w:sz w:val="18"/>
          <w:szCs w:val="18"/>
          <w:color w:val="auto"/>
        </w:rPr>
        <w:t>, selected AAdvantage as the Best U.S. Airline Loyalty Program. In addition, AAdvantage was recognized for the Best Elite Program in the Americas at the 2023 Freddie Awards, which is based entirely on votes from travelers around the world.</w:t>
      </w:r>
    </w:p>
    <w:p>
      <w:pPr>
        <w:spacing w:after="0" w:line="116"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Under our agreements with AAdvantage members and program partners, we reserve the right to change the terms of the AAdvantage program at any time and without notice. Program rules, partners, special offers, awards and requisite mileage levels for awards are subject to change.</w:t>
      </w:r>
    </w:p>
    <w:p>
      <w:pPr>
        <w:spacing w:after="0" w:line="116"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During 2023, our members redeemed approximately 13 million awards, including travel redemptions for flights and upgrades on American and other air carriers, as well as redemption of car and hotel awards, club memberships and merchandise. Approximately 8% of our 2023 total revenue passenger miles flown were from award travel.</w:t>
      </w:r>
    </w:p>
    <w:p>
      <w:pPr>
        <w:spacing w:after="0" w:line="116"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 “</w:t>
      </w:r>
      <w:r>
        <w:rPr>
          <w:rFonts w:ascii="Arial" w:cs="Arial" w:eastAsia="Arial" w:hAnsi="Arial"/>
          <w:sz w:val="18"/>
          <w:szCs w:val="18"/>
          <w:i w:val="1"/>
          <w:iCs w:val="1"/>
          <w:color w:val="auto"/>
        </w:rPr>
        <w:t>Critical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 and Estimate</w:t>
      </w:r>
      <w:r>
        <w:rPr>
          <w:rFonts w:ascii="Arial" w:cs="Arial" w:eastAsia="Arial" w:hAnsi="Arial"/>
          <w:sz w:val="18"/>
          <w:szCs w:val="18"/>
          <w:color w:val="auto"/>
        </w:rPr>
        <w:t>s” for more information on our loyalty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Competition</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Domestic</w:t>
      </w:r>
    </w:p>
    <w:p>
      <w:pPr>
        <w:spacing w:after="0" w:line="88"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The markets in which we operate are highly competitive. On most of our domestic nonstop routes, we face competing service from other domestic airlines, including major network airlines, low-cost carriers and ultra-low-cost carriers such as Alaska Airlines, Allegiant Air, Delta Air Lines, Frontier Airlines, Hawaiian Airlines, JetBlue, Southwest Airlines, Spirit Airlines and United Airlines. Between cities that require a connection, where the major airlines compete via their respective hubs, competition is significant. In addition, we face competition on some of our connecting routes from airlines operating point-to-point service on such routes. We also compete with all-cargo and charter airlines and, particularly on shorter segments, ground and rail transportation.</w:t>
      </w:r>
    </w:p>
    <w:p>
      <w:pPr>
        <w:spacing w:after="0" w:line="126"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 xml:space="preserve">In general, beyond nonstop city pairs, carriers that have the greatest ability to seamlessly connect passengers to and from markets have a competitive advantage. In some cases, however, foreign governments limit U.S. air carriers’ rights to transport passengers beyond designated gateway cities in foreign countries. In order to improve access to domestic and foreign markets, we have arrangements with other airlines including through the </w:t>
      </w:r>
      <w:r>
        <w:rPr>
          <w:rFonts w:ascii="Arial" w:cs="Arial" w:eastAsia="Arial" w:hAnsi="Arial"/>
          <w:sz w:val="18"/>
          <w:szCs w:val="18"/>
          <w:b w:val="1"/>
          <w:bCs w:val="1"/>
          <w:color w:val="auto"/>
        </w:rPr>
        <w:t>one</w:t>
      </w:r>
      <w:r>
        <w:rPr>
          <w:rFonts w:ascii="Arial" w:cs="Arial" w:eastAsia="Arial" w:hAnsi="Arial"/>
          <w:sz w:val="18"/>
          <w:szCs w:val="18"/>
          <w:color w:val="auto"/>
        </w:rPr>
        <w:t>world Alliance, other cooperation agreements, joint business agreements and marketing relationships, as further discussed herein.</w:t>
      </w:r>
    </w:p>
    <w:p>
      <w:pPr>
        <w:spacing w:after="0" w:line="124"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On all of our routes, pricing decisions are affected, in large part, by the need to meet competition from other airlines. Price competition occurs on a market-by-market basis through price discounts, changes in pricing structures, fare matching, targeted promotions and loyalty program initiatives. Airlines typically use discounted fares and other promotions to stimulate traffic during normally weak travel periods, when they begin service to new cities, when they have excess capacity, to generate cash flow, to maximize revenue per available seat mile or to establish, increase or preserve market share. Most airlines will quickly match price reductions in a particular market, and we have often elected to match discounted or promotional fares initiated by other air carriers in certain markets in order to compete in those markets. In addition, we face pricing pressures from so-called ultra-low-cost carriers, such as Allegiant Air, Frontier Airlines and Spirit Airlines, which compete in many of the markets in which we operate, with competition from these carriers increasing and new entrants regularly announcing their intention to start up new ultra-low-cost carriers.</w:t>
      </w:r>
    </w:p>
    <w:p>
      <w:pPr>
        <w:spacing w:after="0" w:line="132"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In addition to price competition, airlines compete for market share by increasing the size of their route system and the number of markets they serve. The American Eagle regional carriers increase the number of markets we serve by flying to smaller markets and providing connections at our hubs. Many of our competitors also own or have agreements with regional airlines that provide similar services at their hubs and other locations. We also compete on the basis of scheduling (frequency and flight times), availability of nonstop flights, on-time performance, type of equipment, cabin configuration, amenities provided to passengers, loyalty programs, the automation of travel agent reservation systems, onboard products, health and safety, sustainability initiatives and other services.</w:t>
      </w:r>
    </w:p>
    <w:p>
      <w:pPr>
        <w:sectPr>
          <w:pgSz w:w="11900" w:h="16838" w:orient="portrait"/>
          <w:cols w:equalWidth="0" w:num="1">
            <w:col w:w="11240"/>
          </w:cols>
          <w:pgMar w:left="320" w:top="363"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International</w:t>
      </w:r>
    </w:p>
    <w:p>
      <w:pPr>
        <w:spacing w:after="0" w:line="88"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In addition to our extensive domestic service, we provide international service to Canada, Mexico, the Caribbean, Central and South America, Europe, Qatar, China, Japan, Korea, India, Australia and New Zealand. In providing international air transportation, we compete with other U.S. airlines, foreign investor-owned airlines and foreign state-owned or state-affiliated airlines. Competition has also been increasing from low-cost airlines executing international long-haul expansion strategies, a trend we expect to continue, in particular with the planned introduction of long-range narrowbody aircraft in the coming years.</w:t>
      </w:r>
    </w:p>
    <w:p>
      <w:pPr>
        <w:spacing w:after="0" w:line="124"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In order to increase our ability to compete in the market for international air transportation service, which is subject to extensive government regulation, U.S. and foreign carriers have entered into bilateral and multilateral marketing relationships, alliances, cooperation agreements and joint business agreements to exchange traffic among each other’s flights and route networks. See “</w:t>
      </w:r>
      <w:r>
        <w:rPr>
          <w:rFonts w:ascii="Arial" w:cs="Arial" w:eastAsia="Arial" w:hAnsi="Arial"/>
          <w:sz w:val="18"/>
          <w:szCs w:val="18"/>
          <w:i w:val="1"/>
          <w:iCs w:val="1"/>
          <w:color w:val="auto"/>
        </w:rPr>
        <w:t>Distribution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Marketing Agreements</w:t>
      </w:r>
      <w:r>
        <w:rPr>
          <w:rFonts w:ascii="Arial" w:cs="Arial" w:eastAsia="Arial" w:hAnsi="Arial"/>
          <w:sz w:val="18"/>
          <w:szCs w:val="18"/>
          <w:color w:val="auto"/>
        </w:rPr>
        <w:t>” above for further discussion.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90"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Operating a sustainable business that has the ability to serve our stakeholders over the long-term is an important part of our strategy. We have increased our focus over time on a number of elements that we view as important to build a more sustainable company, including those described below.</w:t>
      </w:r>
    </w:p>
    <w:p>
      <w:pPr>
        <w:spacing w:after="0" w:line="116"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We have received recognition for our progress toward our sustainability goals. American was named the 2023 Air Transport World Eco-Airline of the Year, and in 2023 we were named to the Dow Jones Sustainability World Index for the first time, one of only two passenger airlines included in the index. We also returned to the Dow Jones Sustainability North America Index in 2023 for the third year in a row.</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Climate</w:t>
      </w:r>
    </w:p>
    <w:p>
      <w:pPr>
        <w:spacing w:after="0" w:line="8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We recognize the challenge of climate change and have set ambitious goals to transition to operating a low-carbon airline over time. Our aim is to achieve net zero GHG emissions by 2050, and we have set an intermediate target to drive progress toward that goal. We have received validation from the Science Based Targets initiative (SBTi) that our 2035 GHG reduction target complies with the criteria in the SBTi’s first aviation pathway.</w:t>
      </w:r>
    </w:p>
    <w:p>
      <w:pPr>
        <w:spacing w:after="0" w:line="121"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The vast majority of our direct GHG emissions comes from the use of jet fuel in our operations. Our current strategy for reaching net zero GHG emissions by 2050 is focused on running a more fuel-efficient operation, with more fuel-efficient aircraft, powered by low-carbon fuel. To do so, we are working to drive progress across several key levers, including:</w:t>
      </w:r>
    </w:p>
    <w:p>
      <w:pPr>
        <w:spacing w:after="0" w:line="116" w:lineRule="exact"/>
        <w:rPr>
          <w:sz w:val="20"/>
          <w:szCs w:val="20"/>
          <w:color w:val="auto"/>
        </w:rPr>
      </w:pPr>
    </w:p>
    <w:p>
      <w:pPr>
        <w:ind w:left="1300" w:hanging="645"/>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Continuing to replace older, less fuel-efficient aircraft with new, more efficient aircraft over time;</w:t>
      </w:r>
    </w:p>
    <w:p>
      <w:pPr>
        <w:spacing w:after="0" w:line="170" w:lineRule="exact"/>
        <w:rPr>
          <w:rFonts w:ascii="Arial" w:cs="Arial" w:eastAsia="Arial" w:hAnsi="Arial"/>
          <w:sz w:val="18"/>
          <w:szCs w:val="18"/>
          <w:color w:val="auto"/>
        </w:rPr>
      </w:pPr>
    </w:p>
    <w:p>
      <w:pPr>
        <w:jc w:val="both"/>
        <w:ind w:left="1300" w:hanging="645"/>
        <w:spacing w:after="0" w:line="262"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Helping scale the production of sustainable aviation fuel (SAF) with the aim of transitioning to lower-carbon fuels. Currently, SAF is not available at the cost or scale necessary to meet our industry’s needs. We continue to enter into agreements to purchase SAF as part of our goal to replace 10% of our conventional jet fuel with SAF in 2030 and to encourage investment in SAF; and</w:t>
      </w:r>
    </w:p>
    <w:p>
      <w:pPr>
        <w:spacing w:after="0" w:line="120" w:lineRule="exact"/>
        <w:rPr>
          <w:rFonts w:ascii="Arial" w:cs="Arial" w:eastAsia="Arial" w:hAnsi="Arial"/>
          <w:sz w:val="18"/>
          <w:szCs w:val="18"/>
          <w:color w:val="auto"/>
        </w:rPr>
      </w:pPr>
    </w:p>
    <w:p>
      <w:pPr>
        <w:jc w:val="both"/>
        <w:ind w:left="1300" w:hanging="645"/>
        <w:spacing w:after="0" w:line="262"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Evaluating and investing in innovations that may enable commercial aircraft to be powered by low- and no-carbon fuel sources over the long term. For example, we have made direct investments in companies working to develop hydrogen-electric propulsion technology and green hydrogen distribution. We are also an anchor partner of Breakthrough Energy Catalyst, which aims to make investments to accelerate the development of new clean energy technologies, including SAF.</w:t>
      </w:r>
    </w:p>
    <w:p>
      <w:pPr>
        <w:spacing w:after="0" w:line="121"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Achieving our ambitious goals will require significant action and investments by governments, manufacturers and other stakeholders. We are committed to engaging with our stakeholders to seek to advance these initiatives, and we have dedicated resources to advance our own progress. Our Board and Corporate Governance and Public Responsibility Committee receive updates on our climate strategy, progress and key risks regularly. Our Chief Executive Officer is responsible for oversight of our climate change strategy.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Safety</w:t>
      </w:r>
    </w:p>
    <w:p>
      <w:pPr>
        <w:spacing w:after="0" w:line="88"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The safety of our customers and team members is a top priority. Our approach to safety is guided by our FAA-approved safety management systems (SMS), an organization-wide approach to identifying and managing risk. Each SMS is comprised of four components: Safety Policy, Safety Assurance, Safety Risk Management and Safety Promotion. Our Safety Policy sets safety objectives while striving to comply with applicable regulatory requirements and laws in the countries where we operate and establishing standards for acceptable operational behaviors.</w:t>
      </w:r>
    </w:p>
    <w:p>
      <w:pPr>
        <w:spacing w:after="0" w:line="124"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The Safety Assurance component of our SMS specifies how we use data and conduct quality assurance and internal oversight to validate the effectiveness of risk controls and the performance of the SMS. The Safety Risk Management (SRM) element of our SMS provides a decision-making process for identifying hazards and mitigating risk based on a thorough understanding of our systems and their operating environment. We employ SRM whenever there is a significant change to our operations, such as the delivery of new aircraft. Lastly, the Safety Promotion component includes training and raising awareness among team members so that they can spot potential safety events.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Customers</w:t>
      </w:r>
    </w:p>
    <w:p>
      <w:pPr>
        <w:spacing w:after="0" w:line="88"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We fly to close to 350 destinations in the United States and internationally, and we are committed to providing our customers with a world-class travel experience. We continued to rigorously measure and track customer satisfaction through passenger surveys in 2023, efforts that led to further improvements in our operations and the services we provide. In 2023, we achieved our best-ever full year completion factor, with the lowest number of cancellations annually since the 2013 merger with US Airways Group, Inc., which led to a record Likelihood to Recommend score for the full year. Additionally in 2023, we were recognized for the sixth consecutive year with the prestigious Five Star rating in The APEX Official Airline Ratings – Global Airline category. This rating is based on verified customer feedback on the overall travel experience.</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People</w:t>
      </w:r>
    </w:p>
    <w:p>
      <w:pPr>
        <w:spacing w:after="0" w:line="88"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The airline business is labor intensive, and our team members are critical to delivering for our customers. The operational complexity of our business requires a diverse team of personnel trained and experienced in a variety of technical areas such as flight operations, ground operations, safety and maintenance, customer service and airline scheduling and planning. Fostering a culture where our team members feel supported to take care of our customers is critical to our success. To do this, we must continue to build a diverse and inclusive environment, helping all team members reach their full potential and providing them with the right resources and support.</w:t>
      </w:r>
    </w:p>
    <w:p>
      <w:pPr>
        <w:spacing w:after="0" w:line="12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2023, mainline and regional salaries, wages and benefits were our largest expense and represented 34% of our total operating expenses. As of December 31, 2023, we had approximately 132,100 active full-time equivalent employees, approximately 87% of whom were represented by various labor unions responsible for negotiating the collective bargaining agreements (CBAs) governing their compensation and job duties, among other things.</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Talent Development</w:t>
      </w:r>
    </w:p>
    <w:p>
      <w:pPr>
        <w:spacing w:after="0" w:line="8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We focus on providing our team members the tools, training and resources they need to do their best work. We maintain a suite of programs aimed at helping our people develop the skills and experience they need to succeed in their roles and build rewarding, long-term careers within our company. Additionally, we have partnered with leading online learning platforms to make professional development available on-demand to all of our team members.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Diversity, Equity and Inclusion</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Cultivating an environment that celebrates diversity, equity and inclusion (DEI) is a priority for us, and we seek to create a workplace where diverse perspectives and experiences are welcomed and encouraged, where team members feel comfortable to be their authentic selves and where we are always learning from one another. Our goal is to make culture a competitive advantage so people will want to work with us, fly with us and invest in us. We are implementing a multiyear strategy focused on embedding DEI throughout our company by:</w:t>
      </w:r>
    </w:p>
    <w:p>
      <w:pPr>
        <w:spacing w:after="0" w:line="121" w:lineRule="exact"/>
        <w:rPr>
          <w:sz w:val="20"/>
          <w:szCs w:val="20"/>
          <w:color w:val="auto"/>
        </w:rPr>
      </w:pPr>
    </w:p>
    <w:p>
      <w:pPr>
        <w:ind w:left="1300" w:hanging="64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Hiring, engaging and retaining talent for growth;</w:t>
      </w:r>
    </w:p>
    <w:p>
      <w:pPr>
        <w:spacing w:after="0" w:line="170" w:lineRule="exact"/>
        <w:rPr>
          <w:rFonts w:ascii="Arial" w:cs="Arial" w:eastAsia="Arial" w:hAnsi="Arial"/>
          <w:sz w:val="18"/>
          <w:szCs w:val="18"/>
          <w:color w:val="auto"/>
        </w:rPr>
      </w:pPr>
    </w:p>
    <w:p>
      <w:pPr>
        <w:ind w:left="1300" w:hanging="64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Delivering excellence in our operations to serve and expand our global markets;</w:t>
      </w:r>
    </w:p>
    <w:p>
      <w:pPr>
        <w:spacing w:after="0" w:line="170" w:lineRule="exact"/>
        <w:rPr>
          <w:rFonts w:ascii="Arial" w:cs="Arial" w:eastAsia="Arial" w:hAnsi="Arial"/>
          <w:sz w:val="18"/>
          <w:szCs w:val="18"/>
          <w:color w:val="auto"/>
        </w:rPr>
      </w:pPr>
    </w:p>
    <w:p>
      <w:pPr>
        <w:ind w:left="1300" w:hanging="64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Striving to have our teams effectively serve the communities we represent; and</w:t>
      </w:r>
    </w:p>
    <w:p>
      <w:pPr>
        <w:spacing w:after="0" w:line="170" w:lineRule="exact"/>
        <w:rPr>
          <w:rFonts w:ascii="Arial" w:cs="Arial" w:eastAsia="Arial" w:hAnsi="Arial"/>
          <w:sz w:val="18"/>
          <w:szCs w:val="18"/>
          <w:color w:val="auto"/>
        </w:rPr>
      </w:pPr>
    </w:p>
    <w:p>
      <w:pPr>
        <w:ind w:left="1300" w:hanging="645"/>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Driving innovation to build competitive advantages.</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In 2023, we received a perfect score on the Disability Equality Index for the eighth consecutive year and were named one of the best places to work for disability inclusion. We also received a top score of 100 on the Human Rights Campaign Foundation’s 2023-2024 Corporate Equality Index, an assessment of LGBTQ+ workplace equality.</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Competitive Pay and Comprehensive Benefits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seek to offer competitive pay, comprehensive benefits and a wide variety of resources designed to support the physical, behavioral and financial well-being of our team members and their families, including medical coverage that is intended to be affordable and flexible along with healthcare navigation and support tools.</w:t>
      </w:r>
    </w:p>
    <w:p>
      <w:pPr>
        <w:spacing w:after="0" w:line="11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internal recognition programs give team members and customers the opportunity to show their appreciation for a job well done, including through our Nonstop Thanks program whereby team members can award each other points for exceptional service or as an expression of gratitude. Recognition points earned through the recognition program can be redeemed for items in an online catalog. In 2023, our team members were recognized by customers, peers and company leaders approximately three million times and more than 1,600 peer nominations were submitted for the annual Circle of Excellence, the highest honor that we bestow upon our team members for their career achievements.</w:t>
      </w:r>
    </w:p>
    <w:p>
      <w:pPr>
        <w:spacing w:after="0" w:line="12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 xml:space="preserve">Our future success depends in large part on our ability to attract, develop and retain highly qualified management, technical and other personnel. Retaining and recruiting people with the appropriate skills became particularly challenging as the economy in general, and the airline industry in particular, recovered from the COVID-19 pandemic, and there remains intense competition for the human resources necessary to operate our business successfully. Like many other airlines, we have experienced and continue to experience periodic shortages of frontline team members as a result. For more discussion, see Part I, Item 1A. Risk Factors – </w:t>
      </w:r>
      <w:r>
        <w:rPr>
          <w:rFonts w:ascii="Arial" w:cs="Arial" w:eastAsia="Arial" w:hAnsi="Arial"/>
          <w:sz w:val="18"/>
          <w:szCs w:val="18"/>
          <w:i w:val="1"/>
          <w:iCs w:val="1"/>
          <w:color w:val="auto"/>
        </w:rPr>
        <w:t>“The loss of key personnel upon</w:t>
      </w:r>
      <w:r>
        <w:rPr>
          <w:rFonts w:ascii="Arial" w:cs="Arial" w:eastAsia="Arial" w:hAnsi="Arial"/>
          <w:sz w:val="18"/>
          <w:szCs w:val="18"/>
          <w:color w:val="auto"/>
        </w:rPr>
        <w:t xml:space="preserve"> </w:t>
      </w:r>
      <w:r>
        <w:rPr>
          <w:rFonts w:ascii="Arial" w:cs="Arial" w:eastAsia="Arial" w:hAnsi="Arial"/>
          <w:sz w:val="18"/>
          <w:szCs w:val="18"/>
          <w:i w:val="1"/>
          <w:iCs w:val="1"/>
          <w:color w:val="auto"/>
        </w:rPr>
        <w:t>whom we depend to operate our business or the inability to attract, develop and retain additional qualified personnel could adversely affect our business.”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Labor Relations</w:t>
      </w:r>
    </w:p>
    <w:p>
      <w:pPr>
        <w:spacing w:after="0" w:line="88" w:lineRule="exact"/>
        <w:rPr>
          <w:sz w:val="20"/>
          <w:szCs w:val="20"/>
          <w:color w:val="auto"/>
        </w:rPr>
      </w:pPr>
    </w:p>
    <w:p>
      <w:pPr>
        <w:jc w:val="both"/>
        <w:ind w:right="20" w:firstLine="202"/>
        <w:spacing w:after="0" w:line="286" w:lineRule="auto"/>
        <w:rPr>
          <w:sz w:val="20"/>
          <w:szCs w:val="20"/>
          <w:color w:val="auto"/>
        </w:rPr>
      </w:pPr>
      <w:r>
        <w:rPr>
          <w:rFonts w:ascii="Arial" w:cs="Arial" w:eastAsia="Arial" w:hAnsi="Arial"/>
          <w:sz w:val="18"/>
          <w:szCs w:val="18"/>
          <w:color w:val="auto"/>
        </w:rPr>
        <w:t>Labor relations in the air transportation industry are regulated under the Railway Labor Act (RLA), which vests in the National Mediation Board (NMB) certain functions with respect to disputes between airlines and labor unions relating to union representation and CBAs.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shows our domestic airline employee groups that are represented by unions: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Union</w:t>
            </w:r>
          </w:p>
        </w:tc>
        <w:tc>
          <w:tcPr>
            <w:tcW w:w="2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Class or Craft</w:t>
            </w: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xml:space="preserve">Employees </w:t>
            </w:r>
            <w:r>
              <w:rPr>
                <w:rFonts w:ascii="Arial" w:cs="Arial" w:eastAsia="Arial" w:hAnsi="Arial"/>
                <w:sz w:val="18"/>
                <w:szCs w:val="18"/>
                <w:b w:val="1"/>
                <w:bCs w:val="1"/>
                <w:color w:val="auto"/>
                <w:vertAlign w:val="superscript"/>
              </w:rPr>
              <w:t>(1)</w:t>
            </w:r>
          </w:p>
        </w:tc>
        <w:tc>
          <w:tcPr>
            <w:tcW w:w="1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Contract</w:t>
            </w:r>
          </w:p>
        </w:tc>
        <w:tc>
          <w:tcPr>
            <w:tcW w:w="0" w:type="dxa"/>
            <w:vAlign w:val="bottom"/>
          </w:tcPr>
          <w:p>
            <w:pPr>
              <w:spacing w:after="0"/>
              <w:rPr>
                <w:sz w:val="1"/>
                <w:szCs w:val="1"/>
                <w:color w:val="auto"/>
              </w:rPr>
            </w:pPr>
          </w:p>
        </w:tc>
      </w:tr>
      <w:tr>
        <w:trPr>
          <w:trHeight w:val="189"/>
        </w:trPr>
        <w:tc>
          <w:tcPr>
            <w:tcW w:w="5220" w:type="dxa"/>
            <w:vAlign w:val="bottom"/>
            <w:gridSpan w:val="2"/>
            <w:vMerge w:val="continue"/>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Amendable Date</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Mainline:</w:t>
            </w: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Allied Pilots Association (APA)</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Pilots</w:t>
            </w:r>
          </w:p>
        </w:tc>
        <w:tc>
          <w:tcPr>
            <w:tcW w:w="1340" w:type="dxa"/>
            <w:vAlign w:val="bottom"/>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Association of Professional Flight Attendants (APFA)</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Flight Attendants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Airline Customer Service Employee Association –</w:t>
            </w:r>
          </w:p>
        </w:tc>
        <w:tc>
          <w:tcPr>
            <w:tcW w:w="28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Passenger Service</w:t>
            </w:r>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14,650</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9"/>
              </w:rPr>
              <w:t>2029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2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Communications Workers of America and International</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Brotherhood of Teamsters (CWA-IBT)</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522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8"/>
                <w:szCs w:val="18"/>
                <w:color w:val="auto"/>
              </w:rPr>
              <w:t>Transport Workers Union and International Association of</w:t>
            </w:r>
          </w:p>
        </w:tc>
        <w:tc>
          <w:tcPr>
            <w:tcW w:w="288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8"/>
                <w:szCs w:val="18"/>
                <w:color w:val="auto"/>
              </w:rPr>
              <w:t>Mechanics and Related</w:t>
            </w:r>
          </w:p>
        </w:tc>
        <w:tc>
          <w:tcPr>
            <w:tcW w:w="1340" w:type="dxa"/>
            <w:vAlign w:val="bottom"/>
            <w:shd w:val="clear" w:color="auto" w:fill="CCEEFF"/>
          </w:tcPr>
          <w:p>
            <w:pPr>
              <w:jc w:val="right"/>
              <w:spacing w:after="0" w:line="177" w:lineRule="exact"/>
              <w:rPr>
                <w:sz w:val="20"/>
                <w:szCs w:val="20"/>
                <w:color w:val="auto"/>
              </w:rPr>
            </w:pPr>
            <w:r>
              <w:rPr>
                <w:rFonts w:ascii="Arial" w:cs="Arial" w:eastAsia="Arial" w:hAnsi="Arial"/>
                <w:sz w:val="18"/>
                <w:szCs w:val="18"/>
                <w:color w:val="auto"/>
              </w:rPr>
              <w:t>12,350</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w w:val="99"/>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Machinists &amp; Aerospace Workers (TWU-IAM Association)</w:t>
            </w:r>
          </w:p>
        </w:tc>
        <w:tc>
          <w:tcPr>
            <w:tcW w:w="2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TWU-IAM Association</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Fleet Service</w:t>
            </w:r>
          </w:p>
        </w:tc>
        <w:tc>
          <w:tcPr>
            <w:tcW w:w="1340" w:type="dxa"/>
            <w:vAlign w:val="bottom"/>
          </w:tcPr>
          <w:p>
            <w:pPr>
              <w:jc w:val="right"/>
              <w:spacing w:after="0"/>
              <w:rPr>
                <w:sz w:val="20"/>
                <w:szCs w:val="20"/>
                <w:color w:val="auto"/>
              </w:rPr>
            </w:pPr>
            <w:r>
              <w:rPr>
                <w:rFonts w:ascii="Arial" w:cs="Arial" w:eastAsia="Arial" w:hAnsi="Arial"/>
                <w:sz w:val="18"/>
                <w:szCs w:val="18"/>
                <w:color w:val="auto"/>
              </w:rPr>
              <w:t>19,100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TWU-IAM Association</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Clerks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TWU-IAM Association</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Flight Simulator Engineers</w:t>
            </w:r>
          </w:p>
        </w:tc>
        <w:tc>
          <w:tcPr>
            <w:tcW w:w="13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TWU-IAM Association</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Maintenance Control Technicians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TWU-IAM Association</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Maintenance Training Instructors</w:t>
            </w: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Airline Flight Control Association (PAFCA)</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Dispatchers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Transport Workers Union (TWU)</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Flight Crew Training Instructors</w:t>
            </w:r>
          </w:p>
        </w:tc>
        <w:tc>
          <w:tcPr>
            <w:tcW w:w="134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3"/>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Pr>
          <w:p>
            <w:pPr>
              <w:ind w:left="3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Union</w:t>
            </w:r>
          </w:p>
        </w:tc>
        <w:tc>
          <w:tcPr>
            <w:tcW w:w="2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Class or Craft</w:t>
            </w: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xml:space="preserve">Employees </w:t>
            </w:r>
            <w:r>
              <w:rPr>
                <w:rFonts w:ascii="Arial" w:cs="Arial" w:eastAsia="Arial" w:hAnsi="Arial"/>
                <w:sz w:val="18"/>
                <w:szCs w:val="18"/>
                <w:b w:val="1"/>
                <w:bCs w:val="1"/>
                <w:color w:val="auto"/>
                <w:vertAlign w:val="superscript"/>
              </w:rPr>
              <w:t>(1)</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Contract</w:t>
            </w:r>
          </w:p>
        </w:tc>
        <w:tc>
          <w:tcPr>
            <w:tcW w:w="0" w:type="dxa"/>
            <w:vAlign w:val="bottom"/>
          </w:tcPr>
          <w:p>
            <w:pPr>
              <w:spacing w:after="0"/>
              <w:rPr>
                <w:sz w:val="1"/>
                <w:szCs w:val="1"/>
                <w:color w:val="auto"/>
              </w:rPr>
            </w:pPr>
          </w:p>
        </w:tc>
      </w:tr>
      <w:tr>
        <w:trPr>
          <w:trHeight w:val="189"/>
        </w:trPr>
        <w:tc>
          <w:tcPr>
            <w:tcW w:w="5220" w:type="dxa"/>
            <w:vAlign w:val="bottom"/>
            <w:gridSpan w:val="2"/>
            <w:vMerge w:val="continue"/>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Amendable Date</w:t>
            </w:r>
          </w:p>
        </w:tc>
        <w:tc>
          <w:tcPr>
            <w:tcW w:w="0" w:type="dxa"/>
            <w:vAlign w:val="bottom"/>
          </w:tcPr>
          <w:p>
            <w:pPr>
              <w:spacing w:after="0"/>
              <w:rPr>
                <w:sz w:val="1"/>
                <w:szCs w:val="1"/>
                <w:color w:val="auto"/>
              </w:rPr>
            </w:pPr>
          </w:p>
        </w:tc>
      </w:tr>
      <w:tr>
        <w:trPr>
          <w:trHeight w:val="223"/>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Envoy:</w:t>
            </w: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Air Line Pilots Associations (ALPA)</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Pilots</w:t>
            </w:r>
          </w:p>
        </w:tc>
        <w:tc>
          <w:tcPr>
            <w:tcW w:w="1340" w:type="dxa"/>
            <w:vAlign w:val="bottom"/>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2029</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Association of Flight Attendants-CWA (AFA)</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Flight Attendants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TWU</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Ground School Instructors</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2027</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TWU</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Mechanics and Related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2027</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TWU</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Stock Clerks</w:t>
            </w:r>
          </w:p>
        </w:tc>
        <w:tc>
          <w:tcPr>
            <w:tcW w:w="13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2027</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TWU</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Simulator Instructors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TWU</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Fleet Service</w:t>
            </w:r>
          </w:p>
        </w:tc>
        <w:tc>
          <w:tcPr>
            <w:tcW w:w="1340" w:type="dxa"/>
            <w:vAlign w:val="bottom"/>
          </w:tcPr>
          <w:p>
            <w:pPr>
              <w:jc w:val="right"/>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TWU</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Dispatchers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Communications Workers of America (CWA)</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Passenger Service</w:t>
            </w:r>
          </w:p>
        </w:tc>
        <w:tc>
          <w:tcPr>
            <w:tcW w:w="134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Piedmont:</w:t>
            </w:r>
          </w:p>
        </w:tc>
        <w:tc>
          <w:tcPr>
            <w:tcW w:w="2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ALPA</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Pilots</w:t>
            </w:r>
          </w:p>
        </w:tc>
        <w:tc>
          <w:tcPr>
            <w:tcW w:w="134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2029</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AFA</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Flight Attendants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International Brotherhood of Teamsters (IBT)</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Mechanics and Related</w:t>
            </w:r>
          </w:p>
        </w:tc>
        <w:tc>
          <w:tcPr>
            <w:tcW w:w="134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IBT</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Clerks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2026</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CWA</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Fleet and Passenger Service</w:t>
            </w:r>
          </w:p>
        </w:tc>
        <w:tc>
          <w:tcPr>
            <w:tcW w:w="1340" w:type="dxa"/>
            <w:vAlign w:val="bottom"/>
          </w:tcPr>
          <w:p>
            <w:pPr>
              <w:jc w:val="right"/>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IBT</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Dispatchers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2025</w:t>
            </w: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ALPA</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Flight Crew Training Instructors</w:t>
            </w: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2029</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PSA:</w:t>
            </w:r>
          </w:p>
        </w:tc>
        <w:tc>
          <w:tcPr>
            <w:tcW w:w="2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ALPA</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Pilots</w:t>
            </w:r>
          </w:p>
        </w:tc>
        <w:tc>
          <w:tcPr>
            <w:tcW w:w="13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r>
        <w:trPr>
          <w:trHeight w:val="229"/>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AFA</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Flight Attendants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175"/>
        </w:trPr>
        <w:tc>
          <w:tcPr>
            <w:tcW w:w="5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International Association of Machinists &amp; Aerospace Workers</w:t>
            </w:r>
          </w:p>
        </w:tc>
        <w:tc>
          <w:tcPr>
            <w:tcW w:w="28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Mechanics and Related</w:t>
            </w:r>
          </w:p>
        </w:tc>
        <w:tc>
          <w:tcPr>
            <w:tcW w:w="1340" w:type="dxa"/>
            <w:vAlign w:val="bottom"/>
          </w:tcPr>
          <w:p>
            <w:pPr>
              <w:jc w:val="right"/>
              <w:spacing w:after="0" w:line="176" w:lineRule="exact"/>
              <w:rPr>
                <w:sz w:val="20"/>
                <w:szCs w:val="20"/>
                <w:color w:val="auto"/>
              </w:rPr>
            </w:pPr>
            <w:r>
              <w:rPr>
                <w:rFonts w:ascii="Arial" w:cs="Arial" w:eastAsia="Arial" w:hAnsi="Arial"/>
                <w:sz w:val="18"/>
                <w:szCs w:val="18"/>
                <w:color w:val="auto"/>
              </w:rPr>
              <w:t>680</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Arial" w:cs="Arial" w:eastAsia="Arial" w:hAnsi="Arial"/>
                <w:sz w:val="18"/>
                <w:szCs w:val="18"/>
                <w:color w:val="auto"/>
                <w:w w:val="99"/>
              </w:rPr>
              <w:t>2027</w:t>
            </w:r>
          </w:p>
        </w:tc>
        <w:tc>
          <w:tcPr>
            <w:tcW w:w="0" w:type="dxa"/>
            <w:vAlign w:val="bottom"/>
          </w:tcPr>
          <w:p>
            <w:pPr>
              <w:spacing w:after="0"/>
              <w:rPr>
                <w:sz w:val="1"/>
                <w:szCs w:val="1"/>
                <w:color w:val="auto"/>
              </w:rPr>
            </w:pPr>
          </w:p>
        </w:tc>
      </w:tr>
      <w:tr>
        <w:trPr>
          <w:trHeight w:val="241"/>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(IAM)</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TWU</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Dispatchers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39"/>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ALPA</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Flight Crew Training Instructors</w:t>
            </w:r>
          </w:p>
        </w:tc>
        <w:tc>
          <w:tcPr>
            <w:tcW w:w="13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3100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196"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Represents approximate number of active employees as of December 31, 2023.</w:t>
      </w:r>
    </w:p>
    <w:p>
      <w:pPr>
        <w:spacing w:after="0" w:line="13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2023, a new four-year CBA was ratified by the APA, the union representing our mainline pilots. Additionally, in January 2024, a new five-year CBA was ratified by the CWA-IBT, which is amendable in 2029. The CBA covering our mainline flight attendants is now amendable and negotiations continue. Among our wholly-owned regional subsidiaries, Piedmont fleet and passenger service and PSA flight attendants have agreements that are now amendable and are engaged in negotiations.</w:t>
      </w:r>
    </w:p>
    <w:p>
      <w:pPr>
        <w:spacing w:after="0" w:line="1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For more discussion, see Part I, Item 1A. Risk Factors – “</w:t>
      </w:r>
      <w:r>
        <w:rPr>
          <w:rFonts w:ascii="Arial" w:cs="Arial" w:eastAsia="Arial" w:hAnsi="Arial"/>
          <w:sz w:val="18"/>
          <w:szCs w:val="18"/>
          <w:i w:val="1"/>
          <w:iCs w:val="1"/>
          <w:color w:val="auto"/>
        </w:rPr>
        <w:t>Union disputes, employee strikes and other labor-related disruptions may</w:t>
      </w:r>
      <w:r>
        <w:rPr>
          <w:rFonts w:ascii="Arial" w:cs="Arial" w:eastAsia="Arial" w:hAnsi="Arial"/>
          <w:sz w:val="18"/>
          <w:szCs w:val="18"/>
          <w:color w:val="auto"/>
        </w:rPr>
        <w:t xml:space="preserve"> </w:t>
      </w:r>
      <w:r>
        <w:rPr>
          <w:rFonts w:ascii="Arial" w:cs="Arial" w:eastAsia="Arial" w:hAnsi="Arial"/>
          <w:sz w:val="18"/>
          <w:szCs w:val="18"/>
          <w:i w:val="1"/>
          <w:iCs w:val="1"/>
          <w:color w:val="auto"/>
        </w:rPr>
        <w:t>adversely affect our operations and financial performance</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Fuel</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operations and financial results are materially affected by the availability and price of aircraft fuel, which represents one of the largest single cost items in our business. Based on our 2024 forecasted mainline and regional fuel consumption, we estimate that a one cent per gallon increase in the price of aircraft fuel would increase our 2024 annual fuel expense by approximately $45 million.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following table shows annual aircraft fuel consumption and costs, including taxes, for our mainline and regional operations for 2023 and 2022 (gallons and aircraft fuel expense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Gallons</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Aircraft Fuel</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Percent of 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2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24" w:lineRule="exact"/>
              <w:rPr>
                <w:sz w:val="20"/>
                <w:szCs w:val="20"/>
                <w:color w:val="auto"/>
              </w:rPr>
            </w:pPr>
            <w:r>
              <w:rPr>
                <w:rFonts w:ascii="Arial" w:cs="Arial" w:eastAsia="Arial" w:hAnsi="Arial"/>
                <w:sz w:val="14"/>
                <w:szCs w:val="14"/>
                <w:b w:val="1"/>
                <w:bCs w:val="1"/>
                <w:color w:val="auto"/>
              </w:rPr>
              <w:t>per Gallon</w:t>
            </w:r>
          </w:p>
        </w:tc>
        <w:tc>
          <w:tcPr>
            <w:tcW w:w="1660" w:type="dxa"/>
            <w:vAlign w:val="bottom"/>
            <w:gridSpan w:val="2"/>
          </w:tcPr>
          <w:p>
            <w:pPr>
              <w:jc w:val="center"/>
              <w:ind w:right="100"/>
              <w:spacing w:after="0" w:line="124" w:lineRule="exact"/>
              <w:rPr>
                <w:sz w:val="20"/>
                <w:szCs w:val="20"/>
                <w:color w:val="auto"/>
              </w:rPr>
            </w:pPr>
            <w:r>
              <w:rPr>
                <w:rFonts w:ascii="Arial" w:cs="Arial" w:eastAsia="Arial" w:hAnsi="Arial"/>
                <w:sz w:val="14"/>
                <w:szCs w:val="14"/>
                <w:b w:val="1"/>
                <w:bCs w:val="1"/>
                <w:color w:val="auto"/>
              </w:rPr>
              <w:t>Expense</w:t>
            </w:r>
          </w:p>
        </w:tc>
        <w:tc>
          <w:tcPr>
            <w:tcW w:w="1880" w:type="dxa"/>
            <w:vAlign w:val="bottom"/>
          </w:tcPr>
          <w:p>
            <w:pPr>
              <w:jc w:val="center"/>
              <w:spacing w:after="0" w:line="124" w:lineRule="exact"/>
              <w:rPr>
                <w:sz w:val="20"/>
                <w:szCs w:val="20"/>
                <w:color w:val="auto"/>
              </w:rPr>
            </w:pPr>
            <w:r>
              <w:rPr>
                <w:rFonts w:ascii="Arial" w:cs="Arial" w:eastAsia="Arial" w:hAnsi="Arial"/>
                <w:sz w:val="14"/>
                <w:szCs w:val="14"/>
                <w:b w:val="1"/>
                <w:bCs w:val="1"/>
                <w:color w:val="auto"/>
              </w:rPr>
              <w:t>Operating Expenses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4,140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$12,257</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39"/>
        </w:trPr>
        <w:tc>
          <w:tcPr>
            <w:tcW w:w="4640" w:type="dxa"/>
            <w:vAlign w:val="bottom"/>
            <w:gridSpan w:val="3"/>
          </w:tcPr>
          <w:p>
            <w:pPr>
              <w:ind w:left="20"/>
              <w:spacing w:after="0"/>
              <w:rPr>
                <w:sz w:val="20"/>
                <w:szCs w:val="20"/>
                <w:color w:val="auto"/>
              </w:rPr>
            </w:pPr>
            <w:r>
              <w:rPr>
                <w:rFonts w:ascii="Arial" w:cs="Arial" w:eastAsia="Arial" w:hAnsi="Arial"/>
                <w:sz w:val="18"/>
                <w:szCs w:val="18"/>
                <w:color w:val="auto"/>
              </w:rPr>
              <w:t>2022</w:t>
            </w:r>
          </w:p>
        </w:tc>
        <w:tc>
          <w:tcPr>
            <w:tcW w:w="1300" w:type="dxa"/>
            <w:vAlign w:val="bottom"/>
          </w:tcPr>
          <w:p>
            <w:pPr>
              <w:jc w:val="center"/>
              <w:spacing w:after="0"/>
              <w:rPr>
                <w:sz w:val="20"/>
                <w:szCs w:val="20"/>
                <w:color w:val="auto"/>
              </w:rPr>
            </w:pPr>
            <w:r>
              <w:rPr>
                <w:rFonts w:ascii="Arial" w:cs="Arial" w:eastAsia="Arial" w:hAnsi="Arial"/>
                <w:sz w:val="18"/>
                <w:szCs w:val="18"/>
                <w:color w:val="auto"/>
              </w:rPr>
              <w:t>3,901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7"/>
              </w:rPr>
              <w:t>$3.54</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8"/>
              </w:rPr>
              <w:t>$13,791</w:t>
            </w:r>
          </w:p>
        </w:tc>
        <w:tc>
          <w:tcPr>
            <w:tcW w:w="1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As of December 31, 2023,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aircraft fuel prices.</w:t>
      </w:r>
    </w:p>
    <w:p>
      <w:pPr>
        <w:spacing w:after="0" w:line="121"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Aircraft fuel prices have in the past, and may in the future, experience substantial volatility. We cannot predict the future availability, price volatility or cost of aircraft fuel. For more discussion, see Part I, Item 1A. Risk Factors – “</w:t>
      </w:r>
      <w:r>
        <w:rPr>
          <w:rFonts w:ascii="Arial" w:cs="Arial" w:eastAsia="Arial" w:hAnsi="Arial"/>
          <w:sz w:val="18"/>
          <w:szCs w:val="18"/>
          <w:i w:val="1"/>
          <w:iCs w:val="1"/>
          <w:color w:val="auto"/>
        </w:rPr>
        <w:t>Our business is very dependent on the price and</w:t>
      </w:r>
      <w:r>
        <w:rPr>
          <w:rFonts w:ascii="Arial" w:cs="Arial" w:eastAsia="Arial" w:hAnsi="Arial"/>
          <w:sz w:val="18"/>
          <w:szCs w:val="18"/>
          <w:color w:val="auto"/>
        </w:rPr>
        <w:t xml:space="preserve"> </w:t>
      </w:r>
      <w:r>
        <w:rPr>
          <w:rFonts w:ascii="Arial" w:cs="Arial" w:eastAsia="Arial" w:hAnsi="Arial"/>
          <w:sz w:val="18"/>
          <w:szCs w:val="18"/>
          <w:i w:val="1"/>
          <w:iCs w:val="1"/>
          <w:color w:val="auto"/>
        </w:rPr>
        <w:t>availability of aircraft fuel. Continued periods of high volatility in fuel costs, increased fuel prices or significant disruptions in the supply of aircraft fuel could have a significant negative impact on consumer demand, our operating results and liquidity</w:t>
      </w:r>
      <w:r>
        <w:rPr>
          <w:rFonts w:ascii="Arial" w:cs="Arial" w:eastAsia="Arial" w:hAnsi="Arial"/>
          <w:sz w:val="18"/>
          <w:szCs w:val="18"/>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90"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Due to the greater demand for air travel during the summer months, revenues in the airline industry exhibit seasonal patterns based on the peak travel periods. General economic conditions, fears of terrorism or war, fare initiatives, fluctuations in fuel prices, labor actions, weather, natural disasters, outbreaks of disease, geopolitical factors and other factors could impact this seasonal pattern. Therefore, our quarterly results of operations are not necessarily indicative of operating results for the entire year, and historical operating results in a quarterly or annual period are not necessarily indicative of future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and Global Regulatory Landscape</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w:t>
      </w:r>
    </w:p>
    <w:p>
      <w:pPr>
        <w:spacing w:after="0" w:line="88"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8"/>
          <w:szCs w:val="18"/>
          <w:color w:val="auto"/>
        </w:rPr>
        <w:t>Airlines are subject to extensive domestic and international regulatory requirements. Domestically, the DOT and the Federal Aviation Administration (FAA) exercise significant regulatory authority over air carriers.</w:t>
      </w:r>
    </w:p>
    <w:p>
      <w:pPr>
        <w:spacing w:after="0" w:line="100"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The DOT, among other things, oversees and regulates domestic and international codeshare agreements, international route authorities, competition and consumer protection matters including accessibility, the display and sharing of ancillary fee information and refund practices. The Antitrust Division of the Department of Justice, along with the DOT in certain instances, have jurisdiction over airline antitrust matters.</w:t>
      </w:r>
    </w:p>
    <w:p>
      <w:pPr>
        <w:spacing w:after="0" w:line="116"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The FAA similarly exercises safety oversight and regulates most operational matters of our business, including how we operate and maintain our aircraft. FAA requirements cover, among other things, required technology and necessary onboard equipment; systems, procedures and training necessary to ensure the continuous airworthiness of our fleet of aircraft; safety measures and equipment; crew scheduling limitations and experience requirements; and many other technical aspects of airline operations. Additionally, our pilots and other employees are subject to rigorous certification standards, and our pilots and other crew members must adhere to flight time and rest requirements.</w:t>
      </w:r>
    </w:p>
    <w:p>
      <w:pPr>
        <w:spacing w:after="0" w:line="126"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8"/>
          <w:szCs w:val="18"/>
          <w:color w:val="auto"/>
        </w:rPr>
        <w:t>The FAA also controls the national airspace system, including operational rules and fees for air traffic control (ATC) services. The efficiency, reliability and capacity of the ATC network has a significant impact on our costs and on the timeliness of our operations.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U.S. Postal Service has jurisdiction over certain aspects of the transportation of mail and related services.</w:t>
      </w:r>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Airport Access and Operations</w:t>
      </w:r>
    </w:p>
    <w:p>
      <w:pPr>
        <w:spacing w:after="0" w:line="88"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Domestically, any U.S. airline authorized by the DOT is generally free to operate scheduled passenger service between any two points within the U.S. and its territories, with the exception of certain airports that require landing and take-off rights and authorizations (slots) and other facilities, and certain airports that impose geographic limitations on operations or curtail operations based on the time of day. Operations at three major domestic airports we serve (JFK and LGA in New York City, and Ronald Reagan Washington National Airport (DCA) near Washington, D.C.) and many foreign airports we serve (including LHR) are regulated by governmental entities through allocations of slots or similar regulatory mechanisms</w:t>
      </w:r>
    </w:p>
    <w:p>
      <w:pPr>
        <w:sectPr>
          <w:pgSz w:w="11900" w:h="16838" w:orient="portrait"/>
          <w:cols w:equalWidth="0" w:num="1">
            <w:col w:w="11240"/>
          </w:cols>
          <w:pgMar w:left="320" w:top="363"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that limit the rights of carriers to conduct operations at those airports. Each slot represents the authorization to land at and take off from the particular airport during a specified time period. In addition to slot restrictions, operations at DCA and LGA are also limited based on a so-called “perimeter rule” which generally limits the stage length of the flights that can be operated from those airports to 1,250 and 1,500 miles, respectively. Generally, our ability to retain slots is conditioned on the continued use of such slots, and in the absence of use, the slots are subject to forfeiture. In certain circumstances, such as during the COVID-19 pandemic, regulators may issue slot waivers which temporarily suspend or amend slot usage requirements, and we have used slot waivers at times to reduce flying levels during periods of reduced demand for travel. Moreover, on multiple occasions in 2023, the FAA issued slot waivers for New York City area airports as a result of operational challenges arising from air traffic control staffing shortages; those waivers expire in October 2024, and we cannot guarantee that such waivers will be made available to us, or that upon expiration or cancellation of such waivers it will be economical for us to resume prior levels of flying to destinations where we have operated a reduced service. If we are forced to surrender slots or other rights, we may be unable to provide our desired level of service to or from certain destinations in the future. For more discussion, see Part I, Item 1A. Risk Factors – “</w:t>
      </w:r>
      <w:r>
        <w:rPr>
          <w:rFonts w:ascii="Arial" w:cs="Arial" w:eastAsia="Arial" w:hAnsi="Arial"/>
          <w:sz w:val="18"/>
          <w:szCs w:val="18"/>
          <w:i w:val="1"/>
          <w:iCs w:val="1"/>
          <w:color w:val="auto"/>
        </w:rPr>
        <w:t>If we are unable to obtain and maintain adequate facilities and infrastructure throughout our system and, at some airports,</w:t>
      </w:r>
      <w:r>
        <w:rPr>
          <w:rFonts w:ascii="Arial" w:cs="Arial" w:eastAsia="Arial" w:hAnsi="Arial"/>
          <w:sz w:val="18"/>
          <w:szCs w:val="18"/>
          <w:color w:val="auto"/>
        </w:rPr>
        <w:t xml:space="preserve"> </w:t>
      </w:r>
      <w:r>
        <w:rPr>
          <w:rFonts w:ascii="Arial" w:cs="Arial" w:eastAsia="Arial" w:hAnsi="Arial"/>
          <w:sz w:val="18"/>
          <w:szCs w:val="18"/>
          <w:i w:val="1"/>
          <w:iCs w:val="1"/>
          <w:color w:val="auto"/>
        </w:rPr>
        <w:t>adequate slots, we may be unable to operate our existing flight schedule and to expand or change our route network in the future, which may have a material adverse impact on our operations.”</w:t>
      </w:r>
    </w:p>
    <w:p>
      <w:pPr>
        <w:spacing w:after="0" w:line="140" w:lineRule="exact"/>
        <w:rPr>
          <w:sz w:val="20"/>
          <w:szCs w:val="20"/>
          <w:color w:val="auto"/>
        </w:rPr>
      </w:pPr>
    </w:p>
    <w:p>
      <w:pPr>
        <w:jc w:val="both"/>
        <w:ind w:right="20" w:firstLine="202"/>
        <w:spacing w:after="0" w:line="286" w:lineRule="auto"/>
        <w:rPr>
          <w:sz w:val="20"/>
          <w:szCs w:val="20"/>
          <w:color w:val="auto"/>
        </w:rPr>
      </w:pPr>
      <w:r>
        <w:rPr>
          <w:rFonts w:ascii="Arial" w:cs="Arial" w:eastAsia="Arial" w:hAnsi="Arial"/>
          <w:sz w:val="18"/>
          <w:szCs w:val="18"/>
          <w:color w:val="auto"/>
        </w:rPr>
        <w:t>Our ability to provide service can also be impaired at airports where the airport gates and other facilities are currently inadequate to accommodate all of the service that we would like to provide, or where we have no access to gates at all.</w:t>
      </w:r>
    </w:p>
    <w:p>
      <w:pPr>
        <w:spacing w:after="0" w:line="100"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Existing law also permits domestic local airport authorities to implement procedures and impose restrictions designed to abate noise, provided such procedures and restrictions do not unreasonably interfere with interstate or foreign commerce or the national transportation system. In some instances, these restrictions have caused curtailments in service or increases in operating costs.</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Airline Fares, Taxes and User Fees</w:t>
      </w:r>
    </w:p>
    <w:p>
      <w:pPr>
        <w:spacing w:after="0" w:line="8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Airlines are permitted to establish their own domestic fares without governmental regulation. The DOT maintains authority over certain international fares, rates and charges, but only applies this authority on a limited basis. In addition, international fares and rates are sometimes subject to the jurisdiction of the governments of the foreign countries which we serve.</w:t>
      </w:r>
    </w:p>
    <w:p>
      <w:pPr>
        <w:spacing w:after="0" w:line="116"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Airlines are obligated to collect a federal excise tax, commonly referred to as the “ticket tax,” on domestic and international air transportation, and to collect other taxes and charge other fees, such as foreign taxes, security fees and passenger facility charges. Although these taxes and fees are not our operating expenses, they represent an additional cost to our customers. These taxes and fees are subject to increase from time to time.</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DOT Passenger Protection Rules</w:t>
      </w:r>
    </w:p>
    <w:p>
      <w:pPr>
        <w:spacing w:after="0" w:line="88"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The DOT regulates airline interactions with passengers through the ticketing process, at the airport and onboard the aircraft. Among other things, these regulations govern how our fares are displayed online, required customer disclosures, access by disabled passengers, handling of long onboard flight delays and reporting of mishandled bags. In 2023, the DOT finalized rules for accessible lavatories on single-aisle aircraft and has continued to work through proposals for a number of disability regulations that will impact us, including penalties for wheelchair loss or damage and prompt wheelchair assistance. The DOT has also proposed rules requiring refunds for cancellations and significant delays and rules mandating the display of ancillary fees during the initial itinerary search.</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International</w:t>
      </w:r>
    </w:p>
    <w:p>
      <w:pPr>
        <w:spacing w:after="0" w:line="8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International air transportation is subject to extensive government regulation, including aviation agreements between the U.S. and other countries or governmental authorities, such as the EU. Moreover, our alliances with international carriers may be subject to the jurisdiction and regulations of various foreign agencies. The U.S. government has negotiated “open skies” agreements with more than 130 trading partners, which allow unrestricted route authority access between the U.S. and the foreign markets.</w:t>
      </w:r>
    </w:p>
    <w:p>
      <w:pPr>
        <w:spacing w:after="0" w:line="121"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In addition, foreign countries impose passenger protection rules, which are analogous to, and often meet or exceed the requirements of, the DOT passenger protection rules discussed above. In cases where these foreign requirements exceed the DOT rules, we may bear additional burdens and liabilities. Further, various foreign airport authorities impose noise and curfew restrictions at their local airports.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Security</w:t>
      </w:r>
    </w:p>
    <w:p>
      <w:pPr>
        <w:spacing w:after="0" w:line="88"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 xml:space="preserve">All aspects of civil aviation and border security in the U.S. affecting U.S. carriers are controlled or regulated by the federal government through the Transportation Security Administration (TSA) and the U.S. Customs and Border Protection (CBP). The TSA is responsible for the security of the nation’s transportation systems. The TSA’s requirements for aviation security include, among other things, screening of passengers, baggage, cargo, mail, employees and vendors; carriage of federal air marshals at no charge; and continuous background checks of all employees and vendor employees with access to secure areas of airports. Funding for the TSA is provided by a combination of air carrier fees, passenger fees and taxpayer funds. The CBP is </w:t>
      </w:r>
      <w:r>
        <w:rPr>
          <w:rFonts w:ascii="Arial" w:cs="Arial" w:eastAsia="Arial" w:hAnsi="Arial"/>
          <w:sz w:val="18"/>
          <w:szCs w:val="18"/>
          <w:color w:val="080808"/>
        </w:rPr>
        <w:t>responsible for securing the nation’s borders by combining customs,</w:t>
      </w:r>
      <w:r>
        <w:rPr>
          <w:rFonts w:ascii="Arial" w:cs="Arial" w:eastAsia="Arial" w:hAnsi="Arial"/>
          <w:sz w:val="18"/>
          <w:szCs w:val="18"/>
          <w:color w:val="auto"/>
        </w:rPr>
        <w:t xml:space="preserve"> </w:t>
      </w:r>
      <w:r>
        <w:rPr>
          <w:rFonts w:ascii="Arial" w:cs="Arial" w:eastAsia="Arial" w:hAnsi="Arial"/>
          <w:sz w:val="18"/>
          <w:szCs w:val="18"/>
          <w:color w:val="080808"/>
        </w:rPr>
        <w:t xml:space="preserve">immigration and agricultural protection. The CBP regulatory </w:t>
      </w:r>
      <w:r>
        <w:rPr>
          <w:rFonts w:ascii="Arial" w:cs="Arial" w:eastAsia="Arial" w:hAnsi="Arial"/>
          <w:sz w:val="18"/>
          <w:szCs w:val="18"/>
          <w:color w:val="000000"/>
        </w:rPr>
        <w:t>requirements include the transmission of advanced passport data to facilitate the</w:t>
      </w:r>
      <w:r>
        <w:rPr>
          <w:rFonts w:ascii="Arial" w:cs="Arial" w:eastAsia="Arial" w:hAnsi="Arial"/>
          <w:sz w:val="18"/>
          <w:szCs w:val="18"/>
          <w:color w:val="080808"/>
        </w:rPr>
        <w:t xml:space="preserve"> </w:t>
      </w:r>
      <w:r>
        <w:rPr>
          <w:rFonts w:ascii="Arial" w:cs="Arial" w:eastAsia="Arial" w:hAnsi="Arial"/>
          <w:sz w:val="18"/>
          <w:szCs w:val="18"/>
          <w:color w:val="000000"/>
        </w:rPr>
        <w:t>U.S. entry process. Funding for a portion of CBP operations is provided by a combination of fees collected by airlines. Our international service further requires us to comply with host government civil aviation security regimes and foreign border control authorities.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Environmental Regulation</w:t>
      </w:r>
    </w:p>
    <w:p>
      <w:pPr>
        <w:spacing w:after="0" w:line="88"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The airline industry is subject to various laws and government regulations concerning environmental matters in the U.S. and other countries. U.S. federal laws that have a particular impact on our operations include the Airport Noise and Capacity Act of 1990, the Clean Air Act, the Resource Conservation and Recovery Act, the Clean Water Act, the Safe Drinking Water Act and the Comprehensive Environmental Response, Compensation and Liability Act. The U.S. Environmental Protection Agency (EPA) and other federal agencies may promulgate regulations that have an impact on our operations. In addition to these federal activities, various states have been delegated certain authorities under the aforementioned federal statutes. Many state and local governments have adopted environmental laws and regulations that are similar to or stricter than federal requirements.</w:t>
      </w:r>
    </w:p>
    <w:p>
      <w:pPr>
        <w:spacing w:after="0" w:line="127"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Revised underground storage tank regulations issued by the EPA in 2015 have affected certain airport fuel hydrant systems, with modifications of such systems needed in order to comply with applicable portions of the revised regulations. In addition, related to the EPA and state regulations pertaining to storm water management, several U.S. airport authorities are actively engaged in efforts to limit discharges of deicing fluid into the environment, often by requiring airlines to participate in the building or reconfiguring of airport deicing facilities. Additionally, compliance with updated federal and state regulations governing fire extinguishing foams are expected to require modification to fire suppression systems that we operate, as well as those maintained by airports. On November 23, 2022, the EPA also published the final rule for particulate matter emission standards and test procedures for civil aircraft engines, which took effect on December 23, 2022. These or similar regulations could directly or indirectly result in increased compliance costs, but at this time we do not expect these costs to be material.</w:t>
      </w:r>
    </w:p>
    <w:p>
      <w:pPr>
        <w:spacing w:after="0" w:line="132"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The environmental laws include those related to responsibility for potential soil and groundwater contamination. We are conducting investigation and remediation activities to address soil and groundwater conditions at several sites, including airports and maintenance bases. We presently anticipate that the ongoing costs of such activities will not have a material impact on our operations.</w:t>
      </w:r>
    </w:p>
    <w:p>
      <w:pPr>
        <w:spacing w:after="0" w:line="116"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We employ an environmental management system that provides a systematic approach for compliance with environmental regulations and management of a broad range of environmental issues, including but not limited to air emissions, hazardous waste, underground tanks, and aircraft water quality.</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Global and Domestic Regulation Related to Climate Change</w:t>
      </w:r>
    </w:p>
    <w:p>
      <w:pPr>
        <w:spacing w:after="0" w:line="88" w:lineRule="exact"/>
        <w:rPr>
          <w:sz w:val="20"/>
          <w:szCs w:val="20"/>
          <w:color w:val="auto"/>
        </w:rPr>
      </w:pPr>
    </w:p>
    <w:p>
      <w:pPr>
        <w:jc w:val="both"/>
        <w:ind w:right="20" w:firstLine="202"/>
        <w:spacing w:after="0" w:line="259" w:lineRule="auto"/>
        <w:rPr>
          <w:sz w:val="20"/>
          <w:szCs w:val="20"/>
          <w:color w:val="auto"/>
        </w:rPr>
      </w:pPr>
      <w:r>
        <w:rPr>
          <w:rFonts w:ascii="Arial" w:cs="Arial" w:eastAsia="Arial" w:hAnsi="Arial"/>
          <w:sz w:val="18"/>
          <w:szCs w:val="18"/>
          <w:color w:val="auto"/>
        </w:rPr>
        <w:t>Climate change-related regulatory activity and developments may adversely affect our business and financial results by requiring us to adapt to rapidly evolving domestic and international regulation and to achieve emission reductions before cost-effective technologies are available, for example, through requirements to make capital investments to purchase specific types of equipment or technologies, purchase carbon offset credits or otherwise incur additional costs related to our emissions. Such trends may also impact us indirectly by increasing our operating costs, including fuel costs.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The Carbon Offsetting and Reduction Scheme for International Aviation (CORSIA)</w:t>
      </w:r>
    </w:p>
    <w:p>
      <w:pPr>
        <w:spacing w:after="0" w:line="88"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We are subject to the requirements of the CORSIA, an international, market-based emissions reduction program adopted by the International Civil Aviation Organization (ICAO) in 2016. CORSIA is intended to achieve carbon-neutral growth in the international aviation sector from 2021 until 2035 through the purchase of certain types of carbon offset credits or the use of eligible renewable fuels.</w:t>
      </w:r>
    </w:p>
    <w:p>
      <w:pPr>
        <w:spacing w:after="0" w:line="116" w:lineRule="exact"/>
        <w:rPr>
          <w:sz w:val="20"/>
          <w:szCs w:val="20"/>
          <w:color w:val="auto"/>
        </w:rPr>
      </w:pPr>
    </w:p>
    <w:p>
      <w:pPr>
        <w:jc w:val="both"/>
        <w:ind w:firstLine="202"/>
        <w:spacing w:after="0" w:line="259" w:lineRule="auto"/>
        <w:rPr>
          <w:sz w:val="20"/>
          <w:szCs w:val="20"/>
          <w:color w:val="auto"/>
        </w:rPr>
      </w:pPr>
      <w:r>
        <w:rPr>
          <w:rFonts w:ascii="Arial" w:cs="Arial" w:eastAsia="Arial" w:hAnsi="Arial"/>
          <w:sz w:val="18"/>
          <w:szCs w:val="18"/>
          <w:color w:val="auto"/>
        </w:rPr>
        <w:t>For each year from 2021 through 2032, CORSIA requires airlines to compensate for the rate of growth of GHG emissions of the aviation sector as a whole, relative to a predetermined baseline as determined by ICAO. ICAO originally defined the baseline as the average emissions from covered flights in 2019 and 2020. However, due to the impact of the COVID-19 pandemic on air travel, in June 2020, ICAO removed 2020 from the baseline calculation for the CORSIA pilot phase (2021-2023). In October 2022, ICAO member countries agreed that 85% of 2019 emissions would be used as the baseline for the remainder of CORSIA’s term (2024-2035).</w:t>
      </w:r>
    </w:p>
    <w:p>
      <w:pPr>
        <w:spacing w:after="0" w:line="124"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The CORSIA program is being implemented in three phases: a pilot phase that ran from 2021 through 2023, followed by a first phase of the program beginning in 2024 through 2026 and a second phase beginning in 2027 through 2035. ICAO member countries are expected to enact legislation to implement CORSIA. We expect to be required to purchase carbon offset credits to comply with CORSIA’s first phase, however, the U.S. government has not yet enacted implementation legislation.</w:t>
      </w:r>
    </w:p>
    <w:p>
      <w:pPr>
        <w:spacing w:after="0" w:line="121"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8"/>
          <w:szCs w:val="18"/>
          <w:color w:val="auto"/>
        </w:rPr>
        <w:t>Our future costs of CORSIA compliance are uncertain due to the uncertainty with respect to the future growth of covered GHG emissions, the supply and price of CORSIA-eligible carbon offset credits and development of the market for eligible renewable fuels.</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European GHG Emissions Regulations</w:t>
      </w:r>
    </w:p>
    <w:p>
      <w:pPr>
        <w:spacing w:after="0" w:line="88"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On May 16, 2023, revisions to the EU Emissions Trading System (EU ETS) were published in the Official Journal of the EU. Pursuant to these revisions, the allocation of emissions allowances currently granted for free to aircraft operators under the EU ETS will be phased out by 2026, and CORSIA will apply to flights to and from EU countries that are ICAO member countries. The EC will also be required to undertake a review in 2026 to determine whether CORSIA is sufficiently delivering on the goals of the Paris Agreement and, to the extent it is determined not to be, would extend the scope of the EU ETS to include all departing flights from the European Economic Area (EEA) (and not just flights within the EEA and flights departing the EEA to the United Kingdom and Switzerland).</w:t>
      </w:r>
    </w:p>
    <w:p>
      <w:pPr>
        <w:spacing w:after="0" w:line="12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2023, the European Parliament and the European Council formally adopted the EU’s ReFuelEU Aviation initiative to create a SAF blending mandate for aviation fuel suppliers. The agreed text requires fuel suppliers to ensure that minimum shares of SAF are made available to aircraft operators at EU airports starting January 1, 2025. Such minimum requirements are 2% in 2025, 6% in 2030, 20% in 2035, 34% in 2040, 42% in 2045 and 70% in 2050. In addition, a specific proportion of the fuel mix (1.2% in 2030, 2% in 2032, 5% in 2035 and progressively reaching 35% in 2050) must comprise synthetic fuels such as e-kerosene, and as of 2025, there will be an EU label for the environmental performance of flights, such that airlines may market their flights indicating the expected carbon footprint per passenger. The potential effects on our business of such requirements are uncertain at this time. The UK and other countries have adopted or are considering adoption of a SAF blending mandate similar to that of the EU.</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U.S. Emissions Standards for Aircraft Engines</w:t>
      </w:r>
    </w:p>
    <w:p>
      <w:pPr>
        <w:spacing w:after="0" w:line="88"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In January 2021, the EPA adopted GHG emission standards for new aircraft engines, which are aligned with the 2017 ICAO aircraft engine GHG emission standards. Like the ICAO standards, the final EPA standards for new aircraft engines would not apply retroactively to engines on in-service aircraft. On November 15, 2021, the EPA announced that it would not rewrite the existing aircraft engine GHG emissions standards but would seek more ambitious new aircraft GHG emission standards within the ICAO process. Since then, the EPA and ICAO’s Committee on Aviation Environmental Protection have had several meetings on this issue, but no further progress has been made. In addition, several states and environmental groups have challenged the EPA’s standards and on June 30, 2023, the U.S. Court of Appeals for the D.C. Circuit denied such petitions and upheld the EPA’s GHG emissions standards.</w:t>
      </w:r>
    </w:p>
    <w:p>
      <w:pPr>
        <w:spacing w:after="0" w:line="127"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 xml:space="preserve">For more information on our approach to climate change, see our 2022 Sustainability Report on our website </w:t>
      </w:r>
      <w:r>
        <w:rPr>
          <w:rFonts w:ascii="Arial" w:cs="Arial" w:eastAsia="Arial" w:hAnsi="Arial"/>
          <w:sz w:val="18"/>
          <w:szCs w:val="18"/>
          <w:i w:val="1"/>
          <w:iCs w:val="1"/>
          <w:color w:val="auto"/>
        </w:rPr>
        <w:t>www</w:t>
      </w:r>
      <w:r>
        <w:rPr>
          <w:rFonts w:ascii="Arial" w:cs="Arial" w:eastAsia="Arial" w:hAnsi="Arial"/>
          <w:sz w:val="18"/>
          <w:szCs w:val="18"/>
          <w:color w:val="auto"/>
        </w:rPr>
        <w:t>.</w:t>
      </w:r>
      <w:r>
        <w:rPr>
          <w:rFonts w:ascii="Arial" w:cs="Arial" w:eastAsia="Arial" w:hAnsi="Arial"/>
          <w:sz w:val="18"/>
          <w:szCs w:val="18"/>
          <w:i w:val="1"/>
          <w:iCs w:val="1"/>
          <w:color w:val="auto"/>
        </w:rPr>
        <w:t>aa.com</w:t>
      </w:r>
      <w:r>
        <w:rPr>
          <w:rFonts w:ascii="Arial" w:cs="Arial" w:eastAsia="Arial" w:hAnsi="Arial"/>
          <w:sz w:val="18"/>
          <w:szCs w:val="18"/>
          <w:color w:val="auto"/>
        </w:rPr>
        <w:t xml:space="preserve"> available under “Environmental, Social and Governance.” None of the information or contents under our “Environmental, Social and Governance” page, 2022 Sustainability Report, or our website are incorporated into this Annual Report on Form 10-K.</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Impact of Regulatory Requirements on Our Business</w:t>
      </w:r>
    </w:p>
    <w:p>
      <w:pPr>
        <w:spacing w:after="0" w:line="88"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Regulatory requirements, including but not limited to those discussed above, affect operations and increase operating costs for the airline industry, including our airline subsidiaries, and future regulatory developments may continue to do the same. For additional information, see Part I, Item 1A. Risk Factors – “</w:t>
      </w:r>
      <w:r>
        <w:rPr>
          <w:rFonts w:ascii="Arial" w:cs="Arial" w:eastAsia="Arial" w:hAnsi="Arial"/>
          <w:sz w:val="18"/>
          <w:szCs w:val="18"/>
          <w:i w:val="1"/>
          <w:iCs w:val="1"/>
          <w:color w:val="auto"/>
        </w:rPr>
        <w:t>Evolving cybersecurity and data privacy requirements (in particular, compliance with applicable federal, state</w:t>
      </w:r>
      <w:r>
        <w:rPr>
          <w:rFonts w:ascii="Arial" w:cs="Arial" w:eastAsia="Arial" w:hAnsi="Arial"/>
          <w:sz w:val="18"/>
          <w:szCs w:val="18"/>
          <w:color w:val="auto"/>
        </w:rPr>
        <w:t xml:space="preserve"> </w:t>
      </w:r>
      <w:r>
        <w:rPr>
          <w:rFonts w:ascii="Arial" w:cs="Arial" w:eastAsia="Arial" w:hAnsi="Arial"/>
          <w:sz w:val="18"/>
          <w:szCs w:val="18"/>
          <w:i w:val="1"/>
          <w:iCs w:val="1"/>
          <w:color w:val="auto"/>
        </w:rPr>
        <w:t>and foreign laws relating to handling of personal information about individuals) could increase our costs, and any significant cybersecurity or data privacy incident could disrupt our operations, harm our reputation, expose us to legal risks and otherwise materially adversely affect our business, results of operations and financial condition,” “If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 “Our business is subject to extensive government regulation, which may result in increases in our costs, disruptions to our operations, limits on our operating flexibility, reductions in the demand for air travel, and competitive disadvantages,” “The airline industry is heavily taxed,</w:t>
      </w:r>
      <w:r>
        <w:rPr>
          <w:rFonts w:ascii="Arial" w:cs="Arial" w:eastAsia="Arial" w:hAnsi="Arial"/>
          <w:sz w:val="18"/>
          <w:szCs w:val="18"/>
          <w:color w:val="auto"/>
        </w:rPr>
        <w:t>”</w:t>
      </w:r>
      <w:r>
        <w:rPr>
          <w:rFonts w:ascii="Arial" w:cs="Arial" w:eastAsia="Arial" w:hAnsi="Arial"/>
          <w:sz w:val="18"/>
          <w:szCs w:val="18"/>
          <w:i w:val="1"/>
          <w:iCs w:val="1"/>
          <w:color w:val="auto"/>
        </w:rPr>
        <w:t xml:space="preserve"> “We are subject to many forms of environmental and noise regulation and may incur substantial costs as a result,” </w:t>
      </w:r>
      <w:r>
        <w:rPr>
          <w:rFonts w:ascii="Arial" w:cs="Arial" w:eastAsia="Arial" w:hAnsi="Arial"/>
          <w:sz w:val="18"/>
          <w:szCs w:val="18"/>
          <w:color w:val="auto"/>
        </w:rPr>
        <w:t>and</w:t>
      </w:r>
      <w:r>
        <w:rPr>
          <w:rFonts w:ascii="Arial" w:cs="Arial" w:eastAsia="Arial" w:hAnsi="Arial"/>
          <w:sz w:val="18"/>
          <w:szCs w:val="18"/>
          <w:i w:val="1"/>
          <w:iCs w:val="1"/>
          <w:color w:val="auto"/>
        </w:rPr>
        <w:t xml:space="preserve"> “We are subject to risks associated with climate change, including increased regulation of our GHG emissions, changing consumer preferences and the potential for increased impacts of severe weather events on our operations and infrastructure.”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Websites to Disclose Information</w:t>
      </w:r>
    </w:p>
    <w:p>
      <w:pPr>
        <w:spacing w:after="0" w:line="88" w:lineRule="exact"/>
        <w:rPr>
          <w:sz w:val="20"/>
          <w:szCs w:val="20"/>
          <w:color w:val="auto"/>
        </w:rPr>
      </w:pPr>
    </w:p>
    <w:p>
      <w:pPr>
        <w:jc w:val="both"/>
        <w:ind w:firstLine="202"/>
        <w:spacing w:after="0" w:line="257"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i w:val="1"/>
          <w:iCs w:val="1"/>
          <w:color w:val="auto"/>
        </w:rPr>
        <w:t>www.aa.com</w:t>
      </w:r>
      <w:r>
        <w:rPr>
          <w:rFonts w:ascii="Arial" w:cs="Arial" w:eastAsia="Arial" w:hAnsi="Arial"/>
          <w:sz w:val="18"/>
          <w:szCs w:val="18"/>
          <w:color w:val="auto"/>
        </w:rPr>
        <w:t xml:space="preserve">. We have made, and expect in the future to make, public disclosures to investors and the general public of information regarding AAG and its subsidiaries by means of the investor relations section of our website as well as through the use of our social media sites, including Facebook and X. In order to receive notifications regarding new postings to our website, investors are encouraged to enroll on our website to receive automatic email alerts (see </w:t>
      </w:r>
      <w:r>
        <w:rPr>
          <w:rFonts w:ascii="Arial" w:cs="Arial" w:eastAsia="Arial" w:hAnsi="Arial"/>
          <w:sz w:val="18"/>
          <w:szCs w:val="18"/>
          <w:i w:val="1"/>
          <w:iCs w:val="1"/>
          <w:color w:val="auto"/>
        </w:rPr>
        <w:t>https://americanairlines.gcs-web.com/email-alerts</w:t>
      </w:r>
      <w:r>
        <w:rPr>
          <w:rFonts w:ascii="Arial" w:cs="Arial" w:eastAsia="Arial" w:hAnsi="Arial"/>
          <w:sz w:val="18"/>
          <w:szCs w:val="18"/>
          <w:color w:val="auto"/>
        </w:rPr>
        <w:t>), “follow” American (@AmericanAir) on X and “like” American on our Facebook page (</w:t>
      </w:r>
      <w:r>
        <w:rPr>
          <w:rFonts w:ascii="Arial" w:cs="Arial" w:eastAsia="Arial" w:hAnsi="Arial"/>
          <w:sz w:val="18"/>
          <w:szCs w:val="18"/>
          <w:i w:val="1"/>
          <w:iCs w:val="1"/>
          <w:color w:val="auto"/>
        </w:rPr>
        <w:t>www.facebook.com/AmericanAirlines</w:t>
      </w:r>
      <w:r>
        <w:rPr>
          <w:rFonts w:ascii="Arial" w:cs="Arial" w:eastAsia="Arial" w:hAnsi="Arial"/>
          <w:sz w:val="18"/>
          <w:szCs w:val="18"/>
          <w:color w:val="auto"/>
        </w:rPr>
        <w:t>). None of the information or contents of our website or social media postings is incorporated into this Annual Report on Form 10-K.</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Availability of SEC Reports</w:t>
      </w:r>
    </w:p>
    <w:p>
      <w:pPr>
        <w:spacing w:after="0" w:line="8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color w:val="auto"/>
        </w:rPr>
        <w:t xml:space="preserve">A copy of this Annual Report on Form 10-K, Quarterly Reports on Form 10-Q, Current Reports on Form 8-K and amendments to those reports are available free of charge on our website as soon as reasonably practicable after we electronically file such material with, or furnish it to, the SEC. The SEC also maintains a website that contains reports, proxy and information statements, and other information regarding issuers that file electronically with the SEC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For example, the COVID-19 pandemic and associated decline in economic activity and increase in unemployment levels had a severe and prolonged effect on the global economy generally and, in turn, resulted in a prolonged period of depressed demand for air travel. In addition, a rapid economic expansion following the height of the COVID-19 pandemic resulted in significant inflationary pressures and volatility in certain currencies, which have increased our costs for aircraft fuel, wages and benefits and other goods and services we require to operate our business, as well as increasing the interest expense on our variable-rate indebtedness.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8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Our business plan contemplates continued significant investments related to our fleet, improving the experience of our customers and updating our facilities. Significant capital resources will be required to execute this plan. We estimate that, based on our commitments as of December 31, 2023, our planned aggregate expenditures for aircraft purchase commitments and certain engines for calendar years 2024 through 2028 would be approximately $11.7 billion. We may also require financing to refinance maturing obligations and to provide liquidity to fund other corporate requirements. Accordingly, we will need substantial liquidity, financing or other capital resources to finance such aircraft and engines and meet such other liquidity needs. If needed, it may be difficult for us to raise additional capital on acceptable terms, or at all, due to, among other factors: our substantial level of existing indebtedness, particularly following transactions we completed in response to the impact of the COVID-19 pandemic; our non-investment grade credit rating; volatile or otherwise unfavorable market conditions; and the availability of assets to use as collateral for loans or other indebtedness, which has been reduced significantly as a result of certain financing transactions we have undertaken since the beginning of 2020 and may be further reduced. If we are unable to arrange any such required financing at customary advance rates and on terms and conditions acceptable to us, we may need to use cash from operations or cash on hand to purchase aircraft and engines or fund our other corporate requirements, or may seek to negotiate deferrals for such aircraft and engines with the applicable manufacturers or otherwise defer 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Furthermore, we hold significant balances of cash and short-term investments, including as necessary to conduct our day-to-day operations, some of which are held in deposit accounts at commercial banks in excess of the government-provided deposit insurance. There can be no assurance that we will be successful in obtaining financing or other needed sources of capital to operate successfully or to fund our committed expenditures. An inability to obtain necessary financing on acceptable terms would limit our ability to execute necessary capital projects and would have a material adverse impact on our business, results of operations and financial condition.</w:t>
      </w:r>
    </w:p>
    <w:p>
      <w:pPr>
        <w:spacing w:after="0" w:line="229"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may cause our business to be vulnerable to adverse economic and industry conditions.</w:t>
      </w:r>
    </w:p>
    <w:p>
      <w:pPr>
        <w:spacing w:after="0" w:line="2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have significant amounts of indebtedness and other financial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very significant portion of our assets are pledged to secure our indebtedness. Our substantial indebtedness and other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obligations, which are generally greater than the indebtedness and other obligations of our competitors, could have important consequences.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example, they may:</w:t>
      </w:r>
    </w:p>
    <w:p>
      <w:pPr>
        <w:spacing w:after="0" w:line="153" w:lineRule="exact"/>
        <w:rPr>
          <w:sz w:val="20"/>
          <w:szCs w:val="20"/>
          <w:color w:val="auto"/>
        </w:rPr>
      </w:pPr>
    </w:p>
    <w:p>
      <w:pPr>
        <w:ind w:left="1300" w:hanging="645"/>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70" w:lineRule="exact"/>
        <w:rPr>
          <w:rFonts w:ascii="Arial" w:cs="Arial" w:eastAsia="Arial" w:hAnsi="Arial"/>
          <w:sz w:val="18"/>
          <w:szCs w:val="18"/>
          <w:color w:val="auto"/>
        </w:rPr>
      </w:pPr>
    </w:p>
    <w:p>
      <w:pPr>
        <w:ind w:left="1300" w:hanging="645"/>
        <w:spacing w:after="0" w:line="286"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ability to obtain additional funding for working capital, capital expenditures, acquisitions, investments and general corporate purposes, and adversely affect the terms on which such funding can be obtained;</w:t>
      </w:r>
    </w:p>
    <w:p>
      <w:pPr>
        <w:spacing w:after="0" w:line="99" w:lineRule="exact"/>
        <w:rPr>
          <w:rFonts w:ascii="Arial" w:cs="Arial" w:eastAsia="Arial" w:hAnsi="Arial"/>
          <w:sz w:val="18"/>
          <w:szCs w:val="18"/>
          <w:color w:val="auto"/>
        </w:rPr>
      </w:pPr>
    </w:p>
    <w:p>
      <w:pPr>
        <w:ind w:left="1300" w:hanging="645"/>
        <w:spacing w:after="0" w:line="286"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liquidity or cash flow from operations to payments on our indebtedness and other obligations, thereby reducing the funds available for other purposes;</w:t>
      </w:r>
    </w:p>
    <w:p>
      <w:pPr>
        <w:spacing w:after="0" w:line="99" w:lineRule="exact"/>
        <w:rPr>
          <w:rFonts w:ascii="Arial" w:cs="Arial" w:eastAsia="Arial" w:hAnsi="Arial"/>
          <w:sz w:val="18"/>
          <w:szCs w:val="18"/>
          <w:color w:val="auto"/>
        </w:rPr>
      </w:pPr>
    </w:p>
    <w:p>
      <w:pPr>
        <w:ind w:left="1300" w:hanging="645"/>
        <w:spacing w:after="0" w:line="286"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99" w:lineRule="exact"/>
        <w:rPr>
          <w:rFonts w:ascii="Arial" w:cs="Arial" w:eastAsia="Arial" w:hAnsi="Arial"/>
          <w:sz w:val="18"/>
          <w:szCs w:val="18"/>
          <w:color w:val="auto"/>
        </w:rPr>
      </w:pPr>
    </w:p>
    <w:p>
      <w:pPr>
        <w:jc w:val="both"/>
        <w:ind w:left="1300" w:hanging="645"/>
        <w:spacing w:after="0" w:line="268"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15" w:lineRule="exact"/>
        <w:rPr>
          <w:rFonts w:ascii="Arial" w:cs="Arial" w:eastAsia="Arial" w:hAnsi="Arial"/>
          <w:sz w:val="18"/>
          <w:szCs w:val="18"/>
          <w:color w:val="auto"/>
        </w:rPr>
      </w:pPr>
    </w:p>
    <w:p>
      <w:pPr>
        <w:ind w:left="1300" w:hanging="645"/>
        <w:spacing w:after="0" w:line="286"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w:t>
      </w:r>
    </w:p>
    <w:p>
      <w:pPr>
        <w:spacing w:after="0" w:line="99" w:lineRule="exact"/>
        <w:rPr>
          <w:rFonts w:ascii="Arial" w:cs="Arial" w:eastAsia="Arial" w:hAnsi="Arial"/>
          <w:sz w:val="18"/>
          <w:szCs w:val="18"/>
          <w:color w:val="auto"/>
        </w:rPr>
      </w:pPr>
    </w:p>
    <w:p>
      <w:pPr>
        <w:ind w:left="1300" w:hanging="645"/>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bear interest at floating rates, subjecting us to volatility in interest expenses as interest rates fluctuate;</w:t>
      </w:r>
    </w:p>
    <w:p>
      <w:pPr>
        <w:spacing w:after="0" w:line="170" w:lineRule="exact"/>
        <w:rPr>
          <w:rFonts w:ascii="Arial" w:cs="Arial" w:eastAsia="Arial" w:hAnsi="Arial"/>
          <w:sz w:val="18"/>
          <w:szCs w:val="18"/>
          <w:color w:val="auto"/>
        </w:rPr>
      </w:pPr>
    </w:p>
    <w:p>
      <w:pPr>
        <w:jc w:val="both"/>
        <w:ind w:left="1300" w:hanging="645"/>
        <w:spacing w:after="0" w:line="268"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 and collateral coverage ratios and peak debt service coverage ratios;</w:t>
      </w:r>
    </w:p>
    <w:p>
      <w:pPr>
        <w:spacing w:after="0" w:line="115" w:lineRule="exact"/>
        <w:rPr>
          <w:rFonts w:ascii="Arial" w:cs="Arial" w:eastAsia="Arial" w:hAnsi="Arial"/>
          <w:sz w:val="18"/>
          <w:szCs w:val="18"/>
          <w:color w:val="auto"/>
        </w:rPr>
      </w:pPr>
    </w:p>
    <w:p>
      <w:pPr>
        <w:ind w:left="1300" w:hanging="645"/>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impact availability of borrowings under revolving lines of credit; and</w:t>
      </w:r>
    </w:p>
    <w:p>
      <w:pPr>
        <w:spacing w:after="0" w:line="170" w:lineRule="exact"/>
        <w:rPr>
          <w:rFonts w:ascii="Arial" w:cs="Arial" w:eastAsia="Arial" w:hAnsi="Arial"/>
          <w:sz w:val="18"/>
          <w:szCs w:val="18"/>
          <w:color w:val="auto"/>
        </w:rPr>
      </w:pPr>
    </w:p>
    <w:p>
      <w:pPr>
        <w:ind w:left="1300" w:hanging="645"/>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70" w:lineRule="exact"/>
        <w:rPr>
          <w:rFonts w:ascii="Arial" w:cs="Arial" w:eastAsia="Arial" w:hAnsi="Arial"/>
          <w:sz w:val="18"/>
          <w:szCs w:val="18"/>
          <w:color w:val="auto"/>
        </w:rPr>
      </w:pPr>
    </w:p>
    <w:p>
      <w:pPr>
        <w:ind w:left="1940" w:right="20" w:hanging="638"/>
        <w:spacing w:after="0" w:line="286" w:lineRule="auto"/>
        <w:tabs>
          <w:tab w:leader="none" w:pos="1977" w:val="left"/>
        </w:tabs>
        <w:numPr>
          <w:ilvl w:val="1"/>
          <w:numId w:val="10"/>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 and</w:t>
      </w:r>
    </w:p>
    <w:p>
      <w:pPr>
        <w:spacing w:after="0" w:line="99" w:lineRule="exact"/>
        <w:rPr>
          <w:rFonts w:ascii="Arial" w:cs="Arial" w:eastAsia="Arial" w:hAnsi="Arial"/>
          <w:sz w:val="18"/>
          <w:szCs w:val="18"/>
          <w:color w:val="auto"/>
        </w:rPr>
      </w:pPr>
    </w:p>
    <w:p>
      <w:pPr>
        <w:ind w:left="1940" w:hanging="638"/>
        <w:spacing w:after="0"/>
        <w:tabs>
          <w:tab w:leader="none" w:pos="1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breached, result in an event of default under our other indebtedness.</w:t>
      </w:r>
    </w:p>
    <w:p>
      <w:pPr>
        <w:spacing w:after="0" w:line="17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during the COVID-19 pandemic we were required to obtain a significant amount of additional financing from a variety of sources and we cannot guarantee that we will not need to obtain additional financing in the future. Such financing may include the issuance of additional unsecured or secured debt securities, equity securities and equity-linked securities as well as additional bilateral and syndicated secured and/or unsecured credit facilities, among other items. There can be no assurance as to the timing of any such financing transactions, which may be in the near term, or that we will be able to obtain such additional financing on favorable terms, or at all. Any such actions may be material in nature, could result in the incurrence and issuance of significant additional indebtedness or equity and could impose significant covenants and restrictions to which we are not currently subject. Moreover, as a result of the financing activities we undertook in response to the COVID-19 pandemic, the number of financings with respect to which such covenants and provisions apply has increased, thereby subjecting us to more substantial risk of cross-default and cross-acceleration in the event of breach, and additional covenants and provisions could become binding on us should we seek additional liquidity in the future.</w:t>
      </w:r>
    </w:p>
    <w:p>
      <w:pPr>
        <w:spacing w:after="0" w:line="12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obligations discussed above, including those imposed as a result of any additional financings we may undertake, could also impact our ability to obtain additional financing, if needed, and our flexibility in the conduct of our business, and could materially adversely affect our liquidity, results of operations and financial condition.</w:t>
      </w:r>
    </w:p>
    <w:p>
      <w:pPr>
        <w:spacing w:after="0" w:line="11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Further, a substantial amount of our long-term indebtedness bears interest at floating interest rates, which tend to fluctuate based on general short-term interest rates, rates set by the U.S. Federal Reserve and other central banks, the supply of and demand for credit in treasury repurchase or other markets and general economic conditions. We have not hedged our interest rate exposure with respect to our floating rate debt. Accordingly, our interest expense for any particular period will fluctuate based on the relevant benchmark rate and other variable interest rates. In 2022 and 2023, in response to rising inflation which coincided with a rapid rebound of economic activity as governments lifted restrictions and economies reopened following the COVID-19 pandemic, central banks around the world—including the U.S. Federal</w:t>
      </w:r>
    </w:p>
    <w:p>
      <w:pPr>
        <w:sectPr>
          <w:pgSz w:w="11900" w:h="16838" w:orient="portrait"/>
          <w:cols w:equalWidth="0" w:num="1">
            <w:col w:w="11240"/>
          </w:cols>
          <w:pgMar w:left="320" w:top="363"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Reserve, the European Central Bank and the Bank of England—undertook a cycle of raising interest rates, which has consequently increased the interest we pay on our floating-rate indebtedness. To the extent the interest rates applicable to our floating rate debt remain elevated or continue to increase, our interest expense will increase, in which event we may have difficulties making interest payments and funding our other fixed costs, and our available cash flow for general corporate requirements may be adversely affected.</w:t>
      </w:r>
    </w:p>
    <w:p>
      <w:pPr>
        <w:spacing w:after="0" w:line="1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the phase-out of the London Interbank Offered Rate (LIBOR) as a reference rate in June 2023, the U.S. Federal Reserve, in conjunction with the Alternative Reference Rates Committee, chose the Secured Overnight Financing Rate (SOFR), and specifically Term SOFR, as the recommended risk-free reference rate for the U.S. (calculated based on repurchase agreements backed by treasury securities). Prior to the discontinuation of LIBOR, we amended substantially all of our LIBOR-based financing arrangements to transition them to successor rates, primarily Term SOFR. We cannot predict the extent to which Term SOFR will gain widespread acceptance as a replacement for LIBOR, the consequences of the replacement of LIBOR on financial markets generally or on our business, financial condition or results of operations specifically, and our transition to successor rates could cause the amount of interest payable on our long-term debt to be different or higher than expected.</w:t>
      </w:r>
    </w:p>
    <w:p>
      <w:pPr>
        <w:spacing w:after="0" w:line="211" w:lineRule="exact"/>
        <w:rPr>
          <w:sz w:val="20"/>
          <w:szCs w:val="20"/>
          <w:color w:val="auto"/>
        </w:rPr>
      </w:pPr>
    </w:p>
    <w:p>
      <w:pPr>
        <w:ind w:left="260" w:right="20"/>
        <w:spacing w:after="0" w:line="293"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pension funding obligations are significant. The amount of our pension funding obligations will depend on the performance of investments held in trust by the pension plans, interest rates for determining liabilities and actuarial experience. We also have significant obligations for retiree medical and other postretirement benefits.</w:t>
      </w:r>
    </w:p>
    <w:p>
      <w:pPr>
        <w:spacing w:after="0" w:line="11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Additionally, we participate in the IAM National Pension Fund (the IAM Pension Fund). The funding status of the IAM Pension Fund is subject to the risk that other employers may not meet their obligations, which under certain circumstances could cause our obligations to increase. On March 29, 2019, the actuary for the IAM Pension Fund certified that the fund was in “endangered” status despite reporting a funded status of over 80%. Additionally, the IAM Pension Fund’s Board voluntarily elected to enter into “critical” status on April 17, 2019. Upon entry into critical status, the IAM Pension Fund was required by law to adopt a rehabilitation plan aimed at restoring the financial health of the pension plan and did so on April 17, 2019 (the Rehabilitation Plan). Under the Rehabilitation Plan, American was subject to an immaterial contribution surcharge, which ceased to apply on June 14, 2019 upon American’s mandatory adoption of a contribution schedule under the Rehabilitation Plan. The contribution schedule requires 2.5% annual increases to its contribution rate. This contribution schedule will remain in effect through the earlier of December 31, 2031 or the date the IAM Pension Fund emerges from critical status. Furthermore, if we were to withdraw from the IAM Pension Fund, if the IAM Pension fund were to terminate, or if the IAM Pension Fund were to undergo a mass withdrawal, we could be subject to liability as imposed by law.</w:t>
      </w:r>
    </w:p>
    <w:p>
      <w:pPr>
        <w:spacing w:after="0" w:line="218" w:lineRule="exact"/>
        <w:rPr>
          <w:sz w:val="20"/>
          <w:szCs w:val="20"/>
          <w:color w:val="auto"/>
        </w:rPr>
      </w:pPr>
    </w:p>
    <w:p>
      <w:pPr>
        <w:ind w:left="260" w:right="20"/>
        <w:spacing w:after="0" w:line="293"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our failure to maintain certain levels of liquidity), to hold an amount of our cash (referred to as a holdback) equal to some or all of the advance ticket sales that have been processed by that credit card processor, but for which we have not yet provided the air transportation. Additionally, such credit card processing companies may require cash or other collateral reserves to be established. These credit card processing companies are not currently entitled to maintain any holdbacks pursuant to these requirements. These holdback requirements can be implemented at the discretion of the credit card processing companies upon the occurrence of specific events, including material adverse changes in our financial condition or the triggering of a liquidity covenant. The imposition of holdback requirements, up to and including 100% of relevant advanced ticket sales, would materially reduce our liquidity. Likewise, other of our commercial agreements contain provisions that allow counterparties to impose less-favorable terms, including the acceleration of amounts due, in the event of material adverse changes in our financial condition. For example, we maintain certain letters of credit as well as insurance- and surety-related agreements under which counterparties may require collateral, including cash collateral.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 w:right="20"/>
        <w:spacing w:after="0" w:line="293"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develop and retain additional qualified personnel could adversely affect our business.</w:t>
      </w:r>
    </w:p>
    <w:p>
      <w:pPr>
        <w:spacing w:after="0" w:line="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believe that our future success will depend in large part on our ability to attract, develop and retain highly qualified management, technical and other personnel. Retaining and recruiting people with the appropriate skills is particularly challenging as the economy in general, and the airline industry in particular, continue to recover from the COVID-19 pandemic, resulting in competition for the human resources necessary to operate our business successfully. We may not be successful in attracting, developing or retaining key personnel or other highly qualified personnel. In addition, competition for skilled personnel has intensified and may continue to intensify if overall industry capacity continues to increase and/or we were to incur attrition at levels higher than we have historically. Any inability to attract, develop and retain significant numbers of qualified management and other personnel would have a material adverse effect on our business, results of operations and financial condition.</w:t>
      </w:r>
    </w:p>
    <w:p>
      <w:pPr>
        <w:spacing w:after="0" w:line="211"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business has been and will continue to be materially affected by many changing economic, geopolitical, commercial, regulatory and other conditions beyond our control, including global events that affect travel behavior, and our results of operations could be volatile and fluctuate materially due to changes in such conditions.</w:t>
      </w:r>
    </w:p>
    <w:p>
      <w:pPr>
        <w:spacing w:after="0" w:line="22"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geopolitical, commercial, regulatory and other conditions beyond our control, including, among others:</w:t>
      </w:r>
    </w:p>
    <w:p>
      <w:pPr>
        <w:spacing w:after="0" w:line="100" w:lineRule="exact"/>
        <w:rPr>
          <w:sz w:val="20"/>
          <w:szCs w:val="20"/>
          <w:color w:val="auto"/>
        </w:rPr>
      </w:pPr>
    </w:p>
    <w:p>
      <w:pPr>
        <w:ind w:left="1300" w:right="20" w:hanging="645"/>
        <w:spacing w:after="0" w:line="286"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and higher interest rates;</w:t>
      </w:r>
    </w:p>
    <w:p>
      <w:pPr>
        <w:spacing w:after="0" w:line="99" w:lineRule="exact"/>
        <w:rPr>
          <w:rFonts w:ascii="Arial" w:cs="Arial" w:eastAsia="Arial" w:hAnsi="Arial"/>
          <w:sz w:val="18"/>
          <w:szCs w:val="18"/>
          <w:color w:val="auto"/>
        </w:rPr>
      </w:pPr>
    </w:p>
    <w:p>
      <w:pPr>
        <w:ind w:left="1300" w:hanging="64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occurrence of wars, conflicts, terrorist attacks and geopolitical instability;</w:t>
      </w:r>
    </w:p>
    <w:p>
      <w:pPr>
        <w:spacing w:after="0" w:line="170" w:lineRule="exact"/>
        <w:rPr>
          <w:rFonts w:ascii="Arial" w:cs="Arial" w:eastAsia="Arial" w:hAnsi="Arial"/>
          <w:sz w:val="18"/>
          <w:szCs w:val="18"/>
          <w:color w:val="auto"/>
        </w:rPr>
      </w:pPr>
    </w:p>
    <w:p>
      <w:pPr>
        <w:ind w:left="1300" w:hanging="64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70" w:lineRule="exact"/>
        <w:rPr>
          <w:rFonts w:ascii="Arial" w:cs="Arial" w:eastAsia="Arial" w:hAnsi="Arial"/>
          <w:sz w:val="18"/>
          <w:szCs w:val="18"/>
          <w:color w:val="auto"/>
        </w:rPr>
      </w:pPr>
    </w:p>
    <w:p>
      <w:pPr>
        <w:ind w:left="1300" w:hanging="645"/>
        <w:spacing w:after="0" w:line="286"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99" w:lineRule="exact"/>
        <w:rPr>
          <w:rFonts w:ascii="Arial" w:cs="Arial" w:eastAsia="Arial" w:hAnsi="Arial"/>
          <w:sz w:val="18"/>
          <w:szCs w:val="18"/>
          <w:color w:val="auto"/>
        </w:rPr>
      </w:pPr>
    </w:p>
    <w:p>
      <w:pPr>
        <w:jc w:val="both"/>
        <w:ind w:left="1300" w:hanging="645"/>
        <w:spacing w:after="0" w:line="268"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w:t>
      </w:r>
    </w:p>
    <w:p>
      <w:pPr>
        <w:spacing w:after="0" w:line="115" w:lineRule="exact"/>
        <w:rPr>
          <w:rFonts w:ascii="Arial" w:cs="Arial" w:eastAsia="Arial" w:hAnsi="Arial"/>
          <w:sz w:val="18"/>
          <w:szCs w:val="18"/>
          <w:color w:val="auto"/>
        </w:rPr>
      </w:pPr>
    </w:p>
    <w:p>
      <w:pPr>
        <w:ind w:left="1300" w:hanging="64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potential disruptions to the U.S. National Airspace System (the ATC system);</w:t>
      </w:r>
    </w:p>
    <w:p>
      <w:pPr>
        <w:spacing w:after="0" w:line="170" w:lineRule="exact"/>
        <w:rPr>
          <w:rFonts w:ascii="Arial" w:cs="Arial" w:eastAsia="Arial" w:hAnsi="Arial"/>
          <w:sz w:val="18"/>
          <w:szCs w:val="18"/>
          <w:color w:val="auto"/>
        </w:rPr>
      </w:pPr>
    </w:p>
    <w:p>
      <w:pPr>
        <w:ind w:left="1300" w:hanging="645"/>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70" w:lineRule="exact"/>
        <w:rPr>
          <w:rFonts w:ascii="Arial" w:cs="Arial" w:eastAsia="Arial" w:hAnsi="Arial"/>
          <w:sz w:val="18"/>
          <w:szCs w:val="18"/>
          <w:color w:val="auto"/>
        </w:rPr>
      </w:pPr>
    </w:p>
    <w:p>
      <w:pPr>
        <w:ind w:left="1300" w:hanging="645"/>
        <w:spacing w:after="0" w:line="286"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costs related to meeting our climate goals or obligations, including in respect of the costs to be incurred to migrate to increased use of SAF in lieu of conventional aviation fuel;</w:t>
      </w:r>
    </w:p>
    <w:p>
      <w:pPr>
        <w:spacing w:after="0" w:line="99" w:lineRule="exact"/>
        <w:rPr>
          <w:rFonts w:ascii="Arial" w:cs="Arial" w:eastAsia="Arial" w:hAnsi="Arial"/>
          <w:sz w:val="18"/>
          <w:szCs w:val="18"/>
          <w:color w:val="auto"/>
        </w:rPr>
      </w:pPr>
    </w:p>
    <w:p>
      <w:pPr>
        <w:ind w:left="1300" w:hanging="645"/>
        <w:spacing w:after="0" w:line="286"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outbreaks of diseases or other public health or safety concerns that affect travel behavior, such as occurred during the COVID-19 pandemic; and</w:t>
      </w:r>
    </w:p>
    <w:p>
      <w:pPr>
        <w:spacing w:after="0" w:line="99" w:lineRule="exact"/>
        <w:rPr>
          <w:rFonts w:ascii="Arial" w:cs="Arial" w:eastAsia="Arial" w:hAnsi="Arial"/>
          <w:sz w:val="18"/>
          <w:szCs w:val="18"/>
          <w:color w:val="auto"/>
        </w:rPr>
      </w:pPr>
    </w:p>
    <w:p>
      <w:pPr>
        <w:ind w:left="1300" w:hanging="645"/>
        <w:spacing w:after="0" w:line="286"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frequency, severity or duration of such disasters, and related costs caused by more severe weather due to climate change.</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COVID-19 pandemic, along with the measures governments and private organizations worldwide implemented in an attempt to contain its spread, resulted in significant volatility in demand for air travel, which adversely affected our business, operations and financial condition to an unprecedented extent and for a prolonged period. Measures implemented during the COVID-19 pandemic—such as travel restrictions, including testing regimes, “stay at home” and quarantine orders, limitations on public gatherings, cancellation of public events and many others—initially resulted in a precipitous decline in demand for both domestic and international business and leisure travel. In response to this material deterioration in demand, we took a number of aggressive actions to ameliorate the impacts to our business, operations and financial condition. While governments have loosened or lifted COVID-19-related travel restrictions, the potential for a resurgence of COVID-19, including the emergence and spread of any new variants, and its after effects remain uncertain, and there can be no assurance that any mitigating actions we take in response will be sufficient to avert a deterioration in our business, financial condition and results of operations. Additionally, the COVID-19 pandemic necessitated changes in business practices which may persist. For example, businesses and other travelers may continue to forego air travel in</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favor of remote or flexible working policies and communication alternatives such as videoconferencing. In addition, businesses may seek to reduce travel costs by requiring the purchase of less expensive tickets, thereby potentially impacting our average revenue per available seat mile.</w:t>
      </w:r>
    </w:p>
    <w:p>
      <w:pPr>
        <w:spacing w:after="0" w:line="11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addition to the effects of the COVID-19 pandemic, an outbreak of another contagious disease—such as has occurred in the past with the Ebola virus, Middle East Respiratory Syndrome, Severe Acute Respiratory Syndrome, H1N1 influenza virus, avian flu, Zika virus or any other similar illness—if it were to become associated with air travel or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greater financial or other resources and/or lower cost structures than ours, as well as other forms of transportation, such as rail and private automobiles or alternatives to commuting or business travel including remote or flexible working policies and communication alternatives such as videoconferencing. In many of our markets, we compete with at least one low-cost carrier (including so-called ultra-low-cost carriers). Our revenues are sensitive to the actions of other carriers in many areas, including pricing, scheduling, capacity, fees (including cancellation, change and baggage fees), amenities, loyalty benefits and promotions, which can have a substantial adverse impact not only on our revenues, but on overall industry revenues. These factors may become even more significant in periods when the industry experiences large losses (such as occurred during the COVID-19 pandemic), as airlines under financial stress, or in bankruptcy, may institute pricing or fee structures intended to attract more customers to achieve near-term survival at the expense of long-term viability.</w:t>
      </w:r>
    </w:p>
    <w:p>
      <w:pPr>
        <w:spacing w:after="0" w:line="12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or are price sensitive and therefore tend not to be loyal to any one particular carrier. Many of these carriers, including several that have recently commenced operations, have announced growth strategies including commitments to acquire significant numbers of new aircraft for delivery in the next few years. These low-cost carriers are attempting to continue to increase their market share through growth and consolidation, and are expected to continue to have an impact on our revenues and overall performance. We and several other large network carriers have implemented “Basic Economy” fares designed to more effectively compete against low-cost carriers, but we cannot predict whether these initiatives will be successful. While historically these carriers have provided competition in domestic markets, we have recently experienced new competition from low-cost carriers on international routes, including low-cost airlines executing international long-haul expansion strategies, a trend likely to continue, in particular with the planned introduction of long-range narrowbody aircraft in coming years. Additionally, other carriers focused on premium passenger travel are attempting to implement growth strategies. The actions of existing or future carriers, including those described above, could have a material adverse effect on our operations and financial performance.</w:t>
      </w:r>
    </w:p>
    <w:p>
      <w:pPr>
        <w:spacing w:after="0" w:line="13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certain instances, other air carriers are attempting to operate scheduled service with a business model that relies on FAA Part 135, a regulatory environment that is generally less stringent than the rules applicable to our airline and similar airlines that operate under FAA Part 121 and which provides those airlines certain competitive advantages that Part 121 airlines cannot replicate. We have objected to the DOT and TSA that the less stringent Part 135 rules were never intended as a basis for scheduled passenger service and that business model should not be permissible, and the agencies’ review is ongoing. A DOT or TSA decision to allow scheduled passenger service under Part 135 and the actions of existing or future carriers using that business model, including those described above, could adversely impact our business, financial condition and results of operations.</w:t>
      </w:r>
    </w:p>
    <w:p>
      <w:pPr>
        <w:spacing w:after="0" w:line="12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provide air travel internationally, directly as well as through joint businesses, strategic alliances, codeshare and similar arrangements to which we are a party. While our network is comprehensive, compared to some of our key global competitors, we generally have somewhat greater relative exposure to certain regions (for example, Latin America) and somewhat lower relative exposure to others (for example, Asia). Our financial performance relative to our key competitors will therefore be influenced significantly by macro-economic conditions in particular regions around the world and the relative exposure of our network to the markets in those regions, including the duration of any declines in demand for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travel to specific regions as a result of health emergencies (such as during the COVID-19 pandemic), geopolitical instability or other factors, and the speed with which demand for travel to these regions returns.</w:t>
      </w:r>
    </w:p>
    <w:p>
      <w:pPr>
        <w:spacing w:after="0" w:line="10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Our international service exposes us to foreign economies and the potential for reduced demand when any foreign country we serve suffers adverse local economic conditions or if governments restrict commercial air service to or from any of these markets. For example, the COVID-19 pandemic resulted in a precipitous and prolonged decline in demand for air travel, in particular international travel, in part as a result of the imposition by the U.S. and foreign governments of restrictions on travel from certain regions. In addition, open skies agreements, which are now in place with a substantial number of countries around the world, provide international airlines with open access to U.S. markets, potentially subjecting us to increased competition on our international routes. See also </w:t>
      </w:r>
      <w:r>
        <w:rPr>
          <w:rFonts w:ascii="Arial" w:cs="Arial" w:eastAsia="Arial" w:hAnsi="Arial"/>
          <w:sz w:val="18"/>
          <w:szCs w:val="18"/>
          <w:i w:val="1"/>
          <w:iCs w:val="1"/>
          <w:color w:val="auto"/>
        </w:rPr>
        <w:t>“Our business is subject to extensive</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regulation, which may result in increases in our costs, disruptions to our operations, limits on our operating flexibility, reductions in the demand for air travel, and competitive disadvantages.”</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To the extent alliances formed by our competitors can undertake activities that are not available to us, including as to regulatory approvals, access slots, gates and routes and other matters,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 has established a transatlantic joint business with British Airways, Aer Lingus, Iberia and Finnair, a transpacific joint business with Japan Airlines and a joint business relating to Australia and New Zealand with Qantas. We have also established a strategic alliance with Alaska Airlines relating to certain routes on the West Coast of the United States and a strategic alliance relating to the Middle East with Qatar Airways. In July 2010, in connection with a regulatory review related to our transatlantic joint business, we provided certain commitments to the EC regarding, among other things, the availability of take-off and landing slots at LHR or LGW airports. The commitments accepted by the EC were binding for 10 years. In anticipation of both the exit of the United Kingdom from the EU, commonly referred to as Brexit, and the expiry of the EC commitments in July 2020, the CMA, in October 2018, opened an investigation into the transatlantic joint business. In September 2020 and April 2022, the CMA adopted interim measures that effectively extend the EC commitments until March 2026 in light of the uncertainty and other impacts resulting from the COVID-19 pandemic. The CMA restarted its investigation in September 2023 after a pause related to the COVID-19 pandemic and plans to complete the investigation before the scheduled expiration of the interim measures in March 2026. We continue to cooperate fully with the CMA. The foregoing arrangements are important aspects of our international network and we are dependent on the performance and continued cooperation of the other airlines party to those arrangements.</w:t>
      </w:r>
    </w:p>
    <w:p>
      <w:pPr>
        <w:spacing w:after="0" w:line="130"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On May 19, 2023, the U.S. District Court for the District of Massachusetts issued an order permanently enjoining American and JetBlue from continuing and further implementing the NEA. In June 2023, JetBlue delivered a notice of termination of the NEA, effective July 29, 2023, and the carriers have commenced wind-down activities to accommodate mutual customers. American has appealed the District Court’s decision to the Court of Appeals for the First Circuit; American’s opening brief was filed on December 6, 2023. Separately, in December 2022, two putative class action lawsuits were filed in the U.S. District Court for the Eastern District of New York alleging that American and JetBlue violated U.S. antitrust law in connection with the previously disclosed NEA. In February 2023, private party plaintiffs filed two additional putative class action antitrust complaints against American and JetBlue in the U.S. District Court for the District of Massachusetts and the U.S. District Court for the Eastern District of New York, respectively. All cases have since been consolidated in the U.S. District Court for the Eastern District of New York. American, together with JetBlue, filed a motion to dismiss on September 21, 2023, which remains pending. The motions to dismiss argue, among other things, that the plaintiffs each waived their right to bring class action claims. We believe these complaints are without merit and are defending against them vigorously.</w:t>
      </w:r>
    </w:p>
    <w:p>
      <w:pPr>
        <w:spacing w:after="0" w:line="13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No assurances can be given as to any benefits that we may derive from any of the foregoing arrangements or any other arrangements that may ultimately be implemented, or whether regulators will, or if granted continue to, approve or impose material conditions on our business activities.</w:t>
      </w:r>
    </w:p>
    <w:p>
      <w:pPr>
        <w:spacing w:after="0" w:line="11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Other mergers and other forms of airline partnerships, including regulatory approvals such as antitrust immunity grants, may take place and may not involve us as a participant, or could result in unforeseen impacts on the industry generally and our company in particular. Depending on which carriers combine or integrate and which assets, if any, are sold or otherwise transferred to other carriers in connection with any such transactions, our competitive position relative to the post-transaction carriers or other carriers that acquire such assets could be harmed. In addition, as carriers combine through traditional mergers or integrate their operations through other arrangements, their route networks will grow, and that growth will result in greater overlap with our network, which in turn could decrease our overall market share and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revenues. Such combination or collaboration is not limited to the U.S., but could include further transactions among international carriers in Europe and elsewhere that result in broader networks offered by rival airlines.</w:t>
      </w:r>
    </w:p>
    <w:p>
      <w:pPr>
        <w:spacing w:after="0" w:line="10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Additionally, our AAdvantage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In addition, we have used certain assets from our AAdvantage program as collateral for the AAdvantage Financing, which contains covenants that impose restrictions on certain amendments or changes to certain of our AAdvantage program agreements provided as collateral under the AAdvantage Financing and other aspects of the AAdvantage program. These competitive factors and covenants (to the extent applicable) may affect our ability to attract and retain customers, increase usage of our loyalty program and maximize the revenue generated by our loyalty program.</w:t>
      </w:r>
    </w:p>
    <w:p>
      <w:pPr>
        <w:spacing w:after="0" w:line="12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may also be impacted by competition regulations affecting certain of our major commercial partners, including our co-branded credit card partners. For example, there has been bipartisan legislation proposed in Congress called the Credit Card Competition Act designed to increase credit card transaction routing options for merchants which, if enacted, could result in a reduction of the fees levied on credit card transactions. If this legislation or any similar legislation or regulation were enacted, it could fundamentally alter the profitability of our agreements with co-branded credit card partners and the benefits we provide to our consumers through the co-branded credit cards issued by these partners.</w:t>
      </w:r>
    </w:p>
    <w:p>
      <w:pPr>
        <w:spacing w:after="0" w:line="209"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may adversely affect our operations and financial performance.</w:t>
      </w:r>
    </w:p>
    <w:p>
      <w:pPr>
        <w:spacing w:after="0" w:line="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Relations between air carriers and labor unions in the U.S. are governed by the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NMB. As of December 31, 2023, approximately 87% of our employees were represented for collective bargaining purposes by labor unions, and 34% were covered by CBAs that are currently amendable or that will become amendable within one year. For the dates that the CBAs with our major work groups become amendable under the RLA, see </w:t>
      </w:r>
      <w:r>
        <w:rPr>
          <w:rFonts w:ascii="Arial" w:cs="Arial" w:eastAsia="Arial" w:hAnsi="Arial"/>
          <w:sz w:val="18"/>
          <w:szCs w:val="18"/>
          <w:i w:val="1"/>
          <w:iCs w:val="1"/>
          <w:color w:val="auto"/>
        </w:rPr>
        <w:t>“Labor Relations”</w:t>
      </w:r>
      <w:r>
        <w:rPr>
          <w:rFonts w:ascii="Arial" w:cs="Arial" w:eastAsia="Arial" w:hAnsi="Arial"/>
          <w:sz w:val="18"/>
          <w:szCs w:val="18"/>
          <w:color w:val="auto"/>
        </w:rPr>
        <w:t xml:space="preserve"> under Part I, Item 1. Business – </w:t>
      </w:r>
      <w:r>
        <w:rPr>
          <w:rFonts w:ascii="Arial" w:cs="Arial" w:eastAsia="Arial" w:hAnsi="Arial"/>
          <w:sz w:val="18"/>
          <w:szCs w:val="18"/>
          <w:i w:val="1"/>
          <w:iCs w:val="1"/>
          <w:color w:val="auto"/>
        </w:rPr>
        <w:t>“Sustainability</w:t>
      </w:r>
      <w:r>
        <w:rPr>
          <w:rFonts w:ascii="Arial" w:cs="Arial" w:eastAsia="Arial" w:hAnsi="Arial"/>
          <w:sz w:val="18"/>
          <w:szCs w:val="18"/>
          <w:color w:val="auto"/>
        </w:rPr>
        <w:t xml:space="preserve"> – </w:t>
      </w:r>
      <w:r>
        <w:rPr>
          <w:rFonts w:ascii="Arial" w:cs="Arial" w:eastAsia="Arial" w:hAnsi="Arial"/>
          <w:sz w:val="18"/>
          <w:szCs w:val="18"/>
          <w:i w:val="1"/>
          <w:iCs w:val="1"/>
          <w:color w:val="auto"/>
        </w:rPr>
        <w:t>Our People</w:t>
      </w:r>
      <w:r>
        <w:rPr>
          <w:rFonts w:ascii="Arial" w:cs="Arial" w:eastAsia="Arial" w:hAnsi="Arial"/>
          <w:sz w:val="18"/>
          <w:szCs w:val="18"/>
          <w:color w:val="auto"/>
        </w:rPr>
        <w:t>.”</w:t>
      </w:r>
    </w:p>
    <w:p>
      <w:pPr>
        <w:spacing w:after="0" w:line="12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this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arbitral avenues could result in material additional costs that we did not anticipate.</w:t>
      </w:r>
    </w:p>
    <w:p>
      <w:pPr>
        <w:spacing w:after="0" w:line="12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Currently, we believe our labor costs are generally competitive relative to the other large network carriers. However, personnel shortages, in particular for pilots, and general wage inflation stand to impact our labor costs moving forward. In July 2023, we reached a tentative agreement with the union representing our mainline pilots, which was subsequently ratified by the pilots in August 2023. The new agreement, which became effective in the third quarter of 2023, includes significant increases in pilot pay and benefits, in line with agreements recently concluded by our large network competitors with their pilots’ unions. We remain in negotiations for other new labor agreements and anticipate that any new contracts we agree to with our labor groups will include material increases in salaries and other benefits, which will significantly increase our labor expense.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A significant portion of our regional operations are conducted by third-party operators on our behalf and are provided for under capacity purchase agreements. Due to our reliance on third parties to provide these essential services, we are subject to the risk of disruptions to their operations, which has in the past and may in the future result from many of the same risk factors disclosed in this report, such as the impact of adverse economic conditions, the inability of third parties to hire or retain skilled personnel, including in particular pilots and mechanics, and other risk factors, such as an out-of-court or bankruptcy restructuring of any of our regional operators. Several of these third-party regional operators provide significant regional capacity that we would be unable to replace in a short period of time should that operator fail to perform its obligations to us. Disruptions to capital markets, shortages of pilots, mechanics and other skilled personnel and adverse economic conditions in general have subjected certain of these third-party regional operators to significant financial pressures, which have in the past and may in the future lead to bankruptcies among these operators. In particular, the severe decline in demand for air travel resulting from the COVID-19 pandemic and related governmental restrictions on travel materially impacted demand for services provided by our regional carriers and, as a result, we temporarily significantly reduced our regional capacity. Further, as airlines attempt to restore capacity in line with increased demand for air travel following the height of the COVID-19 pandemic, these third-party operators have experienced difficulties in recruiting and retaining sufficient personnel to operate significantly increased schedules, and have in some instances been required to offer significant increases in pay and other benefits to recruit and retain pilots and other personnel. Periods of volatility in travel demand have the potential to adversely affect our regional operators, some of whom may experience significant financial stress, declare bankruptcy or otherwise cease to operate. We may also experience disruption to our regional operations or incur financial damages if we terminate the capacity purchase agreement with one or more of our current operators or transition the services to another provider. Any significant disruption to our regional operations would have a material adverse effect on our business, results of operations and financial condition.</w:t>
      </w:r>
    </w:p>
    <w:p>
      <w:pPr>
        <w:spacing w:after="0" w:line="33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addition, our reliance upon others to provide essential services on our behalf in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fueling, catering,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These third parties are also facing challenges retaining and recruiting people with the appropriate skills to meet our requirements as the economy in general, and the airline industry in particular, continue to recover from the COVID-19 pandemic. The COVID-19 pandemic also caused significant disruption in global supply chains and staffing shortages, which have affected and may continue to affect the availability and timely delivery and fulfillment of many goods, including certain of those that we purchase directly or which are required by third parties to perform contracted services for us. We rely on the operation of complex supply chains and a large number of third parties for the procurement and fulfillment of parts, components, consumable or disposable goods and other products and services essential to our business. Following a faster than expected return of demand for air travel as COVID-19 cases declined worldwide and governments lifted travel restrictions, suppliers and many of the airports we serve experienced acute shortages of personnel, resulting in increased delays, cancellations and, in certain cases, restrictions on passenger numbers or the number of flights to or from certain airports. We cannot guarantee that, as a result of ongoing or future supply chain disruptions or staffing shortages, we, our third-party partners, or the airports we serve will be able to timely source all of the products and services we require in the course of our business, or that we will be successful in procuring suitable alternatives. Any material problems with the adequacy, efficiency and timeliness of contract services, resulting from financial hardships, personnel shortages or otherwise, could have a material adverse effect on our business, results of operations and financial condition.</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among other things,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including greenwashing concerns regarding our advertising campaigns and marketing programs related to our sustainability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initiatives, or customer perceptions of statements made by us, our employees and executives, agents or other third parties. In addition, we operate in a highly visible industry that has significant exposure to social media. Negative publicity, including as a result of misconduct by our customers, vendors or employees, can spread rapidly through social media. Should we not respond in a timely and appropriate manner to address negative publicity, our brand and reputation may be significantly harmed. Damage to our reputation or brand image or loss of customer confidence in our services could adversely affect our business and financial results, as well as require additional resources to rebuild our reputation.</w:t>
      </w:r>
    </w:p>
    <w:p>
      <w:pPr>
        <w:spacing w:after="0" w:line="12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Moreover, an outbreak and spread of an infectious disease could adversely impact consumer perceptions of the health and safety of travel, and in particular airline travel, such as occurred during the COVID-19 pandemic. Actual or perceived risk of infection on our flights could have a material adverse effect on the public's perception of us and may harm our reputation and business. We have in the past, and may in the future be required to take extensive measures to reassure our team members and the traveling public of the safety of air travel, and we could incur significant costs implementing safety, hygiene-related or other actions to limit the actual or perceived threat of infection among our employees and passengers. However, we cannot assure that any actions we might take in response to an infectious disease outbreak will be sufficient to restore the confidence of consumers in the safety of air travel. In addition, as a result of mask mandates and other mitigating measures that airports and carriers were required by law to implement to limit the spread of COVID-19, we experienced an increase in the incidence of aggressive customer behavior and physical confrontation on our flights, certain of which resulted in injuries to our personnel. While the rate of these incidents has declined following the lifting of mask mandates and other COVID-19 measures, if our employees feel unsafe or believe that we are not doing enough to prevent and prosecute such incidents, we could experience higher rates of employee absence or attrition and we may suffer reputational harm which could make it more difficult to attract and retain employees, and which could in turn negatively affect our business, financial condition and results of operations.</w:t>
      </w:r>
    </w:p>
    <w:p>
      <w:pPr>
        <w:spacing w:after="0" w:line="213"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2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are at risk of adverse publicity stemming from any public incident involving our company, our people or our brand, particularly given the ease with which individuals can now capture and rapidly disseminate information via social media. Such an incident could involve the actual or alleged behavior of any of our employees, contractors or passengers. Further, if our personnel, one of our aircraft, a type of aircraft in our fleet,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inadequate, we may be forced to bear substantial losses from an incident or accident. In addition, any such incident, accident, catastrophe or action involving our personnel, one of our aircraft (or personnel and aircraft of our regional operators and our codeshare partners), or a type of aircraft in our fleet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15"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have in the past instituted, and intend to institute in the future, changes to our business model designed to increase revenues and offset costs. These measures include further segmentation of the classes of service we offer, such as Premium Economy service and Basic Economy service, enhancements to our AAdvantage program, charging separately for services that had previously been included within the price of a ticket, changes to our practices and contracts with providers of distribution systems to provide additional content flexibility, commercial practices related to ticket distribution channels, including efforts by us to migrate an increasing portion of our customers to our modern, direct distribution channels in lieu of third party channels, changing (whether it be increasing, decreasing or eliminating) other pre-existing fees, reconfiguration of our aircraft cabins, and efforts to optimize our network including by focusing growth on a limited number of large hubs and entering into agreements with other airlines. For example, in 2020, we eliminated change fees for most domestic and international tickets, which has reduced our change fee revenue, a trend which is expected to continue assuming this policy remains in place. We may introduce additional initiatives in the future; however, as time goes on, we expect that it will be more difficult to identify and implement additional initiatives. We cannot assure that these measures or any future initiatives will be successful in increasing our revenues or offsetting our costs. Additionally, the implementation of these initiatives may create logistical challenges that could harm the operational performance of our airline or result in decreased demand. Also, our implementation of any new or increased fees might result in adverse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brand perceptions, reputational harm or regulatory scrutiny, and could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199"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we have used certain of our branding and AAdvantage program intellectual property as collateral for various financings (including the AAdvantage Financing, defined in the accompanying notes to the consolidated financial statements to this Annual Report on Form 10-K), which contain covenants that impose restrictions on the use of such intellectual property and, in the case of the AAdvantage Financing, on certain amendments or changes to our AAdvantage program. These covenants may have an adverse effect on our ability to use such intellectual property.</w:t>
      </w:r>
    </w:p>
    <w:p>
      <w:pPr>
        <w:spacing w:after="0" w:line="207" w:lineRule="exact"/>
        <w:rPr>
          <w:sz w:val="20"/>
          <w:szCs w:val="20"/>
          <w:color w:val="auto"/>
        </w:rPr>
      </w:pPr>
    </w:p>
    <w:p>
      <w:pPr>
        <w:ind w:left="260" w:right="20"/>
        <w:spacing w:after="0" w:line="293"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Note 11(e) to AAG’s Consolidated Financial Statements in Part II, Item 8A and Note 10(e) to American’s Consolidated Financial Statements in Part II, Item 8B.</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ability to utilize our NOLs and other carryforwards may be limited.</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At December 31, 2023, we had approximately $13.7 billion of gross federal NOLs and $4.7 billion of other carryforwards available to reduce future federal taxable income, of which $3.4 billion will expire beginning in 2029 if unused and $15.0 billion can be carried forward indefinitely. We also had approximately $5.5 billion of NOL carryforwards to reduce future state taxable income at December 31, 2023, which will expire in taxable years 2023 through 2043 if unused. Our NOL carryforwards are subject to adjustment on audit by the Internal Revenue Service and the respective state taxing authorities. Additionally, due to the impact of the COVID-19 pandemic and other economic factors, certain of the NOL carryforwards may expire before we can generate sufficient taxable income to use them.</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There can be no assurance that an additional valuation allowance on our net deferred tax assets will not be required should our financial performance be negatively impacted in the future. Such valuation allowance could be material.</w:t>
      </w:r>
    </w:p>
    <w:p>
      <w:pPr>
        <w:spacing w:after="0" w:line="11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during a rolling three-year period). In 2013, we experienced an ownership change in connection with our emergence from bankruptcy and US Airways Group, Inc. (US Airways Group) experienced an ownership change in connection with the merger of US Airways Group and AMR Corporation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$3.0 billion of unlimited NOLs still remaining at December 31, 2023) of our federal NOL carryforwards to be utilized without regard to the annual limitation generally imposed by Section 382. If the special rules are determined not to apply, our ability to utilize such federal NOL carryforwards may be subject to limitation. Potential future transactions involving warrants, stock options, common or preferred stock or other equity, may increase the possibility that the Company will experience a future "ownership change" under Section</w:t>
      </w:r>
    </w:p>
    <w:p>
      <w:pPr>
        <w:spacing w:after="0" w:line="1" w:lineRule="exact"/>
        <w:rPr>
          <w:sz w:val="20"/>
          <w:szCs w:val="20"/>
          <w:color w:val="auto"/>
        </w:rPr>
      </w:pPr>
    </w:p>
    <w:p>
      <w:pPr>
        <w:jc w:val="both"/>
        <w:ind w:firstLine="8"/>
        <w:spacing w:after="0" w:line="258" w:lineRule="auto"/>
        <w:tabs>
          <w:tab w:leader="none" w:pos="4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Notwithstanding the foregoing, an ownership change may severely limit or effectively eliminate our ability to utilize our NOL carryforwards and other tax attributes. In connection with the expiration in December 2021 of certain transfer restrictions applicable to substantial shareholders contained in our Certificate of Incorporation, the Board of Directors of AAG adopted a tax benefits preservation plan (the Tax Benefit Preservation Plan) in order to preserve our ability to use our NOLs and certain other tax attributes to reduce potential future income tax obligations. The Tax Benefit Preservation Plan was subsequently ratified by our stockholders at the 2022 Annual Meeting of Stockholders of AAG. The Tax Benefit Preservation Plan is designed to reduce the likelihood that we experience an ownership change by deterring certain acquisitions of AAG common stock. There is no assurance, however, that the deterrent mechanism will be effective, and such acquisitions may still occur. In addition, the Tax Benefit Preservation Plan may adversely affect the marketability of AAG common stock by discouraging existing or potential investors from acquiring AAG common stock or additional shares of AAG common stock, because any non-exempt third party that acquires 4.9% or more of the then-outstanding shares of AAG common stock would suffer substantial dilution of its ownership interest in AAG.</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New U.S. tax legislation may adversely affect our financial condition, results of operations and cash flows.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are subject to taxation at the federal, state and local levels in the United States. The U.S. government may enact significant changes to the taxation of business entities. For example, on August 16, 2022, the Inflation Reduction Act was signed into law, introducing, among other changes, a corporate minimum tax on certain corporations and an excise tax on certain stock repurchases by certain corporations. While certain other draft legislation has been proposed, the likelihood of any proposed changes to the tax law being enacted or implemented is unclear, and we are currently unable to predict whether such changes will occur. If any such changes are implemented, we are currently unable to predict the ultimate impact on our business and therefore there can be no assurance our business will not be adversely affected.</w:t>
      </w:r>
    </w:p>
    <w:p>
      <w:pPr>
        <w:spacing w:after="0" w:line="209"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5"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2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Future impairment of goodwill, intangible assets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demand for certain aircraft types could result from grounding of aircraft by us or other airlines, including as a result of significant or prolonged declines in demand for air travel and corresponding reductions to capacity. We can provide no assurance that a material impairment loss of tangible or intangible assets will not occur in a future period; we have previously incurred significant impairment charges associated with our decision to retire certain aircraft as a result of the severe decline in demand for air travel due to the COVID-19 pandemic, and the risk of future material impairments remains uncertain. Such impairment charges could have a material adverse effect on our business, results of operations and financial condition.</w:t>
      </w:r>
    </w:p>
    <w:p>
      <w:pPr>
        <w:spacing w:after="0" w:line="209"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The commercial relationships that we have with other companies, including any related equity investments, may not produce the returns or results we expect.</w:t>
      </w:r>
    </w:p>
    <w:p>
      <w:pPr>
        <w:spacing w:after="0" w:line="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An important part of our strategy to expand our network has been to initiate or expand our commercial relationships with other airlines, such as by entering into global alliance, joint business and codeshare relationships, and, in certain instances, including China Southern Airlines, GOL and JetSMART, by making an equity investment in another airline in connection with initiating or expanding such a commercial relationship. We may explore additional investments in, and joint ventures and strategic alliances with, other carriers as part of our global business strategy. We face competition in forming and maintaining these commercial relationships since there are a limited number of potential 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if any, or that they may not generate the expected revenue synergies, and they may distract management focus from our operations or other strategic options. We may also be subject to consequences from any illegal conduct of joint business partners as well as to any political or regulatory change that negatively impacts or prohibits our arrangements with any such business partners. In addition, as a result of the COVID-19 pandemic and subsequent economic recovery, the industry experienced significant volatility in demand for air travel both internationally and domestically, which is expected to continue into the foreseeable future and could materially disrupt our partners' abilities to provide air service, the timely execution of our strategic operating plans, including the finalization, approval and implementation of new strategic relationships or the maintenance or expansion of existing relationships. If any carriers with which we partner or in which we hold an equity stake were to cease trading or be declared insolvent, we could lose the value of any such investment or experience significant operational disruption, which is a risk that we are subject to with respect to our investment in and commercial arrangements with GOL in light of its commencement in January 2024 of bankruptcy proceedings in the U.S. Federal Bankruptcy Court for the Southern District of New York. These events could have a material adverse effect on our business, results of operations and financial condition.</w:t>
      </w:r>
    </w:p>
    <w:p>
      <w:pPr>
        <w:spacing w:after="0" w:line="13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may also from time to time pursue commercial relationships with companies outside the airline industry, which relationships may include equity investments or other financial commitments. Any such relationship or related investment could involve unique risks, particularly where these relationships involve new industry participants, emerging technologies or industries with which we are unfamiliar.</w:t>
      </w:r>
    </w:p>
    <w:p>
      <w:pPr>
        <w:spacing w:after="0" w:line="199"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2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and thus is a significant factor in the price of airline tickets. Market prices for aircraft fuel have fluctuated substantially over the past several years and prices continue to be highly volatile, with market spot prices ranging from a low of approximately $1.32 per gallon to a high of approximately $4.40 per gallon during the period from January 1, 2021 to December 31, 2023. Aircraft fuel prices reflect not only the price of underlying crude oil, but also the price charged to refine crude oil into aircraft fuel (often referred to as the “crack spread”), transportation costs, handling costs and taxes, and increases in any of these underlying components would increase the price we ultimately pay for aircraft fuel.</w:t>
      </w:r>
    </w:p>
    <w:p>
      <w:pPr>
        <w:spacing w:after="0" w:line="1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cannot predict the future availability, price volatility or cost of aircraft fuel. Natural disasters (including hurricanes or similar events in the U.S. Southeast and on the Gulf Coast where a significant portion of domestic refining capacity is located), political disruptions or armed conflicts involving oil-producing countries or impacting global trade routes, changes in production levels of individual nations or associations of oil-producing states, economic sanctions imposed against oil-producing countries or specific industry participants, changes in fuel-related governmental policy, the strength of the U.S. dollar against foreign currencies, changes in the cost to transport or store petroleum products and any related staffing or transportation equipment shortages, changes in access to petroleum product pipelines and terminals, speculation in the energy futures markets, changes in aircraft fuel production capacity, environmental concerns and other unpredictable events, may result in fuel supply shortages, variations in the applicable crack spread, distribution challenges, additional fuel price volatility and cost increases in the future.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w:t>
      </w:r>
    </w:p>
    <w:p>
      <w:pPr>
        <w:spacing w:after="0" w:line="13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Accordingly, as of December 31, 2023, we did not have any fuel hedging contracts outstanding to hedge our fuel consumption. As such, and assuming we do not enter into any future transactions to hedge our fuel consumption, we will continue to be fully exposed to fluctuations in fuel prices. See also the discussion in Part II, Item 7A. Quantitative and Qualitative Disclosures About Market Risk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“Aircraft Fuel.”</w:t>
      </w:r>
    </w:p>
    <w:p>
      <w:pPr>
        <w:spacing w:after="0" w:line="15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as part of our emissions reduction targets, we and other airlines have committed to increasing the use of SAF in our fleet. Currently, industrial production of SAF is small in scale and inadequate to meet growing industry demand, and while additional production capacity is expected to become operational in the coming years, we anticipate that competition for SAF among industry participants will remain intense. As a result, SAF may be significantly more costly than conventional jet fuel. To secure future SAF supply, we have entered into multiple agreements for the purchase of future SAF production, and we continue to engage with producers regarding potential future SAF purchases, which may include investments and other commitments to support these producers. Certain existing or potential future agreements pertain to SAF production from facilities that are planned but not yet financed, and which may utilize technology that has not been proven at commercial scale. There is no assurance that these facilities will be built or that they will meet contracted production timelines and volumes. In the event that the SAF is not delivered on schedule or in sufficient volumes, there can be no assurance that we will be able to source a supply of SAF sufficient to meet our stated goals, or that we will be able to do so on favorable economic terms.</w:t>
      </w:r>
    </w:p>
    <w:p>
      <w:pPr>
        <w:spacing w:after="0" w:line="212" w:lineRule="exact"/>
        <w:rPr>
          <w:sz w:val="20"/>
          <w:szCs w:val="20"/>
          <w:color w:val="auto"/>
        </w:rPr>
      </w:pPr>
    </w:p>
    <w:p>
      <w:pPr>
        <w:ind w:left="260" w:right="20"/>
        <w:spacing w:after="0" w:line="293"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5"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and state and local governments have passed laws and regulatory initiatives, and the DOT, the FAA, the TSA and several of their respective international counterparts have issued regulations and a number of other directives that affect the airline industry. These requirements impose substantial costs on us and restrict the ways we may conduct our business.</w:t>
      </w:r>
    </w:p>
    <w:p>
      <w:pPr>
        <w:spacing w:after="0" w:line="12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and prolonged grounding of aircraft or engine types altogether including, for example, the March 2019 grounding of all Boeing 737 MAX Family aircraft, which was not lifted in the United States until November 2020, the January 2024 grounding of 737-9 MAX aircraft (a model that we do not operate), and the significant limitations imposed on the use of Pratt &amp; Whitney GTF aircraft engines on certain Airbus aircraft (an engine that we do not use in our fleet), or otherwise caused substantial disruption and resulted in material costs to us and lost revenues. The recent telecom industry roll-out of 5G technology, and concerns regarding its possible interference with aircraft navigation systems, also resulted in regulatory uncertainty and the potential for operational impacts, including possible suspension of service to certain airports or the operation of certain aircraft, though the issue has since been resolved. See “</w:t>
      </w:r>
      <w:r>
        <w:rPr>
          <w:rFonts w:ascii="Arial" w:cs="Arial" w:eastAsia="Arial" w:hAnsi="Arial"/>
          <w:sz w:val="18"/>
          <w:szCs w:val="18"/>
          <w:i w:val="1"/>
          <w:iCs w:val="1"/>
          <w:color w:val="auto"/>
        </w:rPr>
        <w:t>We rely heavily on technology and automated systems to operate our business, and any failure of these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technologies or systems could harm our business, results of operations and financial condition.” </w:t>
      </w:r>
      <w:r>
        <w:rPr>
          <w:rFonts w:ascii="Arial" w:cs="Arial" w:eastAsia="Arial" w:hAnsi="Arial"/>
          <w:sz w:val="18"/>
          <w:szCs w:val="18"/>
          <w:color w:val="auto"/>
        </w:rPr>
        <w:t>The FAA also exercises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authority over nearly all technical aspects of our operations. Our failure to comply with such requirements has in the past and may in the future result in fines and other enforcement actions by the FAA or other regulators. In the future, any new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0"/>
        <w:spacing w:after="0" w:line="286" w:lineRule="auto"/>
        <w:rPr>
          <w:sz w:val="20"/>
          <w:szCs w:val="20"/>
          <w:color w:val="auto"/>
        </w:rPr>
      </w:pPr>
      <w:r>
        <w:rPr>
          <w:rFonts w:ascii="Arial" w:cs="Arial" w:eastAsia="Arial" w:hAnsi="Arial"/>
          <w:sz w:val="18"/>
          <w:szCs w:val="18"/>
          <w:color w:val="auto"/>
        </w:rPr>
        <w:t>regulatory requirements, particularly requirements that limit our ability to operate or price our products, could have a material adverse effect on us and the industry.</w:t>
      </w:r>
    </w:p>
    <w:p>
      <w:pPr>
        <w:spacing w:after="0" w:line="10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2018, Congress passed a five-year funding authorization for the FAA which was scheduled to expire on September 30, 2023, but was recently extended to March 8, 2024. The legislative process to renew this authorization (the FAA Authorization Renewal) could impact us, and commercial aviation more generally, in numerous ways. As part of the FAA Authorization Renewal, Congress could seek to impose new rules or regulations concerning, among other things, customer service, aviation safety, labor requirements, investments in FAA staffing and resources, improvements to the ATC system and managing new entrants in the U.S. national airspace system, as well as new or increased fees or taxes intended to fund these policies. Any new or enhanced requirements resulting from the FAA Authorization Renewal have the potential to increase our costs or impact our operation. Congressional action on the FAA Authorization Renewal has already begun and Congress has indicated that their goal is to pass the bill in advance of the newly set March 8, 2024 expiration. If Congress fails to pass the FAA Authorization Renewal, we expect passage of an additional extension of the current law to prevent a lapse in authorities.</w:t>
      </w:r>
    </w:p>
    <w:p>
      <w:pPr>
        <w:spacing w:after="0" w:line="13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DOT consumer rules, and rules promulgated by certain analogous agencies in other countries we serve, dictate procedures for many aspects of our customer’s journey, including at the time of ticket purchase, at the airport and onboard the aircraft. DOT requires multiple disclosures of airline fares, taxes and baggage fees and is further changing these requirements to increase the number of disclosures and the time at which they must be disclosed. DOT also recently issued a proposed rule mandating refunds in certain circumstances, such as a global pandemic. DOT has also proposed rules requiring disclosure of certain ancillary fees by air carriers and travel agents. Finally, the DOT finalized rules in 2023 for accessible lavatories on single-aisle aircraft and has continued to work through proposals for a number of disability regulations that will impact us, including penalties for wheelchair loss or damage and prompt wheelchair assistance.</w:t>
      </w:r>
    </w:p>
    <w:p>
      <w:pPr>
        <w:spacing w:after="0" w:line="12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2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Similarly, there are a number of legislative and regulatory initiatives and reforms at the state and local levels in the U.S. These initiatives include increasingly stringent laws to protect the environment, wage/hour requirements, mandatory paid sick or family leave and healthcare mandates. These laws could affect our relationship with our workforce and the vendors that serve our airline and cause our expenses to increase without an ability to pass through these costs. In recent years, the airline industry has experienced an increase in litigation over the application of state and local employment laws, particularly in California. Application of these laws may result in operational disruption, increased litigation risk and impact our negotiated labor agreements. For example, we are currently involved in legal proceedings in California concerning alleged violations of the state’s labor code including, among other things, violations of certain meal and rest break laws, and an adverse determination in any of these cases could adversely impact our operational flexibility and result in the imposition of damages and fines, which could potentially be significant. We have reached an agreement to settle a class litigation brought by flight attendants in California and anticipate final approval by the court in the first quarter of 2024. In addition, legislation passed by the California legislature in March 2023 should effectively foreclose future meal and rest break claims from flight attendants in California. However, there is still risk of future litigation from flight attendants and other work groups involving other types of wage and hour laws in California and other jurisdictions which could seek to implement similar laws.</w:t>
      </w:r>
    </w:p>
    <w:p>
      <w:pPr>
        <w:spacing w:after="0" w:line="13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100" w:lineRule="exact"/>
        <w:rPr>
          <w:sz w:val="20"/>
          <w:szCs w:val="20"/>
          <w:color w:val="auto"/>
        </w:rPr>
      </w:pPr>
    </w:p>
    <w:p>
      <w:pPr>
        <w:ind w:left="1300" w:hanging="645"/>
        <w:spacing w:after="0" w:line="286"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99" w:lineRule="exact"/>
        <w:rPr>
          <w:rFonts w:ascii="Arial" w:cs="Arial" w:eastAsia="Arial" w:hAnsi="Arial"/>
          <w:sz w:val="18"/>
          <w:szCs w:val="18"/>
          <w:color w:val="auto"/>
        </w:rPr>
      </w:pPr>
    </w:p>
    <w:p>
      <w:pPr>
        <w:jc w:val="both"/>
        <w:ind w:left="1300" w:right="20" w:hanging="645"/>
        <w:spacing w:after="0" w:line="268"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 and the imposition of regulatory investigations or commencement of litigation related to any of the foregoing;</w:t>
      </w:r>
    </w:p>
    <w:p>
      <w:pPr>
        <w:spacing w:after="0" w:line="115" w:lineRule="exact"/>
        <w:rPr>
          <w:rFonts w:ascii="Arial" w:cs="Arial" w:eastAsia="Arial" w:hAnsi="Arial"/>
          <w:sz w:val="18"/>
          <w:szCs w:val="18"/>
          <w:color w:val="auto"/>
        </w:rPr>
      </w:pPr>
    </w:p>
    <w:p>
      <w:pPr>
        <w:ind w:left="1300" w:hanging="645"/>
        <w:spacing w:after="0" w:line="286"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99" w:lineRule="exact"/>
        <w:rPr>
          <w:rFonts w:ascii="Arial" w:cs="Arial" w:eastAsia="Arial" w:hAnsi="Arial"/>
          <w:sz w:val="18"/>
          <w:szCs w:val="18"/>
          <w:color w:val="auto"/>
        </w:rPr>
      </w:pPr>
    </w:p>
    <w:p>
      <w:pPr>
        <w:ind w:left="1300" w:hanging="64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00" w:hanging="645"/>
        <w:spacing w:after="0" w:line="286"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w:t>
      </w:r>
    </w:p>
    <w:p>
      <w:pPr>
        <w:spacing w:after="0" w:line="99" w:lineRule="exact"/>
        <w:rPr>
          <w:rFonts w:ascii="Arial" w:cs="Arial" w:eastAsia="Arial" w:hAnsi="Arial"/>
          <w:sz w:val="18"/>
          <w:szCs w:val="18"/>
          <w:color w:val="auto"/>
        </w:rPr>
      </w:pPr>
    </w:p>
    <w:p>
      <w:pPr>
        <w:ind w:left="1300" w:hanging="64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 and</w:t>
      </w:r>
    </w:p>
    <w:p>
      <w:pPr>
        <w:spacing w:after="0" w:line="170" w:lineRule="exact"/>
        <w:rPr>
          <w:rFonts w:ascii="Arial" w:cs="Arial" w:eastAsia="Arial" w:hAnsi="Arial"/>
          <w:sz w:val="18"/>
          <w:szCs w:val="18"/>
          <w:color w:val="auto"/>
        </w:rPr>
      </w:pPr>
    </w:p>
    <w:p>
      <w:pPr>
        <w:jc w:val="both"/>
        <w:ind w:left="1300" w:hanging="645"/>
        <w:spacing w:after="0" w:line="262"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travel or special guidelines regarding aircraft occupancy or hygiene in response to outbreaks of illness, such as occurred during the COVID-19 pandemic, including the imposition of preflight testing regimes or vaccination confirmation requirements which have in the past and may in the future have the effect of reducing demand for air travel in the markets where such requirements are imposed.</w:t>
      </w:r>
    </w:p>
    <w:p>
      <w:pPr>
        <w:spacing w:after="0" w:line="12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the increased costs or greater complexity associated with our compliance with new rules, anticipated rules or other forms of regulatory oversight will not have a material adverse effect on us.</w:t>
      </w:r>
    </w:p>
    <w:p>
      <w:pPr>
        <w:spacing w:after="0" w:line="11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ATC system is not successfully modernizing to meet the growing demand for U.S. air travel. Air traffic controllers rely on outdated procedures and technologies that routinely compel airlines, including ourselves, to fly inefficient routes or take significant delays on the ground. The ATC system’s inability to manage existing travel demand, including due to significant staffing shortages,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and past system disruptions have resulted in large-scale flight cancellations and delays. We experienced this challenge in January 2023 when an outage in the ATC Notice to Air Missions system led to a nationwide ground-stop for nearly two hours, resulting in significant operational disruption throughout the day.</w:t>
      </w:r>
    </w:p>
    <w:p>
      <w:pPr>
        <w:spacing w:after="0" w:line="1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including ourselves. Failure to update the ATC system and the substantial costs that may be imposed on airlines, including ourselves, to fund a modernized ATC system may have a material adverse effect on our business.</w:t>
      </w:r>
    </w:p>
    <w:p>
      <w:pPr>
        <w:spacing w:after="0" w:line="1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and the COVID-19 pandemic. These events have resulted in, among other things, reduced demand for air travel, an actual or perceived reduction in air traffic control and security screening resources and related travel delays, as well as disruption in the ability of the FAA to grant required regulatory approvals, such as those that are involved when a new aircraft is first placed into service.</w:t>
      </w:r>
    </w:p>
    <w:p>
      <w:pPr>
        <w:spacing w:after="0" w:line="12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more than 130 trading partners, which agreements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adversely impact us and could result in impairments of our related tangible and intangible assets. In addition, competition from foreign airlines, revenue-sharing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joint ventures, joint business agreements, and other alliance arrangements by and among other airlines could impair the value of our business and assets on the open skies routes.</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May 1, 2021 the EU and United Kingdom entered into a new trade and cooperation agreement (the EU-UK Trade and Cooperation Agreement) to govern certain aspects of their relationship following Brexit. 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For example, on December 4, 2023, the United Kingdom government launched a consultation on the reform of the rules applicable to airport slots in the United Kingdom. At this stage, the impact of this consultation and any consequent changes to the United Kingdom slot rules on our operations or those of our joint business partners at LHR is uncertain, but could be material. As a result, the continuation of our current services, and those of our partners could be disrupted. This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13"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2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governmental regulation of our operations, including the inability to obtain or retain needed route authorities and/or slots, and new or evolved policies related to consumer protections. In particular, the COVID-19 pandemic severely impacted the demand for international travel for a prolonged period, and resulted in the imposition of significant governmental restrictions on commercial air service to or from certain regions. We responded by temporarily suspending a significant portion of our long-haul international flights and delaying the introduction of certain new long-haul international routes. While many countries have largely eliminated their pandemic restrictions, we can provide no assurance as to when demand for international travel will return to pre-COVID-19 pandemic levels in certain markets, if at all, or whether certain international destinations we previously served will be economical in the future.</w:t>
      </w:r>
    </w:p>
    <w:p>
      <w:pPr>
        <w:spacing w:after="0" w:line="13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are subject to varying registration requirements and ongoing reporting obligations in the countries where we operate. Our permission to continue doing business in these countries may depend on our ability to timely fulfil or remedy any noncompliance with these and other governmental requirements. We may also be subject to the risk that relevant government agencies will be delayed in granting or renewing required approvals, including as a result of shutdowns (such as occurred in certain jurisdictions during the COVID-19 pandemic), cybersecurity incidents or other events. Any lapse, revocation, suspension or delay in approval of our authority to do business in a given jurisdiction may prevent us from serving certain destinations and could adversely impact our business, financial condition and results of operations.</w:t>
      </w:r>
    </w:p>
    <w:p>
      <w:pPr>
        <w:spacing w:after="0" w:line="12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More generally, our industry may be affected by any deterioration in global trade relations, including shifts in the trade policies of individual nations. For example, much of the demand for international air travel is the result of business travel in support of global trade. Should protectionist governmental policies, such as increased tariff or other trade barriers, travel limitations and other regulatory actions, have the effect of reducing global commercial activity, the result could be a material decrease in the demand for international air travel. Additionally, certain of the products and services that we purchase, including certain of our aircraft and related parts, are sourced from suppliers located outside the U.S., and the imposition of new tariffs, or any increase in existing tariffs, by the U.S. government in respect of the importation of such products could materially increase the amounts we pay for them.</w:t>
      </w:r>
    </w:p>
    <w:p>
      <w:pPr>
        <w:spacing w:after="0" w:line="12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 continuation of our current services, and those of our partners could be disrupted. Moreover,</w:t>
      </w:r>
    </w:p>
    <w:p>
      <w:pPr>
        <w:sectPr>
          <w:pgSz w:w="11900" w:h="16838" w:orient="portrait"/>
          <w:cols w:equalWidth="0" w:num="1">
            <w:col w:w="11240"/>
          </w:cols>
          <w:pgMar w:left="320" w:top="363"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Brexit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where we do not have as strong a presence. This could materially adversely affect our business, results of operations and financial condition.</w:t>
      </w:r>
    </w:p>
    <w:p>
      <w:pPr>
        <w:spacing w:after="0" w:line="1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Brexit has also led to legal and regulatory uncertainty such as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such as the transatlantic joint business. See also </w:t>
      </w:r>
      <w:r>
        <w:rPr>
          <w:rFonts w:ascii="Arial" w:cs="Arial" w:eastAsia="Arial" w:hAnsi="Arial"/>
          <w:sz w:val="18"/>
          <w:szCs w:val="18"/>
          <w:i w:val="1"/>
          <w:iCs w:val="1"/>
          <w:color w:val="auto"/>
        </w:rPr>
        <w:t>“The airline industry is intensely competitive and dynamic.”</w:t>
      </w:r>
      <w:r>
        <w:rPr>
          <w:rFonts w:ascii="Arial" w:cs="Arial" w:eastAsia="Arial" w:hAnsi="Arial"/>
          <w:sz w:val="18"/>
          <w:szCs w:val="18"/>
          <w:color w:val="auto"/>
        </w:rPr>
        <w:t xml:space="preserve"> Any of these effects, and others we cannot anticipate, could materially adversely affect our business, results of operations and financial condition.</w:t>
      </w:r>
    </w:p>
    <w:p>
      <w:pPr>
        <w:spacing w:after="0" w:line="128" w:lineRule="exact"/>
        <w:rPr>
          <w:sz w:val="20"/>
          <w:szCs w:val="20"/>
          <w:color w:val="auto"/>
        </w:rPr>
      </w:pPr>
    </w:p>
    <w:p>
      <w:pPr>
        <w:jc w:val="both"/>
        <w:ind w:firstLine="243"/>
        <w:spacing w:after="0" w:line="278" w:lineRule="auto"/>
        <w:rPr>
          <w:sz w:val="20"/>
          <w:szCs w:val="20"/>
          <w:color w:val="auto"/>
        </w:rPr>
      </w:pPr>
      <w:r>
        <w:rPr>
          <w:rFonts w:ascii="Arial" w:cs="Arial" w:eastAsia="Arial" w:hAnsi="Arial"/>
          <w:sz w:val="17"/>
          <w:szCs w:val="17"/>
          <w:color w:val="auto"/>
        </w:rPr>
        <w:t>Additionally,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 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91"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We may be adversely affected by conflicts overseas, terrorist attacks or other acts of violence, domestically or abroad; the travel industry continues to face ongoing security concerns.</w:t>
      </w:r>
    </w:p>
    <w:p>
      <w:pPr>
        <w:spacing w:after="0" w:line="5"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Acts of terrorism and other violence, domestically or abroad,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 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We cannot forecast what new security requirements may be imposed in the future, or their impact on our business. In addition, avoiding areas of armed conflict or locations inaccessible to us due to geopolitical factors can impact our operations and financial results. For instance, airspace closures or restrictions may require us to alter flight paths, thereby increasing the distance, duration and amount of fuel required to operate certain international flights, in particular relative to competitors not subject to these airspace restrictions. Armed conflicts in or affecting international markets we serve could also adversely impact our business by, among other things, depressing demand for travel to certain regions or requiring us to suspend air service to certain destinations. For example, in October 2023, we suspended our service to Tel Aviv, Israel, and cannot predict when, or if, we will be in a position to restore such service. The outbreak or spread of armed conflict could force us to make additional reductions or changes to our service and could result in volatility in oil markets and disruptions to global trade, which could materially increase our costs or impact our supply chains.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of our GHG emissions, changing consumer preferences and the potential for increased impacts of severe weather events on our operations and infrastructure.</w:t>
      </w:r>
    </w:p>
    <w:p>
      <w:pPr>
        <w:spacing w:after="0" w:line="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Efforts to combat climate change have increased the focus by regulators worldwide on the need to reduce GHG emissions, including those from the airline industry. Concerns over GHG emissions are likely to result in continued attempts to adopt requirements or change business environments related to aviation that, if successful, may result in increased costs to the airline industry and us. In addition, several countries and U.S. states have adopted or are considering adopting programs, including potentially new taxes, to regulate GHG emissions. In addition, certain airports have proposed, and could in the future adopt, GHG emission or climate-related goals or measures that could impact our operations or require us to make changes or investments in our infrastructure. In particular, ICAO has adopted rules, including those pertaining to CORSIA, which will require us to mitigate the growth of GHG emissions associated with a significant majority of our international flights.</w:t>
      </w:r>
    </w:p>
    <w:p>
      <w:pPr>
        <w:spacing w:after="0" w:line="12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At this time, the costs of complying with our future obligations under CORSIA are uncertain, primarily due to significant uncertainty with respect to the future growth of covered GHG emissions, the supply and price of eligible carbon credits and the future development of the market for eligible renewable fuels. Due to the competitive nature of the airline industry and unpredictability of the market for air travel, we can offer no assurance that we may be able to increase our fares, impose surcharges or otherwise increase revenues or decrease other operating costs sufficiently to offset the costs of meeting our obligations under CORSIA.</w:t>
      </w:r>
    </w:p>
    <w:p>
      <w:pPr>
        <w:spacing w:after="0" w:line="1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Due to the uncertainty surrounding the applicability of CORSIA to our operations in the long-term, along with the recent implementation of and potential for other new regulatory initiatives to reduce airline GHG emissions, we and other airlines are increasingly subject to an unpredictable and inconsistent array of national or regional emissions restrictions, creating a patchwork of complex regulatory requirements that could lead to increased expenses related to the emissions of our flights. For more information on these regulatory developments, see “</w:t>
      </w:r>
      <w:r>
        <w:rPr>
          <w:rFonts w:ascii="Arial" w:cs="Arial" w:eastAsia="Arial" w:hAnsi="Arial"/>
          <w:sz w:val="18"/>
          <w:szCs w:val="18"/>
          <w:i w:val="1"/>
          <w:iCs w:val="1"/>
          <w:color w:val="auto"/>
        </w:rPr>
        <w:t>Aircraft Emissions and Climate Change Requirements”</w:t>
      </w:r>
      <w:r>
        <w:rPr>
          <w:rFonts w:ascii="Arial" w:cs="Arial" w:eastAsia="Arial" w:hAnsi="Arial"/>
          <w:sz w:val="18"/>
          <w:szCs w:val="18"/>
          <w:color w:val="auto"/>
        </w:rPr>
        <w:t xml:space="preserve"> under Part I, Item 1. Business – </w:t>
      </w:r>
      <w:r>
        <w:rPr>
          <w:rFonts w:ascii="Arial" w:cs="Arial" w:eastAsia="Arial" w:hAnsi="Arial"/>
          <w:sz w:val="18"/>
          <w:szCs w:val="18"/>
          <w:i w:val="1"/>
          <w:iCs w:val="1"/>
          <w:color w:val="auto"/>
        </w:rPr>
        <w:t>“Domestic and Global Regulatory Landscape –</w:t>
      </w:r>
      <w:r>
        <w:rPr>
          <w:rFonts w:ascii="Arial" w:cs="Arial" w:eastAsia="Arial" w:hAnsi="Arial"/>
          <w:sz w:val="18"/>
          <w:szCs w:val="18"/>
          <w:color w:val="auto"/>
        </w:rPr>
        <w:t xml:space="preserve"> </w:t>
      </w:r>
      <w:r>
        <w:rPr>
          <w:rFonts w:ascii="Arial" w:cs="Arial" w:eastAsia="Arial" w:hAnsi="Arial"/>
          <w:sz w:val="18"/>
          <w:szCs w:val="18"/>
          <w:i w:val="1"/>
          <w:iCs w:val="1"/>
          <w:color w:val="auto"/>
        </w:rPr>
        <w:t>Environmental Matters.</w:t>
      </w:r>
      <w:r>
        <w:rPr>
          <w:rFonts w:ascii="Arial" w:cs="Arial" w:eastAsia="Arial" w:hAnsi="Arial"/>
          <w:sz w:val="18"/>
          <w:szCs w:val="18"/>
          <w:color w:val="auto"/>
        </w:rPr>
        <w:t>”</w:t>
      </w:r>
    </w:p>
    <w:p>
      <w:pPr>
        <w:spacing w:after="0" w:line="12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as part of our emissions reduction targets, we and other airlines have committed to increasing the use of SAF in our fleet. Currently, industrial production of SAF is small in scale and inadequate to meet growing industry demand, and while additional production capacity is expected to become operational in the coming years, we anticipate that competition for SAF among industry participants will remain intense. As a result, SAF may be significantly more costly than conventional jet fuel. To secure future SAF supply, we have entered into multiple agreements for the purchase of future SAF production, and we continue to engage with producers regarding potential future SAF purchases, which may include investments and other commitments to support these producers. Certain existing or potential future agreements pertain to SAF production from facilities that are planned but not yet financed, and which may utilize technology that has not been proven at commercial scale. There is no assurance that these facilities will be built or that they will meet contracted production timelines and volumes. In the event that the SAF is not delivered on schedule or in sufficient volumes, there can be no assurance that we will be able to source a supply of SAF sufficient to meet our stated goals, or that we will be able to do so on favorable economic terms.</w:t>
      </w:r>
    </w:p>
    <w:p>
      <w:pPr>
        <w:spacing w:after="0" w:line="12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Additionally, growing recognition among consumers of the dangers of climate change may mean some customers choose to fly less frequently or fly on an airline they perceive as operating in a manner that is more sustainable to the climate. Business customers may choose to use alternatives to travel, such as virtual meetings and workspaces. Greater development of high -speed rail in markets now served by short-haul flights could provide passengers with lower-carbon alternatives to flying with us. Customers may also elect to travel on flights that produce comparatively fewer GHG emissions, particularly after commencement of the EU environmental labelling scheme for flights in 2025. Our collateral to secure loans, in the form of aircraft, spare parts and airport slots, could lose value as customer demand shifts and economies move to low-carbon alternatives, which may increase our financing cost.</w:t>
      </w:r>
    </w:p>
    <w:p>
      <w:pPr>
        <w:spacing w:after="0" w:line="12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have published a number of sustainability-related targets and goals, including with respect to reducing our GHG emissions. These goals are often long-term in nature, and in many cases rely on assumptions about the future availability and efficacy of technologies that do not yet exist or are not yet commercially viable. Our ability to meet our publicly stated targets is dependent on a number of factors outside our control, including the ability of third parties, such as engine and airframe manufacturers, SAF producers and other industry participants, to timely develop and commercialize these technological solutions. Additionally, we face risks associated with allegations or similar claims that our public statements concerning our sustainability efforts and achievements are exaggerated or unsubstantiated, sometimes referred to as “greenwashing,” and could be subject to litigation or regulatory enforcement actions challenging the basis for such statements which could be costly and disruptive, whether or not meritorious.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Finally, the potential acute and chronic physical effects of climate change, such as increased frequency and severity of storms, floods, fires, sea-level rise, excessive heat, longer-term changes in weather patterns and other climate-related events, could affect our operations, infrastructure and financial results as well as the safety of our team members. Operational impacts, such as more frequent or widespread flight cancellations, could result in loss of revenue. We could incur significant costs to improve the climate resiliency of our infrastructure and otherwise prepare for, respond to, and mitigate such physical effects of climate change. We are not able to predict accurately the materiality of any potential losses or costs associated with the physical effects of climate change.</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subject to a number of increasingly stringent federal, state, local and foreign laws, regulations and ordinances relating to the protection of human health and the environment and noise reduction, including those relating to emissions to the air, discharges to land and surface and subsurface waters, safe drinking water, and the management of hazardous substances, oils and waste materials. This universe of substances is evolving to encompass many substances not previously regulated. Compliance with environmental laws and regulations can require significant expenditures, and violations can lead to significant fines and penalties, as well as civil liability.</w:t>
      </w:r>
    </w:p>
    <w:p>
      <w:pPr>
        <w:spacing w:after="0" w:line="12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retroactive, strict, joint and several, meaning that we could be liable for the costs of cleaning up environmental contamination regardless of when it occurred, fault or the amount of waste directly attributable to us. We have liability for investigation and remediation costs at various sites, although such costs currently are not expected to have a material adverse effect on our business.</w:t>
      </w:r>
    </w:p>
    <w:p>
      <w:pPr>
        <w:spacing w:after="0" w:line="12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Governmental authorities in the U.S. and abroad are increasingly focused on potential contamination resulting from the use of certain chemicals, most notably per- and polyfluoroalkyl, substances (PFAS). Products containing PFAS have been used in manufacturing, industrial, and consumer applications over many decades, including those related to aviation. Among other things, recent changes to federal requirements for firefighting foams containing PFAS, as well as related state regulations affecting their use, will require operational changes. In August 2022, the EPA published for public comment a new rulemaking that would designate two PFAS substances (perfluorooctanoic acid and perfluorooctanesulfonic acid) as hazardous substances under the Comprehensive Environmental Response, Compensation, and Liability Act. This rulemaking, which is expected to be finalized in early 2024, would require entities to immediately report current and past releases that meet or exceed the reportable quantity for such substances to EPA’s National Response Center. Depending on the final outcome of this rulemaking and the introduction of any additional state or federal regulations, we may incur costs in connection with reporting obligations and costs related to historic usage of PFAS-containing materials, transitioning away from the usage of PFAS-containing products, disposing of PFAS-containing waste or remediating any residual environmental impacts.</w:t>
      </w:r>
    </w:p>
    <w:p>
      <w:pPr>
        <w:spacing w:after="0" w:line="1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in certain cases where we are not the party responsible for the initial event that caused the environmental damage. We also participate in leases with other airlines in fuel consortiums and fuel committees at airports, and such indemnities are generally joint and several among the participating airlines.</w:t>
      </w:r>
    </w:p>
    <w:p>
      <w:pPr>
        <w:spacing w:after="0" w:line="1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as well as setting an annual flight cap from specific cities. We have been able to accommodate local noise restrictions imposed to date, but our operations could be adversely affected if locally-imposed regulations become more restrictive or widespread. The FAA is also currently evaluating possible changes to how aircraft noise is measured, and the resulting standards that are based on them. Ultimately, these changes could have an impact on, or limit, our operations, or make it more difficult for the FAA to modernize and increase the efficiency of the airspace and airports we utilize.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A high level of pilot retirements, more stringent duty time regulations, increased flight hour requirements for commercial airline pilots, reductions in the number of military pilots entering the commercial workforce, increased training requirements and other factors have caused a shortage of pilots that could materially adversely affect our business.</w:t>
      </w:r>
    </w:p>
    <w:p>
      <w:pPr>
        <w:spacing w:after="0" w:line="2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Large numbers of pilots in the industry accepted early retirement during the COVID-19 pandemic or are approaching the FAA’s mandatory retirement age of 65. Our pilots and other employees are subject to rigorous certification standards, and our pilots and other crew members must adhere to flight time and rest requirements. Commencing in 2013, the minimum flight hour requirement to achieve a commercial pilot’s license in the United States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Further, in the course of the domestic airline industry rapidly restoring capacity during the recovery from the COVID-19 pandemic, the significant training requirements to return large numbers of pilots to active flying have been time consuming and disruptive.</w:t>
      </w:r>
    </w:p>
    <w:p>
      <w:pPr>
        <w:spacing w:after="0" w:line="12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These and other factors have contributed to a shortage of qualified, entry-level pilots, shortages of experienced pilots trained and ready for duty, principally at our regional affiliates, and increased compensation costs materially for pilots throughout the industry. We believe that this industry-wide pilot shortage will remain a significant problem for regional airlines in the United States for the foreseeable future. We have recently implemented a number of recruitment initiatives intended to recruit qualified pilots to our regional airlines, including offering significant financial incentives, but we cannot guarantee that such efforts will be successful. Notwithstanding these efforts, our regional airline subsidiaries and other regional partners have recently been unable to hire adequate numbers of pilots to meet their needs, resulting in a reduction in the number of flights offered, operational disruptions, increased compensation expense and costs of operations, financial difficulties and other adverse effects, and these circumstances may become more severe in the future and thereby cause a material adverse effect on our business.</w:t>
      </w:r>
    </w:p>
    <w:p>
      <w:pPr>
        <w:spacing w:after="0" w:line="13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part of the FAA Authorization Renewal process, Congress has proposed increasing the pilot retirement age from 65 to 67 to help address the pilot shortage. Raising the mandatory retirement age could help to mitigate the pilot shortage at regional airlines and other carriers operating domestically, but it could create potentially significant challenges to mainline carriers operating internationally, as the international standard for pilot retirement is currently 65.</w:t>
      </w:r>
    </w:p>
    <w:p>
      <w:pPr>
        <w:spacing w:after="0" w:line="204"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 Delays in scheduled aircraft deliveries, unexpected grounding of aircraft or aircraft engines whether by regulators or by us, or other loss of anticipated fleet capacity, and failure of new aircraft to receive regulatory approval, be produced or otherwise perform as and when expected, may adversely impact our business, results of operations and financial condition.</w:t>
      </w:r>
    </w:p>
    <w:p>
      <w:pPr>
        <w:spacing w:after="0" w:line="3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all of our mainline aircraft were manufactured by either Airbus or Boeing and all of our regional aircraft were manufactured by either Bombardier or Embraer. Further, our supplier base continues to consolidate as evidenced by recent transactions involving Airbus and Bombardier and Mitsubishi and Bombardier, and the cessation of production of certain Bombardier regional aircraft that we and our regional partners currently operate in large numbers. Due to the limited number of suppliers, constraints on production capacity, large order books and long production lead times, manufacturers may face challenges in timely fulfilling our aircraft on order, and we may face competition from other carriers in securing an adequate supply of aircraft in the future. If new aircraft orders are not filled on a timely basis, we could face higher financing and operating costs than planned. The limited number of these suppliers may also result in reduced competition and potentially higher prices than if the supplier base was less concentrated. In addition, we are vulnerable to any problems associated with the performance of these suppliers’ obligation to supply key aircraft, parts and engines, including design defects, mechanical problems, contractual performance by suppliers or adverse perception by the public that would result in customer avoidance of any of our aircraft. If the aircraft we receive do not meet expected performance or quality standards, including with respect to fuel efficiency, safety and reliability, we could also face higher financing and operating costs than planned and our business, results of operations and financial condition could be adversely impacted. We are also subject to the risk that action by the FAA or any other regulatory authority could result in an inability to certify or operate our aircraft, even temporarily. For instance, in March 2019, the FAA ordered the grounding of all Boeing 737 MAX Family aircraft, which remained in place for over a year and was not lifted in the United States until November 2020. An additional grounding of Boeing aircraft occurred in January 2024 involving the Boeing 737-9 MAX, a model that we do not operate. Further, significant limitations imposed on the use of Pratt &amp; Whitney GTF aircraft engines (an engine that we do not use in our fleet) on certain Airbus aircraft have resulted in very significant numbers of the related aircraft being grounded while awaiting refurbished engines. Regulatory concerns raised by the FAA also previously forced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Boeing to suspend deliveries of certain 787 aircraft, temporarily resulting in significant reductions to our planned long-haul flying. More generally, we have recently experienced delivery delays across manufacturers due to regulatory matters such as those described above, regulatory restrictions on production rate increases (such as those that the FAA has announced it intends to impose on Boeing 737 production), supply chain limitations, development delays, and other factors, which have created significant challenges in planning our fleet, and those challenges are likely to continue. There is also the prospect that new aircraft models will continue to face certification delays further impeding the delivery of new aircraft to the airline industry and increasing competition for the production capacity that is available.</w:t>
      </w:r>
    </w:p>
    <w:p>
      <w:pPr>
        <w:spacing w:after="0" w:line="4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timelines, our business, results of operations and financial condition could be negatively impacted. Our failure to integrate newly purchased aircraft into our fleet as planned might require us to seek extensions of the terms for some leased aircraft or otherwise delay the exit of certain aircraft from our fleet. Such unanticipated extensions or delays, which as noted above have recently been relatively commonplace among manufacturers of commercial aircraft, may require us to operate existing aircraft beyond the point at which it is economically optimal to retire them, resulting in increased maintenance costs, or reductions to our schedule, thereby reducing revenues. Repeated or prolonged delays in the production, delivery or induction of our new aircraft could also require us to scale back our growth plans, reduce frequencies or forgo service entirely to certain markets, which could adversely affect our business, financial condition and results of operations.</w:t>
      </w:r>
    </w:p>
    <w:p>
      <w:pPr>
        <w:spacing w:after="0" w:line="215"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but may not be limited to our computerized airline reservation system, flight operations and crew scheduling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Furthermore, certain critical aspects of our operation rely on legacy technological systems which may grow more difficult or expensive to support and maintain over time, and such systems may fail to perform as required or become more vulnerable to malfunction or failure over time.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3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aircraft employ a number of sophisticated radio and satellite-based navigation and safety technologies, and we are subject to risks associated with the introduction or expansion of technologies that could interfere with the safe operation of these flight systems. For example, telecommunications companies are expanding and increasing the commercial and consumer applications of 5G cellular communication networks, and regulators, manufacturers and operators have expressed concerns that certain 5G applications could interfere with certain flight systems. On December 23, 2021, the FAA issued a special airworthiness information bulletin (SAIB), in which it indicated that further testing and assessment is needed regarding the effects of 5G on certain aircraft equipped with radar altimeters, which measure the aircraft’s altitude and guide pilots during landings. If it were determined that 5G signals posed an interference risk to these altimeters or other systems, the FAA indicated in its SAIB that it could restrict flight operations in areas where such interference could occur. On June 17, 2022, the FAA and the telecommunications industry reached an agreement to delay the full implementation of 5G deployment near airports until July 1, 2023. The delayed implementation allowed the aviation industry time to retrofit the radio altimeters on aircraft to prevent potential interference from 5G signals. American has completed the retrofit of its impacted mainline and regional aircraft, and we now expect operational certainty as it pertains to 5G until 2028, when the current operating agreement between the FAA, Federal Communications Commission and the telecommunications industry expires.</w:t>
      </w:r>
    </w:p>
    <w:p>
      <w:pPr>
        <w:spacing w:after="0" w:line="13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Our technologies and automated systems are not completely protected against events that are beyond our control, including natural disasters, power failures, terrorist attacks, cyberattacks, data theft, defects, errors, equipment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software failures, computer viruses or telecommunications failures. When service interruptions occur as a result of any of the aforementioned events, we address them in accordance with applicable laws, rules and regulations. However,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09"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b w:val="1"/>
          <w:bCs w:val="1"/>
          <w:i w:val="1"/>
          <w:iCs w:val="1"/>
          <w:color w:val="auto"/>
        </w:rPr>
        <w:t>Evolving data privacy requirements (in particular, compliance with applicable federal, state and foreign laws relating to handling of personal information about individuals) could increase our costs, and any significant data privacy incident could disrupt our operations, harm our reputation, expose us to legal risks and otherwise materially adversely affect our business, results of operations and financial condition.</w:t>
      </w:r>
    </w:p>
    <w:p>
      <w:pPr>
        <w:spacing w:after="0" w:line="3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normal course of our business, we collect, process, use and disclose personal information about individuals and rely on third party service providers to host or otherwise process personal information. Many federal, state and foreign governmental bodies and agencies have adopted, or are considering adopting, laws and regulations that impose limits on the collection, processing, use, disclosure and security of personal information about individuals. In some cases, such laws and regulations can be enforced by private parties in addition to government entities. In addition, privacy advocacy and industry groups may propose new and different self-regulatory standards or guidance that may legally or contractually apply to us and our vendors. These non-uniform laws, regulations, standards and guidance are complex and currently evolving and can be subject to significant change and interpretation, and may be inconsistently applied and enforced from one jurisdiction to another.</w:t>
      </w:r>
    </w:p>
    <w:p>
      <w:pPr>
        <w:spacing w:after="0" w:line="12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business requires the secure processing and storage of personal information relating to our customers, employees, business partners and others, and other data such as confidential information. However, like any global enterprise operating in today’s digital business environment, we and our third party service providers have experienced cybersecurity incidents and data breaches. For example, in July 2022, a minor phishing incident resulted in certain employee email accounts being accessed and acquired without authorization that contained personal information about a very limited number of individuals, including travelers (following which we notified the individuals). We react and respond to these cybersecurity incidents in accordance with the applicable legal requirements, our own cybersecurity protocols, as well as our commercial partners’ standards (as appropriate), but we cannot ensure that our responses (or those of our partners and service providers) will be sufficient to prevent or mitigate the potential adverse impacts of these cybersecurity incidents, which may be material.</w:t>
      </w:r>
    </w:p>
    <w:p>
      <w:pPr>
        <w:spacing w:after="0" w:line="12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There has been heightened legislative and regulatory focus on data privacy and cybersecurity in the U.S., EU, U.K., China and elsewhere, particularly with respect to critical infrastructure providers, including those in the transportation sector. As a result, we must comply with a proliferating and fast-evolving set of legal requirements in this area, including substantive data privacy and cybersecurity standards as well as requirements for notifying regulators and affected individuals in the event of a cybersecurity incident. In addition, we are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remediate the underlying issue. Efforts to comply with such reporting requirements could divert management’s attention from our cybersecurity incident response and could potentially reveal system vulnerabilities to threat actors. Failure to timely report cybersecurity incidents under these rules could also result in regulatory investigations, litigation, monetary fines, sanctions, or subject us to other forms of liability. Even though we believe we and our third party service providers are generally in compliance with applicable laws, rules and regulations relating to privacy and data security, the regulatory environment is increasingly challenging as data privacy and cybersecurity laws, rules, regulations, industry standards and other requirements are continually developing. These changing requirements, along with their evolving application, interpretation, and amendment, may present material obligations and risks to our business, including significantly expanded compliance burdens, costs and enforcement risks.</w:t>
      </w:r>
    </w:p>
    <w:p>
      <w:pPr>
        <w:spacing w:after="0" w:line="13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(the Payment Card Industry Data Security Standard (PCI DSS)). While we and our service providers continue our efforts to meet these standards, new and revised standards may be imposed that may be difficult for us to meet and could increase our costs, and if we are unable to comply with revised standards, we may be subject to fines, restrictions or other liability, which could materially and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adversely affect our business. Moreover, it is not guaranteed that PCI DSS compliance will prevent illegal or improper use of our payment systems or the theft, loss or misuse of payment card data or transaction information.</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Litigation, claims and enforcement related to data privacy, biometrics and other provisions of state privacy laws may involve new interpretations of privacy laws. There has also been a noticeable uptick in class actions in the U.S. wherein plaintiffs have utilized a variety of laws, including state wiretapping laws, in relation to companies’ use of tracking technologies, such as cookies and pixels. Compliance with these laws and regulations may be inconsistent from jurisdiction to jurisdiction, increasing the cost of compliance and our risk of liability from litigation. Any litigation, claims or enforcement actions to which we are or become a party could potentially result in substantial monetary damages or fines, and negative reputational impacts that cause us to lose existing or future customers, which could materially adversely affect our business, results of operations and financial condition.</w:t>
      </w:r>
    </w:p>
    <w:p>
      <w:pPr>
        <w:spacing w:after="0" w:line="209"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We are exposed to risks from cyberattacks, and any cybersecurity incidents involving us, our third-party service providers, or one of our AAdvantage partners or other business partners, could materially adversely affect our business, results of operations and financial condition.</w:t>
      </w:r>
    </w:p>
    <w:p>
      <w:pPr>
        <w:spacing w:after="0" w:line="2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Significant cybersecurity incidents involving us, our third-party service providers, or one of our AAdvantage partners or other business partners, have in the past and may in the future result in a range of potentially material negative consequences for us, including unauthorized access to, disclosure, modification, misuse, loss or destruction of company systems or data; theft of sensitive, regulated or confidential data, such as personal information or our intellectual property; the loss of functionality of critical systems through ransomware, denial of service or other cyberattacks; a diminished ability to retain or attract new customers; a deterioration in our relationships with business partners and other third parties; interruptions or failures in our payment related systems; and business delays, service or system disruptions, damage to equipment and injury to persons or property. The methods used to obtain unauthorized access, disable or degrade service or sabotage systems are constantly evolving and may be difficult to anticipate or to detect for long periods of time. The constantly changing nature of the threats means that we cannot and have not been able to prevent all data security breaches or misuse of data, and there is a risk that our security measures will not be fully effective in the future. Similarly, we depend on the ability of our key commercial partners, including AAdvantage partners, other business partners, our regional carriers, distribution partners and technology vendors, to conduct their businesses in a manner that complies with applicable security standards and assures their ability to perform on a timely basis. A security failure, including a failure to meet PCI DSS requirements, breach or other significant cybersecurity incident affecting one of our partners, interruptions or failures in our payment related systems, could result in potentially material negative consequences for us, including loss of critical data, service interruptions, delays in operations, and the potential for fines, restrictions and expulsion from card acceptance programs. In addition, we use third party service providers to help us deliver services to customers. These service providers may store personal information, credit card information and/or other confidential information. Such information has been and will be the target of unauthorized access or subject to security breaches because of third-party action, employee error, malfeasance or otherwise. Any of these could (a) result in the loss of information, litigation, indemnity obligations, expensive and inconsistent cybersecurity incident and data breach notification requirements, damage to our reputation, regulatory scrutiny, and other liability, or (b) have a material adverse effect on our business, financial condition and results of operations.</w:t>
      </w:r>
    </w:p>
    <w:p>
      <w:pPr>
        <w:spacing w:after="0" w:line="14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threat of cybersecurity incidents continues to increase as the frequency, intensity and sophistication of cyberattacks and intrusions increase around the world. Diverse threat actors, such as state-sponsored organizations, opportunistic hackers and hacktivists, as well as diverse attack vectors such as social engineering/phishing, malware (including ransomware), malfeasance by insiders, human or technological error, denial of service attacks or exploitation of vulnerabilities, threaten the confidentiality, integrity, and availability of our and our third party service providers’ information systems, personal information and confidential information. Geopolitical issues also continue to increase our cybersecurity risk and potential for cybersecurity incidents, for example, the conflict involving Russia and Ukraine, which has resulted in a heightened risk of cyberattacks against companies like ours that have operations, vendors and/or supply chain providers located in or around the region of conflict or are otherwise related to the conflict. Despite ongoing efforts to maintain and improve the security of our information systems and digital information, individuals, including employees, contractors, and external threat actors, may be able to circumvent the security measures we put in place, and we may be unable to anticipate new techniques used for these attacks and intrusions and implement adequate preventative measures. We, our business partners and service providers have been the target of cybersecurity attacks in the past and expect that we, our business and service partners, will continue to experience cybersecurity incidents in the future.</w:t>
      </w:r>
    </w:p>
    <w:p>
      <w:pPr>
        <w:spacing w:after="0" w:line="13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costs and operational consequences of defending against, preparing for, responding to and remediating a cybersecurity incident are substantial. As cybersecurity incidents become more frequent, intense and sophisticated, costs of proactive defense measures are increasing. Further, we could be exposed to litigation, regulatory enforcement or other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legal action as a result of an incident, carrying the potential for damages, fines, sanctions or other penalties, as well as injunctive relief and enforcement actions requiring costly compliance measures. A significant number of recent data privacy and cybersecurity incidents, including those involving other large airlines, have resulted in very substantial adverse financial consequences to those companies. A cybersecurity incident could also impact our brand, including that of the AAdvantage program, harm our reputation and adversely impact our relationship with our customers, employees and stockholders. The increased regulatory focus on data privacy practices apart from how personal information is secured, such as how personal information is collected, used for marketing purposes, and shared with third parties, also may require changes to our processes and increase compliance costs. There is also an increased risk to our business in the event of a significant cybersecurity or data privacy violation, including additional compliance costs, reputational harm, disruption to the manner in which we provide our services, including the geographies we service, and being subject to complaints and/or regulatory investigations, significant monetary liability, fines, penalties, regulatory enforcement, individual or class action lawsuits, public criticism, loss of customers, loss of goodwill or other additional liabilities, such as claims by industry groups or other third parties. Accordingly, failure to appropriately address data privacy and cybersecurity issues could result in material financial and other liabilities and cause significant reputational harm to our company.</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rely on third-party distribution channels and must effectively manage the costs, rights and functionality of these channels.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While our priority is to migrate an increasing portion of our customers to our modern, direct distribution channels in lieu of third party channels, we continue to rely on third-party distribution channels, including those provided by or through global distribution systems (GDSs) (e.g., Amadeus, Sabre and Travelport), conventional travel agents, travel management companies and online travel agents (OTAs) (e.g., Expedia, including its booking sites Orbitz and Travelocity, and Booking Holdings, including its booking sites Kayak and Priceline),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Certain of these distribution channels also effectively restrict the manner in which we distribute our products generally.</w:t>
      </w:r>
    </w:p>
    <w:p>
      <w:pPr>
        <w:spacing w:after="0" w:line="13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To remain competitive, we will need to manage successfully our distribution costs and rights, increase our distribution flexibility, continue to migrate the distribution of tickets to our proprietary and other modern distribution channels, and improve the functionality of our distribution channels, while maintaining an industry-competitive cost structure and a high level of customer satisfaction.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12"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2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1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O’Hare International Airport, Dallas/Fort Worth International Airport and Los Angeles International Airport. More generally, following long periods of underinvestment, there is a trend among airports in the United States to engage in significant, expensive expansion, remodeling and infrastructure improvement projects. This spending is expected to result in increased costs to airlines and the traveling public that use those facilities as the airports seek to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we serve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and may impose other operational restrictions as well. In the U.S., the DOT and the FAA currently regulate the allocation of slots or slot exemptions at DCA and two New York City airports: JFK and LGA. Our operations at these airports generally require the allocation of slots or similar regulatory authority. In addition to slot restrictions, operations at DCA and LGA are also limited based on a so-called “perimeter rule” which generally limits the stage length of the flights that can be operated from those airports to 1,250 and 1,500 miles, respectively. Similarly, our operations at LHR, international airports in Frankfurt, Paris, Tokyo and other airports outside the U.S. are regulated by local slot authorities pursuant to the International Airline Trade Association Worldwide Scheduling Guidelines and/or applicable local law. Termination of slot controls or other operational restrictions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During periods of reduced demand for air travel, such as during the COVID-19 pandemic, we may rely on exemptions granted by applicable authorities from the requirement that we continuously use certain slots, gates and routes or risk having such operating rights revoked, and depending on the applicable authority these exemptions can vary in the way they are structured and applied. We cannot predict whether such exemptions will be made available, whether they will be granted on the same or similar terms as in past instances, or whether we ultimately could be at risk of losing valuable operating rights. If we are forced to surrender slots or other rights, we may be unable to provide our desired level of service to or from certain destinations in the future. We cannot provide any assurance that regulatory changes resulting in changes in the application of slot controls or the allocation of or any reallocation of existing slots, the continued enforcement or termination of a perimeter rule or similar regulatory regime will not have a material adverse impact on our operations.</w:t>
      </w:r>
    </w:p>
    <w:p>
      <w:pPr>
        <w:spacing w:after="0" w:line="146" w:lineRule="exact"/>
        <w:rPr>
          <w:sz w:val="20"/>
          <w:szCs w:val="20"/>
          <w:color w:val="auto"/>
        </w:rPr>
      </w:pPr>
    </w:p>
    <w:p>
      <w:pPr>
        <w:jc w:val="both"/>
        <w:ind w:right="20" w:firstLine="202"/>
        <w:spacing w:after="0" w:line="286" w:lineRule="auto"/>
        <w:rPr>
          <w:sz w:val="20"/>
          <w:szCs w:val="20"/>
          <w:color w:val="auto"/>
        </w:rPr>
      </w:pPr>
      <w:r>
        <w:rPr>
          <w:rFonts w:ascii="Arial" w:cs="Arial" w:eastAsia="Arial" w:hAnsi="Arial"/>
          <w:sz w:val="18"/>
          <w:szCs w:val="18"/>
          <w:color w:val="auto"/>
        </w:rPr>
        <w:t>Our ability to provide service can also be impaired at airports where the airport gates and other facilities are currently inadequate to accommodate all of the service that we would like to provide, or where we have no access to gates at all.</w:t>
      </w:r>
    </w:p>
    <w:p>
      <w:pPr>
        <w:spacing w:after="0" w:line="10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operate principally through our hubs in Charlotte, Chicago, Dallas/Fort Worth, Los Angeles, Miami, New York, Philadelphia, Phoenix and Washington, D.C. and partner gateways including London Heathrow (among others). Substantially all of our flights either originate at or fly into one of these locations. A significant interruption or disruption in service at one of our hubs, gateways or other airports where we have a significant presence, resulting from air traffic control delays, weather conditions, natural disasters, growth constraints, performance by third-party service providers (such as electric utility or telecommunications providers), failure of computer systems, disruptions at airport facilities or other key facilities used by us to manage our operations (including as a result of social or environmental activism),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The occurrence or persistence of certain events, including armed conflicts, could also impact our ability to obtain commercial insurance coverage against certain risks, or to obtain such insurance on commercially acceptable terms. If we are unable to maintain adequate insurance coverage or to secure suitable alternatives outside the commercial insurance markets,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3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AAG Common Stock and Convertible Notes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AAG common stock has been and may in the future be volatile.</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market price of AAG common stock has fluctuated substantially in the past, and may fluctuate substantially in the future, due to a variety of factors, many of which are beyond our control, including:</w:t>
      </w:r>
    </w:p>
    <w:p>
      <w:pPr>
        <w:spacing w:after="0" w:line="100" w:lineRule="exact"/>
        <w:rPr>
          <w:sz w:val="20"/>
          <w:szCs w:val="20"/>
          <w:color w:val="auto"/>
        </w:rPr>
      </w:pPr>
    </w:p>
    <w:p>
      <w:pPr>
        <w:ind w:left="1300" w:hanging="64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external events, such as the COVID-19 pandemic, on our business or the U.S. and global economies;</w:t>
      </w:r>
    </w:p>
    <w:p>
      <w:pPr>
        <w:spacing w:after="0" w:line="170" w:lineRule="exact"/>
        <w:rPr>
          <w:rFonts w:ascii="Arial" w:cs="Arial" w:eastAsia="Arial" w:hAnsi="Arial"/>
          <w:sz w:val="18"/>
          <w:szCs w:val="18"/>
          <w:color w:val="auto"/>
        </w:rPr>
      </w:pPr>
    </w:p>
    <w:p>
      <w:pPr>
        <w:ind w:left="1300" w:hanging="645"/>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macro-economic conditions, including the price of fuel;</w:t>
      </w:r>
    </w:p>
    <w:p>
      <w:pPr>
        <w:spacing w:after="0" w:line="169" w:lineRule="exact"/>
        <w:rPr>
          <w:rFonts w:ascii="Times New Roman" w:cs="Times New Roman" w:eastAsia="Times New Roman" w:hAnsi="Times New Roman"/>
          <w:sz w:val="18"/>
          <w:szCs w:val="18"/>
          <w:color w:val="auto"/>
        </w:rPr>
      </w:pPr>
    </w:p>
    <w:p>
      <w:pPr>
        <w:ind w:left="1300" w:hanging="64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70" w:lineRule="exact"/>
        <w:rPr>
          <w:rFonts w:ascii="Arial" w:cs="Arial" w:eastAsia="Arial" w:hAnsi="Arial"/>
          <w:sz w:val="18"/>
          <w:szCs w:val="18"/>
          <w:color w:val="auto"/>
        </w:rPr>
      </w:pPr>
    </w:p>
    <w:p>
      <w:pPr>
        <w:ind w:left="1300" w:hanging="64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170" w:lineRule="exact"/>
        <w:rPr>
          <w:rFonts w:ascii="Arial" w:cs="Arial" w:eastAsia="Arial" w:hAnsi="Arial"/>
          <w:sz w:val="18"/>
          <w:szCs w:val="18"/>
          <w:color w:val="auto"/>
        </w:rPr>
      </w:pPr>
    </w:p>
    <w:p>
      <w:pPr>
        <w:ind w:left="1300" w:hanging="64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0" w:lineRule="exact"/>
        <w:rPr>
          <w:rFonts w:ascii="Arial" w:cs="Arial" w:eastAsia="Arial" w:hAnsi="Arial"/>
          <w:sz w:val="18"/>
          <w:szCs w:val="18"/>
          <w:color w:val="auto"/>
        </w:rPr>
      </w:pPr>
    </w:p>
    <w:p>
      <w:pPr>
        <w:ind w:left="1300" w:hanging="64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70" w:lineRule="exact"/>
        <w:rPr>
          <w:rFonts w:ascii="Arial" w:cs="Arial" w:eastAsia="Arial" w:hAnsi="Arial"/>
          <w:sz w:val="18"/>
          <w:szCs w:val="18"/>
          <w:color w:val="auto"/>
        </w:rPr>
      </w:pPr>
    </w:p>
    <w:p>
      <w:pPr>
        <w:ind w:left="1300" w:hanging="64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170" w:lineRule="exact"/>
        <w:rPr>
          <w:rFonts w:ascii="Arial" w:cs="Arial" w:eastAsia="Arial" w:hAnsi="Arial"/>
          <w:sz w:val="18"/>
          <w:szCs w:val="18"/>
          <w:color w:val="auto"/>
        </w:rPr>
      </w:pPr>
    </w:p>
    <w:p>
      <w:pPr>
        <w:ind w:left="1300" w:hanging="64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300" w:hanging="645"/>
        <w:spacing w:after="0" w:line="268"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expectations regarding any future capital deployment program, including share repurchase programs and any future dividend payments that may be declared by our Board of Directors, or any subsequent determination to cease repurchasing stock or paying dividends;</w:t>
      </w:r>
    </w:p>
    <w:p>
      <w:pPr>
        <w:spacing w:after="0" w:line="115" w:lineRule="exact"/>
        <w:rPr>
          <w:rFonts w:ascii="Arial" w:cs="Arial" w:eastAsia="Arial" w:hAnsi="Arial"/>
          <w:sz w:val="18"/>
          <w:szCs w:val="18"/>
          <w:color w:val="auto"/>
        </w:rPr>
      </w:pPr>
    </w:p>
    <w:p>
      <w:pPr>
        <w:ind w:left="1300" w:hanging="64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0" w:lineRule="exact"/>
        <w:rPr>
          <w:rFonts w:ascii="Arial" w:cs="Arial" w:eastAsia="Arial" w:hAnsi="Arial"/>
          <w:sz w:val="18"/>
          <w:szCs w:val="18"/>
          <w:color w:val="auto"/>
        </w:rPr>
      </w:pPr>
    </w:p>
    <w:p>
      <w:pPr>
        <w:ind w:left="1300" w:hanging="64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0" w:lineRule="exact"/>
        <w:rPr>
          <w:rFonts w:ascii="Arial" w:cs="Arial" w:eastAsia="Arial" w:hAnsi="Arial"/>
          <w:sz w:val="18"/>
          <w:szCs w:val="18"/>
          <w:color w:val="auto"/>
        </w:rPr>
      </w:pPr>
    </w:p>
    <w:p>
      <w:pPr>
        <w:ind w:left="1300" w:hanging="64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70" w:lineRule="exact"/>
        <w:rPr>
          <w:rFonts w:ascii="Arial" w:cs="Arial" w:eastAsia="Arial" w:hAnsi="Arial"/>
          <w:sz w:val="18"/>
          <w:szCs w:val="18"/>
          <w:color w:val="auto"/>
        </w:rPr>
      </w:pPr>
    </w:p>
    <w:p>
      <w:pPr>
        <w:ind w:left="1300" w:hanging="64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inclusion of our common stock in broad market indexes favored by passive investors;</w:t>
      </w:r>
    </w:p>
    <w:p>
      <w:pPr>
        <w:spacing w:after="0" w:line="170" w:lineRule="exact"/>
        <w:rPr>
          <w:rFonts w:ascii="Arial" w:cs="Arial" w:eastAsia="Arial" w:hAnsi="Arial"/>
          <w:sz w:val="18"/>
          <w:szCs w:val="18"/>
          <w:color w:val="auto"/>
        </w:rPr>
      </w:pPr>
    </w:p>
    <w:p>
      <w:pPr>
        <w:ind w:left="1300" w:right="20" w:hanging="645"/>
        <w:spacing w:after="0" w:line="286"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investor preferences to invest in certain sectors, including large technology companies in lieu of industrial or transportation companies;</w:t>
      </w:r>
    </w:p>
    <w:p>
      <w:pPr>
        <w:spacing w:after="0" w:line="99" w:lineRule="exact"/>
        <w:rPr>
          <w:rFonts w:ascii="Arial" w:cs="Arial" w:eastAsia="Arial" w:hAnsi="Arial"/>
          <w:sz w:val="18"/>
          <w:szCs w:val="18"/>
          <w:color w:val="auto"/>
        </w:rPr>
      </w:pPr>
    </w:p>
    <w:p>
      <w:pPr>
        <w:jc w:val="both"/>
        <w:ind w:left="1300" w:hanging="645"/>
        <w:spacing w:after="0" w:line="262"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or private sales of a substantial number of shares of AAG common stock or issuances of AAG common stock upon the exercise or conversion of restricted stock unit awards, stock appreciation rights, or other securities that may be issued from time to time, including warrants we have issued in connection with our receipt of funds under the CARES Act, the PSP Extension Law and the ARP;</w:t>
      </w:r>
    </w:p>
    <w:p>
      <w:pPr>
        <w:spacing w:after="0" w:line="120" w:lineRule="exact"/>
        <w:rPr>
          <w:rFonts w:ascii="Arial" w:cs="Arial" w:eastAsia="Arial" w:hAnsi="Arial"/>
          <w:sz w:val="18"/>
          <w:szCs w:val="18"/>
          <w:color w:val="auto"/>
        </w:rPr>
      </w:pPr>
    </w:p>
    <w:p>
      <w:pPr>
        <w:ind w:left="1300" w:hanging="64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170" w:lineRule="exact"/>
        <w:rPr>
          <w:rFonts w:ascii="Arial" w:cs="Arial" w:eastAsia="Arial" w:hAnsi="Arial"/>
          <w:sz w:val="18"/>
          <w:szCs w:val="18"/>
          <w:color w:val="auto"/>
        </w:rPr>
      </w:pPr>
    </w:p>
    <w:p>
      <w:pPr>
        <w:ind w:left="1300" w:hanging="64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170" w:lineRule="exact"/>
        <w:rPr>
          <w:rFonts w:ascii="Arial" w:cs="Arial" w:eastAsia="Arial" w:hAnsi="Arial"/>
          <w:sz w:val="18"/>
          <w:szCs w:val="18"/>
          <w:color w:val="auto"/>
        </w:rPr>
      </w:pPr>
    </w:p>
    <w:p>
      <w:pPr>
        <w:jc w:val="both"/>
        <w:ind w:left="1300" w:hanging="645"/>
        <w:spacing w:after="0" w:line="259"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any related hedging and other technical trading factors.</w:t>
      </w:r>
    </w:p>
    <w:p>
      <w:pPr>
        <w:spacing w:after="0" w:line="1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closing price of our common stock on the Nasdaq Global Select Market varied from $10.92 to $18.80 during 2023 and $ 12.93 to $15.36 during 2024 year-to-date through February 16, 2024. At times, fluctuations in our stock price have been rapid, imposing risks on investors due to the possibility of significant, short-term price volatility. While we believe that in recent years this wide range of trading prices has largely reflected the changing prospects for a large airline facing the challenges imposed by the COVID-19 pandemic, we also believe, based in part on the commentary of market analysts, that the trading price of our common stock has at times been influenced by the technical trading factors discussed in the last bullet above. On some occasions, market analysts have explained fluctuations in our stock price by reference to purported “short squeeze” activity. A “short squeeze” is a technical market condition that occurs when the price of a stock increases substantially, forcing market participants who had taken a position that its price would fall (i.e., who had sold the stock “short”), to buy it, which in turn may create significant, short-term demand for the stock not for fundamental reasons, but rather due to the need for such market participants to acquire the stock in order to forestall the risk of even greater losses. A “short squeeze” condition in the market for a stock can lead to short-term conditions involving very high volatility and trading that may or may not track fundamental valuation models.</w:t>
      </w:r>
    </w:p>
    <w:p>
      <w:pPr>
        <w:spacing w:after="0" w:line="199"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If we decide to make repurchases of or pay dividends on our common stock, we cannot guarantee that we will continue to do so or that such a capital deployment program will enhance long-term stockholder value.</w:t>
      </w:r>
    </w:p>
    <w:p>
      <w:pPr>
        <w:spacing w:after="0" w:line="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If we determine to make any share repurchases in the future, such repurchases may be made through a variety of methods, which may include open market purchases, privately negotiated transactions, block trades or accelerated share repurchase transactions. Our future repurchases of AAG common stock, if any, may be limited, suspended or discontinued at any time at our discretion and without prior notice.</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If we determine to make any dividends in the future, such dividends that may be declared and paid from time to time will be subject to market and economic conditions, applicable legal requirements and other relevant factors. The amount and timing of any future dividends, if any, may vary, and the payment of any dividend does not assure that we will pay dividends in the future.</w:t>
      </w:r>
    </w:p>
    <w:p>
      <w:pPr>
        <w:spacing w:after="0" w:line="11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future share repurchase program and any future dividends could cause our stock price to be higher than it would otherwise be and could potentially reduce the market liquidity for our stock. Additionally, any future repurchases of AAG common stock</w:t>
      </w:r>
    </w:p>
    <w:p>
      <w:pPr>
        <w:sectPr>
          <w:pgSz w:w="11900" w:h="16838" w:orient="portrait"/>
          <w:cols w:equalWidth="0" w:num="1">
            <w:col w:w="11240"/>
          </w:cols>
          <w:pgMar w:left="320" w:top="363" w:right="3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Under the recently enacted IRA, we may become subject to an excise tax on the fair market value of AAG common stock repurchased after December 31, 2022, which may adversely affect our financial condition. Although our share repurchase programs are intended to enhance long-term stockholder value, there is no assurance that they will do so.</w:t>
      </w:r>
    </w:p>
    <w:p>
      <w:pPr>
        <w:spacing w:after="0" w:line="207" w:lineRule="exact"/>
        <w:rPr>
          <w:sz w:val="20"/>
          <w:szCs w:val="20"/>
          <w:color w:val="auto"/>
        </w:rPr>
      </w:pPr>
    </w:p>
    <w:p>
      <w:pPr>
        <w:ind w:left="260" w:right="20"/>
        <w:spacing w:after="0" w:line="293" w:lineRule="auto"/>
        <w:rPr>
          <w:sz w:val="20"/>
          <w:szCs w:val="20"/>
          <w:color w:val="auto"/>
        </w:rPr>
      </w:pPr>
      <w:r>
        <w:rPr>
          <w:rFonts w:ascii="Arial" w:cs="Arial" w:eastAsia="Arial" w:hAnsi="Arial"/>
          <w:sz w:val="18"/>
          <w:szCs w:val="18"/>
          <w:b w:val="1"/>
          <w:bCs w:val="1"/>
          <w:i w:val="1"/>
          <w:iCs w:val="1"/>
          <w:color w:val="auto"/>
        </w:rPr>
        <w:t>AAG’s Certificate of Incorporation, Bylaws and Tax Benefit Preservation Plan include provisions that limit voting and acquisition and disposition of our equity interests and specify an exclusive forum for certain stockholder disputes.</w:t>
      </w:r>
    </w:p>
    <w:p>
      <w:pPr>
        <w:spacing w:after="0" w:line="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Certificate of Incorporation and Bylaws include significant provisions that limit voting and ownership and disposition of our equity interests as described in Part II, Item 5. Market for American Airlines Group’s Common Stock, Related Stockholder Matters and Issuer Purchases of Equity Securities - “</w:t>
      </w:r>
      <w:r>
        <w:rPr>
          <w:rFonts w:ascii="Arial" w:cs="Arial" w:eastAsia="Arial" w:hAnsi="Arial"/>
          <w:sz w:val="18"/>
          <w:szCs w:val="18"/>
          <w:i w:val="1"/>
          <w:iCs w:val="1"/>
          <w:color w:val="auto"/>
        </w:rPr>
        <w:t>Ownership Restrictions</w:t>
      </w:r>
      <w:r>
        <w:rPr>
          <w:rFonts w:ascii="Arial" w:cs="Arial" w:eastAsia="Arial" w:hAnsi="Arial"/>
          <w:sz w:val="18"/>
          <w:szCs w:val="18"/>
          <w:color w:val="auto"/>
        </w:rPr>
        <w:t>” and AAG’s Description of the Registrants’ Securities Registered Pursuant to Section 12 of the Securities Exchange Act of 1934, which is filed as Exhibit 4.1 hereto. Further restrictions are set forth in our Tax Benefit Preservation Plan, which was filed as Exhibit 4.1 to AAG’s Current Report on Form 8-K filed on December 22, 2021.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12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Certificate of Incorporation also specifies that the Court of Chancery of the State of Delaware shall be the exclusive forum for substantially all disputes between us and our stockholders. Because the applicability of the exclusive forum provision is limited to the extent permitted by applicable law, we do not intend for the exclusive forum provision to apply to suits brought to enforce any duty or liability created by the Exchange Act or any other claim for which the federal courts have exclusive jurisdiction, and acknowledge that federal courts have concurrent jurisdiction over all suits brought to enforce any duty or liability created by the Securities Act of 1933 (Securities Act). We note that there is uncertainty as to whether a court would enforce the provision as it applies to the Securities Act and that investors cannot waive compliance with the federal securities laws and the rules and regulations thereunder. This provision may have the effect of discouraging lawsuits against our directors and officers.</w:t>
      </w:r>
    </w:p>
    <w:p>
      <w:pPr>
        <w:spacing w:after="0" w:line="211" w:lineRule="exact"/>
        <w:rPr>
          <w:sz w:val="20"/>
          <w:szCs w:val="20"/>
          <w:color w:val="auto"/>
        </w:rPr>
      </w:pPr>
    </w:p>
    <w:p>
      <w:pPr>
        <w:ind w:left="260"/>
        <w:spacing w:after="0" w:line="293"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16" w:lineRule="exact"/>
        <w:rPr>
          <w:sz w:val="20"/>
          <w:szCs w:val="20"/>
          <w:color w:val="auto"/>
        </w:rPr>
      </w:pPr>
    </w:p>
    <w:p>
      <w:pPr>
        <w:ind w:left="1300" w:hanging="64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70" w:lineRule="exact"/>
        <w:rPr>
          <w:rFonts w:ascii="Arial" w:cs="Arial" w:eastAsia="Arial" w:hAnsi="Arial"/>
          <w:sz w:val="18"/>
          <w:szCs w:val="18"/>
          <w:color w:val="auto"/>
        </w:rPr>
      </w:pPr>
    </w:p>
    <w:p>
      <w:pPr>
        <w:ind w:left="1300" w:hanging="64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0" w:lineRule="exact"/>
        <w:rPr>
          <w:rFonts w:ascii="Arial" w:cs="Arial" w:eastAsia="Arial" w:hAnsi="Arial"/>
          <w:sz w:val="18"/>
          <w:szCs w:val="18"/>
          <w:color w:val="auto"/>
        </w:rPr>
      </w:pPr>
    </w:p>
    <w:p>
      <w:pPr>
        <w:ind w:left="1300" w:hanging="64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0" w:lineRule="exact"/>
        <w:rPr>
          <w:rFonts w:ascii="Arial" w:cs="Arial" w:eastAsia="Arial" w:hAnsi="Arial"/>
          <w:sz w:val="18"/>
          <w:szCs w:val="18"/>
          <w:color w:val="auto"/>
        </w:rPr>
      </w:pPr>
    </w:p>
    <w:p>
      <w:pPr>
        <w:ind w:left="1300" w:right="20" w:hanging="645"/>
        <w:spacing w:after="0" w:line="286"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99" w:lineRule="exact"/>
        <w:rPr>
          <w:rFonts w:ascii="Arial" w:cs="Arial" w:eastAsia="Arial" w:hAnsi="Arial"/>
          <w:sz w:val="18"/>
          <w:szCs w:val="18"/>
          <w:color w:val="auto"/>
        </w:rPr>
      </w:pPr>
    </w:p>
    <w:p>
      <w:pPr>
        <w:ind w:left="1300" w:right="20" w:hanging="645"/>
        <w:spacing w:after="0" w:line="286"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99" w:lineRule="exact"/>
        <w:rPr>
          <w:rFonts w:ascii="Arial" w:cs="Arial" w:eastAsia="Arial" w:hAnsi="Arial"/>
          <w:sz w:val="18"/>
          <w:szCs w:val="18"/>
          <w:color w:val="auto"/>
        </w:rPr>
      </w:pPr>
    </w:p>
    <w:p>
      <w:pPr>
        <w:ind w:left="1300" w:hanging="64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09" w:lineRule="exact"/>
        <w:rPr>
          <w:sz w:val="20"/>
          <w:szCs w:val="20"/>
          <w:color w:val="auto"/>
        </w:rPr>
      </w:pPr>
    </w:p>
    <w:p>
      <w:pPr>
        <w:jc w:val="both"/>
        <w:ind w:left="260"/>
        <w:spacing w:after="0" w:line="272" w:lineRule="auto"/>
        <w:rPr>
          <w:sz w:val="20"/>
          <w:szCs w:val="20"/>
          <w:color w:val="auto"/>
        </w:rPr>
      </w:pPr>
      <w:r>
        <w:rPr>
          <w:rFonts w:ascii="Arial" w:cs="Arial" w:eastAsia="Arial" w:hAnsi="Arial"/>
          <w:sz w:val="18"/>
          <w:szCs w:val="18"/>
          <w:b w:val="1"/>
          <w:bCs w:val="1"/>
          <w:i w:val="1"/>
          <w:iCs w:val="1"/>
          <w:color w:val="auto"/>
        </w:rPr>
        <w:t>The issuance or sale of shares of our common stock, rights to acquire shares of our common stock, or warrants issued to the U.S. Department of Treasury under the CARES Act, the PSP Extension Law, the ARP, PSP1, PSP2 and PSP3, could depress the trading price of our common stock and the Convertible Notes.</w:t>
      </w:r>
    </w:p>
    <w:p>
      <w:pPr>
        <w:spacing w:after="0" w:line="2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may conduct future offerings of material amounts of our common stock, preferred stock or other securities that are convertible into or exercisable for our common stock to finance our operations, to fund acquisitions, or for any other purposes at any time and from time to time (including as compensation to the U.S. Government for the proceeds received pursuant to the payroll support program established under the Coronavirus Aid, Relief, and Economic Security Act (CARES Act) (PSP1), the payroll support program established under the Subtitle A of Title IV of Division N of the Consolidated Appropriations Act, 2021 (PSP Extension Law) (PSP2) and the payroll support program established under the American Rescue Plan Act of 2021 (ARP) (PSP3)). If these additional shares or securities are issued or sold, or if it is perceived that they will be sold, into the public market or otherwise, the trading price of our common stock and the 6.50% convertible senior notes due 2025 (the Convertible Notes) could decline substantially.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the Convertible Notes could decline substantially.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had no unresolved SEC staff comments that were issued 180 days or more preceding December 31, 2023.</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Management and Strategy</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safety and security of our customers and team members is our top priority. This includes working to put in place appropriate administrative, physical and technical cybersecurity safeguards to help protect our assets that keep our operation running and securely store the information in our care. We have developed and implemented a cybersecurity risk management program intended to protect the confidentiality, integrity, and availability of our systems and information.</w:t>
      </w:r>
    </w:p>
    <w:p>
      <w:pPr>
        <w:spacing w:after="0" w:line="121" w:lineRule="exact"/>
        <w:rPr>
          <w:sz w:val="20"/>
          <w:szCs w:val="20"/>
          <w:color w:val="auto"/>
        </w:rPr>
      </w:pPr>
    </w:p>
    <w:p>
      <w:pPr>
        <w:jc w:val="both"/>
        <w:ind w:firstLine="246"/>
        <w:spacing w:after="0" w:line="262" w:lineRule="auto"/>
        <w:rPr>
          <w:sz w:val="20"/>
          <w:szCs w:val="20"/>
          <w:color w:val="auto"/>
        </w:rPr>
      </w:pPr>
      <w:r>
        <w:rPr>
          <w:rFonts w:ascii="Arial" w:cs="Arial" w:eastAsia="Arial" w:hAnsi="Arial"/>
          <w:sz w:val="18"/>
          <w:szCs w:val="18"/>
          <w:color w:val="auto"/>
        </w:rPr>
        <w:t>We have created, and assess our program against, an integrated cybersecurity framework using various National Institute of Standards and Technology (NIST) security standards, guidelines and best practices. This does not imply that we meet any particular technical standards, specifications, or requirements, only that we use various NIST security standards, guidelines and best practices to identify, assess, and manage cybersecurity risks relevant to our business.</w:t>
      </w:r>
    </w:p>
    <w:p>
      <w:pPr>
        <w:spacing w:after="0" w:line="121" w:lineRule="exact"/>
        <w:rPr>
          <w:sz w:val="20"/>
          <w:szCs w:val="20"/>
          <w:color w:val="auto"/>
        </w:rPr>
      </w:pPr>
    </w:p>
    <w:p>
      <w:pPr>
        <w:jc w:val="both"/>
        <w:ind w:firstLine="246"/>
        <w:spacing w:after="0" w:line="256" w:lineRule="auto"/>
        <w:rPr>
          <w:sz w:val="20"/>
          <w:szCs w:val="20"/>
          <w:color w:val="auto"/>
        </w:rPr>
      </w:pPr>
      <w:r>
        <w:rPr>
          <w:rFonts w:ascii="Arial" w:cs="Arial" w:eastAsia="Arial" w:hAnsi="Arial"/>
          <w:sz w:val="18"/>
          <w:szCs w:val="18"/>
          <w:color w:val="auto"/>
        </w:rPr>
        <w:t>Our cybersecurity risk management program is overseen by our Executive Cybersecurity Risk Group (ECRG) which is comprised of our Chief Digital and Information Officer (CDIO), Chief Financial Officer and Chief Legal Officer. The ECRG, working with our Chief Information Security Officer (CISO), assists the Board of Directors and our senior leadership team in fulfilling their responsibilities for cybersecurity governance, approval and oversight through the periodic reporting and review of security strategy and risk management practices. Our cybersecurity risk management program is integrated into our overall risk management processes and shares common reporting channels and governance processes that apply across the enterprise to other legal, compliance, strategic, operational, and financial risk governance programs.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cybersecurity risk management program includes:</w:t>
      </w:r>
    </w:p>
    <w:p>
      <w:pPr>
        <w:spacing w:after="0" w:line="171" w:lineRule="exact"/>
        <w:rPr>
          <w:sz w:val="20"/>
          <w:szCs w:val="20"/>
          <w:color w:val="auto"/>
        </w:rPr>
      </w:pPr>
    </w:p>
    <w:p>
      <w:pPr>
        <w:ind w:left="1300" w:right="20" w:hanging="645"/>
        <w:spacing w:after="0" w:line="286"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assessments designed to help identify material cybersecurity risks to our critical systems, information, and our broader enterprise IT environment;</w:t>
      </w:r>
    </w:p>
    <w:p>
      <w:pPr>
        <w:spacing w:after="0" w:line="99" w:lineRule="exact"/>
        <w:rPr>
          <w:rFonts w:ascii="Arial" w:cs="Arial" w:eastAsia="Arial" w:hAnsi="Arial"/>
          <w:sz w:val="18"/>
          <w:szCs w:val="18"/>
          <w:color w:val="auto"/>
        </w:rPr>
      </w:pPr>
    </w:p>
    <w:p>
      <w:pPr>
        <w:ind w:left="1300" w:right="20" w:hanging="645"/>
        <w:spacing w:after="0" w:line="286"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cybersecurity team principally responsible for managing our (1) cybersecurity risk assessment processes, (2) security controls, (3) vulnerability management program and (4) detection and response to cybersecurity incidents;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00" w:hanging="645"/>
        <w:spacing w:after="0" w:line="286"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use of external service providers, where appropriate, to assess, test or otherwise assist with aspects of our security controls;</w:t>
      </w:r>
    </w:p>
    <w:p>
      <w:pPr>
        <w:spacing w:after="0" w:line="99" w:lineRule="exact"/>
        <w:rPr>
          <w:rFonts w:ascii="Arial" w:cs="Arial" w:eastAsia="Arial" w:hAnsi="Arial"/>
          <w:sz w:val="18"/>
          <w:szCs w:val="18"/>
          <w:color w:val="auto"/>
        </w:rPr>
      </w:pPr>
    </w:p>
    <w:p>
      <w:pPr>
        <w:ind w:left="1300" w:hanging="645"/>
        <w:spacing w:after="0" w:line="286"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policies, procedures and standards that are utilized to outline expectations, guidelines and best practices for managing cybersecurity risks;</w:t>
      </w:r>
    </w:p>
    <w:p>
      <w:pPr>
        <w:spacing w:after="0" w:line="99" w:lineRule="exact"/>
        <w:rPr>
          <w:rFonts w:ascii="Arial" w:cs="Arial" w:eastAsia="Arial" w:hAnsi="Arial"/>
          <w:sz w:val="18"/>
          <w:szCs w:val="18"/>
          <w:color w:val="auto"/>
        </w:rPr>
      </w:pPr>
    </w:p>
    <w:p>
      <w:pPr>
        <w:ind w:left="1300" w:hanging="64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cybersecurity awareness training for our employees, incident response personnel and senior management;</w:t>
      </w:r>
    </w:p>
    <w:p>
      <w:pPr>
        <w:spacing w:after="0" w:line="170" w:lineRule="exact"/>
        <w:rPr>
          <w:rFonts w:ascii="Arial" w:cs="Arial" w:eastAsia="Arial" w:hAnsi="Arial"/>
          <w:sz w:val="18"/>
          <w:szCs w:val="18"/>
          <w:color w:val="auto"/>
        </w:rPr>
      </w:pPr>
    </w:p>
    <w:p>
      <w:pPr>
        <w:ind w:left="1300" w:hanging="64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cybersecurity incident response plan that includes procedures for responding to cybersecurity incidents; and</w:t>
      </w:r>
    </w:p>
    <w:p>
      <w:pPr>
        <w:spacing w:after="0" w:line="170" w:lineRule="exact"/>
        <w:rPr>
          <w:rFonts w:ascii="Arial" w:cs="Arial" w:eastAsia="Arial" w:hAnsi="Arial"/>
          <w:sz w:val="18"/>
          <w:szCs w:val="18"/>
          <w:color w:val="auto"/>
        </w:rPr>
      </w:pPr>
    </w:p>
    <w:p>
      <w:pPr>
        <w:ind w:left="1300" w:hanging="64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third-party risk management process for critical IT service providers, suppliers, and vendors.</w:t>
      </w:r>
    </w:p>
    <w:p>
      <w:pPr>
        <w:spacing w:after="0" w:line="171" w:lineRule="exact"/>
        <w:rPr>
          <w:sz w:val="20"/>
          <w:szCs w:val="20"/>
          <w:color w:val="auto"/>
        </w:rPr>
      </w:pPr>
    </w:p>
    <w:p>
      <w:pPr>
        <w:jc w:val="both"/>
        <w:ind w:firstLine="246"/>
        <w:spacing w:after="0" w:line="255" w:lineRule="auto"/>
        <w:rPr>
          <w:sz w:val="20"/>
          <w:szCs w:val="20"/>
          <w:color w:val="auto"/>
        </w:rPr>
      </w:pPr>
      <w:r>
        <w:rPr>
          <w:rFonts w:ascii="Arial" w:cs="Arial" w:eastAsia="Arial" w:hAnsi="Arial"/>
          <w:sz w:val="18"/>
          <w:szCs w:val="18"/>
          <w:color w:val="auto"/>
        </w:rPr>
        <w:t>We are constantly assessing our environment for cybersecurity threats, and we face risks from cybersecurity threats that, if realized, are reasonably likely to materially affect us, including our operations, business strategy, results of operations or financial condition. At the time of this filing, we have not identified risks from known cybersecurity threats, including as a result of any prior cybersecurity incidents, that have materially affected us, including our operations, business strategy, results of operations or financial condition. See Part I, Item 1A. Risk Factors – “</w:t>
      </w:r>
      <w:r>
        <w:rPr>
          <w:rFonts w:ascii="Arial" w:cs="Arial" w:eastAsia="Arial" w:hAnsi="Arial"/>
          <w:sz w:val="18"/>
          <w:szCs w:val="18"/>
          <w:i w:val="1"/>
          <w:iCs w:val="1"/>
          <w:color w:val="auto"/>
        </w:rPr>
        <w:t>Evolving cybersecurity and data privacy requirements (in particular, compliance with applicable federal, state and foreign laws</w:t>
      </w:r>
      <w:r>
        <w:rPr>
          <w:rFonts w:ascii="Arial" w:cs="Arial" w:eastAsia="Arial" w:hAnsi="Arial"/>
          <w:sz w:val="18"/>
          <w:szCs w:val="18"/>
          <w:color w:val="auto"/>
        </w:rPr>
        <w:t xml:space="preserve"> </w:t>
      </w:r>
      <w:r>
        <w:rPr>
          <w:rFonts w:ascii="Arial" w:cs="Arial" w:eastAsia="Arial" w:hAnsi="Arial"/>
          <w:sz w:val="18"/>
          <w:szCs w:val="18"/>
          <w:i w:val="1"/>
          <w:iCs w:val="1"/>
          <w:color w:val="auto"/>
        </w:rPr>
        <w:t>relating to handling of personal information about individuals) could increase our costs, and any significant cybersecurity or data privacy incident could disrupt our operations, harm our reputation, expose us to legal risks and otherwise materially adversely affect our business, results of operations and financial condition.</w:t>
      </w:r>
      <w:r>
        <w:rPr>
          <w:rFonts w:ascii="Arial" w:cs="Arial" w:eastAsia="Arial" w:hAnsi="Arial"/>
          <w:sz w:val="18"/>
          <w:szCs w:val="18"/>
          <w:color w:val="auto"/>
        </w:rPr>
        <w:t>”</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Cybersecurity Governance</w:t>
      </w:r>
    </w:p>
    <w:p>
      <w:pPr>
        <w:spacing w:after="0" w:line="90" w:lineRule="exact"/>
        <w:rPr>
          <w:sz w:val="20"/>
          <w:szCs w:val="20"/>
          <w:color w:val="auto"/>
        </w:rPr>
      </w:pPr>
    </w:p>
    <w:p>
      <w:pPr>
        <w:jc w:val="both"/>
        <w:ind w:firstLine="246"/>
        <w:spacing w:after="0" w:line="268" w:lineRule="auto"/>
        <w:rPr>
          <w:sz w:val="20"/>
          <w:szCs w:val="20"/>
          <w:color w:val="auto"/>
        </w:rPr>
      </w:pPr>
      <w:r>
        <w:rPr>
          <w:rFonts w:ascii="Arial" w:cs="Arial" w:eastAsia="Arial" w:hAnsi="Arial"/>
          <w:sz w:val="18"/>
          <w:szCs w:val="18"/>
          <w:color w:val="auto"/>
        </w:rPr>
        <w:t>Our Board of Directors consider cybersecurity risk as part of its risk oversight function and has delegated to the Audit Committee (Committee) oversight of cybersecurity and other information technology risks. The Committee oversees management’s implementation of our cybersecurity risk management program.</w:t>
      </w:r>
    </w:p>
    <w:p>
      <w:pPr>
        <w:spacing w:after="0" w:line="116" w:lineRule="exact"/>
        <w:rPr>
          <w:sz w:val="20"/>
          <w:szCs w:val="20"/>
          <w:color w:val="auto"/>
        </w:rPr>
      </w:pPr>
    </w:p>
    <w:p>
      <w:pPr>
        <w:jc w:val="both"/>
        <w:ind w:firstLine="246"/>
        <w:spacing w:after="0" w:line="286" w:lineRule="auto"/>
        <w:rPr>
          <w:sz w:val="20"/>
          <w:szCs w:val="20"/>
          <w:color w:val="auto"/>
        </w:rPr>
      </w:pPr>
      <w:r>
        <w:rPr>
          <w:rFonts w:ascii="Arial" w:cs="Arial" w:eastAsia="Arial" w:hAnsi="Arial"/>
          <w:sz w:val="18"/>
          <w:szCs w:val="18"/>
          <w:color w:val="auto"/>
        </w:rPr>
        <w:t>The Committee receives quarterly reports from management on our cybersecurity risks. In addition, management updates the Committee, as necessary, regarding any material cybersecurity incidents, as well as certain incidents with lesser impact potential.</w:t>
      </w:r>
    </w:p>
    <w:p>
      <w:pPr>
        <w:spacing w:after="0" w:line="100" w:lineRule="exact"/>
        <w:rPr>
          <w:sz w:val="20"/>
          <w:szCs w:val="20"/>
          <w:color w:val="auto"/>
        </w:rPr>
      </w:pPr>
    </w:p>
    <w:p>
      <w:pPr>
        <w:jc w:val="both"/>
        <w:ind w:firstLine="246"/>
        <w:spacing w:after="0" w:line="262" w:lineRule="auto"/>
        <w:rPr>
          <w:sz w:val="20"/>
          <w:szCs w:val="20"/>
          <w:color w:val="auto"/>
        </w:rPr>
      </w:pPr>
      <w:r>
        <w:rPr>
          <w:rFonts w:ascii="Arial" w:cs="Arial" w:eastAsia="Arial" w:hAnsi="Arial"/>
          <w:sz w:val="18"/>
          <w:szCs w:val="18"/>
          <w:color w:val="auto"/>
        </w:rPr>
        <w:t>The Committee reports to the full Board of Directors regarding its activities, including those related to cybersecurity. The full Board of Directors also receives periodic briefings from management on our cyber risk management program. Board of Directors members receive presentations on cybersecurity topics from a combination of our CDIO, CISO, Deputy General Counsel, internal security staff, external counsel or external experts, as part of the Board of Director’s continuing education on topics that impact public companies.</w:t>
      </w:r>
    </w:p>
    <w:p>
      <w:pPr>
        <w:spacing w:after="0" w:line="121" w:lineRule="exact"/>
        <w:rPr>
          <w:sz w:val="20"/>
          <w:szCs w:val="20"/>
          <w:color w:val="auto"/>
        </w:rPr>
      </w:pPr>
    </w:p>
    <w:p>
      <w:pPr>
        <w:jc w:val="both"/>
        <w:ind w:firstLine="246"/>
        <w:spacing w:after="0" w:line="256" w:lineRule="auto"/>
        <w:rPr>
          <w:sz w:val="20"/>
          <w:szCs w:val="20"/>
          <w:color w:val="auto"/>
        </w:rPr>
      </w:pPr>
      <w:r>
        <w:rPr>
          <w:rFonts w:ascii="Arial" w:cs="Arial" w:eastAsia="Arial" w:hAnsi="Arial"/>
          <w:sz w:val="18"/>
          <w:szCs w:val="18"/>
          <w:color w:val="auto"/>
        </w:rPr>
        <w:t xml:space="preserve">Our management team, including our </w:t>
      </w:r>
      <w:r>
        <w:rPr>
          <w:rFonts w:ascii="Arial" w:cs="Arial" w:eastAsia="Arial" w:hAnsi="Arial"/>
          <w:sz w:val="18"/>
          <w:szCs w:val="18"/>
          <w:color w:val="262626"/>
        </w:rPr>
        <w:t>CDIO,</w:t>
      </w:r>
      <w:r>
        <w:rPr>
          <w:rFonts w:ascii="Arial" w:cs="Arial" w:eastAsia="Arial" w:hAnsi="Arial"/>
          <w:sz w:val="18"/>
          <w:szCs w:val="18"/>
          <w:color w:val="auto"/>
        </w:rPr>
        <w:t xml:space="preserve"> CISO, Vice President and Deputy General Counsel – Chief Privacy and Data Protection Officer, </w:t>
      </w:r>
      <w:r>
        <w:rPr>
          <w:rFonts w:ascii="Arial" w:cs="Arial" w:eastAsia="Arial" w:hAnsi="Arial"/>
          <w:sz w:val="18"/>
          <w:szCs w:val="18"/>
          <w:color w:val="262626"/>
        </w:rPr>
        <w:t>Vice President of Infrastructure and Operations and</w:t>
      </w:r>
      <w:r>
        <w:rPr>
          <w:rFonts w:ascii="Arial" w:cs="Arial" w:eastAsia="Arial" w:hAnsi="Arial"/>
          <w:sz w:val="18"/>
          <w:szCs w:val="18"/>
          <w:color w:val="auto"/>
        </w:rPr>
        <w:t xml:space="preserve"> additional members of the ECRG are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Collectively, our management team has extensive information technology experience, as well as cybersecurity incident response, compliance, oversight, and program management experience. Additionally, certain leaders and personnel within the cybersecurity organization hold industry certifications, such as Certified Information Systems Security Professional or Certified Information Security Manager.</w:t>
      </w:r>
    </w:p>
    <w:p>
      <w:pPr>
        <w:spacing w:after="0" w:line="127" w:lineRule="exact"/>
        <w:rPr>
          <w:sz w:val="20"/>
          <w:szCs w:val="20"/>
          <w:color w:val="auto"/>
        </w:rPr>
      </w:pPr>
    </w:p>
    <w:p>
      <w:pPr>
        <w:jc w:val="both"/>
        <w:ind w:firstLine="246"/>
        <w:spacing w:after="0" w:line="268" w:lineRule="auto"/>
        <w:rPr>
          <w:sz w:val="20"/>
          <w:szCs w:val="20"/>
          <w:color w:val="auto"/>
        </w:rPr>
      </w:pPr>
      <w:r>
        <w:rPr>
          <w:rFonts w:ascii="Arial" w:cs="Arial" w:eastAsia="Arial" w:hAnsi="Arial"/>
          <w:sz w:val="18"/>
          <w:szCs w:val="18"/>
          <w:color w:val="auto"/>
        </w:rPr>
        <w:t>Our management team supervises efforts to prevent, detect, mitigate, and remediate cybersecurity risks and incidents through various means, which may include briefings from internal security personnel; threat intelligence and other various sources including external consultants engaged by us.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Flight Equipment</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of December 31, 2023, American operated a mainline fleet of 965 aircraft. During 2023, American accepted delivery of 31 mainline aircraft including 17 Boeing 737-8 MAX, 10 Airbus A321neo and four Boeing 787-8 aircraft and returned nine mainline aircraft to service from temporary storage. We are supported by our wholly-owned and third-party regional carriers that fly under capacity purchase agreements operating as American Eagle. As of December 31, 2023, American Eagle operated 556 regional aircraft. During 2023, we increased our regional fleet by a net of 20 aircraft, including the addition of 83 regional aircraft, the return of 55 regional aircraft to third-party regional carriers and temporarily parking eight regional aircraft.</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Mainline</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2023, American’s mainline fleet consisted of the following aircraft: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Average</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160" w:type="dxa"/>
            <w:vAlign w:val="bottom"/>
          </w:tcPr>
          <w:p>
            <w:pPr>
              <w:spacing w:after="0"/>
              <w:rPr>
                <w:sz w:val="12"/>
                <w:szCs w:val="12"/>
                <w:color w:val="auto"/>
              </w:rPr>
            </w:pPr>
          </w:p>
        </w:tc>
        <w:tc>
          <w:tcPr>
            <w:tcW w:w="1040" w:type="dxa"/>
            <w:vAlign w:val="bottom"/>
            <w:gridSpan w:val="2"/>
          </w:tcPr>
          <w:p>
            <w:pPr>
              <w:ind w:left="200"/>
              <w:spacing w:after="0" w:line="144" w:lineRule="exact"/>
              <w:rPr>
                <w:sz w:val="20"/>
                <w:szCs w:val="20"/>
                <w:color w:val="auto"/>
              </w:rPr>
            </w:pPr>
            <w:r>
              <w:rPr>
                <w:rFonts w:ascii="Arial" w:cs="Arial" w:eastAsia="Arial" w:hAnsi="Arial"/>
                <w:sz w:val="14"/>
                <w:szCs w:val="14"/>
                <w:b w:val="1"/>
                <w:bCs w:val="1"/>
                <w:color w:val="auto"/>
              </w:rPr>
              <w:t>Seating</w:t>
            </w:r>
          </w:p>
        </w:tc>
        <w:tc>
          <w:tcPr>
            <w:tcW w:w="104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rPr>
              <w:t>Age</w:t>
            </w: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Owned</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Leased</w:t>
            </w:r>
          </w:p>
        </w:tc>
        <w:tc>
          <w:tcPr>
            <w:tcW w:w="9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Capacity</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(Years)</w:t>
            </w:r>
          </w:p>
        </w:tc>
        <w:tc>
          <w:tcPr>
            <w:tcW w:w="104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Airbus A319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Airbus A320</w:t>
            </w: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Airbus A321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Airbus A321neo</w:t>
            </w: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Boeing 737-800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Boeing 737-8 MAX</w:t>
            </w:r>
          </w:p>
        </w:tc>
        <w:tc>
          <w:tcPr>
            <w:tcW w:w="92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Boeing 777-200ER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Boeing 777-300ER</w:t>
            </w:r>
          </w:p>
        </w:tc>
        <w:tc>
          <w:tcPr>
            <w:tcW w:w="92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Boeing 787-8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Boeing 787-9</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Regional</w:t>
      </w:r>
    </w:p>
    <w:p>
      <w:pPr>
        <w:spacing w:after="0" w:line="88" w:lineRule="exact"/>
        <w:rPr>
          <w:sz w:val="20"/>
          <w:szCs w:val="20"/>
          <w:color w:val="auto"/>
        </w:rPr>
      </w:pPr>
    </w:p>
    <w:p>
      <w:pPr>
        <w:ind w:right="360" w:firstLine="243"/>
        <w:spacing w:after="0" w:line="286" w:lineRule="auto"/>
        <w:rPr>
          <w:sz w:val="20"/>
          <w:szCs w:val="20"/>
          <w:color w:val="auto"/>
        </w:rPr>
      </w:pPr>
      <w:r>
        <w:rPr>
          <w:rFonts w:ascii="Arial" w:cs="Arial" w:eastAsia="Arial" w:hAnsi="Arial"/>
          <w:sz w:val="18"/>
          <w:szCs w:val="18"/>
          <w:color w:val="auto"/>
        </w:rPr>
        <w:t>As of December 31, 2023, the fleet of our wholly-owned and third-party regional carriers operating as American Eagle consisted of the following aircraft: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Average Seating</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Owned or Leased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Operating Regional</w:t>
            </w:r>
          </w:p>
        </w:tc>
        <w:tc>
          <w:tcPr>
            <w:tcW w:w="1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Owned</w:t>
            </w:r>
          </w:p>
        </w:tc>
        <w:tc>
          <w:tcPr>
            <w:tcW w:w="100" w:type="dxa"/>
            <w:vAlign w:val="bottom"/>
          </w:tcPr>
          <w:p>
            <w:pPr>
              <w:spacing w:after="0"/>
              <w:rPr>
                <w:sz w:val="12"/>
                <w:szCs w:val="12"/>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Leased</w:t>
            </w: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by Third Party</w:t>
            </w:r>
          </w:p>
        </w:tc>
        <w:tc>
          <w:tcPr>
            <w:tcW w:w="6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Aircraft</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rPr>
              <w:t>Capacity</w:t>
            </w: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Regional Carrier</w:t>
            </w: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Carrier</w:t>
            </w:r>
          </w:p>
        </w:tc>
        <w:tc>
          <w:tcPr>
            <w:tcW w:w="1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Operated</w:t>
            </w:r>
          </w:p>
        </w:tc>
        <w:tc>
          <w:tcPr>
            <w:tcW w:w="0" w:type="dxa"/>
            <w:vAlign w:val="bottom"/>
          </w:tcPr>
          <w:p>
            <w:pPr>
              <w:spacing w:after="0"/>
              <w:rPr>
                <w:sz w:val="1"/>
                <w:szCs w:val="1"/>
                <w:color w:val="auto"/>
              </w:rPr>
            </w:pPr>
          </w:p>
        </w:tc>
      </w:tr>
      <w:tr>
        <w:trPr>
          <w:trHeight w:val="223"/>
        </w:trPr>
        <w:tc>
          <w:tcPr>
            <w:tcW w:w="2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Bombardier CRJ 200</w:t>
            </w:r>
          </w:p>
        </w:tc>
        <w:tc>
          <w:tcPr>
            <w:tcW w:w="122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Air Wisconsin</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435363"/>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260" w:type="dxa"/>
            <w:vAlign w:val="bottom"/>
          </w:tcPr>
          <w:p>
            <w:pPr>
              <w:ind w:left="20"/>
              <w:spacing w:after="0"/>
              <w:rPr>
                <w:sz w:val="20"/>
                <w:szCs w:val="20"/>
                <w:color w:val="auto"/>
              </w:rPr>
            </w:pPr>
            <w:r>
              <w:rPr>
                <w:rFonts w:ascii="Arial" w:cs="Arial" w:eastAsia="Arial" w:hAnsi="Arial"/>
                <w:sz w:val="18"/>
                <w:szCs w:val="18"/>
                <w:color w:val="auto"/>
              </w:rPr>
              <w:t xml:space="preserve">Bombardier CRJ 700 </w:t>
            </w:r>
            <w:r>
              <w:rPr>
                <w:rFonts w:ascii="Arial" w:cs="Arial" w:eastAsia="Arial" w:hAnsi="Arial"/>
                <w:sz w:val="23"/>
                <w:szCs w:val="23"/>
                <w:color w:val="auto"/>
                <w:vertAlign w:val="superscript"/>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SkyWest</w:t>
            </w:r>
          </w:p>
        </w:tc>
        <w:tc>
          <w:tcPr>
            <w:tcW w:w="1360" w:type="dxa"/>
            <w:vAlign w:val="bottom"/>
          </w:tcPr>
          <w:p>
            <w:pPr>
              <w:jc w:val="right"/>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PSA</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Bombardier CRJ 900 </w:t>
            </w:r>
            <w:r>
              <w:rPr>
                <w:rFonts w:ascii="Arial" w:cs="Arial" w:eastAsia="Arial" w:hAnsi="Arial"/>
                <w:sz w:val="23"/>
                <w:szCs w:val="23"/>
                <w:color w:val="auto"/>
                <w:vertAlign w:val="superscript"/>
              </w:rPr>
              <w:t>(1)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PSA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260" w:type="dxa"/>
            <w:vAlign w:val="bottom"/>
          </w:tcPr>
          <w:p>
            <w:pPr>
              <w:ind w:left="20"/>
              <w:spacing w:after="0"/>
              <w:rPr>
                <w:sz w:val="20"/>
                <w:szCs w:val="20"/>
                <w:color w:val="auto"/>
              </w:rPr>
            </w:pPr>
            <w:r>
              <w:rPr>
                <w:rFonts w:ascii="Arial" w:cs="Arial" w:eastAsia="Arial" w:hAnsi="Arial"/>
                <w:sz w:val="18"/>
                <w:szCs w:val="18"/>
                <w:color w:val="auto"/>
              </w:rPr>
              <w:t xml:space="preserve">Embraer 170 </w:t>
            </w:r>
            <w:r>
              <w:rPr>
                <w:rFonts w:ascii="Arial" w:cs="Arial" w:eastAsia="Arial" w:hAnsi="Arial"/>
                <w:sz w:val="23"/>
                <w:szCs w:val="23"/>
                <w:color w:val="auto"/>
                <w:vertAlign w:val="superscript"/>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Envoy</w:t>
            </w:r>
          </w:p>
        </w:tc>
        <w:tc>
          <w:tcPr>
            <w:tcW w:w="136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Republic</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Embraer 175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Envoy</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Republic</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SkyWest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2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Embraer 145 </w:t>
            </w:r>
            <w:r>
              <w:rPr>
                <w:rFonts w:ascii="Arial" w:cs="Arial" w:eastAsia="Arial" w:hAnsi="Arial"/>
                <w:sz w:val="23"/>
                <w:szCs w:val="23"/>
                <w:color w:val="auto"/>
                <w:vertAlign w:val="superscript"/>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Piedmont</w:t>
            </w: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2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right"/>
              <w:ind w:right="1195"/>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13100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340" w:hanging="332"/>
        <w:spacing w:after="0" w:line="237" w:lineRule="auto"/>
        <w:tabs>
          <w:tab w:leader="none" w:pos="334"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Excluded from the total operating aircraft count above are 77 regional aircraft that are being held in temporary storage as follows: 57 owned Embraer 145, seven owned and four leased Bombardier CRJ 700, six owned Bombardier CRJ 900 and three leased Embraer 170.</w:t>
      </w:r>
    </w:p>
    <w:p>
      <w:pPr>
        <w:spacing w:after="0" w:line="139"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See Note 11 to AAG’s Consolidated Financial Statements in Part II, Item 8A and Note 10 to American’s Consolidated Financial Statements in Part II, Item 8B for additional information on our capacity purchase agreements with third-party regional carriers.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Aircraft and Engine Purchase Commitments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As of December 31, 2023, we had definitive purchase agreements for the acquisition of the following new aircraft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108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9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4"/>
                <w:szCs w:val="14"/>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2029 and</w:t>
            </w:r>
          </w:p>
        </w:tc>
        <w:tc>
          <w:tcPr>
            <w:tcW w:w="9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560" w:type="dxa"/>
            <w:vAlign w:val="bottom"/>
            <w:gridSpan w:val="6"/>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Thereafter</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8"/>
              </w:rPr>
              <w:t>Airbus</w:t>
            </w:r>
          </w:p>
        </w:tc>
        <w:tc>
          <w:tcPr>
            <w:tcW w:w="33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gridSpan w:val="5"/>
          </w:tcPr>
          <w:p>
            <w:pPr>
              <w:spacing w:after="0"/>
              <w:rPr>
                <w:sz w:val="20"/>
                <w:szCs w:val="20"/>
                <w:color w:val="auto"/>
              </w:rPr>
            </w:pPr>
            <w:r>
              <w:rPr>
                <w:rFonts w:ascii="Arial" w:cs="Arial" w:eastAsia="Arial" w:hAnsi="Arial"/>
                <w:sz w:val="18"/>
                <w:szCs w:val="18"/>
                <w:color w:val="auto"/>
              </w:rPr>
              <w:t>A320neo Family</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21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8"/>
              </w:rPr>
              <w:t>Boeing</w:t>
            </w:r>
          </w:p>
        </w:tc>
        <w:tc>
          <w:tcPr>
            <w:tcW w:w="3920" w:type="dxa"/>
            <w:vAlign w:val="bottom"/>
            <w:tcBorders>
              <w:bottom w:val="single" w:sz="8" w:color="CCEEFF"/>
            </w:tcBorders>
            <w:gridSpan w:val="3"/>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gridSpan w:val="5"/>
          </w:tcPr>
          <w:p>
            <w:pPr>
              <w:spacing w:after="0"/>
              <w:rPr>
                <w:sz w:val="20"/>
                <w:szCs w:val="20"/>
                <w:color w:val="auto"/>
              </w:rPr>
            </w:pPr>
            <w:r>
              <w:rPr>
                <w:rFonts w:ascii="Arial" w:cs="Arial" w:eastAsia="Arial" w:hAnsi="Arial"/>
                <w:sz w:val="18"/>
                <w:szCs w:val="18"/>
                <w:color w:val="auto"/>
              </w:rPr>
              <w:t>737 MAX Family</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20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33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787 Family</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Embraer</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00" w:type="dxa"/>
            <w:vAlign w:val="bottom"/>
            <w:gridSpan w:val="4"/>
          </w:tcPr>
          <w:p>
            <w:pPr>
              <w:ind w:left="120"/>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41</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59</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00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35" w:lineRule="exact"/>
        <w:rPr>
          <w:sz w:val="20"/>
          <w:szCs w:val="20"/>
          <w:color w:val="auto"/>
        </w:rPr>
      </w:pPr>
    </w:p>
    <w:p>
      <w:pPr>
        <w:jc w:val="both"/>
        <w:ind w:left="340" w:hanging="332"/>
        <w:spacing w:after="0"/>
        <w:tabs>
          <w:tab w:leader="none" w:pos="334"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Delivery schedule represents our best estimate as of the date of this report as described in footnote (e) to the “</w:t>
      </w:r>
      <w:r>
        <w:rPr>
          <w:rFonts w:ascii="Arial" w:cs="Arial" w:eastAsia="Arial" w:hAnsi="Arial"/>
          <w:sz w:val="18"/>
          <w:szCs w:val="18"/>
          <w:i w:val="1"/>
          <w:iCs w:val="1"/>
          <w:color w:val="auto"/>
        </w:rPr>
        <w:t>Contractual Obligations</w:t>
      </w:r>
      <w:r>
        <w:rPr>
          <w:rFonts w:ascii="Arial" w:cs="Arial" w:eastAsia="Arial" w:hAnsi="Arial"/>
          <w:sz w:val="18"/>
          <w:szCs w:val="18"/>
          <w:color w:val="auto"/>
        </w:rPr>
        <w:t>” table in Part II, Item 7. Management’s Discussion and Analysis of Financial Condition and Results of Operations. Actual delivery dates are subject to change, which could be material, based on various potential factors including production delays by the manufacturer and regulatory concerns.</w:t>
      </w:r>
    </w:p>
    <w:p>
      <w:pPr>
        <w:spacing w:after="0" w:line="13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December 31, 2023, we had committed to purchase two used Airbus A321neo aircraft which were delivered in January 2024. We had also committed to purchasing six used Embraer 175 aircraft, which are currently flown under a capacity purchase agreement with a third-party regional carrier and which are already included in our aircraft count. We also have agreements for 44 spare engines to be delivered in 2024 and beyond.</w:t>
      </w:r>
    </w:p>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We have financing commitments in place for all aircraft scheduled to be delivered in 2024, except for three Airbus A320neo Family aircraft and two Embraer 175 aircraft. Our ability to draw on the financing commitments we have in place is subject to (1) the satisfaction of various terms and conditions including, in some cases, on our acquisition of the aircraft by a certain date and (2) the performance by the relevant financing counterparty of its obligations thereunder. See Part I, Item 1A. Risk Factors – </w:t>
      </w:r>
      <w:r>
        <w:rPr>
          <w:rFonts w:ascii="Arial" w:cs="Arial" w:eastAsia="Arial" w:hAnsi="Arial"/>
          <w:sz w:val="18"/>
          <w:szCs w:val="18"/>
          <w:i w:val="1"/>
          <w:iCs w:val="1"/>
          <w:color w:val="auto"/>
        </w:rPr>
        <w:t>“We will need to obtain sufficient financing or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capital to operate successfully” </w:t>
      </w:r>
      <w:r>
        <w:rPr>
          <w:rFonts w:ascii="Arial" w:cs="Arial" w:eastAsia="Arial" w:hAnsi="Arial"/>
          <w:sz w:val="18"/>
          <w:szCs w:val="18"/>
          <w:color w:val="auto"/>
        </w:rPr>
        <w:t>for additional discussion.</w:t>
      </w:r>
    </w:p>
    <w:p>
      <w:pPr>
        <w:spacing w:after="0" w:line="1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See Note 11 to AAG’s Consolidated Financial Statements in Part II, Item 8A and Note 10 to American’s Consolidated Financial Statements in Part II, Item 8B for additional information on aircraft and engine acquisition commitments.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Ground Properties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At each airport where we conduct flight operations, we have agreements, generally with a governmental unit or authority, for the use of passenger, operations and baggage handling space as well as runways and taxiways. These agreements, particularly in the U.S., often contain provisions for periodic adjustments to rates and charges applicable under such agreements. These rates and charges also vary with our level of operations and the operations of the airport. Additionally, at our hub locations and in certain other cities we serve, we lease administrative offices, catering, cargo, training, maintenance and other facilities.</w:t>
      </w:r>
    </w:p>
    <w:p>
      <w:pPr>
        <w:spacing w:after="0" w:line="1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We lease or have built on leased property our headquarters and training facilities in Fort Worth, Texas, our principal overhaul and maintenance base in Tulsa, Oklahoma, our regional reservation offices, and administrative offices throughout the U.S. and abroad.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0"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See Note 11 to AAG’s Consolidated Financial Statements in Part II, Item 8A and Note 10 to American’s Consolidated Financial Statements in Part II, Item 8B for information on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1" w:lineRule="exact"/>
        <w:rPr>
          <w:sz w:val="20"/>
          <w:szCs w:val="20"/>
          <w:color w:val="auto"/>
        </w:rPr>
      </w:pPr>
    </w:p>
    <w:p>
      <w:pPr>
        <w:ind w:left="840" w:right="420" w:hanging="889"/>
        <w:spacing w:after="0" w:line="296" w:lineRule="auto"/>
        <w:tabs>
          <w:tab w:leader="none" w:pos="820" w:val="left"/>
        </w:tabs>
        <w:rPr>
          <w:sz w:val="20"/>
          <w:szCs w:val="20"/>
          <w:color w:val="auto"/>
        </w:rPr>
      </w:pPr>
      <w:r>
        <w:rPr>
          <w:rFonts w:ascii="Arial" w:cs="Arial" w:eastAsia="Arial" w:hAnsi="Arial"/>
          <w:sz w:val="18"/>
          <w:szCs w:val="18"/>
          <w:b w:val="1"/>
          <w:bCs w:val="1"/>
          <w:color w:val="auto"/>
        </w:rPr>
        <w:t>ITEM 5.</w:t>
        <w:tab/>
        <w:t>MARKET FOR AMERICAN AIRLINES GROUP’S COMMON STOCK, RELATED STOCKHOLDER MATTERS AND ISSUER PURCHASES OF EQUITY SECURITIES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9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Our common stock is listed on The Nasdaq Global Select Market under the trading symbol “AAL.” There is no trading market for the common stock of American, which is a wholly-owned subsidiary of AAG.</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February 16, 2024, there were approximately 54,000 holders of record of our common stock. However, because many of the shares of our common stock are held by brokers and other institutions on behalf of stockholders, we believe there are substantially more beneficial holders of our common stock than record holders.</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Information on securities authorized for issuance under our equity compensation plans will be set forth in our Proxy Statement for the 2024 Annual Meeting of Stockholders of American Airlines Group Inc. (the Proxy Statement) under the caption “Equity Compensation Plan Information” and is incorporated by reference into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There were no cash dividend payments during the years ended December 31, 2023 and 2022. In connection with our receipt of financial assistance under PSP1, PSP2 and PSP3, we agreed not to pay dividends on AAG common stock through September 30, 2022, when this restriction expired. If we determine to make any dividends in the future, such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again at any time at our discretion and without prior notice.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2"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8"/>
          <w:szCs w:val="18"/>
          <w:i w:val="1"/>
          <w:iCs w:val="1"/>
          <w:color w:val="auto"/>
        </w:rPr>
        <w:t>The following stock performance graph and related information shall not be deemed “soliciting material” or “filed” with the SEC, nor shall such information be incorporated by reference into any future filings under the Securities Act of 1933 or the Exchange Act, each as amended, except to the extent that we specifically incorporate it by reference into such filing.</w:t>
      </w:r>
    </w:p>
    <w:p>
      <w:pPr>
        <w:spacing w:after="0" w:line="11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following stock performance graph compares the cumulative total stockholder returns during the period from December 31, 2018 to December 31, 2023 of our common stock to the New York Stock Exchange (NYSE) ARCA Airline Index and the Standard and Poor’s Financial Services, LLC (S&amp;P) 500 Stock Index. The comparison assumes $100 was invested on December 31, 2018 in our common stock and in each of the foregoing indices and assumes that all dividends were reinvested. The stock performance shown on the following graph represents historical stock performance and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90805</wp:posOffset>
            </wp:positionV>
            <wp:extent cx="5839460" cy="28943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39460" cy="2894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12/31/2018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12/31/2019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12/31/2020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12/31/2021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12/31/2022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12/31/2023</w:t>
            </w:r>
          </w:p>
        </w:tc>
      </w:tr>
      <w:tr>
        <w:trPr>
          <w:trHeight w:val="224"/>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American Airlines Group Inc. (AAL)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NYSE ARCA Airline Index (XAL)</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500 Index (GSPC)</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remaining authority under our most recent $2.0 billion share repurchase program expired in December 2020, and in connection with our receipt of financial assistance under PSP1, PSP2 and PSP3, we agreed not to repurchase shares of AAG common stock through September 30, 2022, when this restriction expired. No repurchases of AAG common stock were made in 2023 or 2022 following the lapse of these restrictions. As of December 31, 2023, the Board of Directors of AAG had not authorized another share repurchase program. Any future determination to enter into a share repurchase program will be at the discretion of the Board of Directors, subject to applicable legal limitations, and will depend upon our results of operations, financial condition, contractual restrictions and other factors deemed relevant by the Board of Directors.</w:t>
      </w:r>
    </w:p>
    <w:p>
      <w:pPr>
        <w:spacing w:after="0" w:line="127"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See Part I, Item 1A. Risk Factors – “</w:t>
      </w:r>
      <w:r>
        <w:rPr>
          <w:rFonts w:ascii="Arial" w:cs="Arial" w:eastAsia="Arial" w:hAnsi="Arial"/>
          <w:sz w:val="18"/>
          <w:szCs w:val="18"/>
          <w:i w:val="1"/>
          <w:iCs w:val="1"/>
          <w:color w:val="auto"/>
        </w:rPr>
        <w:t>If we decide to make repurchases of or pay dividends on our common stock, we cannot guarantee</w:t>
      </w:r>
      <w:r>
        <w:rPr>
          <w:rFonts w:ascii="Arial" w:cs="Arial" w:eastAsia="Arial" w:hAnsi="Arial"/>
          <w:sz w:val="18"/>
          <w:szCs w:val="18"/>
          <w:color w:val="auto"/>
        </w:rPr>
        <w:t xml:space="preserve"> </w:t>
      </w:r>
      <w:r>
        <w:rPr>
          <w:rFonts w:ascii="Arial" w:cs="Arial" w:eastAsia="Arial" w:hAnsi="Arial"/>
          <w:sz w:val="18"/>
          <w:szCs w:val="18"/>
          <w:i w:val="1"/>
          <w:iCs w:val="1"/>
          <w:color w:val="auto"/>
        </w:rPr>
        <w:t>that we will continue to do so or that such a capital deployment program will enhance long-term stockholder value.</w:t>
      </w:r>
      <w:r>
        <w:rPr>
          <w:rFonts w:ascii="Arial" w:cs="Arial" w:eastAsia="Arial" w:hAnsi="Arial"/>
          <w:sz w:val="18"/>
          <w:szCs w:val="18"/>
          <w:color w:val="auto"/>
        </w:rPr>
        <w: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Restrictions</w:t>
      </w:r>
    </w:p>
    <w:p>
      <w:pPr>
        <w:spacing w:after="0" w:line="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AAG’s Certificate of Incorporation and Bylaws provide that, consistent with the requirements of Subtitle VII of Title 49 of the United States Code, as amended (the Aviation Act), any persons or entities who are not a “citizen of the United States” (as defined under the Aviation Act and administrative interpretations issued by the DOT, its predecessors and successors, from time to time), including any agent, trustee or representative of such persons or entities (a non-citizen), shall not, in the aggregate, own (beneficially or of record) and/or control more than</w:t>
      </w:r>
    </w:p>
    <w:p>
      <w:pPr>
        <w:spacing w:after="0" w:line="1" w:lineRule="exact"/>
        <w:rPr>
          <w:sz w:val="20"/>
          <w:szCs w:val="20"/>
          <w:color w:val="auto"/>
        </w:rPr>
      </w:pPr>
    </w:p>
    <w:p>
      <w:pPr>
        <w:jc w:val="both"/>
        <w:ind w:firstLine="8"/>
        <w:spacing w:after="0" w:line="258" w:lineRule="auto"/>
        <w:tabs>
          <w:tab w:leader="none" w:pos="271" w:val="left"/>
        </w:tabs>
        <w:numPr>
          <w:ilvl w:val="0"/>
          <w:numId w:val="23"/>
        </w:numPr>
        <w:rPr>
          <w:rFonts w:ascii="Arial" w:cs="Arial" w:eastAsia="Arial" w:hAnsi="Arial"/>
          <w:sz w:val="18"/>
          <w:szCs w:val="18"/>
          <w:color w:val="auto"/>
        </w:rPr>
      </w:pPr>
      <w:r>
        <w:rPr>
          <w:rFonts w:ascii="Arial" w:cs="Arial" w:eastAsia="Arial" w:hAnsi="Arial"/>
          <w:sz w:val="18"/>
          <w:szCs w:val="18"/>
          <w:color w:val="auto"/>
        </w:rPr>
        <w:t>24.9% of the aggregate votes of all of our outstanding equity securities or (b) 49.0% of our outstanding equity securities. Our Certificate of Incorporation and Bylaws further specify that it is the duty of each stockholder who is a non-citizen to register his, her or its equity securities on our foreign stock record and provide for remedies applicable to stockholders that exceed the voting and ownership caps described above.</w:t>
      </w:r>
    </w:p>
    <w:p>
      <w:pPr>
        <w:spacing w:after="0" w:line="1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to reduce the risk of a potential adverse effect on our ability to use our NOL carryforwards and certain other tax attributes for federal income tax purposes, and in connection with the expiration in December 2021 of certain transfer restrictions applicable to substantial shareholders contained in our Certificate of Incorporation, the Board of Directors of AAG adopted the Tax Benefit Preservation Plan. The Tax Benefit Preservation Plan was subsequently ratified by our stockholders at the 2022 Annual Meeting of Stockholders of AAG. The Tax Benefit Preservation Plan is designed to reduce the likelihood that we experience an "ownership change” for purposes of Section 382 by deterring certain acquisitions of AAG common stock. There is no assurance, however, that the deterrent mechanism will be effective, and such acquisitions may still occur. In addition, the Tax Benefit Preservation Plan may adversely affect the marketability of AAG common stock by discouraging existing or potential investors from acquiring AAG common stock or additional shares of AAG common stock, because any non-exempt third party that acquires 4.9% or more of the then-outstanding shares of AAG common stock would suffer substantial dilution of its ownership interest in AAG.</w:t>
      </w:r>
    </w:p>
    <w:p>
      <w:pPr>
        <w:spacing w:after="0" w:line="1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See Part I, Item 1A. Risk Factors – </w:t>
      </w:r>
      <w:r>
        <w:rPr>
          <w:rFonts w:ascii="Arial" w:cs="Arial" w:eastAsia="Arial" w:hAnsi="Arial"/>
          <w:sz w:val="18"/>
          <w:szCs w:val="18"/>
          <w:i w:val="1"/>
          <w:iCs w:val="1"/>
          <w:color w:val="auto"/>
        </w:rPr>
        <w:t>“AAG’s Certificate of Incorporation, Bylaws and Tax Benefit Preservation Plan include provisions that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limit voting and acquisition and disposition of our equity interests and specify an exclusive forum for certain stockholder disputes” </w:t>
      </w:r>
      <w:r>
        <w:rPr>
          <w:rFonts w:ascii="Arial" w:cs="Arial" w:eastAsia="Arial" w:hAnsi="Arial"/>
          <w:sz w:val="18"/>
          <w:szCs w:val="18"/>
          <w:color w:val="auto"/>
        </w:rPr>
        <w:t>and “</w:t>
      </w:r>
      <w:r>
        <w:rPr>
          <w:rFonts w:ascii="Arial" w:cs="Arial" w:eastAsia="Arial" w:hAnsi="Arial"/>
          <w:sz w:val="18"/>
          <w:szCs w:val="18"/>
          <w:i w:val="1"/>
          <w:iCs w:val="1"/>
          <w:color w:val="auto"/>
        </w:rPr>
        <w:t xml:space="preserve">Our ability to utilize our NOLs and other carryforwards may be limited.” </w:t>
      </w:r>
      <w:r>
        <w:rPr>
          <w:rFonts w:ascii="Arial" w:cs="Arial" w:eastAsia="Arial" w:hAnsi="Arial"/>
          <w:sz w:val="18"/>
          <w:szCs w:val="18"/>
          <w:color w:val="auto"/>
        </w:rPr>
        <w:t>Also see AAG’s Certification of Incorporation and Bylaws, which are filed</w:t>
      </w:r>
      <w:r>
        <w:rPr>
          <w:rFonts w:ascii="Arial" w:cs="Arial" w:eastAsia="Arial" w:hAnsi="Arial"/>
          <w:sz w:val="18"/>
          <w:szCs w:val="18"/>
          <w:i w:val="1"/>
          <w:iCs w:val="1"/>
          <w:color w:val="auto"/>
        </w:rPr>
        <w:t xml:space="preserve"> </w:t>
      </w:r>
      <w:r>
        <w:rPr>
          <w:rFonts w:ascii="Arial" w:cs="Arial" w:eastAsia="Arial" w:hAnsi="Arial"/>
          <w:sz w:val="18"/>
          <w:szCs w:val="18"/>
          <w:color w:val="auto"/>
        </w:rPr>
        <w:t>as Exhibits 3.1, 3.2, 3.3 and 3.4 hereto, for the full text of the foregoing restrictions and AAG’s Description of the Registrants’ Securities Registered Pursuant to Section 12 of the Securities Exchange Act of 1934, which is filed as Exhibit 4.1 hereto, for a more detailed description.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 of AAG</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selected consolidated financial data presented below under the captions “Consolidated Statements of Operations data” and “Consolidated Balance Sheet data” for the years ended and as of December 31, 2023, 2022 and 2021, are derived from AAG’s audited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391"/>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196"/>
        </w:trPr>
        <w:tc>
          <w:tcPr>
            <w:tcW w:w="6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20" w:type="dxa"/>
            <w:vAlign w:val="bottom"/>
            <w:gridSpan w:val="5"/>
          </w:tcPr>
          <w:p>
            <w:pPr>
              <w:jc w:val="center"/>
              <w:ind w:right="271"/>
              <w:spacing w:after="0"/>
              <w:rPr>
                <w:sz w:val="20"/>
                <w:szCs w:val="20"/>
                <w:color w:val="auto"/>
              </w:rPr>
            </w:pPr>
            <w:r>
              <w:rPr>
                <w:rFonts w:ascii="Arial" w:cs="Arial" w:eastAsia="Arial" w:hAnsi="Arial"/>
                <w:sz w:val="14"/>
                <w:szCs w:val="14"/>
                <w:b w:val="1"/>
                <w:bCs w:val="1"/>
                <w:color w:val="auto"/>
              </w:rPr>
              <w:t>(In millions, except share and per share amounts)</w:t>
            </w:r>
          </w:p>
        </w:tc>
      </w:tr>
      <w:tr>
        <w:trPr>
          <w:trHeight w:val="230"/>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 operating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52,788</w:t>
            </w:r>
          </w:p>
        </w:tc>
        <w:tc>
          <w:tcPr>
            <w:tcW w:w="4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48,971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29,882</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49,754</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47,364</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30,941</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3,034</w:t>
            </w:r>
          </w:p>
        </w:tc>
        <w:tc>
          <w:tcPr>
            <w:tcW w:w="480" w:type="dxa"/>
            <w:vAlign w:val="bottom"/>
          </w:tcPr>
          <w:p>
            <w:pPr>
              <w:spacing w:after="0"/>
              <w:rPr>
                <w:sz w:val="19"/>
                <w:szCs w:val="19"/>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1,607</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127</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Earnings (loss) per common share: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0.20</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480" w:type="dxa"/>
            <w:vAlign w:val="bottom"/>
          </w:tcPr>
          <w:p>
            <w:pPr>
              <w:spacing w:after="0"/>
              <w:rPr>
                <w:sz w:val="19"/>
                <w:szCs w:val="19"/>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0.19</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for computation (in thousands):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653,612</w:t>
            </w:r>
          </w:p>
        </w:tc>
        <w:tc>
          <w:tcPr>
            <w:tcW w:w="480" w:type="dxa"/>
            <w:vAlign w:val="bottom"/>
          </w:tcPr>
          <w:p>
            <w:pPr>
              <w:spacing w:after="0"/>
              <w:rPr>
                <w:sz w:val="19"/>
                <w:szCs w:val="19"/>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650,345</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644,015</w:t>
            </w: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719,669</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655,122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644,015</w:t>
            </w:r>
          </w:p>
        </w:tc>
      </w:tr>
      <w:tr>
        <w:trPr>
          <w:trHeight w:val="256"/>
        </w:trPr>
        <w:tc>
          <w:tcPr>
            <w:tcW w:w="6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 (at end of period):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63,058</w:t>
            </w:r>
          </w:p>
        </w:tc>
        <w:tc>
          <w:tcPr>
            <w:tcW w:w="4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64,716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66,467</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and finance leases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32,902</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35,663</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38,060</w:t>
            </w:r>
          </w:p>
        </w:tc>
      </w:tr>
      <w:tr>
        <w:trPr>
          <w:trHeight w:val="229"/>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Pension and postretirement obligations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3,171</w:t>
            </w:r>
          </w:p>
        </w:tc>
        <w:tc>
          <w:tcPr>
            <w:tcW w:w="480" w:type="dxa"/>
            <w:vAlign w:val="bottom"/>
          </w:tcPr>
          <w:p>
            <w:pPr>
              <w:spacing w:after="0"/>
              <w:rPr>
                <w:sz w:val="19"/>
                <w:szCs w:val="19"/>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2,926</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5,150</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8,024</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8,117</w:t>
            </w:r>
          </w:p>
        </w:tc>
      </w:tr>
      <w:tr>
        <w:trPr>
          <w:trHeight w:val="239"/>
        </w:trPr>
        <w:tc>
          <w:tcPr>
            <w:tcW w:w="646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(5,202)</w:t>
            </w:r>
          </w:p>
        </w:tc>
        <w:tc>
          <w:tcPr>
            <w:tcW w:w="480" w:type="dxa"/>
            <w:vAlign w:val="bottom"/>
          </w:tcPr>
          <w:p>
            <w:pPr>
              <w:spacing w:after="0"/>
              <w:rPr>
                <w:sz w:val="20"/>
                <w:szCs w:val="20"/>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(5,799)</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00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21" w:lineRule="exact"/>
        <w:rPr>
          <w:sz w:val="20"/>
          <w:szCs w:val="20"/>
          <w:color w:val="auto"/>
        </w:rPr>
      </w:pPr>
    </w:p>
    <w:p>
      <w:pPr>
        <w:ind w:left="340" w:hanging="332"/>
        <w:spacing w:after="0" w:line="231" w:lineRule="auto"/>
        <w:tabs>
          <w:tab w:leader="none" w:pos="33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Substantially all defined benefit pension plans were frozen effective November 1, 2012. See Note 9 to AAG's Consolidated Financial Statements in Part II, Item 8A for further information on pension and postretirement benefits.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sometimes use financial measures that are derived from the consolidated financial statements but that are not presented in accordance with accounting principles generally accepted in the U.S.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following table presents the components of our total net special items and the reconciliation of pre-tax income and net income (GAAP measures) to pre-tax income excluding net special items and net income excluding net special items (non-GAAP measures). Management uses these non-GAAP financial measures to evaluate our current operating performance and to allow for period-to-period comparisons. As net special items may vary from period-to-period in nature and amount, the adjustment to exclude net special items allows management an additional tool to understand our core operating performance.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20" w:type="dxa"/>
            <w:vAlign w:val="bottom"/>
          </w:tcPr>
          <w:p>
            <w:pPr>
              <w:spacing w:after="0"/>
              <w:rPr>
                <w:sz w:val="17"/>
                <w:szCs w:val="17"/>
                <w:color w:val="auto"/>
              </w:rPr>
            </w:pPr>
          </w:p>
        </w:tc>
        <w:tc>
          <w:tcPr>
            <w:tcW w:w="308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r>
      <w:tr>
        <w:trPr>
          <w:trHeight w:val="196"/>
        </w:trPr>
        <w:tc>
          <w:tcPr>
            <w:tcW w:w="7620" w:type="dxa"/>
            <w:vAlign w:val="bottom"/>
          </w:tcPr>
          <w:p>
            <w:pPr>
              <w:spacing w:after="0"/>
              <w:rPr>
                <w:sz w:val="17"/>
                <w:szCs w:val="17"/>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r>
      <w:tr>
        <w:trPr>
          <w:trHeight w:val="196"/>
        </w:trPr>
        <w:tc>
          <w:tcPr>
            <w:tcW w:w="7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gridSpan w:val="3"/>
          </w:tcPr>
          <w:p>
            <w:pPr>
              <w:jc w:val="right"/>
              <w:ind w:right="773"/>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7"/>
                <w:szCs w:val="17"/>
                <w:color w:val="auto"/>
              </w:rPr>
            </w:pPr>
          </w:p>
        </w:tc>
      </w:tr>
      <w:tr>
        <w:trPr>
          <w:trHeight w:val="230"/>
        </w:trPr>
        <w:tc>
          <w:tcPr>
            <w:tcW w:w="7620" w:type="dxa"/>
            <w:vAlign w:val="bottom"/>
            <w:tcBorders>
              <w:bottom w:val="single" w:sz="8" w:color="auto"/>
            </w:tcBorders>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Components of Total Special Items, Net: </w:t>
            </w:r>
            <w:r>
              <w:rPr>
                <w:rFonts w:ascii="Arial" w:cs="Arial" w:eastAsia="Arial" w:hAnsi="Arial"/>
                <w:sz w:val="23"/>
                <w:szCs w:val="23"/>
                <w:b w:val="1"/>
                <w:bCs w:val="1"/>
                <w:color w:val="auto"/>
                <w:vertAlign w:val="superscript"/>
              </w:rPr>
              <w:t>(1)</w:t>
            </w:r>
          </w:p>
        </w:tc>
        <w:tc>
          <w:tcPr>
            <w:tcW w:w="1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223"/>
        </w:trPr>
        <w:tc>
          <w:tcPr>
            <w:tcW w:w="762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(2)</w:t>
            </w:r>
          </w:p>
        </w:tc>
        <w:tc>
          <w:tcPr>
            <w:tcW w:w="1140" w:type="dxa"/>
            <w:vAlign w:val="bottom"/>
          </w:tcPr>
          <w:p>
            <w:pPr>
              <w:jc w:val="right"/>
              <w:ind w:right="93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9"/>
                <w:szCs w:val="19"/>
                <w:color w:val="auto"/>
              </w:rPr>
            </w:pPr>
          </w:p>
        </w:tc>
        <w:tc>
          <w:tcPr>
            <w:tcW w:w="1220" w:type="dxa"/>
            <w:vAlign w:val="bottom"/>
          </w:tcPr>
          <w:p>
            <w:pPr>
              <w:jc w:val="right"/>
              <w:ind w:right="101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(3)</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11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reserve adjustments</w:t>
            </w:r>
          </w:p>
        </w:tc>
        <w:tc>
          <w:tcPr>
            <w:tcW w:w="1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special items, net</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Mainline operating special items, net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Regional operating special items, net</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special items, net</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50"/>
        </w:trPr>
        <w:tc>
          <w:tcPr>
            <w:tcW w:w="7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29"/>
        </w:trPr>
        <w:tc>
          <w:tcPr>
            <w:tcW w:w="7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Debt refinancing and extinguishment </w:t>
            </w:r>
            <w:r>
              <w:rPr>
                <w:rFonts w:ascii="Arial" w:cs="Arial" w:eastAsia="Arial" w:hAnsi="Arial"/>
                <w:sz w:val="23"/>
                <w:szCs w:val="23"/>
                <w:color w:val="auto"/>
                <w:vertAlign w:val="superscript"/>
              </w:rPr>
              <w:t>(5)</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6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investments, net </w:t>
            </w:r>
            <w:r>
              <w:rPr>
                <w:rFonts w:ascii="Arial" w:cs="Arial" w:eastAsia="Arial" w:hAnsi="Arial"/>
                <w:sz w:val="23"/>
                <w:szCs w:val="23"/>
                <w:color w:val="auto"/>
                <w:vertAlign w:val="superscript"/>
              </w:rPr>
              <w:t>(6)</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7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Nonoperating special items, net</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7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Pre-tax special items, net</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special items, net</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620" w:type="dxa"/>
            <w:vAlign w:val="bottom"/>
          </w:tcPr>
          <w:p>
            <w:pPr>
              <w:ind w:left="340"/>
              <w:spacing w:after="0"/>
              <w:rPr>
                <w:sz w:val="20"/>
                <w:szCs w:val="20"/>
                <w:color w:val="auto"/>
              </w:rPr>
            </w:pPr>
            <w:r>
              <w:rPr>
                <w:rFonts w:ascii="Arial" w:cs="Arial" w:eastAsia="Arial" w:hAnsi="Arial"/>
                <w:sz w:val="18"/>
                <w:szCs w:val="18"/>
                <w:color w:val="auto"/>
              </w:rPr>
              <w:t>Total special items, net</w:t>
            </w:r>
          </w:p>
        </w:tc>
        <w:tc>
          <w:tcPr>
            <w:tcW w:w="1140" w:type="dxa"/>
            <w:vAlign w:val="bottom"/>
            <w:tcBorders>
              <w:bottom w:val="single" w:sz="8" w:color="auto"/>
            </w:tcBorders>
          </w:tcPr>
          <w:p>
            <w:pPr>
              <w:jc w:val="right"/>
              <w:ind w:right="93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1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96"/>
        </w:trPr>
        <w:tc>
          <w:tcPr>
            <w:tcW w:w="76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Reconciliation of Pre-Tax Income Excluding Net Special Items:</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Pre-tax income – GAAP</w:t>
            </w:r>
          </w:p>
        </w:tc>
        <w:tc>
          <w:tcPr>
            <w:tcW w:w="1140" w:type="dxa"/>
            <w:vAlign w:val="bottom"/>
          </w:tcPr>
          <w:p>
            <w:pPr>
              <w:jc w:val="right"/>
              <w:ind w:right="93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1220" w:type="dxa"/>
            <w:vAlign w:val="bottom"/>
          </w:tcPr>
          <w:p>
            <w:pPr>
              <w:jc w:val="right"/>
              <w:ind w:right="101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2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for: Pre-tax special items, net</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Pre-tax income excluding net special items</w:t>
            </w:r>
          </w:p>
        </w:tc>
        <w:tc>
          <w:tcPr>
            <w:tcW w:w="1140" w:type="dxa"/>
            <w:vAlign w:val="bottom"/>
            <w:tcBorders>
              <w:bottom w:val="single" w:sz="8" w:color="auto"/>
            </w:tcBorders>
          </w:tcPr>
          <w:p>
            <w:pPr>
              <w:jc w:val="right"/>
              <w:ind w:right="93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1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96"/>
        </w:trPr>
        <w:tc>
          <w:tcPr>
            <w:tcW w:w="762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Reconciliation of Net Income Excluding Net Special Items:</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Net income – GAAP</w:t>
            </w:r>
          </w:p>
        </w:tc>
        <w:tc>
          <w:tcPr>
            <w:tcW w:w="1140" w:type="dxa"/>
            <w:vAlign w:val="bottom"/>
          </w:tcPr>
          <w:p>
            <w:pPr>
              <w:jc w:val="right"/>
              <w:ind w:right="935"/>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1220" w:type="dxa"/>
            <w:vAlign w:val="bottom"/>
          </w:tcPr>
          <w:p>
            <w:pPr>
              <w:jc w:val="right"/>
              <w:ind w:right="101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for: Total special items, net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29"/>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Adjusted for: Net tax effect of net special items</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excluding net special items</w:t>
            </w:r>
          </w:p>
        </w:tc>
        <w:tc>
          <w:tcPr>
            <w:tcW w:w="114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00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05"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See Note 2 to AAG’s Consolidated Financial Statements in Part II, Item 8A for further information on net special items.</w:t>
      </w:r>
    </w:p>
    <w:p>
      <w:pPr>
        <w:spacing w:after="0" w:line="138"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relate to one-time charges resulting from the ratification of a new collective bargaining agreement with our mainline pilots, including a one-time payment of $754 million as well as adjustments to other benefit-related items of $235 million.</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included costs associated with headcount reductions in certain corporate functions.</w:t>
      </w:r>
    </w:p>
    <w:p>
      <w:pPr>
        <w:spacing w:after="0" w:line="138"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Fleet impairment included a non-cash impairment charge to write down the carrying value of our retired Airbus A330 fleet to the estimated fair value due to the market conditions for certain used aircraft. We retired our Airbus A330 fleet in 2020 as a result of the decline in demand for air travel due to the COVID-19 pandemic.</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Debt refinancing and extinguishment costs in 2023 primarily included cash charges for premiums paid in connection with the early repayment of debt. See Note 4 to AAG’s Consolidated Financial Statements in Part II, Item 8A for further information.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340" w:hanging="332"/>
        <w:spacing w:after="0" w:line="237" w:lineRule="auto"/>
        <w:tabs>
          <w:tab w:leader="none" w:pos="33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investments, net included net unrealized gains and losses associated with certain equity investments. See Note 8 to AAG’s Consolidated Financial Statements in Part II, Item 8A for further information related to our equity investments.</w:t>
      </w:r>
    </w:p>
    <w:p>
      <w:pPr>
        <w:spacing w:after="0" w:line="13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Additionally, the table below presents the reconciliation of total operating costs (GAAP measure) to total operating costs excluding net special items and fuel (non-GAAP measure) and total operating cost per available seat mile (CASM) to CASM excluding net special items and fuel. Management uses total operating costs excluding net special items and fuel and CASM excluding net special items and fuel to evaluate our current operating performance and for period-to-period comparisons. The price of fuel, over which we have no control, impacts the comparability of period-to-period financial performance. The adjustment to exclude net special items and fuel allows management an additional tool to understand and analyze our non-fuel costs and core operating performance. Amounts may not recalculate due to rounding.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2080" w:type="dxa"/>
            <w:vAlign w:val="bottom"/>
            <w:tcBorders>
              <w:bottom w:val="single" w:sz="8" w:color="CCEEFF"/>
            </w:tcBorders>
          </w:tcPr>
          <w:p>
            <w:pPr>
              <w:spacing w:after="0"/>
              <w:rPr>
                <w:sz w:val="17"/>
                <w:szCs w:val="17"/>
                <w:color w:val="auto"/>
              </w:rPr>
            </w:pPr>
          </w:p>
        </w:tc>
        <w:tc>
          <w:tcPr>
            <w:tcW w:w="55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2022</w:t>
            </w:r>
          </w:p>
        </w:tc>
      </w:tr>
      <w:tr>
        <w:trPr>
          <w:trHeight w:val="210"/>
        </w:trPr>
        <w:tc>
          <w:tcPr>
            <w:tcW w:w="76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CASM Excluding Net Special Items and Fuel:</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95"/>
        </w:trPr>
        <w:tc>
          <w:tcPr>
            <w:tcW w:w="7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 – GAAP</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47,364</w:t>
            </w:r>
          </w:p>
        </w:tc>
      </w:tr>
      <w:tr>
        <w:trPr>
          <w:trHeight w:val="229"/>
        </w:trPr>
        <w:tc>
          <w:tcPr>
            <w:tcW w:w="76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620" w:type="dxa"/>
            <w:vAlign w:val="bottom"/>
            <w:gridSpan w:val="2"/>
            <w:shd w:val="clear" w:color="auto" w:fill="CCEEFF"/>
          </w:tcPr>
          <w:p>
            <w:pPr>
              <w:jc w:val="center"/>
              <w:ind w:right="3940"/>
              <w:spacing w:after="0"/>
              <w:rPr>
                <w:sz w:val="20"/>
                <w:szCs w:val="20"/>
                <w:color w:val="auto"/>
              </w:rPr>
            </w:pPr>
            <w:r>
              <w:rPr>
                <w:rFonts w:ascii="Arial" w:cs="Arial" w:eastAsia="Arial" w:hAnsi="Arial"/>
                <w:sz w:val="18"/>
                <w:szCs w:val="18"/>
                <w:color w:val="auto"/>
              </w:rPr>
              <w:t>Mainline operating special items, net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7620" w:type="dxa"/>
            <w:vAlign w:val="bottom"/>
            <w:gridSpan w:val="2"/>
          </w:tcPr>
          <w:p>
            <w:pPr>
              <w:jc w:val="center"/>
              <w:ind w:right="3900"/>
              <w:spacing w:after="0"/>
              <w:rPr>
                <w:sz w:val="20"/>
                <w:szCs w:val="20"/>
                <w:color w:val="auto"/>
              </w:rPr>
            </w:pPr>
            <w:r>
              <w:rPr>
                <w:rFonts w:ascii="Arial" w:cs="Arial" w:eastAsia="Arial" w:hAnsi="Arial"/>
                <w:sz w:val="18"/>
                <w:szCs w:val="18"/>
                <w:color w:val="auto"/>
              </w:rPr>
              <w:t>Regional operating special items, net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(13,791)</w:t>
            </w: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 excluding net special items and fuel</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33,375</w:t>
            </w: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6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29"/>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Total Available Seat Miles (ASM)</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277,723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260,226</w:t>
            </w:r>
          </w:p>
        </w:tc>
      </w:tr>
      <w:tr>
        <w:trPr>
          <w:trHeight w:val="202"/>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 cents)</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9"/>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CASM</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18.20</w:t>
            </w:r>
          </w:p>
        </w:tc>
      </w:tr>
      <w:tr>
        <w:trPr>
          <w:trHeight w:val="229"/>
        </w:trPr>
        <w:tc>
          <w:tcPr>
            <w:tcW w:w="76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net special items per ASM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620" w:type="dxa"/>
            <w:vAlign w:val="bottom"/>
            <w:gridSpan w:val="2"/>
          </w:tcPr>
          <w:p>
            <w:pPr>
              <w:ind w:left="340"/>
              <w:spacing w:after="0"/>
              <w:rPr>
                <w:sz w:val="20"/>
                <w:szCs w:val="20"/>
                <w:color w:val="auto"/>
              </w:rPr>
            </w:pPr>
            <w:r>
              <w:rPr>
                <w:rFonts w:ascii="Arial" w:cs="Arial" w:eastAsia="Arial" w:hAnsi="Arial"/>
                <w:sz w:val="18"/>
                <w:szCs w:val="18"/>
                <w:color w:val="auto"/>
              </w:rPr>
              <w:t>Mainline operating special items, net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29"/>
        </w:trPr>
        <w:tc>
          <w:tcPr>
            <w:tcW w:w="7620" w:type="dxa"/>
            <w:vAlign w:val="bottom"/>
            <w:gridSpan w:val="2"/>
            <w:shd w:val="clear" w:color="auto" w:fill="CCEEFF"/>
          </w:tcPr>
          <w:p>
            <w:pPr>
              <w:jc w:val="center"/>
              <w:ind w:right="3980"/>
              <w:spacing w:after="0"/>
              <w:rPr>
                <w:sz w:val="20"/>
                <w:szCs w:val="20"/>
                <w:color w:val="auto"/>
              </w:rPr>
            </w:pPr>
            <w:r>
              <w:rPr>
                <w:rFonts w:ascii="Arial" w:cs="Arial" w:eastAsia="Arial" w:hAnsi="Arial"/>
                <w:sz w:val="18"/>
                <w:szCs w:val="18"/>
                <w:color w:val="auto"/>
              </w:rPr>
              <w:t>Regional operating special items, net</w:t>
            </w: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Aircraft fuel and related taxes per ASM</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r>
      <w:tr>
        <w:trPr>
          <w:trHeight w:val="248"/>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CASM, excluding net special items and fuel</w:t>
            </w: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2"/>
                <w:szCs w:val="12"/>
                <w:color w:val="auto"/>
              </w:rPr>
            </w:pPr>
          </w:p>
        </w:tc>
        <w:tc>
          <w:tcPr>
            <w:tcW w:w="5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r>
    </w:tbl>
    <w:p>
      <w:pPr>
        <w:spacing w:after="0" w:line="62" w:lineRule="exact"/>
        <w:rPr>
          <w:sz w:val="20"/>
          <w:szCs w:val="20"/>
          <w:color w:val="auto"/>
        </w:rPr>
      </w:pPr>
    </w:p>
    <w:p>
      <w:pPr>
        <w:ind w:left="5520" w:right="1540" w:hanging="5512"/>
        <w:spacing w:after="0" w:line="720" w:lineRule="auto"/>
        <w:tabs>
          <w:tab w:leader="none" w:pos="322"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See Note 2 to AAG’s Consolidated Financial Statements in Part II, Item 8A for further information on net special items.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 of American</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selected consolidated financial data presented below under the captions “Consolidated Statements of Operations data” and “Consolidated Balance Sheet data” for the years ended and as of December 31, 2023, 2022 and 2021, are derived from American’s audited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196"/>
        </w:trPr>
        <w:tc>
          <w:tcPr>
            <w:tcW w:w="6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jc w:val="center"/>
              <w:ind w:right="273"/>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 operating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52,784</w:t>
            </w:r>
          </w:p>
        </w:tc>
        <w:tc>
          <w:tcPr>
            <w:tcW w:w="3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48,965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29,880</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49,715</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47,312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30,841</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3,069</w:t>
            </w:r>
          </w:p>
        </w:tc>
        <w:tc>
          <w:tcPr>
            <w:tcW w:w="380" w:type="dxa"/>
            <w:vAlign w:val="bottom"/>
          </w:tcPr>
          <w:p>
            <w:pPr>
              <w:spacing w:after="0"/>
              <w:rPr>
                <w:sz w:val="19"/>
                <w:szCs w:val="19"/>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1,653</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338</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r>
      <w:tr>
        <w:trPr>
          <w:trHeight w:val="256"/>
        </w:trPr>
        <w:tc>
          <w:tcPr>
            <w:tcW w:w="6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 (at end of period):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69,074</w:t>
            </w:r>
          </w:p>
        </w:tc>
        <w:tc>
          <w:tcPr>
            <w:tcW w:w="3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70,324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71,145</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and finance leases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27,675</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30,422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32,094</w:t>
            </w:r>
          </w:p>
        </w:tc>
      </w:tr>
      <w:tr>
        <w:trPr>
          <w:trHeight w:val="229"/>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Pension and postretirement obligations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3,148</w:t>
            </w:r>
          </w:p>
        </w:tc>
        <w:tc>
          <w:tcPr>
            <w:tcW w:w="380" w:type="dxa"/>
            <w:vAlign w:val="bottom"/>
          </w:tcPr>
          <w:p>
            <w:pPr>
              <w:spacing w:after="0"/>
              <w:rPr>
                <w:sz w:val="19"/>
                <w:szCs w:val="19"/>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2,900</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5,117</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w:t>
            </w: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7,961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w:t>
            </w:r>
          </w:p>
        </w:tc>
      </w:tr>
      <w:tr>
        <w:trPr>
          <w:trHeight w:val="239"/>
        </w:trPr>
        <w:tc>
          <w:tcPr>
            <w:tcW w:w="64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6,577</w:t>
            </w:r>
          </w:p>
        </w:tc>
        <w:tc>
          <w:tcPr>
            <w:tcW w:w="380" w:type="dxa"/>
            <w:vAlign w:val="bottom"/>
          </w:tcPr>
          <w:p>
            <w:pPr>
              <w:spacing w:after="0"/>
              <w:rPr>
                <w:sz w:val="20"/>
                <w:szCs w:val="20"/>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5,593</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00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21" w:lineRule="exact"/>
        <w:rPr>
          <w:sz w:val="20"/>
          <w:szCs w:val="20"/>
          <w:color w:val="auto"/>
        </w:rPr>
      </w:pPr>
    </w:p>
    <w:p>
      <w:pPr>
        <w:ind w:left="340" w:hanging="332"/>
        <w:spacing w:after="0" w:line="231" w:lineRule="auto"/>
        <w:tabs>
          <w:tab w:leader="none" w:pos="33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Substantially all defined benefit pension plans were frozen effective November 1, 2012. See Note 8 to American's Consolidated Financial Statements in Part II, Item 8B for further information on pension and postretirement benefits.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260"/>
        <w:spacing w:after="0" w:line="343"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2023 Financial Overview</w:t>
      </w:r>
    </w:p>
    <w:p>
      <w:pPr>
        <w:spacing w:after="0" w:line="2"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The selected financial data presented below is derived from AAG’s audited consolidated financial statements included in Part II, Item 8A of this report and should be read in conjunction with those financial statements and the related notes thereto.</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rPr>
              <w:t>Year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0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7"/>
        </w:trPr>
        <w:tc>
          <w:tcPr>
            <w:tcW w:w="2080" w:type="dxa"/>
            <w:vAlign w:val="bottom"/>
          </w:tcPr>
          <w:p>
            <w:pPr>
              <w:spacing w:after="0"/>
              <w:rPr>
                <w:sz w:val="5"/>
                <w:szCs w:val="5"/>
                <w:color w:val="auto"/>
              </w:rPr>
            </w:pPr>
          </w:p>
        </w:tc>
        <w:tc>
          <w:tcPr>
            <w:tcW w:w="3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vMerge w:val="continue"/>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312"/>
              <w:spacing w:after="0" w:line="121" w:lineRule="exact"/>
              <w:rPr>
                <w:sz w:val="20"/>
                <w:szCs w:val="20"/>
                <w:color w:val="auto"/>
              </w:rPr>
            </w:pPr>
            <w:r>
              <w:rPr>
                <w:rFonts w:ascii="Arial" w:cs="Arial" w:eastAsia="Arial" w:hAnsi="Arial"/>
                <w:sz w:val="14"/>
                <w:szCs w:val="14"/>
                <w:b w:val="1"/>
                <w:bCs w:val="1"/>
                <w:color w:val="auto"/>
              </w:rPr>
              <w:t>Increase</w:t>
            </w:r>
          </w:p>
        </w:tc>
        <w:tc>
          <w:tcPr>
            <w:tcW w:w="1500" w:type="dxa"/>
            <w:vAlign w:val="bottom"/>
          </w:tcPr>
          <w:p>
            <w:pPr>
              <w:jc w:val="center"/>
              <w:ind w:left="36"/>
              <w:spacing w:after="0" w:line="121"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(Decrease)</w:t>
            </w:r>
          </w:p>
        </w:tc>
        <w:tc>
          <w:tcPr>
            <w:tcW w:w="150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50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Cargo revenue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(421)</w:t>
            </w:r>
          </w:p>
        </w:tc>
        <w:tc>
          <w:tcPr>
            <w:tcW w:w="1500" w:type="dxa"/>
            <w:vAlign w:val="bottom"/>
          </w:tcPr>
          <w:p>
            <w:pPr>
              <w:jc w:val="center"/>
              <w:ind w:left="36"/>
              <w:spacing w:after="0"/>
              <w:rPr>
                <w:sz w:val="20"/>
                <w:szCs w:val="20"/>
                <w:color w:val="auto"/>
              </w:rPr>
            </w:pPr>
            <w:r>
              <w:rPr>
                <w:rFonts w:ascii="Arial" w:cs="Arial" w:eastAsia="Arial" w:hAnsi="Arial"/>
                <w:sz w:val="18"/>
                <w:szCs w:val="18"/>
                <w:color w:val="auto"/>
                <w:w w:val="97"/>
              </w:rPr>
              <w:t>(34.1)</w:t>
            </w:r>
          </w:p>
        </w:tc>
        <w:tc>
          <w:tcPr>
            <w:tcW w:w="0" w:type="dxa"/>
            <w:vAlign w:val="bottom"/>
          </w:tcPr>
          <w:p>
            <w:pPr>
              <w:spacing w:after="0"/>
              <w:rPr>
                <w:sz w:val="1"/>
                <w:szCs w:val="1"/>
                <w:color w:val="auto"/>
              </w:rPr>
            </w:pPr>
          </w:p>
        </w:tc>
      </w:tr>
      <w:tr>
        <w:trPr>
          <w:trHeight w:val="22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revenue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50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Total operating revenues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48,971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3,817</w:t>
            </w:r>
          </w:p>
        </w:tc>
        <w:tc>
          <w:tcPr>
            <w:tcW w:w="1500" w:type="dxa"/>
            <w:vAlign w:val="bottom"/>
          </w:tcPr>
          <w:p>
            <w:pPr>
              <w:jc w:val="center"/>
              <w:ind w:left="36"/>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50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7"/>
              </w:rPr>
              <w:t>(11.1)</w:t>
            </w:r>
          </w:p>
        </w:tc>
        <w:tc>
          <w:tcPr>
            <w:tcW w:w="0" w:type="dxa"/>
            <w:vAlign w:val="bottom"/>
          </w:tcPr>
          <w:p>
            <w:pPr>
              <w:spacing w:after="0"/>
              <w:rPr>
                <w:sz w:val="1"/>
                <w:szCs w:val="1"/>
                <w:color w:val="auto"/>
              </w:rPr>
            </w:pPr>
          </w:p>
        </w:tc>
      </w:tr>
      <w:tr>
        <w:trPr>
          <w:trHeight w:val="22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1,608</w:t>
            </w:r>
          </w:p>
        </w:tc>
        <w:tc>
          <w:tcPr>
            <w:tcW w:w="1500" w:type="dxa"/>
            <w:vAlign w:val="bottom"/>
          </w:tcPr>
          <w:p>
            <w:pPr>
              <w:jc w:val="center"/>
              <w:ind w:left="36"/>
              <w:spacing w:after="0"/>
              <w:rPr>
                <w:sz w:val="20"/>
                <w:szCs w:val="20"/>
                <w:color w:val="auto"/>
              </w:rPr>
            </w:pPr>
            <w:r>
              <w:rPr>
                <w:rFonts w:ascii="Arial" w:cs="Arial" w:eastAsia="Arial" w:hAnsi="Arial"/>
                <w:sz w:val="18"/>
                <w:szCs w:val="18"/>
                <w:color w:val="auto"/>
                <w:w w:val="96"/>
              </w:rPr>
              <w:t>12.4</w:t>
            </w:r>
          </w:p>
        </w:tc>
        <w:tc>
          <w:tcPr>
            <w:tcW w:w="0" w:type="dxa"/>
            <w:vAlign w:val="bottom"/>
          </w:tcPr>
          <w:p>
            <w:pPr>
              <w:spacing w:after="0"/>
              <w:rPr>
                <w:sz w:val="1"/>
                <w:szCs w:val="1"/>
                <w:color w:val="auto"/>
              </w:rPr>
            </w:pPr>
          </w:p>
        </w:tc>
      </w:tr>
      <w:tr>
        <w:trPr>
          <w:trHeight w:val="22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50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1,427</w:t>
            </w:r>
          </w:p>
        </w:tc>
        <w:tc>
          <w:tcPr>
            <w:tcW w:w="1500" w:type="dxa"/>
            <w:vAlign w:val="bottom"/>
          </w:tcPr>
          <w:p>
            <w:pPr>
              <w:jc w:val="center"/>
              <w:ind w:left="36"/>
              <w:spacing w:after="0"/>
              <w:rPr>
                <w:sz w:val="20"/>
                <w:szCs w:val="20"/>
                <w:color w:val="auto"/>
              </w:rPr>
            </w:pPr>
            <w:r>
              <w:rPr>
                <w:rFonts w:ascii="Arial" w:cs="Arial" w:eastAsia="Arial" w:hAnsi="Arial"/>
                <w:sz w:val="18"/>
                <w:szCs w:val="18"/>
                <w:color w:val="auto"/>
                <w:w w:val="96"/>
              </w:rPr>
              <w:t>88.8</w:t>
            </w:r>
          </w:p>
        </w:tc>
        <w:tc>
          <w:tcPr>
            <w:tcW w:w="0" w:type="dxa"/>
            <w:vAlign w:val="bottom"/>
          </w:tcPr>
          <w:p>
            <w:pPr>
              <w:spacing w:after="0"/>
              <w:rPr>
                <w:sz w:val="1"/>
                <w:szCs w:val="1"/>
                <w:color w:val="auto"/>
              </w:rPr>
            </w:pPr>
          </w:p>
        </w:tc>
      </w:tr>
      <w:tr>
        <w:trPr>
          <w:trHeight w:val="22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500" w:type="dxa"/>
            <w:vAlign w:val="bottom"/>
            <w:shd w:val="clear" w:color="auto" w:fill="CCEEFF"/>
          </w:tcPr>
          <w:p>
            <w:pPr>
              <w:jc w:val="center"/>
              <w:ind w:left="76"/>
              <w:spacing w:after="0" w:line="230"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 xml:space="preserve"> (2)</w:t>
            </w:r>
          </w:p>
        </w:tc>
        <w:tc>
          <w:tcPr>
            <w:tcW w:w="0" w:type="dxa"/>
            <w:vAlign w:val="bottom"/>
          </w:tcPr>
          <w:p>
            <w:pPr>
              <w:spacing w:after="0"/>
              <w:rPr>
                <w:sz w:val="1"/>
                <w:szCs w:val="1"/>
                <w:color w:val="auto"/>
              </w:rPr>
            </w:pPr>
          </w:p>
        </w:tc>
      </w:tr>
      <w:tr>
        <w:trPr>
          <w:trHeight w:val="22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w:t>
            </w:r>
          </w:p>
        </w:tc>
        <w:tc>
          <w:tcPr>
            <w:tcW w:w="1500" w:type="dxa"/>
            <w:vAlign w:val="bottom"/>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 GAAP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5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 xml:space="preserve">Adjusted for: pre-tax net special items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500" w:type="dxa"/>
            <w:vAlign w:val="bottom"/>
            <w:tcBorders>
              <w:bottom w:val="single" w:sz="8" w:color="CCEEFF"/>
            </w:tcBorders>
          </w:tcPr>
          <w:p>
            <w:pPr>
              <w:jc w:val="center"/>
              <w:ind w:left="3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Pre-tax income excluding net special items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500" w:type="dxa"/>
            <w:vAlign w:val="bottom"/>
            <w:tcBorders>
              <w:bottom w:val="single" w:sz="8" w:color="CCEEFF"/>
            </w:tcBorders>
            <w:shd w:val="clear" w:color="auto" w:fill="CCEEFF"/>
          </w:tcPr>
          <w:p>
            <w:pPr>
              <w:jc w:val="center"/>
              <w:ind w:left="3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 xml:space="preserve">See Part II, Item 6. Selected Consolidated Financial Data –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Consolidated Financial Statements in Part II, Item 8A for details on the components of pre-tax net special items.</w:t>
      </w:r>
    </w:p>
    <w:p>
      <w:pPr>
        <w:spacing w:after="0" w:line="32"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Not meaningful or greater than 100% change.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Pre-Tax Income and Net Income</w:t>
      </w:r>
    </w:p>
    <w:p>
      <w:pPr>
        <w:spacing w:after="0" w:line="88"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Pre-tax income and net income were $1.1 billion and $822 million, respectively, in 2023. This compares to 2022 pre-tax income and net income of $186 million and $127 million, respectively.</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year-over-year improvement in our pre-tax income on a GAAP basis was driven primarily by higher passenger revenue and lower fuel costs. Continued strength in demand for air travel and a 7.6% increase in revenue passenger miles (RPMs) as compared to 2022 contributed to record passenger revenue in 2023. Aircraft fuel costs were lower primarily due to a 16.3% decrease in the average price per gallon of aircraft fuel as compared to 2022. The increase to pre-tax income was partially offset by increases in certain operating expenses including salaries, wages and benefits costs, primarily as a result of the ratification of a new collective bargaining agreement with our mainline pilots, as described below. The 2023 period also included $1.3 billion of pre-tax net special items, principally related to one-time charges resulting from the new collective bargaining agreement.</w:t>
      </w:r>
    </w:p>
    <w:p>
      <w:pPr>
        <w:spacing w:after="0" w:line="12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Excluding the effects of pre-tax net special items, pre-tax income was $2.5 billion and $458 million in 2023 and 2022, respectively. The year-over-year improvement in our pre-tax income excluding pre-tax net special items was primarily due to record passenger revenue in 2023 and lower fuel costs, offset in part by increases in certain operating expenses including salaries, wages and benefits, as described above.</w:t>
      </w:r>
    </w:p>
    <w:p>
      <w:pPr>
        <w:spacing w:after="0" w:line="12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May 2023, American and the Allied Pilots Association, the union representing our mainline pilots, reached an agreement in principle on a new collective bargaining agreement, which was ratified in August 2023. This four-year agreement provides wage rate increases, including an initial wage rate increase of 21% effective as of January 1, 2023,</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quality-of-life benefits and other benefit-related items. The additional compensation for the 2023 period prior to contract ratification as a result of the higher wage rates was recorded within salaries, wages and benefits in the consolidated statements of operations in the second and third quarters of 2023. The agreement also included a provision for a one-time payment upon ratification. In 2023, one-time charges resulting from the ratification of this new agreement were recorded as mainline operating special items, net in the consolidated statement of operations, including the one-time payment of $754 million as well as adjustments to other benefit-related items of $235 million. The one-time payment and the additional compensation were principally paid in 2023, with remaining payments expected to be paid in the first quarter of 2024.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2023, we reported total operating revenues of $52.8 billion, an increase of $3.8 billion, or 7.8%, as compared to 2022. Passenger revenue was $48.5 billion, an increase of $3.9 billion, or 8.8%, as compared to 2022. The increase in passenger revenue in 2023 was primarily due to a 7.6% increase in RPMs, driven by the continued strength in demand for air travel, resulting in an 83.5% load factor.</w:t>
      </w:r>
    </w:p>
    <w:p>
      <w:pPr>
        <w:spacing w:after="0" w:line="11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Cargo revenue decreased $421 million, or 34.1%, in 2023 as compared to 2022, primarily due to a 29.4% decrease in cargo yield and a 6.7% decrease in cargo ton miles driven by lower demand and increased air freight capacity globally.</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revenue increased $294 million, or 9.3%, in 2023 as compared to 2022, driven primarily by higher revenue associated with our loyalty program. During 2023 and 2022, cash payments from co-branded credit card and other partners were $5.2 billion and $4.5 billion, respectively.</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total revenue per available seat mile (TRASM) was 19.01 cents in 2023, a 1.0% increase as compared to 18.82 cents in 2022.</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2023, aircraft fuel expense totaled $12.3 billion, a decrease of $1.5 billion, or 11.1%, as compared to 2022. This decrease was primarily driven by a 16.3% decrease in the average price per gallon of aircraft fuel including related taxes to $2.96 in 2023 from $3.54 in 2022, offset in part by a 6.1% increase in gallons of fuel consumed due to increased capacity.</w:t>
      </w:r>
    </w:p>
    <w:p>
      <w:pPr>
        <w:spacing w:after="0" w:line="11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December 31, 2023,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fuel prices.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w:t>
      </w:r>
    </w:p>
    <w:p>
      <w:pPr>
        <w:spacing w:after="0" w:line="88"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in which economic prospects are heavily dependent upon two variables we cannot control: general economic conditions and the price of fuel.</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2023 CASM was 17.92 cents, a decrease of 1.6%, from 18.20 cents in 2022. This decrease in CASM was primarily driven by lower aircraft fuel costs in 2023, as described above, offset by higher salaries, wages and benefits costs associated with the ratification of a new collective bargaining agreement with our mainline pilots, as described above.</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2023 CASM excluding net special items and fuel was 13.15 cents, an increase of 2.5%, from 12.83 cents in 2022, which was primarily driven by higher salaries, wages and benefits costs associated with the ratification of a new collective bargaining agreement with our mainline pilots, as described above.</w:t>
      </w:r>
    </w:p>
    <w:p>
      <w:pPr>
        <w:spacing w:after="0" w:line="11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 xml:space="preserve">For a reconciliation of total operating CASM to total operating CASM excluding net special items and fuel, see Part II, Item 6. Selected Consolidated Financial Data – </w:t>
      </w:r>
      <w:r>
        <w:rPr>
          <w:rFonts w:ascii="Arial" w:cs="Arial" w:eastAsia="Arial" w:hAnsi="Arial"/>
          <w:sz w:val="18"/>
          <w:szCs w:val="18"/>
          <w:i w:val="1"/>
          <w:iCs w:val="1"/>
          <w:color w:val="auto"/>
        </w:rPr>
        <w:t>“Reconciliation of GAAP to Non-GAAP Financial Measures.”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88"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As of December 31, 2023, we had $10.4 billion in total available liquidity, consisting of $7.6 billion in unrestricted cash and short-term investments and $2.9 billion in total undrawn capacity under revolving credit and other short-term facilities.</w:t>
      </w:r>
    </w:p>
    <w:p>
      <w:pPr>
        <w:spacing w:after="0" w:line="100"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During 2023, we completed the following financing transactions (see Note 4 to AAG’s Consolidated Financial Statements in Part II, Item 8A for further information):</w:t>
      </w:r>
    </w:p>
    <w:p>
      <w:pPr>
        <w:spacing w:after="0" w:line="100" w:lineRule="exact"/>
        <w:rPr>
          <w:sz w:val="20"/>
          <w:szCs w:val="20"/>
          <w:color w:val="auto"/>
        </w:rPr>
      </w:pPr>
    </w:p>
    <w:p>
      <w:pPr>
        <w:jc w:val="both"/>
        <w:ind w:left="660" w:hanging="409"/>
        <w:spacing w:after="0" w:line="259" w:lineRule="auto"/>
        <w:tabs>
          <w:tab w:leader="none" w:pos="655" w:val="left"/>
        </w:tabs>
        <w:numPr>
          <w:ilvl w:val="0"/>
          <w:numId w:val="30"/>
        </w:numPr>
        <w:rPr>
          <w:rFonts w:ascii="Arial" w:cs="Arial" w:eastAsia="Arial" w:hAnsi="Arial"/>
          <w:sz w:val="18"/>
          <w:szCs w:val="18"/>
          <w:i w:val="1"/>
          <w:iCs w:val="1"/>
          <w:color w:val="auto"/>
        </w:rPr>
      </w:pPr>
      <w:r>
        <w:rPr>
          <w:rFonts w:ascii="Arial" w:cs="Arial" w:eastAsia="Arial" w:hAnsi="Arial"/>
          <w:sz w:val="18"/>
          <w:szCs w:val="18"/>
          <w:color w:val="auto"/>
        </w:rPr>
        <w:t>refinanced approximately $1.8 billion in aggregate principal amount of term loans outstanding under the 2013 Term Loan Facility (the 2013 Term Loan Facility Refinancing) through the combination of (i) the issuance of $750 million in aggregate principal amount of 7.25% senior secured notes due 2028 (the 7.25% Senior Secured Notes) and (ii) the entry into the Seventh Amendment to the 2013 Credit Agreement, pursuant to which the maturity of $1.0 billion in term loans under the 2013 Term Loan Facility was extended to February 2028 from June 2025;</w:t>
      </w:r>
    </w:p>
    <w:p>
      <w:pPr>
        <w:spacing w:after="0" w:line="123" w:lineRule="exact"/>
        <w:rPr>
          <w:rFonts w:ascii="Arial" w:cs="Arial" w:eastAsia="Arial" w:hAnsi="Arial"/>
          <w:sz w:val="18"/>
          <w:szCs w:val="18"/>
          <w:i w:val="1"/>
          <w:iCs w:val="1"/>
          <w:color w:val="auto"/>
        </w:rPr>
      </w:pPr>
    </w:p>
    <w:p>
      <w:pPr>
        <w:ind w:left="660" w:hanging="409"/>
        <w:spacing w:after="0" w:line="286"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extended the maturity of certain commitments under the 2013 Revolving Facility, 2014 Revolving Facility and April 2016 Revolving Facility to October 2026;</w:t>
      </w:r>
    </w:p>
    <w:p>
      <w:pPr>
        <w:spacing w:after="0" w:line="99" w:lineRule="exact"/>
        <w:rPr>
          <w:rFonts w:ascii="Arial" w:cs="Arial" w:eastAsia="Arial" w:hAnsi="Arial"/>
          <w:sz w:val="18"/>
          <w:szCs w:val="18"/>
          <w:color w:val="auto"/>
        </w:rPr>
      </w:pPr>
    </w:p>
    <w:p>
      <w:pPr>
        <w:jc w:val="both"/>
        <w:ind w:left="660" w:hanging="409"/>
        <w:spacing w:after="0" w:line="259" w:lineRule="auto"/>
        <w:tabs>
          <w:tab w:leader="none" w:pos="655" w:val="left"/>
        </w:tabs>
        <w:numPr>
          <w:ilvl w:val="0"/>
          <w:numId w:val="30"/>
        </w:numPr>
        <w:rPr>
          <w:rFonts w:ascii="Arial" w:cs="Arial" w:eastAsia="Arial" w:hAnsi="Arial"/>
          <w:sz w:val="18"/>
          <w:szCs w:val="18"/>
          <w:i w:val="1"/>
          <w:iCs w:val="1"/>
          <w:color w:val="auto"/>
        </w:rPr>
      </w:pPr>
      <w:r>
        <w:rPr>
          <w:rFonts w:ascii="Arial" w:cs="Arial" w:eastAsia="Arial" w:hAnsi="Arial"/>
          <w:sz w:val="18"/>
          <w:szCs w:val="18"/>
          <w:color w:val="auto"/>
        </w:rPr>
        <w:t>issued $1.0 billion aggregate principal amount of 8.50% senior secured notes due 2029 (the 8.50% Senior Secured Notes) in a private offering and entered into the 2023 Credit Agreement that provides for a term loan facility (the 2023 Term Loan Facility) in an aggregate principal amount of $1.1 billion. The net proceeds from the offering of the 8.50% Senior Secured Notes, together with net proceeds from borrowings under the 2023 Term Loan Facility and cash on hand were used to redeem all of American’s outstanding 11.75% senior secured notes due 2025 (the 11.75% Senior Secured Notes);</w:t>
      </w:r>
    </w:p>
    <w:p>
      <w:pPr>
        <w:spacing w:after="0" w:line="123" w:lineRule="exact"/>
        <w:rPr>
          <w:rFonts w:ascii="Arial" w:cs="Arial" w:eastAsia="Arial" w:hAnsi="Arial"/>
          <w:sz w:val="18"/>
          <w:szCs w:val="18"/>
          <w:i w:val="1"/>
          <w:iCs w:val="1"/>
          <w:color w:val="auto"/>
        </w:rPr>
      </w:pPr>
    </w:p>
    <w:p>
      <w:pPr>
        <w:ind w:left="660" w:hanging="409"/>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issued $1.1 billion of equipment loans and other notes payable in connection with the financing of certain aircraft; and</w:t>
      </w:r>
    </w:p>
    <w:p>
      <w:pPr>
        <w:spacing w:after="0" w:line="170" w:lineRule="exact"/>
        <w:rPr>
          <w:rFonts w:ascii="Arial" w:cs="Arial" w:eastAsia="Arial" w:hAnsi="Arial"/>
          <w:sz w:val="18"/>
          <w:szCs w:val="18"/>
          <w:color w:val="auto"/>
        </w:rPr>
      </w:pPr>
    </w:p>
    <w:p>
      <w:pPr>
        <w:ind w:left="660" w:hanging="409"/>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repurchased $552 million of secured and unsecured notes in the open market.</w:t>
      </w:r>
    </w:p>
    <w:p>
      <w:pPr>
        <w:spacing w:after="0" w:line="1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 significant portion of our debt financing agreements contain covenants requiring us to maintain an aggregate of at least $2.0 billion of unrestricted cash and cash equivalents and amounts available to be drawn under revolving credit facilities and/or contain covenants requiring us to meet certain loan to value, collateral coverage and/or peak debt service coverage ratios.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4 to AAG’s Consolidated Financial Statements in Part II, Item 8A for additional information on our debt obligations.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90"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For a comparison of the 2022 to 2021 reporting periods, see Part II, Item 7. Management’s Discussion and Analysis of Financial Condition and Results of Operations – “</w:t>
      </w:r>
      <w:r>
        <w:rPr>
          <w:rFonts w:ascii="Arial" w:cs="Arial" w:eastAsia="Arial" w:hAnsi="Arial"/>
          <w:sz w:val="18"/>
          <w:szCs w:val="18"/>
          <w:i w:val="1"/>
          <w:iCs w:val="1"/>
          <w:color w:val="auto"/>
        </w:rPr>
        <w:t>AAG’s Results of Operations”</w:t>
      </w:r>
      <w:r>
        <w:rPr>
          <w:rFonts w:ascii="Arial" w:cs="Arial" w:eastAsia="Arial" w:hAnsi="Arial"/>
          <w:sz w:val="18"/>
          <w:szCs w:val="18"/>
          <w:color w:val="auto"/>
        </w:rPr>
        <w:t xml:space="preserve"> of our 2022 Form 10-K.</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sets forth selected operating data for the years ended December 31, 2023 and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60" w:type="dxa"/>
            <w:vAlign w:val="bottom"/>
          </w:tcPr>
          <w:p>
            <w:pPr>
              <w:spacing w:after="0"/>
              <w:rPr>
                <w:sz w:val="17"/>
                <w:szCs w:val="17"/>
                <w:color w:val="auto"/>
              </w:rPr>
            </w:pPr>
          </w:p>
        </w:tc>
        <w:tc>
          <w:tcPr>
            <w:tcW w:w="288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7"/>
                <w:szCs w:val="17"/>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1"/>
        </w:trPr>
        <w:tc>
          <w:tcPr>
            <w:tcW w:w="6860" w:type="dxa"/>
            <w:vAlign w:val="bottom"/>
          </w:tcPr>
          <w:p>
            <w:pPr>
              <w:spacing w:after="0" w:line="20" w:lineRule="exact"/>
              <w:rPr>
                <w:sz w:val="1"/>
                <w:szCs w:val="1"/>
                <w:color w:val="auto"/>
              </w:rPr>
            </w:pPr>
          </w:p>
        </w:tc>
        <w:tc>
          <w:tcPr>
            <w:tcW w:w="13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line="20" w:lineRule="exact"/>
              <w:rPr>
                <w:sz w:val="1"/>
                <w:szCs w:val="1"/>
                <w:color w:val="auto"/>
              </w:rPr>
            </w:pPr>
          </w:p>
        </w:tc>
        <w:tc>
          <w:tcPr>
            <w:tcW w:w="13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140"/>
              <w:spacing w:after="0" w:line="223" w:lineRule="exact"/>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3"/>
                <w:szCs w:val="23"/>
                <w:color w:val="auto"/>
                <w:vertAlign w:val="superscript"/>
              </w:rPr>
              <w:t>(a)</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231,926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215,624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3"/>
                <w:szCs w:val="23"/>
                <w:color w:val="auto"/>
                <w:vertAlign w:val="superscript"/>
              </w:rPr>
              <w:t>(b)</w:t>
            </w:r>
          </w:p>
        </w:tc>
        <w:tc>
          <w:tcPr>
            <w:tcW w:w="1380" w:type="dxa"/>
            <w:vAlign w:val="bottom"/>
          </w:tcPr>
          <w:p>
            <w:pPr>
              <w:jc w:val="right"/>
              <w:spacing w:after="0"/>
              <w:rPr>
                <w:sz w:val="20"/>
                <w:szCs w:val="20"/>
                <w:color w:val="auto"/>
              </w:rPr>
            </w:pPr>
            <w:r>
              <w:rPr>
                <w:rFonts w:ascii="Arial" w:cs="Arial" w:eastAsia="Arial" w:hAnsi="Arial"/>
                <w:sz w:val="18"/>
                <w:szCs w:val="18"/>
                <w:color w:val="auto"/>
              </w:rPr>
              <w:t>277,723</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260,226</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3"/>
                <w:szCs w:val="23"/>
                <w:color w:val="auto"/>
                <w:vertAlign w:val="superscript"/>
              </w:rPr>
              <w:t>(c)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0.6pts</w:t>
            </w: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Yield (cents) </w:t>
            </w:r>
            <w:r>
              <w:rPr>
                <w:rFonts w:ascii="Arial" w:cs="Arial" w:eastAsia="Arial" w:hAnsi="Arial"/>
                <w:sz w:val="23"/>
                <w:szCs w:val="23"/>
                <w:color w:val="auto"/>
                <w:vertAlign w:val="superscript"/>
              </w:rPr>
              <w:t>(d)</w:t>
            </w:r>
          </w:p>
        </w:tc>
        <w:tc>
          <w:tcPr>
            <w:tcW w:w="1380" w:type="dxa"/>
            <w:vAlign w:val="bottom"/>
          </w:tcPr>
          <w:p>
            <w:pPr>
              <w:jc w:val="right"/>
              <w:spacing w:after="0"/>
              <w:rPr>
                <w:sz w:val="20"/>
                <w:szCs w:val="20"/>
                <w:color w:val="auto"/>
              </w:rPr>
            </w:pPr>
            <w:r>
              <w:rPr>
                <w:rFonts w:ascii="Arial" w:cs="Arial" w:eastAsia="Arial" w:hAnsi="Arial"/>
                <w:sz w:val="18"/>
                <w:szCs w:val="18"/>
                <w:color w:val="auto"/>
              </w:rPr>
              <w:t>20.92</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20.67</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3"/>
                <w:szCs w:val="23"/>
                <w:color w:val="auto"/>
                <w:vertAlign w:val="superscript"/>
              </w:rPr>
              <w:t>(e)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3"/>
                <w:szCs w:val="23"/>
                <w:color w:val="auto"/>
                <w:vertAlign w:val="superscript"/>
              </w:rPr>
              <w:t>(f)</w:t>
            </w:r>
          </w:p>
        </w:tc>
        <w:tc>
          <w:tcPr>
            <w:tcW w:w="1380" w:type="dxa"/>
            <w:vAlign w:val="bottom"/>
          </w:tcPr>
          <w:p>
            <w:pPr>
              <w:jc w:val="right"/>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18.82</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consumption (gallons in millions)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1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138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3.54</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w w:val="98"/>
              </w:rPr>
              <w:t>(16.3)%</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Total operating cost per available seat mile (cents) </w:t>
            </w:r>
            <w:r>
              <w:rPr>
                <w:rFonts w:ascii="Arial" w:cs="Arial" w:eastAsia="Arial" w:hAnsi="Arial"/>
                <w:sz w:val="23"/>
                <w:szCs w:val="23"/>
                <w:color w:val="auto"/>
                <w:vertAlign w:val="superscript"/>
              </w:rPr>
              <w:t>(g)</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Aircraft at end of period </w:t>
            </w:r>
            <w:r>
              <w:rPr>
                <w:rFonts w:ascii="Arial" w:cs="Arial" w:eastAsia="Arial" w:hAnsi="Arial"/>
                <w:sz w:val="23"/>
                <w:szCs w:val="23"/>
                <w:color w:val="auto"/>
                <w:vertAlign w:val="superscript"/>
              </w:rPr>
              <w:t>(h)</w:t>
            </w:r>
          </w:p>
        </w:tc>
        <w:tc>
          <w:tcPr>
            <w:tcW w:w="1380" w:type="dxa"/>
            <w:vAlign w:val="bottom"/>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1,461</w:t>
            </w:r>
          </w:p>
        </w:tc>
        <w:tc>
          <w:tcPr>
            <w:tcW w:w="1500" w:type="dxa"/>
            <w:vAlign w:val="bottom"/>
            <w:gridSpan w:val="2"/>
          </w:tcPr>
          <w:p>
            <w:pPr>
              <w:jc w:val="center"/>
              <w:ind w:left="3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Full-time equivalent employees at end of period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132,100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129,700</w:t>
            </w:r>
          </w:p>
        </w:tc>
        <w:tc>
          <w:tcPr>
            <w:tcW w:w="15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6186805</wp:posOffset>
            </wp:positionH>
            <wp:positionV relativeFrom="paragraph">
              <wp:posOffset>-1609090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-1609090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13100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2"/>
          <w:szCs w:val="12"/>
          <w:color w:val="auto"/>
        </w:rPr>
        <w:t>(a)</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(b)</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(c)</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(d)</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(e)</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(f)</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(g)</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(h)</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Revenue passenger mile (RPM) – A basic measure of sales volume. One RPM represents one passenger flown one 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Available seat mile (ASM) – A basic measure of production. One ASM represents one seat flown one 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load factor – The percentage of available seats that are filled with revenue passengers.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Yield – A measure of airline revenue derived by dividing passenger revenue by RPMs.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revenue per available seat mile (PRASM) – Passenger revenue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revenue per available seat mile (TRASM) – Total revenues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cost per available seat mile (CASM) – Total operating expenses divided by ASMs.</w:t>
      </w:r>
    </w:p>
    <w:p>
      <w:pPr>
        <w:spacing w:after="0" w:line="171" w:lineRule="exact"/>
        <w:rPr>
          <w:sz w:val="20"/>
          <w:szCs w:val="20"/>
          <w:color w:val="auto"/>
        </w:rPr>
      </w:pPr>
    </w:p>
    <w:p>
      <w:pPr>
        <w:jc w:val="both"/>
        <w:ind w:left="20" w:hanging="5"/>
        <w:spacing w:after="0" w:line="268" w:lineRule="auto"/>
        <w:rPr>
          <w:sz w:val="20"/>
          <w:szCs w:val="20"/>
          <w:color w:val="auto"/>
        </w:rPr>
      </w:pPr>
      <w:r>
        <w:rPr>
          <w:rFonts w:ascii="Arial" w:cs="Arial" w:eastAsia="Arial" w:hAnsi="Arial"/>
          <w:sz w:val="18"/>
          <w:szCs w:val="18"/>
          <w:color w:val="auto"/>
        </w:rPr>
        <w:t>Includes aircraft owned and leased by American as well as aircraft operated by third-party regional carriers under capacity purchase agreements. Excluded from the aircraft count above are 77 regional aircraft in temporary storage as of December 31, 2023 as follows: 57 Embraer 145, 11 Bombardier CRJ 700, six Bombardier CRJ 900 and three Embraer 170.</w:t>
      </w:r>
    </w:p>
    <w:p>
      <w:pPr>
        <w:spacing w:after="0" w:line="199" w:lineRule="exact"/>
        <w:rPr>
          <w:sz w:val="20"/>
          <w:szCs w:val="20"/>
          <w:color w:val="auto"/>
        </w:rPr>
      </w:pPr>
    </w:p>
    <w:p>
      <w:pPr>
        <w:sectPr>
          <w:pgSz w:w="11900" w:h="16838" w:orient="portrait"/>
          <w:cols w:equalWidth="0" w:num="2">
            <w:col w:w="160" w:space="480"/>
            <w:col w:w="10600"/>
          </w:cols>
          <w:pgMar w:left="320" w:top="363" w:right="339" w:bottom="1440" w:gutter="0" w:footer="0" w:header="0"/>
          <w:type w:val="continuous"/>
        </w:sectPr>
      </w:pPr>
    </w:p>
    <w:p>
      <w:pPr>
        <w:ind w:left="2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4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7"/>
        </w:trPr>
        <w:tc>
          <w:tcPr>
            <w:tcW w:w="5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4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vMerge w:val="restart"/>
          </w:tcPr>
          <w:p>
            <w:pPr>
              <w:jc w:val="right"/>
              <w:ind w:right="356"/>
              <w:spacing w:after="0" w:line="149"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8"/>
              <w:spacing w:after="0" w:line="14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580" w:type="dxa"/>
            <w:vAlign w:val="bottom"/>
            <w:shd w:val="clear" w:color="auto" w:fill="CCEEFF"/>
          </w:tcPr>
          <w:p>
            <w:pPr>
              <w:jc w:val="center"/>
              <w:ind w:left="38"/>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(421)</w:t>
            </w:r>
          </w:p>
        </w:tc>
        <w:tc>
          <w:tcPr>
            <w:tcW w:w="1580" w:type="dxa"/>
            <w:vAlign w:val="bottom"/>
          </w:tcPr>
          <w:p>
            <w:pPr>
              <w:jc w:val="center"/>
              <w:ind w:left="38"/>
              <w:spacing w:after="0"/>
              <w:rPr>
                <w:sz w:val="20"/>
                <w:szCs w:val="20"/>
                <w:color w:val="auto"/>
              </w:rPr>
            </w:pPr>
            <w:r>
              <w:rPr>
                <w:rFonts w:ascii="Arial" w:cs="Arial" w:eastAsia="Arial" w:hAnsi="Arial"/>
                <w:sz w:val="18"/>
                <w:szCs w:val="18"/>
                <w:color w:val="auto"/>
                <w:w w:val="97"/>
              </w:rPr>
              <w:t>(34.1)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580" w:type="dxa"/>
            <w:vAlign w:val="bottom"/>
            <w:shd w:val="clear" w:color="auto" w:fill="CCEEFF"/>
          </w:tcPr>
          <w:p>
            <w:pPr>
              <w:jc w:val="center"/>
              <w:ind w:left="38"/>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5020" w:type="dxa"/>
            <w:vAlign w:val="bottom"/>
          </w:tcPr>
          <w:p>
            <w:pPr>
              <w:ind w:left="22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48,971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w:t>
            </w:r>
          </w:p>
        </w:tc>
        <w:tc>
          <w:tcPr>
            <w:tcW w:w="1580" w:type="dxa"/>
            <w:vAlign w:val="bottom"/>
          </w:tcPr>
          <w:p>
            <w:pPr>
              <w:jc w:val="center"/>
              <w:ind w:left="38"/>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6"/>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695"/>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0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table presents our passenger revenue and the year-over-year change in certain operating statistics: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left="642"/>
              <w:spacing w:after="0"/>
              <w:rPr>
                <w:sz w:val="20"/>
                <w:szCs w:val="20"/>
                <w:color w:val="auto"/>
              </w:rPr>
            </w:pPr>
            <w:r>
              <w:rPr>
                <w:rFonts w:ascii="Arial" w:cs="Arial" w:eastAsia="Arial" w:hAnsi="Arial"/>
                <w:sz w:val="14"/>
                <w:szCs w:val="14"/>
                <w:b w:val="1"/>
                <w:bCs w:val="1"/>
                <w:color w:val="auto"/>
              </w:rPr>
              <w:t>Increase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8"/>
          </w:tcPr>
          <w:p>
            <w:pPr>
              <w:jc w:val="center"/>
              <w:ind w:left="802"/>
              <w:spacing w:after="0"/>
              <w:rPr>
                <w:sz w:val="20"/>
                <w:szCs w:val="20"/>
                <w:color w:val="auto"/>
              </w:rPr>
            </w:pPr>
            <w:r>
              <w:rPr>
                <w:rFonts w:ascii="Arial" w:cs="Arial" w:eastAsia="Arial" w:hAnsi="Arial"/>
                <w:sz w:val="14"/>
                <w:szCs w:val="14"/>
                <w:b w:val="1"/>
                <w:bCs w:val="1"/>
                <w:color w:val="auto"/>
              </w:rPr>
              <w:t>vs. Year Ended December 31, 2022</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Year Ended</w:t>
            </w:r>
          </w:p>
        </w:tc>
        <w:tc>
          <w:tcPr>
            <w:tcW w:w="11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Passenger</w:t>
            </w:r>
          </w:p>
        </w:tc>
        <w:tc>
          <w:tcPr>
            <w:tcW w:w="98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RPMs</w:t>
            </w:r>
          </w:p>
        </w:tc>
        <w:tc>
          <w:tcPr>
            <w:tcW w:w="100" w:type="dxa"/>
            <w:vAlign w:val="bottom"/>
            <w:vMerge w:val="restart"/>
          </w:tcPr>
          <w:p>
            <w:pPr>
              <w:spacing w:after="0"/>
              <w:rPr>
                <w:sz w:val="12"/>
                <w:szCs w:val="12"/>
                <w:color w:val="auto"/>
              </w:rPr>
            </w:pPr>
          </w:p>
        </w:tc>
        <w:tc>
          <w:tcPr>
            <w:tcW w:w="98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ASMs</w:t>
            </w:r>
          </w:p>
        </w:tc>
        <w:tc>
          <w:tcPr>
            <w:tcW w:w="10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920" w:type="dxa"/>
            <w:vAlign w:val="bottom"/>
            <w:gridSpan w:val="3"/>
          </w:tcPr>
          <w:p>
            <w:pPr>
              <w:jc w:val="center"/>
              <w:ind w:right="460"/>
              <w:spacing w:after="0" w:line="142" w:lineRule="exact"/>
              <w:rPr>
                <w:sz w:val="20"/>
                <w:szCs w:val="20"/>
                <w:color w:val="auto"/>
              </w:rPr>
            </w:pPr>
            <w:r>
              <w:rPr>
                <w:rFonts w:ascii="Arial" w:cs="Arial" w:eastAsia="Arial" w:hAnsi="Arial"/>
                <w:sz w:val="14"/>
                <w:szCs w:val="14"/>
                <w:b w:val="1"/>
                <w:bCs w:val="1"/>
                <w:color w:val="auto"/>
              </w:rPr>
              <w:t>Load</w:t>
            </w:r>
          </w:p>
        </w:tc>
        <w:tc>
          <w:tcPr>
            <w:tcW w:w="10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Passenger</w:t>
            </w:r>
          </w:p>
        </w:tc>
        <w:tc>
          <w:tcPr>
            <w:tcW w:w="9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8"/>
              </w:rPr>
              <w:t>Factor</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48,512</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0.6pts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Passenger revenue increased $3.9 billion, or 8.8%, in 2023 from 2022 primarily due to continued strength in demand for air travel, resulting in a 7.6% increase in RPMs and an 83.5% load factor in 2023.</w:t>
      </w:r>
    </w:p>
    <w:p>
      <w:pPr>
        <w:spacing w:after="0" w:line="10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Cargo revenue decreased $421 million, or 34.1%, in 2023 from 2022 primarily due to a 29.4% decrease in cargo yield and a 6.7% decrease in cargo ton miles driven by lower demand and increased air freight capacity globally.</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revenue increased $294 million, or 9.3%, in 2023 from 2022 driven primarily by higher revenue associated with our loyalty program. During 2023 and 2022, cash payments from co-branded credit card and other partners were $5.2 billion and $4.5 billion, respectively.</w:t>
      </w:r>
    </w:p>
    <w:p>
      <w:pPr>
        <w:spacing w:after="0" w:line="11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Total operating revenues in 2023 increased $ 3.8 billion, or 7.8%, from 2022 driven primarily by the increase in passenger revenue as described above. Our TRASM was 19.01 cents in 2023, a 1.0% increase as compared to 18.82 cents in 2022.</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jc w:val="center"/>
              <w:ind w:left="3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3"/>
        </w:trPr>
        <w:tc>
          <w:tcPr>
            <w:tcW w:w="5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740" w:type="dxa"/>
            <w:vAlign w:val="bottom"/>
            <w:gridSpan w:val="5"/>
            <w:vMerge w:val="continue"/>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vMerge w:val="restart"/>
          </w:tcPr>
          <w:p>
            <w:pPr>
              <w:jc w:val="right"/>
              <w:ind w:right="333"/>
              <w:spacing w:after="0" w:line="144" w:lineRule="exact"/>
              <w:rPr>
                <w:sz w:val="20"/>
                <w:szCs w:val="20"/>
                <w:color w:val="auto"/>
              </w:rPr>
            </w:pPr>
            <w:r>
              <w:rPr>
                <w:rFonts w:ascii="Arial" w:cs="Arial" w:eastAsia="Arial" w:hAnsi="Arial"/>
                <w:sz w:val="14"/>
                <w:szCs w:val="14"/>
                <w:b w:val="1"/>
                <w:bCs w:val="1"/>
                <w:color w:val="auto"/>
              </w:rPr>
              <w:t>Increase</w:t>
            </w:r>
          </w:p>
        </w:tc>
        <w:tc>
          <w:tcPr>
            <w:tcW w:w="1560" w:type="dxa"/>
            <w:vAlign w:val="bottom"/>
            <w:vMerge w:val="restart"/>
          </w:tcPr>
          <w:p>
            <w:pPr>
              <w:jc w:val="center"/>
              <w:ind w:left="34"/>
              <w:spacing w:after="0" w:line="144"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vMerge w:val="restart"/>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(Decrease)</w:t>
            </w:r>
          </w:p>
        </w:tc>
        <w:tc>
          <w:tcPr>
            <w:tcW w:w="156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5"/>
          </w:tcPr>
          <w:p>
            <w:pPr>
              <w:jc w:val="right"/>
              <w:ind w:right="13"/>
              <w:spacing w:after="0"/>
              <w:rPr>
                <w:sz w:val="20"/>
                <w:szCs w:val="20"/>
                <w:color w:val="auto"/>
              </w:rPr>
            </w:pPr>
            <w:r>
              <w:rPr>
                <w:rFonts w:ascii="Arial" w:cs="Arial" w:eastAsia="Arial" w:hAnsi="Arial"/>
                <w:sz w:val="14"/>
                <w:szCs w:val="14"/>
                <w:b w:val="1"/>
                <w:bCs w:val="1"/>
                <w:color w:val="auto"/>
              </w:rPr>
              <w:t>(In millions, except percentage changes)</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5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3"/>
              </w:rPr>
              <w:t>(11.1)</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1,608</w:t>
            </w:r>
          </w:p>
        </w:tc>
        <w:tc>
          <w:tcPr>
            <w:tcW w:w="1560" w:type="dxa"/>
            <w:vAlign w:val="bottom"/>
          </w:tcPr>
          <w:p>
            <w:pPr>
              <w:jc w:val="center"/>
              <w:ind w:left="3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5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5"/>
              </w:rPr>
              <w:t>5.9</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581</w:t>
            </w:r>
          </w:p>
        </w:tc>
        <w:tc>
          <w:tcPr>
            <w:tcW w:w="1560" w:type="dxa"/>
            <w:vAlign w:val="bottom"/>
          </w:tcPr>
          <w:p>
            <w:pPr>
              <w:jc w:val="center"/>
              <w:ind w:left="34"/>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5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5"/>
              </w:rPr>
              <w:t>7.3</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560" w:type="dxa"/>
            <w:vAlign w:val="bottom"/>
          </w:tcPr>
          <w:p>
            <w:pPr>
              <w:jc w:val="center"/>
              <w:ind w:left="34"/>
              <w:spacing w:after="0"/>
              <w:rPr>
                <w:sz w:val="20"/>
                <w:szCs w:val="20"/>
                <w:color w:val="auto"/>
              </w:rPr>
            </w:pPr>
            <w:r>
              <w:rPr>
                <w:rFonts w:ascii="Arial" w:cs="Arial" w:eastAsia="Arial" w:hAnsi="Arial"/>
                <w:sz w:val="18"/>
                <w:szCs w:val="18"/>
                <w:color w:val="auto"/>
                <w:w w:val="97"/>
              </w:rPr>
              <w:t>(1.9)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56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7"/>
              </w:rPr>
              <w:t>(0.9)</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1560" w:type="dxa"/>
            <w:vAlign w:val="bottom"/>
          </w:tcPr>
          <w:p>
            <w:pPr>
              <w:jc w:val="center"/>
              <w:ind w:left="34"/>
              <w:spacing w:after="0"/>
              <w:rPr>
                <w:sz w:val="20"/>
                <w:szCs w:val="20"/>
                <w:color w:val="auto"/>
              </w:rPr>
            </w:pPr>
            <w:r>
              <w:rPr>
                <w:rFonts w:ascii="Arial" w:cs="Arial" w:eastAsia="Arial" w:hAnsi="Arial"/>
                <w:sz w:val="18"/>
                <w:szCs w:val="18"/>
                <w:color w:val="auto"/>
                <w:w w:val="97"/>
              </w:rPr>
              <w:t>(2.1)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5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56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56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5"/>
              </w:rPr>
              <w:t>5.0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Additional detail regarding changes in our operating expenses is as follows:</w:t>
      </w:r>
    </w:p>
    <w:p>
      <w:pPr>
        <w:spacing w:after="0" w:line="171"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Aircraft fuel and related taxes decreased $1.5 billion, or 11.1%, in 2023 from 2022 primarily due to a 16.3% decrease in the average price per gallon of aircraft fuel including related taxes to $2.96 in 2023 from $3.54 in 2022, offset in part by a 6.1% increase in gallons of fuel consumed due to increased capacity.</w:t>
      </w:r>
    </w:p>
    <w:p>
      <w:pPr>
        <w:spacing w:after="0" w:line="11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Salaries, wages and benefits increased $1.6 billion, or 12.4%, in 2023 from 2022 primarily driven by higher wage rates associated with the ratification of a new collective bargaining agreement with our mainline pilots.</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Regional expenses increased $258 million, or 5.9%, in 2023 from 2022 primarily due to increased costs at our wholly-owned regional carriers, including pay rate increases and higher costs for maintenance, materials and repairs driven by an increase in the volume of engine overhauls.</w:t>
      </w:r>
    </w:p>
    <w:p>
      <w:pPr>
        <w:spacing w:after="0" w:line="116"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Maintenance, materials and repairs increased $581 million, or 21.6%, in 2023 from 2022 primarily due to increased costs for engine overhauls and airframe heavy checks driven by higher volume, flight hours and cost of materials.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Other rent and landing fees increased $198 million, or 7.3%, in 2023 from 2022 primarily due to rate increases at certain airports, incremental engine leases and higher landing fees.</w:t>
      </w:r>
    </w:p>
    <w:p>
      <w:pPr>
        <w:spacing w:after="0" w:line="10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Selling expenses remained flat in 2023 from 2022 primarily due to a decrease in commissions expense, offset primarily by higher credit card fees driven by the overall increase in passenger revenues.</w:t>
      </w:r>
    </w:p>
    <w:p>
      <w:pPr>
        <w:spacing w:after="0" w:line="100"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Other operating expenses increased $584 million, or 10.8%, in 2023 from 2022 primarily driven by the increase in flight operations, including increased costs for onboard food and catering, crew travel, ground handling and airport lounge operations, as well as certain general and administrative expenses.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Special Items, Net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2022</w:t>
            </w:r>
          </w:p>
        </w:tc>
      </w:tr>
      <w:tr>
        <w:trPr>
          <w:trHeight w:val="196"/>
        </w:trPr>
        <w:tc>
          <w:tcPr>
            <w:tcW w:w="208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7"/>
                <w:szCs w:val="17"/>
                <w:color w:val="auto"/>
              </w:rPr>
            </w:pPr>
          </w:p>
        </w:tc>
      </w:tr>
      <w:tr>
        <w:trPr>
          <w:trHeight w:val="230"/>
        </w:trPr>
        <w:tc>
          <w:tcPr>
            <w:tcW w:w="75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(3)</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Litigation reserve adjustments</w:t>
            </w:r>
          </w:p>
        </w:tc>
        <w:tc>
          <w:tcPr>
            <w:tcW w:w="4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580" w:type="dxa"/>
            <w:vAlign w:val="bottom"/>
            <w:gridSpan w:val="2"/>
          </w:tcPr>
          <w:p>
            <w:pPr>
              <w:ind w:left="220"/>
              <w:spacing w:after="0"/>
              <w:rPr>
                <w:sz w:val="20"/>
                <w:szCs w:val="20"/>
                <w:color w:val="auto"/>
              </w:rPr>
            </w:pPr>
            <w:r>
              <w:rPr>
                <w:rFonts w:ascii="Arial" w:cs="Arial" w:eastAsia="Arial" w:hAnsi="Arial"/>
                <w:sz w:val="18"/>
                <w:szCs w:val="18"/>
                <w:color w:val="auto"/>
              </w:rPr>
              <w:t>Mainline operating special items, net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7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Regional operating special items, net</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580" w:type="dxa"/>
            <w:vAlign w:val="bottom"/>
            <w:gridSpan w:val="2"/>
          </w:tcPr>
          <w:p>
            <w:pPr>
              <w:ind w:left="480"/>
              <w:spacing w:after="0"/>
              <w:rPr>
                <w:sz w:val="20"/>
                <w:szCs w:val="20"/>
                <w:color w:val="auto"/>
              </w:rPr>
            </w:pPr>
            <w:r>
              <w:rPr>
                <w:rFonts w:ascii="Arial" w:cs="Arial" w:eastAsia="Arial" w:hAnsi="Arial"/>
                <w:sz w:val="18"/>
                <w:szCs w:val="18"/>
                <w:color w:val="auto"/>
              </w:rPr>
              <w:t>Operating special items, net</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0"/>
        </w:trPr>
        <w:tc>
          <w:tcPr>
            <w:tcW w:w="20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5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relate to one-time charges resulting from the ratification of a new collective bargaining agreement with our mainline pilots, including a one-time payment of $754 million as well as adjustments to other benefit-related items of $235 million.</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included costs associated with headcount reductions in certain corporate functions.</w:t>
      </w:r>
    </w:p>
    <w:p>
      <w:pPr>
        <w:spacing w:after="0" w:line="138"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Fleet impairment included a non-cash impairment charge to write down the carrying value of our retired Airbus A330 fleet to the estimated fair value due to the market conditions for certain used aircraft. We retired our Airbus A330 fleet in 2020 as a result of the decline in demand for air travel due to the COVID-19 pandemic.</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Nonoperating Results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7"/>
        </w:trPr>
        <w:tc>
          <w:tcPr>
            <w:tcW w:w="5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2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vMerge w:val="restart"/>
          </w:tcPr>
          <w:p>
            <w:pPr>
              <w:jc w:val="center"/>
              <w:ind w:right="156"/>
              <w:spacing w:after="0" w:line="149"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8"/>
              <w:spacing w:after="0" w:line="14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696"/>
              <w:spacing w:after="0"/>
              <w:rPr>
                <w:sz w:val="20"/>
                <w:szCs w:val="20"/>
                <w:color w:val="auto"/>
              </w:rPr>
            </w:pPr>
            <w:r>
              <w:rPr>
                <w:rFonts w:ascii="Arial" w:cs="Arial" w:eastAsia="Arial" w:hAnsi="Arial"/>
                <w:sz w:val="18"/>
                <w:szCs w:val="18"/>
                <w:color w:val="auto"/>
                <w:w w:val="99"/>
              </w:rPr>
              <w:t>375</w:t>
            </w:r>
          </w:p>
        </w:tc>
        <w:tc>
          <w:tcPr>
            <w:tcW w:w="15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left="696"/>
              <w:spacing w:after="0"/>
              <w:rPr>
                <w:sz w:val="20"/>
                <w:szCs w:val="20"/>
                <w:color w:val="auto"/>
              </w:rPr>
            </w:pPr>
            <w:r>
              <w:rPr>
                <w:rFonts w:ascii="Arial" w:cs="Arial" w:eastAsia="Arial" w:hAnsi="Arial"/>
                <w:sz w:val="18"/>
                <w:szCs w:val="18"/>
                <w:color w:val="auto"/>
                <w:w w:val="99"/>
              </w:rPr>
              <w:t>(183)</w:t>
            </w:r>
          </w:p>
        </w:tc>
        <w:tc>
          <w:tcPr>
            <w:tcW w:w="1580" w:type="dxa"/>
            <w:vAlign w:val="bottom"/>
          </w:tcPr>
          <w:p>
            <w:pPr>
              <w:jc w:val="right"/>
              <w:ind w:right="518"/>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696"/>
              <w:spacing w:after="0"/>
              <w:rPr>
                <w:sz w:val="20"/>
                <w:szCs w:val="20"/>
                <w:color w:val="auto"/>
              </w:rPr>
            </w:pPr>
            <w:r>
              <w:rPr>
                <w:rFonts w:ascii="Arial" w:cs="Arial" w:eastAsia="Arial" w:hAnsi="Arial"/>
                <w:sz w:val="18"/>
                <w:szCs w:val="18"/>
                <w:color w:val="auto"/>
                <w:w w:val="99"/>
              </w:rPr>
              <w:t>(684)</w:t>
            </w:r>
          </w:p>
        </w:tc>
        <w:tc>
          <w:tcPr>
            <w:tcW w:w="15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020" w:type="dxa"/>
            <w:vAlign w:val="bottom"/>
          </w:tcPr>
          <w:p>
            <w:pPr>
              <w:ind w:left="220"/>
              <w:spacing w:after="0"/>
              <w:rPr>
                <w:sz w:val="20"/>
                <w:szCs w:val="20"/>
                <w:color w:val="auto"/>
              </w:rPr>
            </w:pPr>
            <w:r>
              <w:rPr>
                <w:rFonts w:ascii="Arial" w:cs="Arial" w:eastAsia="Arial" w:hAnsi="Arial"/>
                <w:sz w:val="18"/>
                <w:szCs w:val="18"/>
                <w:color w:val="auto"/>
              </w:rPr>
              <w:t>Total nonoperating expense,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center"/>
              <w:ind w:left="696"/>
              <w:spacing w:after="0"/>
              <w:rPr>
                <w:sz w:val="20"/>
                <w:szCs w:val="20"/>
                <w:color w:val="auto"/>
              </w:rPr>
            </w:pPr>
            <w:r>
              <w:rPr>
                <w:rFonts w:ascii="Arial" w:cs="Arial" w:eastAsia="Arial" w:hAnsi="Arial"/>
                <w:sz w:val="18"/>
                <w:szCs w:val="18"/>
                <w:color w:val="auto"/>
                <w:w w:val="99"/>
              </w:rPr>
              <w:t>(492)</w:t>
            </w:r>
          </w:p>
        </w:tc>
        <w:tc>
          <w:tcPr>
            <w:tcW w:w="1580" w:type="dxa"/>
            <w:vAlign w:val="bottom"/>
          </w:tcPr>
          <w:p>
            <w:pPr>
              <w:jc w:val="right"/>
              <w:ind w:right="478"/>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Interest income increased $375 million in 2023 compared to 2022 primarily as a result of higher returns on our short-term investments. Interest expense, net increased $183 million, or 9.3%, in 2023 compared to 2022 primarily due to higher interest rates on our variable-rate debt instruments, offset in part by debt repayments.</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2023, other nonoperating expense, net primarily included $362 million of net special charges principally associated with debt refinancings and extinguishments and mark-to-market net unrealized losses associated with certain equity investments, offset in part by $32 million of non-service related pension and other postretirement benefit plan income.</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2022, other nonoperating income, net primarily included $ 424 million of non-service related pension and other postretirement benefit plan income, offset in part by $74 million of net special charges principally for mark-to-market net unrealized losses associated with certain equity investments.</w:t>
      </w:r>
    </w:p>
    <w:p>
      <w:pPr>
        <w:sectPr>
          <w:pgSz w:w="11900" w:h="16838" w:orient="portrait"/>
          <w:cols w:equalWidth="0" w:num="1">
            <w:col w:w="11240"/>
          </w:cols>
          <w:pgMar w:left="320" w:top="363" w:right="3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decrease in non-service related pension and other postretirement benefit plan income in 2023 as compared to 2022 is principally due to an increase in interest cost for the pension and other postretirement benefit obligations driven by higher discount rates and a decrease in expected return on pension plan assets from a reduction in plan assets.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2023, we recorded an income tax provision of $299 million with an effective rate of approximately 27%, which was substantially non-cash. Substantially all of our income before income taxes is attributable to the United States. At December 31, 2023, we had approximately $13.7 billion of gross federal NOLs and $4.7 billion of other carryforwards available to reduce future federal taxable income, of which $3.4 billion will expire beginning in 2029 if unused and $15.0 billion can be carried forward indefinitely. We also had approximately $5.5 billion of NOL carryforwards to reduce future state taxable income at December 31, 2023, which will expire in taxable years 2023 through 2043 if unused.</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2022, we recorded an income tax provision of $59 million at an effective rate of approximately 32%, which was substantially non-cash.</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6 to AAG’s Consolidated Financial Statements in Part II, Item 8A for additional information on income taxes.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For a comparison of the 2022 to 2021 reporting periods, see Part II, Item 7. Management’s Discussion and Analysis of Financial Condition and Results of Operations – “</w:t>
      </w:r>
      <w:r>
        <w:rPr>
          <w:rFonts w:ascii="Arial" w:cs="Arial" w:eastAsia="Arial" w:hAnsi="Arial"/>
          <w:sz w:val="18"/>
          <w:szCs w:val="18"/>
          <w:i w:val="1"/>
          <w:iCs w:val="1"/>
          <w:color w:val="auto"/>
        </w:rPr>
        <w:t>American’s Results of Operations”</w:t>
      </w:r>
      <w:r>
        <w:rPr>
          <w:rFonts w:ascii="Arial" w:cs="Arial" w:eastAsia="Arial" w:hAnsi="Arial"/>
          <w:sz w:val="18"/>
          <w:szCs w:val="18"/>
          <w:color w:val="auto"/>
        </w:rPr>
        <w:t xml:space="preserve"> of American’s 2022 Form 10-K.</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8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line="20" w:lineRule="exact"/>
              <w:rPr>
                <w:sz w:val="1"/>
                <w:szCs w:val="1"/>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Increase (Decrease)</w:t>
            </w: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5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Passenger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58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Cargo</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(421)</w:t>
            </w:r>
          </w:p>
        </w:tc>
        <w:tc>
          <w:tcPr>
            <w:tcW w:w="1580" w:type="dxa"/>
            <w:vAlign w:val="bottom"/>
          </w:tcPr>
          <w:p>
            <w:pPr>
              <w:jc w:val="center"/>
              <w:ind w:left="36"/>
              <w:spacing w:after="0"/>
              <w:rPr>
                <w:sz w:val="20"/>
                <w:szCs w:val="20"/>
                <w:color w:val="auto"/>
              </w:rPr>
            </w:pPr>
            <w:r>
              <w:rPr>
                <w:rFonts w:ascii="Arial" w:cs="Arial" w:eastAsia="Arial" w:hAnsi="Arial"/>
                <w:sz w:val="18"/>
                <w:szCs w:val="18"/>
                <w:color w:val="auto"/>
                <w:w w:val="97"/>
              </w:rPr>
              <w:t>(34.1)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58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5020" w:type="dxa"/>
            <w:vAlign w:val="bottom"/>
          </w:tcPr>
          <w:p>
            <w:pPr>
              <w:ind w:left="220"/>
              <w:spacing w:after="0"/>
              <w:rPr>
                <w:sz w:val="20"/>
                <w:szCs w:val="20"/>
                <w:color w:val="auto"/>
              </w:rPr>
            </w:pPr>
            <w:r>
              <w:rPr>
                <w:rFonts w:ascii="Arial" w:cs="Arial" w:eastAsia="Arial" w:hAnsi="Arial"/>
                <w:sz w:val="18"/>
                <w:szCs w:val="18"/>
                <w:color w:val="auto"/>
              </w:rPr>
              <w:t>Total operating revenues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48,965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1580" w:type="dxa"/>
            <w:vAlign w:val="bottom"/>
          </w:tcPr>
          <w:p>
            <w:pPr>
              <w:jc w:val="center"/>
              <w:ind w:left="36"/>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Passenger revenue increased $3.9 billion, or 8.8%, in 2023 from 2022 primarily due to continued strength in demand for air travel, resulting in an increase in RPMs and an increase in load factor in 2023.</w:t>
      </w:r>
    </w:p>
    <w:p>
      <w:pPr>
        <w:spacing w:after="0" w:line="10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Cargo revenue decreased $421 million, or 34.1%, in 2023 from 2022 primarily due to decreases in cargo yield and cargo ton miles driven by lower demand and increased air freight capacity globally.</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Other operating revenue increased $296 million, or 9.3%, in 2023 from 2022 driven primarily by higher revenue associated with American’s loyalty program. During 2023 and 2022, cash payments from co-branded credit card and other partners were $5.2 billion and $4.5 billion, respectively.</w:t>
      </w:r>
    </w:p>
    <w:p>
      <w:pPr>
        <w:spacing w:after="0" w:line="11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Total operating revenues in 2023 increased $3.8 billion, or 7.8%, from 2022 driven primarily by the increase in passenger revenue as described above.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7"/>
        </w:trPr>
        <w:tc>
          <w:tcPr>
            <w:tcW w:w="5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2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vMerge w:val="restart"/>
          </w:tcPr>
          <w:p>
            <w:pPr>
              <w:jc w:val="right"/>
              <w:ind w:right="353"/>
              <w:spacing w:after="0" w:line="149"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4"/>
              <w:spacing w:after="0" w:line="14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5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7"/>
              </w:rPr>
              <w:t>(11.1)</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1,607</w:t>
            </w:r>
          </w:p>
        </w:tc>
        <w:tc>
          <w:tcPr>
            <w:tcW w:w="1580" w:type="dxa"/>
            <w:vAlign w:val="bottom"/>
          </w:tcPr>
          <w:p>
            <w:pPr>
              <w:jc w:val="center"/>
              <w:ind w:left="34"/>
              <w:spacing w:after="0"/>
              <w:rPr>
                <w:sz w:val="20"/>
                <w:szCs w:val="20"/>
                <w:color w:val="auto"/>
              </w:rPr>
            </w:pPr>
            <w:r>
              <w:rPr>
                <w:rFonts w:ascii="Arial" w:cs="Arial" w:eastAsia="Arial" w:hAnsi="Arial"/>
                <w:sz w:val="18"/>
                <w:szCs w:val="18"/>
                <w:color w:val="auto"/>
                <w:w w:val="96"/>
              </w:rPr>
              <w:t>12.4</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5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581</w:t>
            </w:r>
          </w:p>
        </w:tc>
        <w:tc>
          <w:tcPr>
            <w:tcW w:w="1580" w:type="dxa"/>
            <w:vAlign w:val="bottom"/>
          </w:tcPr>
          <w:p>
            <w:pPr>
              <w:jc w:val="center"/>
              <w:ind w:left="34"/>
              <w:spacing w:after="0"/>
              <w:rPr>
                <w:sz w:val="20"/>
                <w:szCs w:val="20"/>
                <w:color w:val="auto"/>
              </w:rPr>
            </w:pPr>
            <w:r>
              <w:rPr>
                <w:rFonts w:ascii="Arial" w:cs="Arial" w:eastAsia="Arial" w:hAnsi="Arial"/>
                <w:sz w:val="18"/>
                <w:szCs w:val="18"/>
                <w:color w:val="auto"/>
                <w:w w:val="96"/>
              </w:rPr>
              <w:t>21.6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5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580" w:type="dxa"/>
            <w:vAlign w:val="bottom"/>
          </w:tcPr>
          <w:p>
            <w:pPr>
              <w:jc w:val="center"/>
              <w:ind w:left="3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5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w:t>
            </w:r>
          </w:p>
        </w:tc>
        <w:tc>
          <w:tcPr>
            <w:tcW w:w="1580" w:type="dxa"/>
            <w:vAlign w:val="bottom"/>
          </w:tcPr>
          <w:p>
            <w:pPr>
              <w:jc w:val="center"/>
              <w:ind w:left="3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58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58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96"/>
              </w:rPr>
              <w:t>10.8</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58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Additional detail regarding changes in American’s operating expenses is as follows:</w:t>
      </w:r>
    </w:p>
    <w:p>
      <w:pPr>
        <w:spacing w:after="0" w:line="171"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Aircraft fuel and related taxes decreased $1.5 billion, or 11.1%, in 2023 from 2022 primarily due to a 16.3% decrease in the average price per gallon of aircraft fuel including related taxes to $2.96 in 2023 from $3.54 in 2022, offset in part by a 6.1% increase in gallons of fuel consumed due to increased capacity.</w:t>
      </w:r>
    </w:p>
    <w:p>
      <w:pPr>
        <w:spacing w:after="0" w:line="11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Salaries, wages and benefits increased $1.6 billion, or 12.4%, in 2023 from 2022 primarily driven by higher wage rates associated with the ratification of a new collective bargaining agreement with American’s mainline pilots.</w:t>
      </w:r>
    </w:p>
    <w:p>
      <w:pPr>
        <w:spacing w:after="0" w:line="100" w:lineRule="exact"/>
        <w:rPr>
          <w:sz w:val="20"/>
          <w:szCs w:val="20"/>
          <w:color w:val="auto"/>
        </w:rPr>
      </w:pPr>
    </w:p>
    <w:p>
      <w:pPr>
        <w:ind w:right="660" w:firstLine="243"/>
        <w:spacing w:after="0" w:line="286" w:lineRule="auto"/>
        <w:rPr>
          <w:sz w:val="20"/>
          <w:szCs w:val="20"/>
          <w:color w:val="auto"/>
        </w:rPr>
      </w:pPr>
      <w:r>
        <w:rPr>
          <w:rFonts w:ascii="Arial" w:cs="Arial" w:eastAsia="Arial" w:hAnsi="Arial"/>
          <w:sz w:val="18"/>
          <w:szCs w:val="18"/>
          <w:color w:val="auto"/>
        </w:rPr>
        <w:t>Regional expenses increased $274 million, or 6.3%, in 2023 from 2022 primarily due to contractual rate increases with American’s regional carriers.</w:t>
      </w:r>
    </w:p>
    <w:p>
      <w:pPr>
        <w:spacing w:after="0" w:line="100" w:lineRule="exact"/>
        <w:rPr>
          <w:sz w:val="20"/>
          <w:szCs w:val="20"/>
          <w:color w:val="auto"/>
        </w:rPr>
      </w:pPr>
    </w:p>
    <w:p>
      <w:pPr>
        <w:jc w:val="both"/>
        <w:ind w:right="20" w:firstLine="202"/>
        <w:spacing w:after="0" w:line="286" w:lineRule="auto"/>
        <w:rPr>
          <w:sz w:val="20"/>
          <w:szCs w:val="20"/>
          <w:color w:val="auto"/>
        </w:rPr>
      </w:pPr>
      <w:r>
        <w:rPr>
          <w:rFonts w:ascii="Arial" w:cs="Arial" w:eastAsia="Arial" w:hAnsi="Arial"/>
          <w:sz w:val="18"/>
          <w:szCs w:val="18"/>
          <w:color w:val="auto"/>
        </w:rPr>
        <w:t>Maintenance, materials and repairs increased $581 million, or 21.6%, in 2023 from 2022 primarily due to increased costs for engine overhauls and airframe heavy checks driven by higher volume, flight hours and cost of materials.</w:t>
      </w:r>
    </w:p>
    <w:p>
      <w:pPr>
        <w:spacing w:after="0" w:line="100"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8"/>
          <w:szCs w:val="18"/>
          <w:color w:val="auto"/>
        </w:rPr>
        <w:t>Other rent and landing fees increased $198 million, or 7.3%, in 2023 from 2022 primarily due to rate increases at certain airports, incremental engine leases and higher landing fees.</w:t>
      </w:r>
    </w:p>
    <w:p>
      <w:pPr>
        <w:spacing w:after="0" w:line="100"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8"/>
          <w:szCs w:val="18"/>
          <w:color w:val="auto"/>
        </w:rPr>
        <w:t>Selling expenses remained flat in 2023 from 2022 primarily due to a decrease in commissions expense, offset primarily by higher credit card fees driven by the overall increase in passenger revenues.</w:t>
      </w:r>
    </w:p>
    <w:p>
      <w:pPr>
        <w:spacing w:after="0" w:line="100" w:lineRule="exact"/>
        <w:rPr>
          <w:sz w:val="20"/>
          <w:szCs w:val="20"/>
          <w:color w:val="auto"/>
        </w:rPr>
      </w:pPr>
    </w:p>
    <w:p>
      <w:pPr>
        <w:jc w:val="both"/>
        <w:ind w:right="20" w:firstLine="202"/>
        <w:spacing w:after="0" w:line="268" w:lineRule="auto"/>
        <w:rPr>
          <w:sz w:val="20"/>
          <w:szCs w:val="20"/>
          <w:color w:val="auto"/>
        </w:rPr>
      </w:pPr>
      <w:r>
        <w:rPr>
          <w:rFonts w:ascii="Arial" w:cs="Arial" w:eastAsia="Arial" w:hAnsi="Arial"/>
          <w:sz w:val="18"/>
          <w:szCs w:val="18"/>
          <w:color w:val="auto"/>
        </w:rPr>
        <w:t>Other operating expenses increased $583 million, or 10.8%, in 2023 from 2022 primarily driven by the increase in flight operations, including increased costs for onboard food and catering, crew travel, ground handling and airport lounge operations, as well as certain general and administrative expenses.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Special Items, Net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7"/>
                <w:szCs w:val="17"/>
                <w:color w:val="auto"/>
              </w:rPr>
            </w:pPr>
          </w:p>
        </w:tc>
      </w:tr>
      <w:tr>
        <w:trPr>
          <w:trHeight w:val="196"/>
        </w:trPr>
        <w:tc>
          <w:tcPr>
            <w:tcW w:w="7580" w:type="dxa"/>
            <w:vAlign w:val="bottom"/>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r>
      <w:tr>
        <w:trPr>
          <w:trHeight w:val="196"/>
        </w:trPr>
        <w:tc>
          <w:tcPr>
            <w:tcW w:w="7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gridSpan w:val="3"/>
          </w:tcPr>
          <w:p>
            <w:pPr>
              <w:jc w:val="right"/>
              <w:ind w:right="796"/>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7"/>
                <w:szCs w:val="17"/>
                <w:color w:val="auto"/>
              </w:rPr>
            </w:pPr>
          </w:p>
        </w:tc>
      </w:tr>
      <w:tr>
        <w:trPr>
          <w:trHeight w:val="230"/>
        </w:trPr>
        <w:tc>
          <w:tcPr>
            <w:tcW w:w="7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(3)</w:t>
            </w:r>
          </w:p>
        </w:tc>
        <w:tc>
          <w:tcPr>
            <w:tcW w:w="1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Litigation reserve adjustments</w:t>
            </w:r>
          </w:p>
        </w:tc>
        <w:tc>
          <w:tcPr>
            <w:tcW w:w="12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580" w:type="dxa"/>
            <w:vAlign w:val="bottom"/>
          </w:tcPr>
          <w:p>
            <w:pPr>
              <w:ind w:left="220"/>
              <w:spacing w:after="0"/>
              <w:rPr>
                <w:sz w:val="20"/>
                <w:szCs w:val="20"/>
                <w:color w:val="auto"/>
              </w:rPr>
            </w:pPr>
            <w:r>
              <w:rPr>
                <w:rFonts w:ascii="Arial" w:cs="Arial" w:eastAsia="Arial" w:hAnsi="Arial"/>
                <w:sz w:val="18"/>
                <w:szCs w:val="18"/>
                <w:color w:val="auto"/>
              </w:rPr>
              <w:t>Mainline operating special items, net</w:t>
            </w:r>
          </w:p>
        </w:tc>
        <w:tc>
          <w:tcPr>
            <w:tcW w:w="1220" w:type="dxa"/>
            <w:vAlign w:val="bottom"/>
            <w:tcBorders>
              <w:bottom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0"/>
        </w:trPr>
        <w:tc>
          <w:tcPr>
            <w:tcW w:w="75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3" w:right="339" w:bottom="1440" w:gutter="0" w:footer="0" w:header="0"/>
        </w:sect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13100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340" w:hanging="332"/>
        <w:spacing w:after="0" w:line="237" w:lineRule="auto"/>
        <w:tabs>
          <w:tab w:leader="none" w:pos="334"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relate to one-time charges resulting from the ratification of a new collective bargaining agreement with American’s mainline pilots, including a one-time payment of $754 million as well as adjustments to other benefit-related items of $235 million.</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included costs associated with headcount reductions in certain corporate functions.</w:t>
      </w:r>
    </w:p>
    <w:p>
      <w:pPr>
        <w:spacing w:after="0" w:line="138"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Fleet impairment included a non-cash impairment charge to write down the carrying value of American’s retired Airbus A330 fleet to the estimated fair value due to the market conditions for certain used aircraft. American retired its Airbus A330 fleet in 2020 as a result of the decline in demand for air travel due to the COVID-19 pandemic.</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Nonoperating Results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03"/>
        </w:trPr>
        <w:tc>
          <w:tcPr>
            <w:tcW w:w="5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20" w:type="dxa"/>
            <w:vAlign w:val="bottom"/>
            <w:gridSpan w:val="5"/>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vMerge w:val="restart"/>
          </w:tcPr>
          <w:p>
            <w:pPr>
              <w:jc w:val="center"/>
              <w:ind w:right="156"/>
              <w:spacing w:after="0" w:line="149" w:lineRule="exact"/>
              <w:rPr>
                <w:sz w:val="20"/>
                <w:szCs w:val="20"/>
                <w:color w:val="auto"/>
              </w:rPr>
            </w:pPr>
            <w:r>
              <w:rPr>
                <w:rFonts w:ascii="Arial" w:cs="Arial" w:eastAsia="Arial" w:hAnsi="Arial"/>
                <w:sz w:val="14"/>
                <w:szCs w:val="14"/>
                <w:b w:val="1"/>
                <w:bCs w:val="1"/>
                <w:color w:val="auto"/>
              </w:rPr>
              <w:t>Increase</w:t>
            </w:r>
          </w:p>
        </w:tc>
        <w:tc>
          <w:tcPr>
            <w:tcW w:w="1580" w:type="dxa"/>
            <w:vAlign w:val="bottom"/>
            <w:vMerge w:val="restart"/>
          </w:tcPr>
          <w:p>
            <w:pPr>
              <w:jc w:val="center"/>
              <w:ind w:left="38"/>
              <w:spacing w:after="0" w:line="14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vMerge w:val="restart"/>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(Decrease)</w:t>
            </w:r>
          </w:p>
        </w:tc>
        <w:tc>
          <w:tcPr>
            <w:tcW w:w="15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696"/>
              <w:spacing w:after="0"/>
              <w:rPr>
                <w:sz w:val="20"/>
                <w:szCs w:val="20"/>
                <w:color w:val="auto"/>
              </w:rPr>
            </w:pPr>
            <w:r>
              <w:rPr>
                <w:rFonts w:ascii="Arial" w:cs="Arial" w:eastAsia="Arial" w:hAnsi="Arial"/>
                <w:sz w:val="18"/>
                <w:szCs w:val="18"/>
                <w:color w:val="auto"/>
                <w:w w:val="99"/>
              </w:rPr>
              <w:t>729</w:t>
            </w:r>
          </w:p>
        </w:tc>
        <w:tc>
          <w:tcPr>
            <w:tcW w:w="1580" w:type="dxa"/>
            <w:vAlign w:val="bottom"/>
            <w:shd w:val="clear" w:color="auto" w:fill="CCEEFF"/>
          </w:tcPr>
          <w:p>
            <w:pPr>
              <w:jc w:val="center"/>
              <w:ind w:left="3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left="696"/>
              <w:spacing w:after="0"/>
              <w:rPr>
                <w:sz w:val="20"/>
                <w:szCs w:val="20"/>
                <w:color w:val="auto"/>
              </w:rPr>
            </w:pPr>
            <w:r>
              <w:rPr>
                <w:rFonts w:ascii="Arial" w:cs="Arial" w:eastAsia="Arial" w:hAnsi="Arial"/>
                <w:sz w:val="18"/>
                <w:szCs w:val="18"/>
                <w:color w:val="auto"/>
                <w:w w:val="99"/>
              </w:rPr>
              <w:t>(334)</w:t>
            </w:r>
          </w:p>
        </w:tc>
        <w:tc>
          <w:tcPr>
            <w:tcW w:w="1580" w:type="dxa"/>
            <w:vAlign w:val="bottom"/>
          </w:tcPr>
          <w:p>
            <w:pPr>
              <w:jc w:val="center"/>
              <w:ind w:left="38"/>
              <w:spacing w:after="0"/>
              <w:rPr>
                <w:sz w:val="20"/>
                <w:szCs w:val="20"/>
                <w:color w:val="auto"/>
              </w:rPr>
            </w:pPr>
            <w:r>
              <w:rPr>
                <w:rFonts w:ascii="Arial" w:cs="Arial" w:eastAsia="Arial" w:hAnsi="Arial"/>
                <w:sz w:val="18"/>
                <w:szCs w:val="18"/>
                <w:color w:val="auto"/>
                <w:w w:val="96"/>
              </w:rPr>
              <w:t>17.8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696"/>
              <w:spacing w:after="0"/>
              <w:rPr>
                <w:sz w:val="20"/>
                <w:szCs w:val="20"/>
                <w:color w:val="auto"/>
              </w:rPr>
            </w:pPr>
            <w:r>
              <w:rPr>
                <w:rFonts w:ascii="Arial" w:cs="Arial" w:eastAsia="Arial" w:hAnsi="Arial"/>
                <w:sz w:val="18"/>
                <w:szCs w:val="18"/>
                <w:color w:val="auto"/>
                <w:w w:val="99"/>
              </w:rPr>
              <w:t>(683)</w:t>
            </w:r>
          </w:p>
        </w:tc>
        <w:tc>
          <w:tcPr>
            <w:tcW w:w="1580" w:type="dxa"/>
            <w:vAlign w:val="bottom"/>
            <w:shd w:val="clear" w:color="auto" w:fill="CCEEFF"/>
          </w:tcPr>
          <w:p>
            <w:pPr>
              <w:jc w:val="center"/>
              <w:ind w:left="3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020" w:type="dxa"/>
            <w:vAlign w:val="bottom"/>
          </w:tcPr>
          <w:p>
            <w:pPr>
              <w:ind w:left="220"/>
              <w:spacing w:after="0"/>
              <w:rPr>
                <w:sz w:val="20"/>
                <w:szCs w:val="20"/>
                <w:color w:val="auto"/>
              </w:rPr>
            </w:pPr>
            <w:r>
              <w:rPr>
                <w:rFonts w:ascii="Arial" w:cs="Arial" w:eastAsia="Arial" w:hAnsi="Arial"/>
                <w:sz w:val="18"/>
                <w:szCs w:val="18"/>
                <w:color w:val="auto"/>
              </w:rPr>
              <w:t>Total nonoperating expense,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center"/>
              <w:ind w:left="696"/>
              <w:spacing w:after="0"/>
              <w:rPr>
                <w:sz w:val="20"/>
                <w:szCs w:val="20"/>
                <w:color w:val="auto"/>
              </w:rPr>
            </w:pPr>
            <w:r>
              <w:rPr>
                <w:rFonts w:ascii="Arial" w:cs="Arial" w:eastAsia="Arial" w:hAnsi="Arial"/>
                <w:sz w:val="18"/>
                <w:szCs w:val="18"/>
                <w:color w:val="auto"/>
                <w:w w:val="99"/>
              </w:rPr>
              <w:t>(288)</w:t>
            </w:r>
          </w:p>
        </w:tc>
        <w:tc>
          <w:tcPr>
            <w:tcW w:w="1580" w:type="dxa"/>
            <w:vAlign w:val="bottom"/>
          </w:tcPr>
          <w:p>
            <w:pPr>
              <w:jc w:val="center"/>
              <w:ind w:left="38"/>
              <w:spacing w:after="0"/>
              <w:rPr>
                <w:sz w:val="20"/>
                <w:szCs w:val="20"/>
                <w:color w:val="auto"/>
              </w:rPr>
            </w:pPr>
            <w:r>
              <w:rPr>
                <w:rFonts w:ascii="Arial" w:cs="Arial" w:eastAsia="Arial" w:hAnsi="Arial"/>
                <w:sz w:val="18"/>
                <w:szCs w:val="18"/>
                <w:color w:val="auto"/>
                <w:w w:val="96"/>
              </w:rPr>
              <w:t>24.0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Interest income increased $729 million in 2023 compared to 2022 primarily as a result of higher returns on American’s short-term investments and related party receivables from AAG. Interest expense, net increased $ 334 million, or 17.8%, in 2023 compared to 2022 primarily due to higher interest rates on American’s variable-rate debt instruments and related party payables from AAG’s wholly-owned subsidiaries, offset in part by debt repayments.</w:t>
      </w:r>
    </w:p>
    <w:p>
      <w:pPr>
        <w:spacing w:after="0" w:line="12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2023, other nonoperating expense, net primarily included $362 million of net special charges principally associated with debt refinancings and extinguishments and mark-to-market net unrealized losses associated with certain equity investments, offset in part by $33 million of non-service related pension and other postretirement benefit plan income.</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2022, other nonoperating income, net primarily included $ 423 million of non-service related pension and other postretirement benefit plan income, offset in part by $72 million of net special charges principally for mark-to-market net unrealized losses associated with certain equity investments.</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decrease in non-service related pension and other postretirement benefit plan income in 2023 as compared to 2022 is principally due to an increase in interest cost for the pension and other postretirement benefit obligations driven by higher discount rates and a decrease in expected return on pension plan assets from a reduction in plan assets.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7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2023, American recorded an income tax provision of $394 million with an effective rate of approximately 25%, which was substantially non-cash. Substantially all of American’s income before income taxes is attributable to the United States. At December 31, 2023, American had approximately $13.7 billion of gross federal NOLs and $3.6 billion of other carryforwards available to reduce future federal taxable income, of which $3.8 billion will expire beginning in 2033 if unused and $13.5 billion can be carried forward indefinitely. American also had approximately $5.3 billion of NOL carryforwards to reduce future state taxable income at December 31, 2023, which will expire in taxable years 2023 through 2043 if unused.</w:t>
      </w:r>
    </w:p>
    <w:p>
      <w:pPr>
        <w:spacing w:after="0" w:line="12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In 2022, American recorded an income tax provision of $116 million at an effective rate of approximately 26%, which was substantially non-cash.</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5 to American’s Consolidated Financial Statements in Part II, Item 8B for additional information on income taxes.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December 31, 2023, AAG had $10.4 billion in total available liquidity and $910 million in restricted cash and short-term investments.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 regarding our available liquidity is provided in the table below (in millions):</w:t>
      </w:r>
    </w:p>
    <w:p>
      <w:pPr>
        <w:spacing w:after="0" w:line="135" w:lineRule="exact"/>
        <w:rPr>
          <w:sz w:val="20"/>
          <w:szCs w:val="20"/>
          <w:color w:val="auto"/>
        </w:rPr>
      </w:pPr>
    </w:p>
    <w:p>
      <w:pPr>
        <w:ind w:left="6800"/>
        <w:spacing w:after="0"/>
        <w:tabs>
          <w:tab w:leader="none" w:pos="9480" w:val="left"/>
        </w:tabs>
        <w:rPr>
          <w:sz w:val="20"/>
          <w:szCs w:val="20"/>
          <w:color w:val="auto"/>
        </w:rPr>
      </w:pPr>
      <w:r>
        <w:rPr>
          <w:rFonts w:ascii="Arial" w:cs="Arial" w:eastAsia="Arial" w:hAnsi="Arial"/>
          <w:sz w:val="14"/>
          <w:szCs w:val="14"/>
          <w:b w:val="1"/>
          <w:bCs w:val="1"/>
          <w:color w:val="auto"/>
        </w:rPr>
        <w:t>AAG</w:t>
      </w:r>
      <w:r>
        <w:rPr>
          <w:sz w:val="20"/>
          <w:szCs w:val="20"/>
          <w:color w:val="auto"/>
        </w:rPr>
        <w:tab/>
      </w:r>
      <w:r>
        <w:rPr>
          <w:rFonts w:ascii="Arial" w:cs="Arial" w:eastAsia="Arial" w:hAnsi="Arial"/>
          <w:sz w:val="14"/>
          <w:szCs w:val="14"/>
          <w:b w:val="1"/>
          <w:bCs w:val="1"/>
          <w:color w:val="auto"/>
        </w:rPr>
        <w:t>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23495</wp:posOffset>
            </wp:positionV>
            <wp:extent cx="35706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p>
      <w:pPr>
        <w:spacing w:after="0" w:line="55"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23495</wp:posOffset>
            </wp:positionV>
            <wp:extent cx="17468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46885" cy="8255"/>
                    </a:xfrm>
                    <a:prstGeom prst="rect">
                      <a:avLst/>
                    </a:prstGeom>
                    <a:noFill/>
                  </pic:spPr>
                </pic:pic>
              </a:graphicData>
            </a:graphic>
          </wp:anchor>
        </w:drawing>
      </w:r>
    </w:p>
    <w:p>
      <w:pPr>
        <w:spacing w:after="0" w:line="35" w:lineRule="exact"/>
        <w:rPr>
          <w:sz w:val="20"/>
          <w:szCs w:val="20"/>
          <w:color w:val="auto"/>
        </w:rPr>
      </w:pPr>
    </w:p>
    <w:p>
      <w:pPr>
        <w:ind w:left="6080"/>
        <w:spacing w:after="0"/>
        <w:tabs>
          <w:tab w:leader="none" w:pos="750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23495</wp:posOffset>
            </wp:positionV>
            <wp:extent cx="17551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55140" cy="8255"/>
                    </a:xfrm>
                    <a:prstGeom prst="rect">
                      <a:avLst/>
                    </a:prstGeom>
                    <a:noFill/>
                  </pic:spPr>
                </pic:pic>
              </a:graphicData>
            </a:graphic>
          </wp:anchor>
        </w:drawing>
      </w:r>
    </w:p>
    <w:p>
      <w:pPr>
        <w:spacing w:after="0" w:line="35" w:lineRule="exact"/>
        <w:rPr>
          <w:sz w:val="20"/>
          <w:szCs w:val="20"/>
          <w:color w:val="auto"/>
        </w:rPr>
      </w:pPr>
    </w:p>
    <w:p>
      <w:pPr>
        <w:spacing w:after="0"/>
        <w:tabs>
          <w:tab w:leader="none" w:pos="142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35" w:lineRule="exact"/>
        <w:rPr>
          <w:sz w:val="20"/>
          <w:szCs w:val="20"/>
          <w:color w:val="auto"/>
        </w:rPr>
      </w:pPr>
    </w:p>
    <w:p>
      <w:pPr>
        <w:sectPr>
          <w:pgSz w:w="11900" w:h="16838" w:orient="portrait"/>
          <w:cols w:equalWidth="0" w:num="2">
            <w:col w:w="8220" w:space="720"/>
            <w:col w:w="2300"/>
          </w:cols>
          <w:pgMar w:left="320" w:top="363"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8,523</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Undrawn facilities</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r>
      <w:tr>
        <w:trPr>
          <w:trHeight w:val="223"/>
        </w:trPr>
        <w:tc>
          <w:tcPr>
            <w:tcW w:w="5580" w:type="dxa"/>
            <w:vAlign w:val="bottom"/>
          </w:tcPr>
          <w:p>
            <w:pPr>
              <w:ind w:left="340"/>
              <w:spacing w:after="0"/>
              <w:rPr>
                <w:sz w:val="20"/>
                <w:szCs w:val="20"/>
                <w:color w:val="auto"/>
              </w:rPr>
            </w:pPr>
            <w:r>
              <w:rPr>
                <w:rFonts w:ascii="Arial" w:cs="Arial" w:eastAsia="Arial" w:hAnsi="Arial"/>
                <w:sz w:val="18"/>
                <w:szCs w:val="18"/>
                <w:color w:val="auto"/>
              </w:rPr>
              <w:t>Total available liquidity</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11,985</w:t>
            </w:r>
          </w:p>
        </w:tc>
      </w:tr>
      <w:tr>
        <w:trPr>
          <w:trHeight w:val="20"/>
        </w:trPr>
        <w:tc>
          <w:tcPr>
            <w:tcW w:w="5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the ordinary course of our business, we or our affiliates may, at any time and from time to time, seek to prepay, retire or repurchase our outstanding debt through cash purchases and/or exchanges for equity or debt, in open-market purchases, privately negotiated transactions or otherwise. Such repurchases, prepayments, retirements or exchanges, if any, will be conducted on such terms and at such prices as we may determine, and will depend on prevailing market conditions, our liquidity requirements, legal and contractual restrictions and other factors. The amounts involved may be material. For further information regarding our debt repurchases for the year ended December 31, 2023, see Note 4 to AAG’s Consolidated Financial Statements in Part II, Item 8A and Note 3 to American’s Consolidated Financial Statements in Part II, Item 8B.</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debt agreements contain customary terms and conditions as well as various affirmative, negative and financial covenants that, among other things, may restrict the ability of us and our subsidiaries to incur additional indebtedness, pay dividends or repurchase stock. Our debt agreements also contain customary change of control provisions, which may require us to repay or redeem such indebtedness upon certain events constituting a change of control under the relevant agreement, in certain cases at a premium. Additionally, certain of our debt financing agreements (including our secured notes, term loans, revolving credit facilities and spare engine enhanced equipment trust certificates (EETCs)) contain loan to value (LTV), collateral coverage or peak debt service coverage ratio covenants and certain agreements require us to appraise the related collateral annually or semiannually. Pursuant to such agreements, if the applicable LTV, collateral coverage or peak debt service coverage ratio exceeds or falls below a specified threshold, as the case may be, we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As of the most recent applicable measurement dates, we were in compliance with each of the foregoing LTV, collateral coverage and peak debt service coverage tests. Additionally, a significant portion of our debt financing agreements contain covenants requiring us to maintain an aggregate of at least $2.0 billion of unrestricted cash and cash equivalents and amounts available to be drawn under revolving credit facilities, and our AAdvantage Financing contains a peak debt service coverage ratio, pursuant to which failure to comply with a certain threshold may result in early repayment, in whole or in part, of the AAdvantage Financing. For further information regarding our debt covenants, see Note 4 to AAG’s Consolidated Financial Statements in Part II, Item 8A and Note 3 to American’s Consolidated Financial Statements in Part II, Item 8B.</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For a comparison of the 2022 and 2021 reporting periods, see Part II, Item 7. Management’s Discussion and Analysis of Financial Condition and Results of Operations – “</w:t>
      </w:r>
      <w:r>
        <w:rPr>
          <w:rFonts w:ascii="Arial" w:cs="Arial" w:eastAsia="Arial" w:hAnsi="Arial"/>
          <w:sz w:val="18"/>
          <w:szCs w:val="18"/>
          <w:i w:val="1"/>
          <w:iCs w:val="1"/>
          <w:color w:val="auto"/>
        </w:rPr>
        <w:t>Sources and Uses of Cash”</w:t>
      </w:r>
      <w:r>
        <w:rPr>
          <w:rFonts w:ascii="Arial" w:cs="Arial" w:eastAsia="Arial" w:hAnsi="Arial"/>
          <w:sz w:val="18"/>
          <w:szCs w:val="18"/>
          <w:color w:val="auto"/>
        </w:rPr>
        <w:t xml:space="preserve"> of our 2022 Form 10-K.</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AAG</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Our net cash provided by operating activities was $3.8 billion and $2.2 billion in 2023 and 2022, respectively, a $1.6 billion year-over-year increase due to higher profitability and cash provided by working capital management.</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Our net cash used in investing activities was $502 million in 2023 as compared to net cash provided by investing activities of $636 million in 2022.</w:t>
      </w:r>
    </w:p>
    <w:p>
      <w:pPr>
        <w:spacing w:after="0" w:line="10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principal investing activities in 2023 included $2.6 billion of capital expenditures, which primarily related to the purchase of 17 Boeing 737-8 MAX aircraft, ten Airbus A321neo aircraft, seven Embraer 175 aircraft, seven Bombardier CRJ 900 aircraft and 28 spare engines. These cash outflows were offset in part by $1.5 billion in net sales of short-term investments and $230 million of proceeds from the sale of property and equipment and sale-leaseback transactions.</w:t>
      </w:r>
    </w:p>
    <w:p>
      <w:pPr>
        <w:spacing w:after="0" w:line="12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principal investing activities in 2022 included $ 3.7 billion in net sales of short-term investments. These cash inflows were offset in part by $2.5 billion of capital expenditures, which primarily related to the purchase of 24 Airbus A321neo aircraft and 12 spare engines, and $321 million of equity investments, principally related to GOL.</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cash used in financing activities was $3.2 billion and $2.6 billion in 2023 and 2022, respectively.</w:t>
      </w:r>
    </w:p>
    <w:p>
      <w:pPr>
        <w:spacing w:after="0" w:line="17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principal financing activities in 2023 included $2.9 billion in net repayments of debt and finance lease obligations primarily due to scheduled debt repayments. In February 2023, we refinanced approximately $1.8 billion in aggregate principal amount of term loans outstanding under the 2013 Term Loan Facility through the combination of (i) issuing $750 million in aggregate principal amount of the 7.25% Senior Secured Notes and (ii) extending the maturity of $1.0 billion in term loans under the 2013 Term Loan Facility. In December 2023, we issued $1.0 billion aggregate principal amount of the 8.50% Senior Secured Notes and entered into the 2023 Term Loan Facility in an aggregate principal amount of $1.1 billion. The net proceeds of the 8.50% Senior Secured Notes, together with net proceeds from borrowings under the 2023 Term Loan Facility and cash on hand, were used to redeem all of the outstanding 11.75% Senior Secured Notes. In addition, we borrowed $1.1 billion in connection with the financing of certain aircraft and repurchased $552 million of secured and unsecured notes in the open market.</w:t>
      </w:r>
    </w:p>
    <w:p>
      <w:pPr>
        <w:spacing w:after="0" w:line="1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principal financing activities in 2022 included $3.8 billion in repayments of debt and finance lease obligations, consisting of $2.2 billion of scheduled debt repayments including the repayment of $401 million in connection with the maturity of our 5.000% unsecured notes, the $1.2 billion prepayment of the December 2016 Term Loan Facility and the repurchase of $349 million of unsecured notes in the open market. These cash outflows were offset in part by $1.1 billion of long-term debt proceeds, consisting of $866 million from the issuance of equipment notes related to EETCs and $205 million in connection with the financing of certain aircraft.</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American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American’s net cash provided by operating activities was $3.7 billion and $1.3 billion in 2023 and 2022, respectively, a $2.4 billion year-over-year increase due to higher profitability and cash provided by working capital management.</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American’s net cash used in investing activities was $449 million in 2023 as compared to net cash provided by investing activities of $693 million in 2022.</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American’s principal investing activities in 2023 included $2.5 billion of capital expenditures, which primarily related to the purchase of 17 Boeing 737-8 MAX aircraft, ten Airbus A321neo aircraft, seven Embraer 175 aircraft, seven Bombardier CRJ 900 aircraft and 28 spare engines. These cash outflows were offset in part by $1.5 billion in net sales of short-term investments and $230 million of proceeds from the sale of property and equipment and sale-leaseback transactions.</w:t>
      </w:r>
    </w:p>
    <w:p>
      <w:pPr>
        <w:spacing w:after="0" w:line="12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principal investing activities in 2022 included $3.7 billion in net sales of short-term investments. These cash inflows were offset in part by $2.5 billion of capital expenditures, which primarily related to the purchase of 24 Airbus A321neo aircraft and 12 spare engines, and $321 million of equity investments, principally related to GOL.</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net cash used in financing activities was $3.2 billion and $1.8 billion in 2023 and 2022, respectively.</w:t>
      </w:r>
    </w:p>
    <w:p>
      <w:pPr>
        <w:spacing w:after="0" w:line="17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American’s principal financing activities in 2023 included $2.9 billion in net repayments of debt and finance lease obligations primarily due to scheduled debt repayments. In February 2023, American refinanced approximately $1.8 billion in aggregate principal amount of term loans outstanding under the 2013 Term Loan Facility through the combination of (i) issuing $750 million in aggregate principal amount of the 7.25% Senior Secured Notes and (ii) extending the maturity of $ 1.0 billion in term loans under the 2013 Term Loan Facility. In December 2023, American issued $1.0 billion aggregate principal amount of the 8.50% Senior Secured Notes and entered into the 2023 Term Loan Facility in an aggregate principal amount of $1.1 billion. The net proceeds of the 8.50% Senior Secured Notes, together with net proceeds from borrowings under the 2023 Term Loan Facility and cash on hand, were used to redeem all of the outstanding 11.75% Senior Secured Notes. In addition, American borrowed $1.1 billion in connection with the financing of certain aircraft and repurchased $539 million of secured notes in the open market.</w:t>
      </w:r>
    </w:p>
    <w:p>
      <w:pPr>
        <w:spacing w:after="0" w:line="13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American’s principal financing activities in 2022 included $3.0 billion in repayments of debt and finance lease obligations, consisting of $1.8 billion of scheduled debt repayments and the $ 1.2 billion prepayment of the December 2016 Term Loan Facility. These cash outflows were offset in part by $ 1.1 billion of long-term debt proceeds, consisting of $866 million from the issuance of equipment notes related to EETCs and $205 million in connection with the financing of certain aircraft.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9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For further information regarding our commitments, see the Notes to AAG’s Consolidated Financial Statements in Part II, Item 8A and the Notes to American’s Consolidated Financial Statements in Part II, Item 8B at the referenced footnotes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AAG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American</w:t>
            </w:r>
          </w:p>
        </w:tc>
      </w:tr>
      <w:tr>
        <w:trPr>
          <w:trHeight w:val="224"/>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Note 4</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Note 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Leases</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Note 5</w:t>
            </w:r>
          </w:p>
        </w:tc>
        <w:tc>
          <w:tcPr>
            <w:tcW w:w="1560" w:type="dxa"/>
            <w:vAlign w:val="bottom"/>
          </w:tcPr>
          <w:p>
            <w:pPr>
              <w:jc w:val="center"/>
              <w:spacing w:after="0"/>
              <w:rPr>
                <w:sz w:val="20"/>
                <w:szCs w:val="20"/>
                <w:color w:val="auto"/>
              </w:rPr>
            </w:pPr>
            <w:r>
              <w:rPr>
                <w:rFonts w:ascii="Arial" w:cs="Arial" w:eastAsia="Arial" w:hAnsi="Arial"/>
                <w:sz w:val="18"/>
                <w:szCs w:val="18"/>
                <w:color w:val="auto"/>
                <w:w w:val="97"/>
              </w:rPr>
              <w:t>Note 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 Plans</w:t>
            </w:r>
          </w:p>
        </w:tc>
        <w:tc>
          <w:tcPr>
            <w:tcW w:w="17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7"/>
              </w:rPr>
              <w:t>Note 9</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Note 8</w:t>
            </w:r>
          </w:p>
        </w:tc>
      </w:tr>
      <w:tr>
        <w:trPr>
          <w:trHeight w:val="239"/>
        </w:trPr>
        <w:tc>
          <w:tcPr>
            <w:tcW w:w="7980" w:type="dxa"/>
            <w:vAlign w:val="bottom"/>
          </w:tcPr>
          <w:p>
            <w:pPr>
              <w:ind w:left="20"/>
              <w:spacing w:after="0"/>
              <w:rPr>
                <w:sz w:val="20"/>
                <w:szCs w:val="20"/>
                <w:color w:val="auto"/>
              </w:rPr>
            </w:pPr>
            <w:r>
              <w:rPr>
                <w:rFonts w:ascii="Arial" w:cs="Arial" w:eastAsia="Arial" w:hAnsi="Arial"/>
                <w:sz w:val="18"/>
                <w:szCs w:val="18"/>
                <w:color w:val="auto"/>
              </w:rPr>
              <w:t>Commitments, Contingencies and Guarantees</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Note 11</w:t>
            </w:r>
          </w:p>
        </w:tc>
        <w:tc>
          <w:tcPr>
            <w:tcW w:w="1560" w:type="dxa"/>
            <w:vAlign w:val="bottom"/>
          </w:tcPr>
          <w:p>
            <w:pPr>
              <w:jc w:val="center"/>
              <w:spacing w:after="0"/>
              <w:rPr>
                <w:sz w:val="20"/>
                <w:szCs w:val="20"/>
                <w:color w:val="auto"/>
              </w:rPr>
            </w:pPr>
            <w:r>
              <w:rPr>
                <w:rFonts w:ascii="Arial" w:cs="Arial" w:eastAsia="Arial" w:hAnsi="Arial"/>
                <w:sz w:val="18"/>
                <w:szCs w:val="18"/>
                <w:color w:val="auto"/>
              </w:rPr>
              <w:t>Note 10</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We have no off-balance sheet arrangements of the types described in the first three categories above that we believe may have a material current or future effect on financial condition, liquidity or results of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Pass-Through Trusts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 currently has 308 owned aircraft and 60 owned spare aircraft engines, which in each case were financed with EETCs issued by pass-through trusts. These trusts are off-balance sheet entities, the primary purpose of which is to finance the acquisition of flight equipment or to permit issuance of debt backed by existing flight equipment. In the case of aircraft EETCs,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Similarly, in the case of the spare engine EETCs, the trusts allow American to use its existing pool of spare engines to raise financing under a single facility. The trusts have also been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2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Each trust covers a set number of aircraft or spare engines scheduled to be delivered, financed or refinanced upon the issuance of the EETC or within a specific period of time thereafter. At the time of each covered aircraft or spare engine financing, the relevant trust used the proceeds from the issuance of the EETC (which may have been available at the time of issuance thereof or held in escrow until financing of the applicable aircraft following its delivery) to purchase equipment notes relating to the financed aircraft or engines. The equipment notes are issued, at American’s election, in connection with a mortgage financing of the aircraft or spare engines. The equipment notes are secured by a security interest in the aircraft or engines, as applicable. The pass-through trust certificates are not direct obligations of, nor are they guaranteed by, AAG or American. However, the equipment notes issued to the trusts are direct obligations of American and, in certain instances, have been guaranteed by AAG. As of December 31, 2023, $7.7 billion associated with these mortgage financings is reflected as debt in the accompanying consolidated balance sheet.</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Letters of Credit and Other</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provide financial assurance, such as letters of credit and surety bonds, primarily to support projected workers’ compensation obligations and airport commitments. As of December 31, 2023, we had $318 million of letters of credit and surety bonds securing various obligations, of which $94 million is collateralized with our restricted cash. The letters of credit and surety bonds that are subject to expiration will expire on various dates through 2028.</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following table provides details of our estimated material cash requirements from contractual obligations as of December 31, 2023 (in millions). The table does not include commitments that are contingent on events or other factors that are uncertain or unknown at this time and is subject to other conventions as set forth in the applicable accompanying footnotes.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2029 and</w:t>
            </w:r>
          </w:p>
        </w:tc>
        <w:tc>
          <w:tcPr>
            <w:tcW w:w="200" w:type="dxa"/>
            <w:vAlign w:val="bottom"/>
          </w:tcPr>
          <w:p>
            <w:pPr>
              <w:spacing w:after="0"/>
              <w:rPr>
                <w:sz w:val="12"/>
                <w:szCs w:val="12"/>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tcBorders>
            <w:shd w:val="clear" w:color="auto" w:fill="CCEEFF"/>
          </w:tcPr>
          <w:p>
            <w:pPr>
              <w:ind w:left="20"/>
              <w:spacing w:after="0" w:line="209" w:lineRule="exact"/>
              <w:rPr>
                <w:sz w:val="20"/>
                <w:szCs w:val="20"/>
                <w:color w:val="auto"/>
              </w:rPr>
            </w:pPr>
            <w:r>
              <w:rPr>
                <w:rFonts w:ascii="Arial" w:cs="Arial" w:eastAsia="Arial" w:hAnsi="Arial"/>
                <w:sz w:val="18"/>
                <w:szCs w:val="18"/>
                <w:i w:val="1"/>
                <w:iCs w:val="1"/>
                <w:color w:val="auto"/>
              </w:rPr>
              <w:t xml:space="preserve">American </w:t>
            </w:r>
            <w:r>
              <w:rPr>
                <w:rFonts w:ascii="Arial" w:cs="Arial" w:eastAsia="Arial" w:hAnsi="Arial"/>
                <w:sz w:val="23"/>
                <w:szCs w:val="23"/>
                <w:i w:val="1"/>
                <w:iCs w:val="1"/>
                <w:color w:val="auto"/>
                <w:vertAlign w:val="superscript"/>
              </w:rPr>
              <w:t>(a)</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(b), (d)</w:t>
            </w:r>
            <w:r>
              <w:rPr>
                <w:rFonts w:ascii="Arial" w:cs="Arial" w:eastAsia="Arial" w:hAnsi="Arial"/>
                <w:sz w:val="18"/>
                <w:szCs w:val="18"/>
                <w:color w:val="auto"/>
              </w:rPr>
              <w:t xml:space="preserve"> (See Note 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27,526</w:t>
            </w: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(c), (d)</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 (See Note 4)</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line="175" w:lineRule="exact"/>
              <w:rPr>
                <w:sz w:val="20"/>
                <w:szCs w:val="20"/>
                <w:color w:val="auto"/>
              </w:rPr>
            </w:pPr>
            <w:r>
              <w:rPr>
                <w:rFonts w:ascii="Arial" w:cs="Arial" w:eastAsia="Arial" w:hAnsi="Arial"/>
                <w:sz w:val="16"/>
                <w:szCs w:val="16"/>
                <w:color w:val="auto"/>
              </w:rPr>
              <w:t xml:space="preserve">Aircraft and engine purchase commitments </w:t>
            </w:r>
            <w:r>
              <w:rPr>
                <w:rFonts w:ascii="Arial" w:cs="Arial" w:eastAsia="Arial" w:hAnsi="Arial"/>
                <w:sz w:val="20"/>
                <w:szCs w:val="20"/>
                <w:color w:val="auto"/>
                <w:vertAlign w:val="superscript"/>
              </w:rPr>
              <w:t>(e)</w:t>
            </w:r>
            <w:r>
              <w:rPr>
                <w:rFonts w:ascii="Arial" w:cs="Arial" w:eastAsia="Arial" w:hAnsi="Arial"/>
                <w:sz w:val="16"/>
                <w:szCs w:val="16"/>
                <w:color w:val="auto"/>
              </w:rPr>
              <w:t xml:space="preserve"> (See</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3,725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3,580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12,307</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Note 10(a))</w:t>
            </w: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 (See Note 4)</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w:t>
            </w: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line="175" w:lineRule="exact"/>
              <w:rPr>
                <w:sz w:val="20"/>
                <w:szCs w:val="20"/>
                <w:color w:val="auto"/>
              </w:rPr>
            </w:pPr>
            <w:r>
              <w:rPr>
                <w:rFonts w:ascii="Arial" w:cs="Arial" w:eastAsia="Arial" w:hAnsi="Arial"/>
                <w:sz w:val="16"/>
                <w:szCs w:val="16"/>
                <w:color w:val="auto"/>
              </w:rPr>
              <w:t xml:space="preserve">Regional capacity purchase agreements </w:t>
            </w:r>
            <w:r>
              <w:rPr>
                <w:rFonts w:ascii="Arial" w:cs="Arial" w:eastAsia="Arial" w:hAnsi="Arial"/>
                <w:sz w:val="20"/>
                <w:szCs w:val="20"/>
                <w:color w:val="auto"/>
                <w:vertAlign w:val="superscript"/>
              </w:rPr>
              <w:t>(f)</w:t>
            </w:r>
            <w:r>
              <w:rPr>
                <w:rFonts w:ascii="Arial" w:cs="Arial" w:eastAsia="Arial" w:hAnsi="Arial"/>
                <w:sz w:val="16"/>
                <w:szCs w:val="16"/>
                <w:color w:val="auto"/>
              </w:rPr>
              <w:t xml:space="preserve"> (See</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1,702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9,230</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Note 10(b))</w:t>
            </w: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(g)</w:t>
            </w:r>
            <w:r>
              <w:rPr>
                <w:rFonts w:ascii="Arial" w:cs="Arial" w:eastAsia="Arial" w:hAnsi="Arial"/>
                <w:sz w:val="18"/>
                <w:szCs w:val="18"/>
                <w:color w:val="auto"/>
              </w:rPr>
              <w:t xml:space="preserve"> (See Note 8)</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line="176" w:lineRule="exact"/>
              <w:rPr>
                <w:sz w:val="20"/>
                <w:szCs w:val="20"/>
                <w:color w:val="auto"/>
              </w:rPr>
            </w:pPr>
            <w:r>
              <w:rPr>
                <w:rFonts w:ascii="Arial" w:cs="Arial" w:eastAsia="Arial" w:hAnsi="Arial"/>
                <w:sz w:val="18"/>
                <w:szCs w:val="18"/>
                <w:color w:val="auto"/>
              </w:rPr>
              <w:t>Retiree medical and other postretirement benefits</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(See Note 8)</w:t>
            </w: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3"/>
                <w:szCs w:val="23"/>
                <w:color w:val="auto"/>
                <w:vertAlign w:val="superscript"/>
              </w:rPr>
              <w:t>(h)</w:t>
            </w:r>
            <w:r>
              <w:rPr>
                <w:rFonts w:ascii="Arial" w:cs="Arial" w:eastAsia="Arial" w:hAnsi="Arial"/>
                <w:sz w:val="18"/>
                <w:szCs w:val="18"/>
                <w:color w:val="auto"/>
              </w:rPr>
              <w:t xml:space="preserve"> (See Note 10(a))</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9,230</w:t>
            </w:r>
          </w:p>
        </w:tc>
        <w:tc>
          <w:tcPr>
            <w:tcW w:w="0" w:type="dxa"/>
            <w:vAlign w:val="bottom"/>
          </w:tcPr>
          <w:p>
            <w:pPr>
              <w:spacing w:after="0"/>
              <w:rPr>
                <w:sz w:val="1"/>
                <w:szCs w:val="1"/>
                <w:color w:val="auto"/>
              </w:rPr>
            </w:pPr>
          </w:p>
        </w:tc>
      </w:tr>
      <w:tr>
        <w:trPr>
          <w:trHeight w:val="223"/>
        </w:trPr>
        <w:tc>
          <w:tcPr>
            <w:tcW w:w="4240" w:type="dxa"/>
            <w:vAlign w:val="bottom"/>
          </w:tcPr>
          <w:p>
            <w:pPr>
              <w:ind w:left="340"/>
              <w:spacing w:after="0"/>
              <w:rPr>
                <w:sz w:val="20"/>
                <w:szCs w:val="20"/>
                <w:color w:val="auto"/>
              </w:rPr>
            </w:pPr>
            <w:r>
              <w:rPr>
                <w:rFonts w:ascii="Arial" w:cs="Arial" w:eastAsia="Arial" w:hAnsi="Arial"/>
                <w:sz w:val="18"/>
                <w:szCs w:val="18"/>
                <w:color w:val="auto"/>
              </w:rPr>
              <w:t>Total American Contractual Obligations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16,684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14,891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14,139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9,651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8,538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14,185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78,088</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line="230" w:lineRule="exact"/>
              <w:rPr>
                <w:sz w:val="20"/>
                <w:szCs w:val="20"/>
                <w:color w:val="auto"/>
              </w:rPr>
            </w:pPr>
            <w:r>
              <w:rPr>
                <w:rFonts w:ascii="Arial" w:cs="Arial" w:eastAsia="Arial" w:hAnsi="Arial"/>
                <w:sz w:val="18"/>
                <w:szCs w:val="18"/>
                <w:i w:val="1"/>
                <w:iCs w:val="1"/>
                <w:color w:val="auto"/>
              </w:rPr>
              <w:t xml:space="preserve">AAG Parent and Other AAG Subsidiaries </w:t>
            </w:r>
            <w:r>
              <w:rPr>
                <w:rFonts w:ascii="Arial" w:cs="Arial" w:eastAsia="Arial" w:hAnsi="Arial"/>
                <w:sz w:val="23"/>
                <w:szCs w:val="23"/>
                <w:i w:val="1"/>
                <w:iCs w:val="1"/>
                <w:color w:val="auto"/>
                <w:vertAlign w:val="superscript"/>
              </w:rPr>
              <w:t>(a)</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(b)</w:t>
            </w:r>
            <w:r>
              <w:rPr>
                <w:rFonts w:ascii="Arial" w:cs="Arial" w:eastAsia="Arial" w:hAnsi="Arial"/>
                <w:sz w:val="18"/>
                <w:szCs w:val="18"/>
                <w:color w:val="auto"/>
              </w:rPr>
              <w:t xml:space="preserve"> (See Note 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(c)</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Finance lease obligations (See Note 5)</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 (See Note 5)</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(g)</w:t>
            </w:r>
            <w:r>
              <w:rPr>
                <w:rFonts w:ascii="Arial" w:cs="Arial" w:eastAsia="Arial" w:hAnsi="Arial"/>
                <w:sz w:val="18"/>
                <w:szCs w:val="18"/>
                <w:color w:val="auto"/>
              </w:rPr>
              <w:t xml:space="preserve"> (See Note 9)</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AAG Contractual 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84,622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00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31" w:lineRule="exact"/>
        <w:rPr>
          <w:sz w:val="20"/>
          <w:szCs w:val="20"/>
          <w:color w:val="auto"/>
        </w:rPr>
      </w:pPr>
    </w:p>
    <w:p>
      <w:pPr>
        <w:ind w:left="340" w:hanging="332"/>
        <w:spacing w:after="0" w:line="231"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For additional information, see the Notes to AAG’s and American’s Consolidated Financial Statements in Part II, Items 8A and 8B, respectively, referenced in the table above.</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Amounts represent contractual amounts due. Excludes $349 million and $14 million of unamortized debt discount, premium and issuance costs as of December 31, 2023 for American and AAG Parent, respectively.</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For variable-rate debt, future interest obligations are estimated using the current forward rates at December 31, 2023.</w:t>
      </w:r>
    </w:p>
    <w:p>
      <w:pPr>
        <w:spacing w:after="0" w:line="138"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Includes $7.7 billion of future principal payments and $1.0 billion of future interest payments as of December 31, 2023, related to EETCs associated with mortgage financings of certain aircraft and spare engines.</w:t>
      </w:r>
    </w:p>
    <w:p>
      <w:pPr>
        <w:spacing w:after="0" w:line="139" w:lineRule="exact"/>
        <w:rPr>
          <w:rFonts w:ascii="Arial" w:cs="Arial" w:eastAsia="Arial" w:hAnsi="Arial"/>
          <w:sz w:val="23"/>
          <w:szCs w:val="23"/>
          <w:color w:val="auto"/>
          <w:vertAlign w:val="superscript"/>
        </w:rPr>
      </w:pPr>
    </w:p>
    <w:p>
      <w:pPr>
        <w:jc w:val="both"/>
        <w:ind w:left="340" w:hanging="332"/>
        <w:spacing w:after="0" w:line="244" w:lineRule="auto"/>
        <w:tabs>
          <w:tab w:leader="none" w:pos="334"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 xml:space="preserve">See Part I, Item 2. Properties –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xml:space="preserve"> for additional information about the firm commitment aircraft delivery schedule, in particular the footnote to the table thereunder as to potential changes to such delivery schedule. Due to uncertainty surrounding the timing of delivery of certain aircraft, the amounts in the table represent our most current estimate based on contractual delivery schedules adjusted for updates and revisions to such schedules communicated to management by the applicable equipment manufacturer. However, the actual delivery schedule may differ, potentially materially, based on various potential factors including production delays by the manufacturer and regulatory concerns. Additionally, the amounts in the table exclude five Boeing 787 Family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spacing w:after="0" w:line="286" w:lineRule="auto"/>
        <w:rPr>
          <w:sz w:val="20"/>
          <w:szCs w:val="20"/>
          <w:color w:val="auto"/>
        </w:rPr>
      </w:pPr>
      <w:r>
        <w:rPr>
          <w:rFonts w:ascii="Arial" w:cs="Arial" w:eastAsia="Arial" w:hAnsi="Arial"/>
          <w:sz w:val="18"/>
          <w:szCs w:val="18"/>
          <w:color w:val="auto"/>
        </w:rPr>
        <w:t>aircraft scheduled to be delivered in 2024, for which we have obtained committed lease financing. This financing is reflected in the operating lease commitments line above.</w:t>
      </w:r>
    </w:p>
    <w:p>
      <w:pPr>
        <w:spacing w:after="0" w:line="100" w:lineRule="exact"/>
        <w:rPr>
          <w:sz w:val="20"/>
          <w:szCs w:val="20"/>
          <w:color w:val="auto"/>
        </w:rPr>
      </w:pPr>
    </w:p>
    <w:p>
      <w:pPr>
        <w:jc w:val="both"/>
        <w:ind w:left="340" w:hanging="332"/>
        <w:spacing w:after="0"/>
        <w:tabs>
          <w:tab w:leader="none" w:pos="329"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American’s actual payments could differ materially. Rental payments under operating leases for certain aircraft flown under these capacity purchase agreements are reflected in the operating lease commitments line above.</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Represents minimum pension contributions based on actuarially determined estimates as of December 31, 2023 and is based on estimated payments through 2033. In January 2024, we made $280 million of required pension contributions.</w:t>
      </w:r>
    </w:p>
    <w:p>
      <w:pPr>
        <w:spacing w:after="0" w:line="13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Includes purchase commitments for aircraft fuel, flight equipment maintenance and information technology support and excludes obligations under certain fuel offtake agreements or other agreements for which the timing of the related expenditure is uncertain, or which are subject to material contingencies, such as the construction of a production facility.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9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In light of our significant financial commitments related to, among other things, the servicing and amortization of existing debt and equipment leasing arrangements and new flight equipment,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or equity-linked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military actions, terrorism, disease outbreaks (such as the COVID-19 pandemic), natural disasters or other causes could reduce the demand for air travel, which would reduce the amount of cash generated by operations. See Part I, Item 1A. Risk Factors – </w:t>
      </w:r>
      <w:r>
        <w:rPr>
          <w:rFonts w:ascii="Arial" w:cs="Arial" w:eastAsia="Arial" w:hAnsi="Arial"/>
          <w:sz w:val="18"/>
          <w:szCs w:val="18"/>
          <w:i w:val="1"/>
          <w:iCs w:val="1"/>
          <w:color w:val="auto"/>
        </w:rPr>
        <w:t>“Downturns in economic conditions could adversely affect our business”</w:t>
      </w:r>
      <w:r>
        <w:rPr>
          <w:rFonts w:ascii="Arial" w:cs="Arial" w:eastAsia="Arial" w:hAnsi="Arial"/>
          <w:sz w:val="18"/>
          <w:szCs w:val="18"/>
          <w:color w:val="auto"/>
        </w:rPr>
        <w:t xml:space="preserve"> for additional discussion. An increase in costs, either due to an increase in borrowing costs caused by a reduction in credit ratings or a general increase in interest rates, or due to an increase in the cost of fuel, maintenance, aircraft, aircraft engines or parts,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 See Note 4 to AAG’s Consolidated Financial Statements in Part II, Item 8A and Note 3 to American’s Consolidated Financial Statements in Part II, Item 8B for information regarding our financing arrangements.</w:t>
      </w:r>
    </w:p>
    <w:p>
      <w:pPr>
        <w:spacing w:after="0" w:line="13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 and the amounts involved may be material.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See Note 1 to each of AAG’s and American’s Consolidated Financial Statements in Part II, Items 8A and 8B, respectively, for information regarding the basis of presentation.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We believe our estimates and assumptions are reasonable; however, actual results could differ from those estimates. Critical accounting policies are defined as those that are reflective of significant judgments and uncertainties and could potentially result in materially different results under different assumptions and conditions. We have identified the following critical accounting policies that impact the preparation of our consolidated financial statements. See the “</w:t>
      </w:r>
      <w:r>
        <w:rPr>
          <w:rFonts w:ascii="Arial" w:cs="Arial" w:eastAsia="Arial" w:hAnsi="Arial"/>
          <w:sz w:val="18"/>
          <w:szCs w:val="18"/>
          <w:i w:val="1"/>
          <w:iCs w:val="1"/>
          <w:color w:val="auto"/>
        </w:rPr>
        <w:t>Basis of Presentation and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included in Note 1 to each of AAG’s and American’s Consolidated Financial Statements in Part II, Items 8A and 8B, respectively,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the application of these estimates and other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Passenger Revenue</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recognize all revenues generated from transportation on American and our regional flights operated under the brand name American Eagle, including associated baggage fees and other inflight services, as passenger revenue when transportation is provided. Ticket and other related sales for transportation that has not yet been provided are initially deferred and recorded as air traffic liability on our consolidated balance sheets. The air traffic liability principally represents tickets sold for future travel on American and partner airlines.</w:t>
      </w:r>
    </w:p>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contract duration of passenger tickets is generally one year. The majority of tickets sold are nonrefundable. A small percentage of tickets, some of which are partially used tickets, expire unused. The estimate for tickets expected to expire unused is generally based on an analysis of our historical data and other current applicable factors such as policy changes. We have consistently applied this accounting method to estimate and recognize revenue from unused tickets at the date of travel. This estimate is periodically evaluated based on subsequent activity to validate its accuracy. Any adjustments resulting from periodic evaluations of the estimated air traffic liability are included in passenger revenue during the period in which the evaluations are completed.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Loyalty Revenue</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We currently operate the loyalty program, AAdvantage.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our co-branded credit cards,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hotels and car rental companies. Mileage credits can be redeemed for travel on American and other participating partner airlines, as well as non-air travel awards such as hotels and rental cars. For mileage credits earned by AAdvantage program members, we apply the deferred revenue method.</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Mileage credits earned through travel</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For mileage credits earned through travel, we apply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cash fares as those used to settle award redemptions. The estimated selling price of mileage credits is adjusted for an estimate of mileage credits that will not be redeemed using a statistical model based on historical redemption patterns to develop an estimate of the likelihood of future redemption. For the year ended December 31, 2023, a hypothetical 10% increase in the estimated selling price of mileage credits would have decreased revenues by approximately $128 million as a result of additional amounts deferred from passenger ticket sales to be recognized in future periods.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Mileage credits sold to co-branded credit cards and other partners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sell mileage credits to participating airline partners and non-airline business partners, including our co-branded credit card partners, under contracts with remaining terms generally from one to six years as of December 31, 2023. Consideration received from the sale of mileage credits is variable and payment terms typically are within 30 days subsequent to the month of mileage sale. Sales of mileage credits to non-airline business partners are comprised of two components, transportation and marketing. We allocate the consideration received from these sales of mileage credits based on the relative selling price of each product or service delivered.</w:t>
      </w:r>
    </w:p>
    <w:p>
      <w:pPr>
        <w:spacing w:after="0" w:line="1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Our most significant mileage credit partner agreements are our co-branded credit card agreements with Citi and Barclaycard US. We identified two revenue elements in these co-branded credit card agreements: the transportation component and the marketing component.</w:t>
      </w:r>
    </w:p>
    <w:p>
      <w:pPr>
        <w:spacing w:after="0" w:line="100"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marketing component includes the use of intellectual property, including the American brand and access to loyalty program member lists, which is the predominant element in these agreements, as well as advertising and other travel-related benefits. We recognize the marketing component in other revenue in the period of the mileage credit sale following the sales-based royalty method.</w:t>
      </w:r>
    </w:p>
    <w:p>
      <w:pPr>
        <w:spacing w:after="0" w:line="11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For the portion of our outstanding mileage credits that we estimate will not be redeemed, we recognize the associated value proportionally as the remaining mileage credits are redeemed. Our estimates use a statistical model based on historical redemption patterns to develop an estimate of the likelihood of future redemption. For the year ended December 31, 2023, a hypothetical 10% increase in our estimate of mileage credits not expected to be redeemed would have increased revenues by approximately $127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Pensions and Retiree Medical and Other Postretirement Benefits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recognize the funded status (i.e., the difference between the fair value of plan assets and the projected benefit obligations) of our pension and retiree medical and other postretirement benefits plans on the consolidated balance sheets with a corresponding adjustment to accumulated other comprehensive income (loss).</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pension and retiree medical and other postretirement benefits costs and liabilities are calculated using various actuarial assumptions and methodologies. We use certain assumptions including, but not limited to, the selection of the: (1) discount rate and (2) expected return on plan assets (as discussed below). These assumptions as of December 31 were: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jc w:val="right"/>
              <w:ind w:right="655"/>
              <w:spacing w:after="0"/>
              <w:rPr>
                <w:sz w:val="20"/>
                <w:szCs w:val="20"/>
                <w:color w:val="auto"/>
              </w:rPr>
            </w:pPr>
            <w:r>
              <w:rPr>
                <w:rFonts w:ascii="Arial" w:cs="Arial" w:eastAsia="Arial" w:hAnsi="Arial"/>
                <w:sz w:val="14"/>
                <w:szCs w:val="14"/>
                <w:b w:val="1"/>
                <w:bCs w:val="1"/>
                <w:color w:val="auto"/>
              </w:rPr>
              <w:t>2022</w:t>
            </w:r>
          </w:p>
        </w:tc>
      </w:tr>
      <w:tr>
        <w:trPr>
          <w:trHeight w:val="224"/>
        </w:trPr>
        <w:tc>
          <w:tcPr>
            <w:tcW w:w="75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Pension weighted average discount rate </w:t>
            </w:r>
            <w:r>
              <w:rPr>
                <w:rFonts w:ascii="Arial" w:cs="Arial" w:eastAsia="Arial" w:hAnsi="Arial"/>
                <w:sz w:val="23"/>
                <w:szCs w:val="23"/>
                <w:color w:val="auto"/>
                <w:vertAlign w:val="superscript"/>
              </w:rPr>
              <w:t>(1)</w:t>
            </w:r>
          </w:p>
        </w:tc>
        <w:tc>
          <w:tcPr>
            <w:tcW w:w="1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29"/>
        </w:trPr>
        <w:tc>
          <w:tcPr>
            <w:tcW w:w="87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Retiree medical and other postretirement benefits weighted average discount rate </w:t>
            </w:r>
            <w:r>
              <w:rPr>
                <w:rFonts w:ascii="Arial" w:cs="Arial" w:eastAsia="Arial" w:hAnsi="Arial"/>
                <w:sz w:val="23"/>
                <w:szCs w:val="23"/>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29"/>
        </w:trPr>
        <w:tc>
          <w:tcPr>
            <w:tcW w:w="87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Expected rate of return on plan assets </w:t>
            </w:r>
            <w:r>
              <w:rPr>
                <w:rFonts w:ascii="Arial" w:cs="Arial" w:eastAsia="Arial" w:hAnsi="Arial"/>
                <w:sz w:val="23"/>
                <w:szCs w:val="23"/>
                <w:color w:val="auto"/>
                <w:vertAlign w:val="superscript"/>
              </w:rPr>
              <w:t>(2)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100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line="242" w:lineRule="auto"/>
        <w:tabs>
          <w:tab w:leader="none" w:pos="33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When establishing the discount rate to measure our obligations, we match high quality corporate bonds available in the marketplace whose cash flows approximate our projected benefit disbursements. Lowering the discount rate by 50 basis points as of December 31, 2023 would increase our pension and retiree medical and other postretirement benefits obligations by approximately $740 million and $40 million, respectively, and decrease estimated 2024 pension and retiree medical and other postretirement benefits expense by approximately $5 million and $1 million, respectively.</w:t>
      </w:r>
    </w:p>
    <w:p>
      <w:pPr>
        <w:spacing w:after="0" w:line="139" w:lineRule="exact"/>
        <w:rPr>
          <w:rFonts w:ascii="Arial" w:cs="Arial" w:eastAsia="Arial" w:hAnsi="Arial"/>
          <w:sz w:val="23"/>
          <w:szCs w:val="23"/>
          <w:color w:val="auto"/>
          <w:vertAlign w:val="superscript"/>
        </w:rPr>
      </w:pPr>
    </w:p>
    <w:p>
      <w:pPr>
        <w:jc w:val="both"/>
        <w:ind w:left="340" w:hanging="332"/>
        <w:spacing w:after="0" w:line="260" w:lineRule="auto"/>
        <w:tabs>
          <w:tab w:leader="none" w:pos="334" w:val="left"/>
        </w:tabs>
        <w:numPr>
          <w:ilvl w:val="0"/>
          <w:numId w:val="35"/>
        </w:numPr>
        <w:rPr>
          <w:rFonts w:ascii="Arial" w:cs="Arial" w:eastAsia="Arial" w:hAnsi="Arial"/>
          <w:sz w:val="22"/>
          <w:szCs w:val="22"/>
          <w:color w:val="auto"/>
          <w:vertAlign w:val="superscript"/>
        </w:rPr>
      </w:pPr>
      <w:r>
        <w:rPr>
          <w:rFonts w:ascii="Arial" w:cs="Arial" w:eastAsia="Arial" w:hAnsi="Arial"/>
          <w:sz w:val="17"/>
          <w:szCs w:val="17"/>
          <w:color w:val="auto"/>
        </w:rPr>
        <w:t>The expected rate of return on plan assets is based upon an evaluation of our historical trends and experience, taking into account current and expected market conditions and our target asset allocation of 30% U.S. fixed income securities, 24% U.S. stocks, 24% private investments, 16% developed international stocks and 6% emerging market stocks. The expected rate of return on plan assets component of our net periodic benefit cost is calculated based on the fair value of plan assets and our target asset allocation. Lowering the expected long-term rate of return on plan assets by 50 basis points as of December 31, 2023 would increase estimated 2024 pension expense and retiree medical and other postretirement benefits expense by approximately $60 million and $1 million,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Annually, we review and revise certain economic and demographic assumptions including the pension and retiree medical and other postretirement benefits discount rates and health care costs. The net effect of changing these assumptions for the pension plans resulted in an increase of $546 million in the projected benefit obligation at December 31, 2023. The net effect of changing these assumptions for retiree medical and other postretirement benefits plans resulted in an increase of $89 million in the accumulated postretirement benefit obligation at December 31, 2023.</w:t>
      </w:r>
    </w:p>
    <w:p>
      <w:pPr>
        <w:spacing w:after="0" w:line="1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See Note 9 to AAG’s Consolidated Financial Statements in Part II, Item 8A and Note 8 to American’s Consolidated Financial Statements in Part II, Item 8B for additional information regarding our employee benefit plans.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We provide a valuation allowance for our deferred tax assets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 There can be no assurance that an additional valuation allowance on our net deferred tax assets will not be required. Such valuation allowance could be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Standards Update (ASU) 2023-07: Segment Reporting (Topic 280) Improvements to Reportable Segment Disclosures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This standard improves reportable segment disclosure requirements, primarily through enhanced disclosures about significant segment expenses. The amendments in this update are effective for fiscal years beginning after December 15, 2023 and interim periods within fiscal years beginning after December 15, 2024, and early adoption is permitted. We are currently evaluating how the adoption of this standard will impact our reportable segment disclosures.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ASU 2023-09: Income Taxes (Topic 740) Improvements to Income Tax Disclosures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This standard enhances transparency of income tax information through improvements to income tax disclosures primarily related to the rate reconciliation and income taxes paid information, as well as improvements to the effectiveness and comparability of other income tax disclosures. The amendments in this update are effective for annual periods beginning after December 15, 2024, and early adoption is permitted. We are currently evaluating how the adoption of this standard will impact our income tax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risk inherent in our market risk sensitive instruments and positions is the potential loss arising from adverse changes in the price of aircraft fuel, foreign currency exchange rates and interest rates as discussed below. The sensitivity analyses presented do not consider the effects that such adverse changes may have on overall economic activity, nor do they consider additional actions we may take to mitigate our exposure to such changes. Therefore, actual results may differ.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Because of the amount of fuel needed to operate our business, even a relatively small increase or decrease in the price of aircraft fuel can have a material effect on our operating results and liquidity. Market prices for aircraft fuel have fluctuated substantially over the past several years and prices continue to be highly volatile, with market spot prices ranging from a low of approximately $1.32 per gallon to a high of approximately $4.40 per gallon during the period from January 1, 2021 to December 31, 2023.</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December 31, 2023, we did not have any fuel hedging contracts outstanding to hedge our fuel consumption. Our current policy is not to enter into transactions to hedge our fuel consumption, although we review this policy from time to time based on market conditions and other factors. As such, and assuming we do not enter into any future transactions to hedge our fuel consumption, we will continue to be fully exposed to fluctuations in fuel prices. Based on our 2024 forecasted fuel consumption, we estimate that a one cent per gallon increase in the price of aircraft fuel would increase our 2024 annual fuel expense by approximately $45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transactions. Our largest exposure comes from the Euro, Canadian dollar, British pound sterling and various Latin American currencies (primarily the Brazilian real). We do not currently have a foreign currency hedge program. We estimate a uniform 10% strengthening in the value of the U.S. dollar from 2023 levels relative to each of the currencies in which we have foreign currency exposure would have resulted in a decrease in pre-tax income of approximately $155 million for the year ended December 31, 2023.</w:t>
      </w:r>
    </w:p>
    <w:p>
      <w:pPr>
        <w:spacing w:after="0" w:line="1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88"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interest-bearing investments.</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largest exposure with respect to variable-rate debt comes from changes in the relevant benchmark rate underlying such debt financings, principally SOFR. We had variable-rate debt instruments representing 30% of our total long-term debt at December 31, 2023. We currently do not have an interest rate hedge program to hedge our exposure to floating interest rates on our variable-rate debt obligations. If annual interest rates increase 100 basis points, based on our December 31, 2023 variable-rate debt and short-term investments balances, annual interest expense on variable-rate debt would increase by approximately $ 100 million and annual interest income on short-term investments would increase by approximately $80 million. Additionally, the fair value of fixed-rate debt would have decreased by approximately $700 million for AAG and $460 million for American.</w:t>
      </w:r>
    </w:p>
    <w:p>
      <w:pPr>
        <w:spacing w:after="0" w:line="12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In connection with the phase-out of LIBOR as a reference rate in June 2023, the U.S. Federal Reserve, in conjunction with the Alternative Reference Rates Committee, has chosen SOFR, and specifically Term SOFR, as the recommended risk-free reference rate for the U.S. (calculated based on repurchase agreements backed by treasury securities). Prior to the discontinuation of LIBOR, we amended substantially all of our LIBOR-based financing arrangements to transition them to successor rates, primarily Term SOFR. We cannot predict the extent to which Term SOFR will gain widespread acceptance as a replacement for LIBOR, the consequences of the replacement of LIBOR on financial markets generally or on our business, financial condition or results of operations specifically, and our transition to successor rates could cause the amount of interest payable on our long-term debt to be different or higher than expected.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40" w:right="820" w:hanging="3134"/>
        <w:spacing w:after="0" w:line="437" w:lineRule="auto"/>
        <w:rPr>
          <w:sz w:val="20"/>
          <w:szCs w:val="20"/>
          <w:color w:val="auto"/>
        </w:rPr>
      </w:pPr>
      <w:r>
        <w:rPr>
          <w:rFonts w:ascii="Arial" w:cs="Arial" w:eastAsia="Arial" w:hAnsi="Arial"/>
          <w:sz w:val="18"/>
          <w:szCs w:val="18"/>
          <w:b w:val="1"/>
          <w:bCs w:val="1"/>
          <w:color w:val="auto"/>
        </w:rPr>
        <w:t>ITEM 8A. CONSOLIDATED FINANCIAL STATEMENTS AND SUPPLEMENTARY DATA OF AMERICAN AIRLINES GROUP INC. Report of Independent Registered Public Accounting Firm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American Airlines Group Inc. and subsidiaries (the Company) as of December 31, 2023 and 2022, the related consolidated statements of operations, comprehensive income (loss), cash flows, and stockholders’ equity (deficit)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21,</w:t>
      </w:r>
      <w:r>
        <w:rPr>
          <w:rFonts w:ascii="Arial" w:cs="Arial" w:eastAsia="Arial" w:hAnsi="Arial"/>
          <w:sz w:val="18"/>
          <w:szCs w:val="18"/>
          <w:i w:val="1"/>
          <w:iCs w:val="1"/>
          <w:color w:val="auto"/>
        </w:rPr>
        <w:t xml:space="preserve"> </w:t>
      </w:r>
      <w:r>
        <w:rPr>
          <w:rFonts w:ascii="Arial" w:cs="Arial" w:eastAsia="Arial" w:hAnsi="Arial"/>
          <w:sz w:val="18"/>
          <w:szCs w:val="18"/>
          <w:color w:val="auto"/>
        </w:rPr>
        <w:t>2024 expressed an unqualified opinion on the effectiveness of the Company’s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Sufficiency of audit evidence over the realizability of tax net operating loss and other carryforwards</w:t>
      </w:r>
    </w:p>
    <w:p>
      <w:pPr>
        <w:spacing w:after="0" w:line="8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As discussed in Notes 1(j) and 6 to the consolidated financial statements, the Company had $ 4.2 billion of tax net operating loss and other carryforwards, which are recorded as deferred tax assets at December 31, 2023. Deferred tax assets are recognized related to tax net operating loss and other carryforwards that will reduce future taxable income. The Company provides a valuation allowance for deferred tax assets when it is more likely than not that some portion, or all of the deferred tax assets, will not be realized. In evaluating the need for a valuation allowance, management considers all available positive and negative evidence.</w:t>
      </w:r>
    </w:p>
    <w:p>
      <w:pPr>
        <w:spacing w:after="0" w:line="124"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We identified the evaluation of the sufficiency of audit evidence over the realizability of the federal tax net operating loss and other carryforwards as a critical audit matter. Evaluating the sufficiency of audit evidence required subjective auditor judgment in order to assess the extent of procedures performed in assessing the realizability of the federal tax net operating loss and other carryforwards.</w:t>
      </w:r>
    </w:p>
    <w:p>
      <w:pPr>
        <w:spacing w:after="0" w:line="11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deferred tax asset valuation allowance process, including controls related to the realizability of the federal tax net operating loss and other carryforwards. We evaluated positive and negative evidence used in assessing whether the federal tax net operating loss and other carryforwards were more likely than not to be realized in the future. We evaluated the reasonableness of management’s projections of future profitability considering historical profitability of the Company, and consistency with industry data. We involved tax professionals with specialized skills and knowledge, who assisted in evaluating the application of tax law. We assessed the sufficiency of audit evidence obtained over the realizability of the federal tax net operating loss and other carryforwards by evaluating the cumulative results of the audit procedures.</w:t>
      </w:r>
    </w:p>
    <w:p>
      <w:pPr>
        <w:spacing w:after="0" w:line="128"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/s/</w:t>
        <w:tab/>
        <w:t>KPMG LLP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Passenger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48,512</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44,568</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26,063</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Cargo</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29"/>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w:t>
            </w:r>
          </w:p>
        </w:tc>
      </w:tr>
      <w:tr>
        <w:trPr>
          <w:trHeight w:val="223"/>
        </w:trPr>
        <w:tc>
          <w:tcPr>
            <w:tcW w:w="6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operating revenues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29,882</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11,817</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Maintenance, materials and repairs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1,979</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rent and landing fees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Aircraft rent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1,425</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2,019</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 items,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r>
      <w:tr>
        <w:trPr>
          <w:trHeight w:val="229"/>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w:t>
            </w:r>
          </w:p>
        </w:tc>
      </w:tr>
      <w:tr>
        <w:trPr>
          <w:trHeight w:val="223"/>
        </w:trPr>
        <w:tc>
          <w:tcPr>
            <w:tcW w:w="6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30,941</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r>
      <w:tr>
        <w:trPr>
          <w:trHeight w:val="229"/>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r>
      <w:tr>
        <w:trPr>
          <w:trHeight w:val="223"/>
        </w:trPr>
        <w:tc>
          <w:tcPr>
            <w:tcW w:w="6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nonoperating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(2,548)</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 (benefit)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6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Earnings (loss) per common share: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653,612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650,345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644,015</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644,015</w:t>
            </w: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2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retiree medical and other postretirement benefits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r>
      <w:tr>
        <w:trPr>
          <w:trHeight w:val="229"/>
        </w:trPr>
        <w:tc>
          <w:tcPr>
            <w:tcW w:w="6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Investments</w:t>
            </w: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r>
      <w:tr>
        <w:trPr>
          <w:trHeight w:val="20"/>
        </w:trPr>
        <w:tc>
          <w:tcPr>
            <w:tcW w:w="6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w:t>
            </w: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98"/>
        </w:trPr>
        <w:tc>
          <w:tcPr>
            <w:tcW w:w="8040" w:type="dxa"/>
            <w:vAlign w:val="bottom"/>
          </w:tcPr>
          <w:p>
            <w:pPr>
              <w:ind w:left="220"/>
              <w:spacing w:after="0"/>
              <w:rPr>
                <w:sz w:val="20"/>
                <w:szCs w:val="20"/>
                <w:color w:val="auto"/>
              </w:rPr>
            </w:pPr>
            <w:r>
              <w:rPr>
                <w:rFonts w:ascii="Arial" w:cs="Arial" w:eastAsia="Arial" w:hAnsi="Arial"/>
                <w:sz w:val="14"/>
                <w:szCs w:val="14"/>
                <w:color w:val="auto"/>
              </w:rPr>
              <w:t>Short-term investments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8,525</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 and short-term investments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198"/>
        </w:trPr>
        <w:tc>
          <w:tcPr>
            <w:tcW w:w="804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2,138</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Aircraft fuel, spare parts and supplies, net</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2,279</w:t>
            </w:r>
          </w:p>
        </w:tc>
        <w:tc>
          <w:tcPr>
            <w:tcW w:w="0" w:type="dxa"/>
            <w:vAlign w:val="bottom"/>
          </w:tcPr>
          <w:p>
            <w:pPr>
              <w:spacing w:after="0"/>
              <w:rPr>
                <w:sz w:val="1"/>
                <w:szCs w:val="1"/>
                <w:color w:val="auto"/>
              </w:rPr>
            </w:pPr>
          </w:p>
        </w:tc>
      </w:tr>
      <w:tr>
        <w:trPr>
          <w:trHeight w:val="198"/>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Prepaid expenses and other</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200"/>
        </w:trPr>
        <w:tc>
          <w:tcPr>
            <w:tcW w:w="80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current assets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15,269</w:t>
            </w:r>
          </w:p>
        </w:tc>
        <w:tc>
          <w:tcPr>
            <w:tcW w:w="0" w:type="dxa"/>
            <w:vAlign w:val="bottom"/>
          </w:tcPr>
          <w:p>
            <w:pPr>
              <w:spacing w:after="0"/>
              <w:rPr>
                <w:sz w:val="1"/>
                <w:szCs w:val="1"/>
                <w:color w:val="auto"/>
              </w:rPr>
            </w:pPr>
          </w:p>
        </w:tc>
      </w:tr>
      <w:tr>
        <w:trPr>
          <w:trHeight w:val="201"/>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Operating property and equipment</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Flight equipment</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41,794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39,703</w:t>
            </w:r>
          </w:p>
        </w:tc>
        <w:tc>
          <w:tcPr>
            <w:tcW w:w="0" w:type="dxa"/>
            <w:vAlign w:val="bottom"/>
          </w:tcPr>
          <w:p>
            <w:pPr>
              <w:spacing w:after="0"/>
              <w:rPr>
                <w:sz w:val="1"/>
                <w:szCs w:val="1"/>
                <w:color w:val="auto"/>
              </w:rPr>
            </w:pPr>
          </w:p>
        </w:tc>
      </w:tr>
      <w:tr>
        <w:trPr>
          <w:trHeight w:val="198"/>
        </w:trPr>
        <w:tc>
          <w:tcPr>
            <w:tcW w:w="8040" w:type="dxa"/>
            <w:vAlign w:val="bottom"/>
          </w:tcPr>
          <w:p>
            <w:pPr>
              <w:ind w:left="220"/>
              <w:spacing w:after="0"/>
              <w:rPr>
                <w:sz w:val="20"/>
                <w:szCs w:val="20"/>
                <w:color w:val="auto"/>
              </w:rPr>
            </w:pPr>
            <w:r>
              <w:rPr>
                <w:rFonts w:ascii="Arial" w:cs="Arial" w:eastAsia="Arial" w:hAnsi="Arial"/>
                <w:sz w:val="14"/>
                <w:szCs w:val="14"/>
                <w:color w:val="auto"/>
              </w:rPr>
              <w:t>Ground property and equipment</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10,307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9,913</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Equipment purchase deposits</w:t>
            </w:r>
          </w:p>
        </w:tc>
        <w:tc>
          <w:tcPr>
            <w:tcW w:w="9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192"/>
        </w:trPr>
        <w:tc>
          <w:tcPr>
            <w:tcW w:w="8040" w:type="dxa"/>
            <w:vAlign w:val="bottom"/>
          </w:tcPr>
          <w:p>
            <w:pPr>
              <w:ind w:left="480"/>
              <w:spacing w:after="0"/>
              <w:rPr>
                <w:sz w:val="20"/>
                <w:szCs w:val="20"/>
                <w:color w:val="auto"/>
              </w:rPr>
            </w:pPr>
            <w:r>
              <w:rPr>
                <w:rFonts w:ascii="Arial" w:cs="Arial" w:eastAsia="Arial" w:hAnsi="Arial"/>
                <w:sz w:val="14"/>
                <w:szCs w:val="14"/>
                <w:color w:val="auto"/>
              </w:rPr>
              <w:t>Total property and equipment, at cost</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52,861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50,229</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Less accumulated depreciation and amortization</w:t>
            </w:r>
          </w:p>
        </w:tc>
        <w:tc>
          <w:tcPr>
            <w:tcW w:w="9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(22,097)</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(20,029)</w:t>
            </w:r>
          </w:p>
        </w:tc>
        <w:tc>
          <w:tcPr>
            <w:tcW w:w="0" w:type="dxa"/>
            <w:vAlign w:val="bottom"/>
          </w:tcPr>
          <w:p>
            <w:pPr>
              <w:spacing w:after="0"/>
              <w:rPr>
                <w:sz w:val="1"/>
                <w:szCs w:val="1"/>
                <w:color w:val="auto"/>
              </w:rPr>
            </w:pPr>
          </w:p>
        </w:tc>
      </w:tr>
      <w:tr>
        <w:trPr>
          <w:trHeight w:val="192"/>
        </w:trPr>
        <w:tc>
          <w:tcPr>
            <w:tcW w:w="8040" w:type="dxa"/>
            <w:vAlign w:val="bottom"/>
          </w:tcPr>
          <w:p>
            <w:pPr>
              <w:ind w:left="480"/>
              <w:spacing w:after="0"/>
              <w:rPr>
                <w:sz w:val="20"/>
                <w:szCs w:val="20"/>
                <w:color w:val="auto"/>
              </w:rPr>
            </w:pPr>
            <w:r>
              <w:rPr>
                <w:rFonts w:ascii="Arial" w:cs="Arial" w:eastAsia="Arial" w:hAnsi="Arial"/>
                <w:sz w:val="14"/>
                <w:szCs w:val="14"/>
                <w:color w:val="auto"/>
              </w:rPr>
              <w:t>Total property and equipment, net</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30,764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30,200</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lease right-of-use assets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8,094</w:t>
            </w:r>
          </w:p>
        </w:tc>
        <w:tc>
          <w:tcPr>
            <w:tcW w:w="0" w:type="dxa"/>
            <w:vAlign w:val="bottom"/>
          </w:tcPr>
          <w:p>
            <w:pPr>
              <w:spacing w:after="0"/>
              <w:rPr>
                <w:sz w:val="1"/>
                <w:szCs w:val="1"/>
                <w:color w:val="auto"/>
              </w:rPr>
            </w:pPr>
          </w:p>
        </w:tc>
      </w:tr>
      <w:tr>
        <w:trPr>
          <w:trHeight w:val="201"/>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Other assets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Goodwill</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4,091</w:t>
            </w:r>
          </w:p>
        </w:tc>
        <w:tc>
          <w:tcPr>
            <w:tcW w:w="0" w:type="dxa"/>
            <w:vAlign w:val="bottom"/>
          </w:tcPr>
          <w:p>
            <w:pPr>
              <w:spacing w:after="0"/>
              <w:rPr>
                <w:sz w:val="1"/>
                <w:szCs w:val="1"/>
                <w:color w:val="auto"/>
              </w:rPr>
            </w:pPr>
          </w:p>
        </w:tc>
      </w:tr>
      <w:tr>
        <w:trPr>
          <w:trHeight w:val="198"/>
        </w:trPr>
        <w:tc>
          <w:tcPr>
            <w:tcW w:w="8040" w:type="dxa"/>
            <w:vAlign w:val="bottom"/>
          </w:tcPr>
          <w:p>
            <w:pPr>
              <w:ind w:left="220"/>
              <w:spacing w:after="0"/>
              <w:rPr>
                <w:sz w:val="20"/>
                <w:szCs w:val="20"/>
                <w:color w:val="auto"/>
              </w:rPr>
            </w:pPr>
            <w:r>
              <w:rPr>
                <w:rFonts w:ascii="Arial" w:cs="Arial" w:eastAsia="Arial" w:hAnsi="Arial"/>
                <w:sz w:val="14"/>
                <w:szCs w:val="14"/>
                <w:color w:val="auto"/>
              </w:rPr>
              <w:t>Intangibles, net of accumulated amortization of $834 and $827, respectively</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2,051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2,059</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 asset</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3,099</w:t>
            </w:r>
          </w:p>
        </w:tc>
        <w:tc>
          <w:tcPr>
            <w:tcW w:w="0" w:type="dxa"/>
            <w:vAlign w:val="bottom"/>
          </w:tcPr>
          <w:p>
            <w:pPr>
              <w:spacing w:after="0"/>
              <w:rPr>
                <w:sz w:val="1"/>
                <w:szCs w:val="1"/>
                <w:color w:val="auto"/>
              </w:rPr>
            </w:pPr>
          </w:p>
        </w:tc>
      </w:tr>
      <w:tr>
        <w:trPr>
          <w:trHeight w:val="198"/>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assets</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1,904</w:t>
            </w:r>
          </w:p>
        </w:tc>
        <w:tc>
          <w:tcPr>
            <w:tcW w:w="0" w:type="dxa"/>
            <w:vAlign w:val="bottom"/>
          </w:tcPr>
          <w:p>
            <w:pPr>
              <w:spacing w:after="0"/>
              <w:rPr>
                <w:sz w:val="1"/>
                <w:szCs w:val="1"/>
                <w:color w:val="auto"/>
              </w:rPr>
            </w:pPr>
          </w:p>
        </w:tc>
      </w:tr>
      <w:tr>
        <w:trPr>
          <w:trHeight w:val="196"/>
        </w:trPr>
        <w:tc>
          <w:tcPr>
            <w:tcW w:w="80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other assets</w:t>
            </w:r>
          </w:p>
        </w:tc>
        <w:tc>
          <w:tcPr>
            <w:tcW w:w="9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10,783</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11,153</w:t>
            </w:r>
          </w:p>
        </w:tc>
        <w:tc>
          <w:tcPr>
            <w:tcW w:w="0" w:type="dxa"/>
            <w:vAlign w:val="bottom"/>
          </w:tcPr>
          <w:p>
            <w:pPr>
              <w:spacing w:after="0"/>
              <w:rPr>
                <w:sz w:val="1"/>
                <w:szCs w:val="1"/>
                <w:color w:val="auto"/>
              </w:rPr>
            </w:pPr>
          </w:p>
        </w:tc>
      </w:tr>
      <w:tr>
        <w:trPr>
          <w:trHeight w:val="200"/>
        </w:trPr>
        <w:tc>
          <w:tcPr>
            <w:tcW w:w="8040" w:type="dxa"/>
            <w:vAlign w:val="bottom"/>
          </w:tcPr>
          <w:p>
            <w:pPr>
              <w:ind w:left="680"/>
              <w:spacing w:after="0"/>
              <w:rPr>
                <w:sz w:val="20"/>
                <w:szCs w:val="20"/>
                <w:color w:val="auto"/>
              </w:rPr>
            </w:pPr>
            <w:r>
              <w:rPr>
                <w:rFonts w:ascii="Arial" w:cs="Arial" w:eastAsia="Arial" w:hAnsi="Arial"/>
                <w:sz w:val="14"/>
                <w:szCs w:val="14"/>
                <w:b w:val="1"/>
                <w:bCs w:val="1"/>
                <w:color w:val="auto"/>
              </w:rPr>
              <w:t>Total assets</w:t>
            </w:r>
          </w:p>
        </w:tc>
        <w:tc>
          <w:tcPr>
            <w:tcW w:w="9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63,058</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64,716</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 (DEFICIT)</w:t>
            </w: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maturities of long-term debt and finance leases</w:t>
            </w: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w:t>
            </w:r>
          </w:p>
        </w:tc>
        <w:tc>
          <w:tcPr>
            <w:tcW w:w="0" w:type="dxa"/>
            <w:vAlign w:val="bottom"/>
          </w:tcPr>
          <w:p>
            <w:pPr>
              <w:spacing w:after="0"/>
              <w:rPr>
                <w:sz w:val="1"/>
                <w:szCs w:val="1"/>
                <w:color w:val="auto"/>
              </w:rPr>
            </w:pPr>
          </w:p>
        </w:tc>
      </w:tr>
      <w:tr>
        <w:trPr>
          <w:trHeight w:val="198"/>
        </w:trPr>
        <w:tc>
          <w:tcPr>
            <w:tcW w:w="804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2,353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2,149</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salaries and wages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1,713</w:t>
            </w:r>
          </w:p>
        </w:tc>
        <w:tc>
          <w:tcPr>
            <w:tcW w:w="0" w:type="dxa"/>
            <w:vAlign w:val="bottom"/>
          </w:tcPr>
          <w:p>
            <w:pPr>
              <w:spacing w:after="0"/>
              <w:rPr>
                <w:sz w:val="1"/>
                <w:szCs w:val="1"/>
                <w:color w:val="auto"/>
              </w:rPr>
            </w:pPr>
          </w:p>
        </w:tc>
      </w:tr>
      <w:tr>
        <w:trPr>
          <w:trHeight w:val="198"/>
        </w:trPr>
        <w:tc>
          <w:tcPr>
            <w:tcW w:w="8040" w:type="dxa"/>
            <w:vAlign w:val="bottom"/>
          </w:tcPr>
          <w:p>
            <w:pPr>
              <w:ind w:left="220"/>
              <w:spacing w:after="0"/>
              <w:rPr>
                <w:sz w:val="20"/>
                <w:szCs w:val="20"/>
                <w:color w:val="auto"/>
              </w:rPr>
            </w:pPr>
            <w:r>
              <w:rPr>
                <w:rFonts w:ascii="Arial" w:cs="Arial" w:eastAsia="Arial" w:hAnsi="Arial"/>
                <w:sz w:val="14"/>
                <w:szCs w:val="14"/>
                <w:color w:val="auto"/>
              </w:rPr>
              <w:t>Air traffic liability</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6,200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6,745</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Loyalty program liability</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3,169</w:t>
            </w:r>
          </w:p>
        </w:tc>
        <w:tc>
          <w:tcPr>
            <w:tcW w:w="0" w:type="dxa"/>
            <w:vAlign w:val="bottom"/>
          </w:tcPr>
          <w:p>
            <w:pPr>
              <w:spacing w:after="0"/>
              <w:rPr>
                <w:sz w:val="1"/>
                <w:szCs w:val="1"/>
                <w:color w:val="auto"/>
              </w:rPr>
            </w:pPr>
          </w:p>
        </w:tc>
      </w:tr>
      <w:tr>
        <w:trPr>
          <w:trHeight w:val="198"/>
        </w:trPr>
        <w:tc>
          <w:tcPr>
            <w:tcW w:w="8040" w:type="dxa"/>
            <w:vAlign w:val="bottom"/>
          </w:tcPr>
          <w:p>
            <w:pPr>
              <w:ind w:left="220"/>
              <w:spacing w:after="0"/>
              <w:rPr>
                <w:sz w:val="20"/>
                <w:szCs w:val="20"/>
                <w:color w:val="auto"/>
              </w:rPr>
            </w:pPr>
            <w:r>
              <w:rPr>
                <w:rFonts w:ascii="Arial" w:cs="Arial" w:eastAsia="Arial" w:hAnsi="Arial"/>
                <w:sz w:val="14"/>
                <w:szCs w:val="14"/>
                <w:color w:val="auto"/>
              </w:rPr>
              <w:t>Operating lease liabilities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1,309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accrued liabilities</w:t>
            </w:r>
          </w:p>
        </w:tc>
        <w:tc>
          <w:tcPr>
            <w:tcW w:w="9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2,738</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2,981</w:t>
            </w:r>
          </w:p>
        </w:tc>
        <w:tc>
          <w:tcPr>
            <w:tcW w:w="0" w:type="dxa"/>
            <w:vAlign w:val="bottom"/>
          </w:tcPr>
          <w:p>
            <w:pPr>
              <w:spacing w:after="0"/>
              <w:rPr>
                <w:sz w:val="1"/>
                <w:szCs w:val="1"/>
                <w:color w:val="auto"/>
              </w:rPr>
            </w:pPr>
          </w:p>
        </w:tc>
      </w:tr>
      <w:tr>
        <w:trPr>
          <w:trHeight w:val="192"/>
        </w:trPr>
        <w:tc>
          <w:tcPr>
            <w:tcW w:w="8040" w:type="dxa"/>
            <w:vAlign w:val="bottom"/>
          </w:tcPr>
          <w:p>
            <w:pPr>
              <w:ind w:left="480"/>
              <w:spacing w:after="0"/>
              <w:rPr>
                <w:sz w:val="20"/>
                <w:szCs w:val="20"/>
                <w:color w:val="auto"/>
              </w:rPr>
            </w:pPr>
            <w:r>
              <w:rPr>
                <w:rFonts w:ascii="Arial" w:cs="Arial" w:eastAsia="Arial" w:hAnsi="Arial"/>
                <w:sz w:val="14"/>
                <w:szCs w:val="14"/>
                <w:color w:val="auto"/>
              </w:rPr>
              <w:t>Total current liabilities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22,062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21,496</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040" w:type="dxa"/>
            <w:vAlign w:val="bottom"/>
          </w:tcPr>
          <w:p>
            <w:pPr>
              <w:ind w:left="220"/>
              <w:spacing w:after="0"/>
              <w:rPr>
                <w:sz w:val="20"/>
                <w:szCs w:val="20"/>
                <w:color w:val="auto"/>
              </w:rPr>
            </w:pPr>
            <w:r>
              <w:rPr>
                <w:rFonts w:ascii="Arial" w:cs="Arial" w:eastAsia="Arial" w:hAnsi="Arial"/>
                <w:sz w:val="14"/>
                <w:szCs w:val="14"/>
                <w:color w:val="auto"/>
              </w:rPr>
              <w:t>Long-term debt and finance leases, net of current maturities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29,270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32,389</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and postretirement benefits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2,837</w:t>
            </w:r>
          </w:p>
        </w:tc>
        <w:tc>
          <w:tcPr>
            <w:tcW w:w="0" w:type="dxa"/>
            <w:vAlign w:val="bottom"/>
          </w:tcPr>
          <w:p>
            <w:pPr>
              <w:spacing w:after="0"/>
              <w:rPr>
                <w:sz w:val="1"/>
                <w:szCs w:val="1"/>
                <w:color w:val="auto"/>
              </w:rPr>
            </w:pPr>
          </w:p>
        </w:tc>
      </w:tr>
      <w:tr>
        <w:trPr>
          <w:trHeight w:val="198"/>
        </w:trPr>
        <w:tc>
          <w:tcPr>
            <w:tcW w:w="8040" w:type="dxa"/>
            <w:vAlign w:val="bottom"/>
          </w:tcPr>
          <w:p>
            <w:pPr>
              <w:ind w:left="220"/>
              <w:spacing w:after="0"/>
              <w:rPr>
                <w:sz w:val="20"/>
                <w:szCs w:val="20"/>
                <w:color w:val="auto"/>
              </w:rPr>
            </w:pPr>
            <w:r>
              <w:rPr>
                <w:rFonts w:ascii="Arial" w:cs="Arial" w:eastAsia="Arial" w:hAnsi="Arial"/>
                <w:sz w:val="14"/>
                <w:szCs w:val="14"/>
                <w:color w:val="auto"/>
              </w:rPr>
              <w:t>Loyalty program liability</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5,874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5,976</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liabilities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6,559</w:t>
            </w:r>
          </w:p>
        </w:tc>
        <w:tc>
          <w:tcPr>
            <w:tcW w:w="0" w:type="dxa"/>
            <w:vAlign w:val="bottom"/>
          </w:tcPr>
          <w:p>
            <w:pPr>
              <w:spacing w:after="0"/>
              <w:rPr>
                <w:sz w:val="1"/>
                <w:szCs w:val="1"/>
                <w:color w:val="auto"/>
              </w:rPr>
            </w:pPr>
          </w:p>
        </w:tc>
      </w:tr>
      <w:tr>
        <w:trPr>
          <w:trHeight w:val="198"/>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liabilities</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1,558</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200"/>
        </w:trPr>
        <w:tc>
          <w:tcPr>
            <w:tcW w:w="80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noncurrent liabilities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46,198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49,019</w:t>
            </w:r>
          </w:p>
        </w:tc>
        <w:tc>
          <w:tcPr>
            <w:tcW w:w="0" w:type="dxa"/>
            <w:vAlign w:val="bottom"/>
          </w:tcPr>
          <w:p>
            <w:pPr>
              <w:spacing w:after="0"/>
              <w:rPr>
                <w:sz w:val="1"/>
                <w:szCs w:val="1"/>
                <w:color w:val="auto"/>
              </w:rPr>
            </w:pPr>
          </w:p>
        </w:tc>
      </w:tr>
      <w:tr>
        <w:trPr>
          <w:trHeight w:val="201"/>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Commitments and contingencies (Note 11)</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 (deficit)</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040" w:type="dxa"/>
            <w:vAlign w:val="bottom"/>
          </w:tcPr>
          <w:p>
            <w:pPr>
              <w:ind w:left="220"/>
              <w:spacing w:after="0" w:line="149" w:lineRule="exact"/>
              <w:rPr>
                <w:sz w:val="20"/>
                <w:szCs w:val="20"/>
                <w:color w:val="auto"/>
              </w:rPr>
            </w:pPr>
            <w:r>
              <w:rPr>
                <w:rFonts w:ascii="Arial" w:cs="Arial" w:eastAsia="Arial" w:hAnsi="Arial"/>
                <w:sz w:val="14"/>
                <w:szCs w:val="14"/>
                <w:color w:val="auto"/>
              </w:rPr>
              <w:t>Common stock, $0.01 par value; 1,750,000,000 shares authorized, 654,273,192 shares issued and outstanding at</w:t>
            </w:r>
          </w:p>
        </w:tc>
        <w:tc>
          <w:tcPr>
            <w:tcW w:w="9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8040" w:type="dxa"/>
            <w:vAlign w:val="bottom"/>
          </w:tcPr>
          <w:p>
            <w:pPr>
              <w:ind w:left="220"/>
              <w:spacing w:after="0"/>
              <w:rPr>
                <w:sz w:val="20"/>
                <w:szCs w:val="20"/>
                <w:color w:val="auto"/>
              </w:rPr>
            </w:pPr>
            <w:r>
              <w:rPr>
                <w:rFonts w:ascii="Arial" w:cs="Arial" w:eastAsia="Arial" w:hAnsi="Arial"/>
                <w:sz w:val="14"/>
                <w:szCs w:val="14"/>
                <w:color w:val="auto"/>
              </w:rPr>
              <w:t>December 31, 2023; 650,642,461 shares issued and outstanding at December 31, 2022</w:t>
            </w:r>
          </w:p>
        </w:tc>
        <w:tc>
          <w:tcPr>
            <w:tcW w:w="9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paid-in capital</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7,291</w:t>
            </w:r>
          </w:p>
        </w:tc>
        <w:tc>
          <w:tcPr>
            <w:tcW w:w="0" w:type="dxa"/>
            <w:vAlign w:val="bottom"/>
          </w:tcPr>
          <w:p>
            <w:pPr>
              <w:spacing w:after="0"/>
              <w:rPr>
                <w:sz w:val="1"/>
                <w:szCs w:val="1"/>
                <w:color w:val="auto"/>
              </w:rPr>
            </w:pPr>
          </w:p>
        </w:tc>
      </w:tr>
      <w:tr>
        <w:trPr>
          <w:trHeight w:val="198"/>
        </w:trPr>
        <w:tc>
          <w:tcPr>
            <w:tcW w:w="804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(4,894)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(4,585)</w:t>
            </w:r>
          </w:p>
        </w:tc>
        <w:tc>
          <w:tcPr>
            <w:tcW w:w="0" w:type="dxa"/>
            <w:vAlign w:val="bottom"/>
          </w:tcPr>
          <w:p>
            <w:pPr>
              <w:spacing w:after="0"/>
              <w:rPr>
                <w:sz w:val="1"/>
                <w:szCs w:val="1"/>
                <w:color w:val="auto"/>
              </w:rPr>
            </w:pPr>
          </w:p>
        </w:tc>
      </w:tr>
      <w:tr>
        <w:trPr>
          <w:trHeight w:val="20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Retained deficit</w:t>
            </w:r>
          </w:p>
        </w:tc>
        <w:tc>
          <w:tcPr>
            <w:tcW w:w="9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(7,689)</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(8,511)</w:t>
            </w:r>
          </w:p>
        </w:tc>
        <w:tc>
          <w:tcPr>
            <w:tcW w:w="0" w:type="dxa"/>
            <w:vAlign w:val="bottom"/>
          </w:tcPr>
          <w:p>
            <w:pPr>
              <w:spacing w:after="0"/>
              <w:rPr>
                <w:sz w:val="1"/>
                <w:szCs w:val="1"/>
                <w:color w:val="auto"/>
              </w:rPr>
            </w:pPr>
          </w:p>
        </w:tc>
      </w:tr>
      <w:tr>
        <w:trPr>
          <w:trHeight w:val="192"/>
        </w:trPr>
        <w:tc>
          <w:tcPr>
            <w:tcW w:w="80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Total stockholders’ deficit</w:t>
            </w: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(5,799)</w:t>
            </w:r>
          </w:p>
        </w:tc>
        <w:tc>
          <w:tcPr>
            <w:tcW w:w="0" w:type="dxa"/>
            <w:vAlign w:val="bottom"/>
          </w:tcPr>
          <w:p>
            <w:pPr>
              <w:spacing w:after="0"/>
              <w:rPr>
                <w:sz w:val="1"/>
                <w:szCs w:val="1"/>
                <w:color w:val="auto"/>
              </w:rPr>
            </w:pPr>
          </w:p>
        </w:tc>
      </w:tr>
      <w:tr>
        <w:trPr>
          <w:trHeight w:val="225"/>
        </w:trPr>
        <w:tc>
          <w:tcPr>
            <w:tcW w:w="8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b w:val="1"/>
                <w:bCs w:val="1"/>
                <w:color w:val="auto"/>
              </w:rPr>
              <w:t>Total liabilities and stockholders’ equity (deficit)</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63,058</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64,716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363" w:right="3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2080" w:type="dxa"/>
            <w:vAlign w:val="bottom"/>
            <w:tcBorders>
              <w:bottom w:val="single" w:sz="8" w:color="CCEEFF"/>
            </w:tcBorders>
          </w:tcPr>
          <w:p>
            <w:pPr>
              <w:spacing w:after="0"/>
              <w:rPr>
                <w:sz w:val="17"/>
                <w:szCs w:val="17"/>
                <w:color w:val="auto"/>
              </w:rPr>
            </w:pPr>
          </w:p>
        </w:tc>
        <w:tc>
          <w:tcPr>
            <w:tcW w:w="46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r>
        <w:trPr>
          <w:trHeight w:val="18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822</w:t>
            </w:r>
          </w:p>
        </w:tc>
        <w:tc>
          <w:tcPr>
            <w:tcW w:w="12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(1,993)</w:t>
            </w:r>
          </w:p>
        </w:tc>
      </w:tr>
      <w:tr>
        <w:trPr>
          <w:trHeight w:val="20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2,254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2,298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2,335</w:t>
            </w:r>
          </w:p>
        </w:tc>
      </w:tr>
      <w:tr>
        <w:trPr>
          <w:trHeight w:val="20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Debt extinguishment costs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98"/>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Special items, net non-cash</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0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Pension and postretirement</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r>
      <w:tr>
        <w:trPr>
          <w:trHeight w:val="198"/>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Deferred income tax provision (benefit)</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(555)</w:t>
            </w:r>
          </w:p>
        </w:tc>
      </w:tr>
      <w:tr>
        <w:trPr>
          <w:trHeight w:val="20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Share-based compensation</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198"/>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Other, net</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Changes in operating assets and liabilities: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6740" w:type="dxa"/>
            <w:vAlign w:val="bottom"/>
            <w:gridSpan w:val="2"/>
          </w:tcPr>
          <w:p>
            <w:pPr>
              <w:ind w:left="340"/>
              <w:spacing w:after="0"/>
              <w:rPr>
                <w:sz w:val="20"/>
                <w:szCs w:val="20"/>
                <w:color w:val="auto"/>
              </w:rPr>
            </w:pPr>
            <w:r>
              <w:rPr>
                <w:rFonts w:ascii="Arial" w:cs="Arial" w:eastAsia="Arial" w:hAnsi="Arial"/>
                <w:sz w:val="14"/>
                <w:szCs w:val="14"/>
                <w:color w:val="auto"/>
              </w:rPr>
              <w:t>Decrease (increase) in accounts receivable</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(304)</w:t>
            </w:r>
          </w:p>
        </w:tc>
      </w:tr>
      <w:tr>
        <w:trPr>
          <w:trHeight w:val="206"/>
        </w:trPr>
        <w:tc>
          <w:tcPr>
            <w:tcW w:w="6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Increase in other assets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r>
      <w:tr>
        <w:trPr>
          <w:trHeight w:val="198"/>
        </w:trPr>
        <w:tc>
          <w:tcPr>
            <w:tcW w:w="6740" w:type="dxa"/>
            <w:vAlign w:val="bottom"/>
            <w:gridSpan w:val="2"/>
          </w:tcPr>
          <w:p>
            <w:pPr>
              <w:ind w:left="340"/>
              <w:spacing w:after="0"/>
              <w:rPr>
                <w:sz w:val="20"/>
                <w:szCs w:val="20"/>
                <w:color w:val="auto"/>
              </w:rPr>
            </w:pPr>
            <w:r>
              <w:rPr>
                <w:rFonts w:ascii="Arial" w:cs="Arial" w:eastAsia="Arial" w:hAnsi="Arial"/>
                <w:sz w:val="14"/>
                <w:szCs w:val="14"/>
                <w:color w:val="auto"/>
              </w:rPr>
              <w:t>Increase in accounts payable and accrued liabilities</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461</w:t>
            </w:r>
          </w:p>
        </w:tc>
      </w:tr>
      <w:tr>
        <w:trPr>
          <w:trHeight w:val="206"/>
        </w:trPr>
        <w:tc>
          <w:tcPr>
            <w:tcW w:w="6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Increase (decrease) in air traffic liability</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w:t>
            </w:r>
          </w:p>
        </w:tc>
      </w:tr>
      <w:tr>
        <w:trPr>
          <w:trHeight w:val="198"/>
        </w:trPr>
        <w:tc>
          <w:tcPr>
            <w:tcW w:w="6740" w:type="dxa"/>
            <w:vAlign w:val="bottom"/>
            <w:gridSpan w:val="2"/>
          </w:tcPr>
          <w:p>
            <w:pPr>
              <w:ind w:left="340"/>
              <w:spacing w:after="0"/>
              <w:rPr>
                <w:sz w:val="20"/>
                <w:szCs w:val="20"/>
                <w:color w:val="auto"/>
              </w:rPr>
            </w:pPr>
            <w:r>
              <w:rPr>
                <w:rFonts w:ascii="Arial" w:cs="Arial" w:eastAsia="Arial" w:hAnsi="Arial"/>
                <w:sz w:val="14"/>
                <w:szCs w:val="14"/>
                <w:color w:val="auto"/>
              </w:rPr>
              <w:t>Increase (decrease) in loyalty program liability</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06"/>
        </w:trPr>
        <w:tc>
          <w:tcPr>
            <w:tcW w:w="6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Contributions to pension plans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r>
      <w:tr>
        <w:trPr>
          <w:trHeight w:val="198"/>
        </w:trPr>
        <w:tc>
          <w:tcPr>
            <w:tcW w:w="674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Increase (decrease) in other liabilities</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r>
      <w:tr>
        <w:trPr>
          <w:trHeight w:val="200"/>
        </w:trPr>
        <w:tc>
          <w:tcPr>
            <w:tcW w:w="67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Net cash provided by operating activities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w:t>
            </w:r>
          </w:p>
        </w:tc>
      </w:tr>
      <w:tr>
        <w:trPr>
          <w:trHeight w:val="201"/>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Capital expenditures, net of aircraft purchase deposit returns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r>
      <w:tr>
        <w:trPr>
          <w:trHeight w:val="198"/>
        </w:trPr>
        <w:tc>
          <w:tcPr>
            <w:tcW w:w="6740" w:type="dxa"/>
            <w:vAlign w:val="bottom"/>
            <w:gridSpan w:val="2"/>
          </w:tcPr>
          <w:p>
            <w:pPr>
              <w:ind w:left="240"/>
              <w:spacing w:after="0"/>
              <w:rPr>
                <w:sz w:val="20"/>
                <w:szCs w:val="20"/>
                <w:color w:val="auto"/>
              </w:rPr>
            </w:pPr>
            <w:r>
              <w:rPr>
                <w:rFonts w:ascii="Arial" w:cs="Arial" w:eastAsia="Arial" w:hAnsi="Arial"/>
                <w:sz w:val="14"/>
                <w:szCs w:val="14"/>
                <w:color w:val="auto"/>
              </w:rPr>
              <w:t>Proceeds from sale of property and equipment and sale-leaseback transactions</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374</w:t>
            </w:r>
          </w:p>
        </w:tc>
      </w:tr>
      <w:tr>
        <w:trPr>
          <w:trHeight w:val="20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Sales of short-term investments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13,923</w:t>
            </w:r>
          </w:p>
        </w:tc>
      </w:tr>
      <w:tr>
        <w:trPr>
          <w:trHeight w:val="198"/>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Purchases of short-term investments</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(7,323)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(11,257)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(19,454)</w:t>
            </w:r>
          </w:p>
        </w:tc>
      </w:tr>
      <w:tr>
        <w:trPr>
          <w:trHeight w:val="20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Decrease (increase) in restricted short-term investments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r>
      <w:tr>
        <w:trPr>
          <w:trHeight w:val="198"/>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Purchase of equity investments</w:t>
            </w:r>
          </w:p>
        </w:tc>
        <w:tc>
          <w:tcPr>
            <w:tcW w:w="90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investing activities</w:t>
            </w:r>
          </w:p>
        </w:tc>
        <w:tc>
          <w:tcPr>
            <w:tcW w:w="9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r>
      <w:tr>
        <w:trPr>
          <w:trHeight w:val="192"/>
        </w:trPr>
        <w:tc>
          <w:tcPr>
            <w:tcW w:w="6740" w:type="dxa"/>
            <w:vAlign w:val="bottom"/>
            <w:gridSpan w:val="2"/>
          </w:tcPr>
          <w:p>
            <w:pPr>
              <w:ind w:left="480"/>
              <w:spacing w:after="0"/>
              <w:rPr>
                <w:sz w:val="20"/>
                <w:szCs w:val="20"/>
                <w:color w:val="auto"/>
              </w:rPr>
            </w:pPr>
            <w:r>
              <w:rPr>
                <w:rFonts w:ascii="Arial" w:cs="Arial" w:eastAsia="Arial" w:hAnsi="Arial"/>
                <w:sz w:val="14"/>
                <w:szCs w:val="14"/>
                <w:color w:val="auto"/>
              </w:rPr>
              <w:t>Net cash provided by (used in) investing activities</w:t>
            </w: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(5,983)</w:t>
            </w:r>
          </w:p>
        </w:tc>
      </w:tr>
      <w:tr>
        <w:trPr>
          <w:trHeight w:val="20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Payments on long-term debt and finance leases</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(7,718)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(3,752)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(7,343)</w:t>
            </w:r>
          </w:p>
        </w:tc>
      </w:tr>
      <w:tr>
        <w:trPr>
          <w:trHeight w:val="20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Proceeds from issuance of long-term debt</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12,190</w:t>
            </w:r>
          </w:p>
        </w:tc>
      </w:tr>
      <w:tr>
        <w:trPr>
          <w:trHeight w:val="198"/>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Proceeds from issuance of equity</w:t>
            </w:r>
          </w:p>
        </w:tc>
        <w:tc>
          <w:tcPr>
            <w:tcW w:w="90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460</w:t>
            </w:r>
          </w:p>
        </w:tc>
      </w:tr>
      <w:tr>
        <w:trPr>
          <w:trHeight w:val="206"/>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financing activities</w:t>
            </w:r>
          </w:p>
        </w:tc>
        <w:tc>
          <w:tcPr>
            <w:tcW w:w="9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92"/>
        </w:trPr>
        <w:tc>
          <w:tcPr>
            <w:tcW w:w="6740" w:type="dxa"/>
            <w:vAlign w:val="bottom"/>
            <w:tcBorders>
              <w:bottom w:val="single" w:sz="8" w:color="CCEEFF"/>
            </w:tcBorders>
            <w:gridSpan w:val="2"/>
          </w:tcPr>
          <w:p>
            <w:pPr>
              <w:ind w:left="480"/>
              <w:spacing w:after="0"/>
              <w:rPr>
                <w:sz w:val="20"/>
                <w:szCs w:val="20"/>
                <w:color w:val="auto"/>
              </w:rPr>
            </w:pPr>
            <w:r>
              <w:rPr>
                <w:rFonts w:ascii="Arial" w:cs="Arial" w:eastAsia="Arial" w:hAnsi="Arial"/>
                <w:sz w:val="14"/>
                <w:szCs w:val="14"/>
                <w:color w:val="auto"/>
              </w:rPr>
              <w:t>Net cash provided by (used in) financing activities</w:t>
            </w: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5,288</w:t>
            </w:r>
          </w:p>
        </w:tc>
      </w:tr>
      <w:tr>
        <w:trPr>
          <w:trHeight w:val="20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increase in cash and restricted cash</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98"/>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Cash and restricted cash at beginning of year</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w:t>
            </w:r>
          </w:p>
        </w:tc>
      </w:tr>
      <w:tr>
        <w:trPr>
          <w:trHeight w:val="225"/>
        </w:trPr>
        <w:tc>
          <w:tcPr>
            <w:tcW w:w="6740" w:type="dxa"/>
            <w:vAlign w:val="bottom"/>
            <w:tcBorders>
              <w:bottom w:val="single" w:sz="8" w:color="CCEEFF"/>
            </w:tcBorders>
            <w:gridSpan w:val="2"/>
            <w:shd w:val="clear" w:color="auto" w:fill="CCEEFF"/>
          </w:tcPr>
          <w:p>
            <w:pPr>
              <w:ind w:left="20"/>
              <w:spacing w:after="0" w:line="200" w:lineRule="exact"/>
              <w:rPr>
                <w:sz w:val="20"/>
                <w:szCs w:val="20"/>
                <w:color w:val="auto"/>
              </w:rPr>
            </w:pPr>
            <w:r>
              <w:rPr>
                <w:rFonts w:ascii="Arial" w:cs="Arial" w:eastAsia="Arial" w:hAnsi="Arial"/>
                <w:sz w:val="14"/>
                <w:szCs w:val="14"/>
                <w:color w:val="auto"/>
              </w:rPr>
              <w:t xml:space="preserve">Cash and restricted cash at end of year </w:t>
            </w:r>
            <w:r>
              <w:rPr>
                <w:rFonts w:ascii="Arial" w:cs="Arial" w:eastAsia="Arial" w:hAnsi="Arial"/>
                <w:sz w:val="18"/>
                <w:szCs w:val="18"/>
                <w:color w:val="auto"/>
                <w:vertAlign w:val="superscript"/>
              </w:rPr>
              <w:t>(a)</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4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r>
    </w:tbl>
    <w:p>
      <w:pPr>
        <w:spacing w:after="0" w:line="85" w:lineRule="exact"/>
        <w:rPr>
          <w:sz w:val="20"/>
          <w:szCs w:val="20"/>
          <w:color w:val="auto"/>
        </w:rPr>
      </w:pPr>
    </w:p>
    <w:p>
      <w:pPr>
        <w:ind w:left="140" w:hanging="132"/>
        <w:spacing w:after="0"/>
        <w:tabs>
          <w:tab w:leader="none" w:pos="140" w:val="left"/>
        </w:tabs>
        <w:numPr>
          <w:ilvl w:val="0"/>
          <w:numId w:val="36"/>
        </w:numPr>
        <w:rPr>
          <w:rFonts w:ascii="Arial" w:cs="Arial" w:eastAsia="Arial" w:hAnsi="Arial"/>
          <w:sz w:val="16"/>
          <w:szCs w:val="16"/>
          <w:color w:val="auto"/>
          <w:vertAlign w:val="superscript"/>
        </w:rPr>
      </w:pPr>
      <w:r>
        <w:rPr>
          <w:rFonts w:ascii="Arial" w:cs="Arial" w:eastAsia="Arial" w:hAnsi="Arial"/>
          <w:sz w:val="12"/>
          <w:szCs w:val="12"/>
          <w:color w:val="auto"/>
        </w:rPr>
        <w:t>The following table provides a reconciliation of cash and restricted cash to amounts reported within the consolidated balance sheets: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r>
      <w:tr>
        <w:trPr>
          <w:trHeight w:val="19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 included in restricted cash and short-term investments</w:t>
            </w:r>
          </w:p>
        </w:tc>
        <w:tc>
          <w:tcPr>
            <w:tcW w:w="6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r>
      <w:tr>
        <w:trPr>
          <w:trHeight w:val="225"/>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cash and restricted cash</w:t>
            </w:r>
          </w:p>
        </w:tc>
        <w:tc>
          <w:tcPr>
            <w:tcW w:w="62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amounts)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2"/>
                <w:szCs w:val="12"/>
                <w:color w:val="auto"/>
              </w:rPr>
            </w:pPr>
          </w:p>
        </w:tc>
        <w:tc>
          <w:tcPr>
            <w:tcW w:w="6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(6,867)</w:t>
            </w:r>
          </w:p>
        </w:tc>
        <w:tc>
          <w:tcPr>
            <w:tcW w:w="0" w:type="dxa"/>
            <w:vAlign w:val="bottom"/>
          </w:tcPr>
          <w:p>
            <w:pPr>
              <w:spacing w:after="0"/>
              <w:rPr>
                <w:sz w:val="1"/>
                <w:szCs w:val="1"/>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(1,993)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162"/>
        </w:trPr>
        <w:tc>
          <w:tcPr>
            <w:tcW w:w="5700" w:type="dxa"/>
            <w:vAlign w:val="bottom"/>
          </w:tcPr>
          <w:p>
            <w:pPr>
              <w:spacing w:after="0" w:line="162" w:lineRule="exact"/>
              <w:rPr>
                <w:sz w:val="20"/>
                <w:szCs w:val="20"/>
                <w:color w:val="auto"/>
              </w:rPr>
            </w:pPr>
            <w:r>
              <w:rPr>
                <w:rFonts w:ascii="Arial" w:cs="Arial" w:eastAsia="Arial" w:hAnsi="Arial"/>
                <w:sz w:val="16"/>
                <w:szCs w:val="16"/>
                <w:color w:val="auto"/>
              </w:rPr>
              <w:t>Issuance of 24,150,764 shares of AAG common stock pursuant to an at-the-</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5700" w:type="dxa"/>
            <w:vAlign w:val="bottom"/>
          </w:tcPr>
          <w:p>
            <w:pPr>
              <w:ind w:left="160"/>
              <w:spacing w:after="0"/>
              <w:rPr>
                <w:sz w:val="20"/>
                <w:szCs w:val="20"/>
                <w:color w:val="auto"/>
              </w:rPr>
            </w:pPr>
            <w:r>
              <w:rPr>
                <w:rFonts w:ascii="Arial" w:cs="Arial" w:eastAsia="Arial" w:hAnsi="Arial"/>
                <w:sz w:val="16"/>
                <w:szCs w:val="16"/>
                <w:color w:val="auto"/>
              </w:rPr>
              <w:t>market offering, net of offering costs</w:t>
            </w: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Impact of adoption of Accounting Standards Update (ASU) 2020-06 related to</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convertible instruments</w:t>
            </w: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Issuance of PSP2 and PSP3 Warrants (see Note 1(b))</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62"/>
        </w:trPr>
        <w:tc>
          <w:tcPr>
            <w:tcW w:w="57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Issuance of 2,357,187 shares of AAG common stock pursuant to employee</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plans net of shares withheld for cash taxes</w:t>
            </w: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line="162" w:lineRule="exact"/>
              <w:rPr>
                <w:sz w:val="20"/>
                <w:szCs w:val="20"/>
                <w:color w:val="auto"/>
              </w:rPr>
            </w:pPr>
            <w:r>
              <w:rPr>
                <w:rFonts w:ascii="Arial" w:cs="Arial" w:eastAsia="Arial" w:hAnsi="Arial"/>
                <w:sz w:val="16"/>
                <w:szCs w:val="16"/>
                <w:color w:val="auto"/>
              </w:rPr>
              <w:t>Settlement of single-dip unsecured claims held in Disputed Claims Reserve</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5700" w:type="dxa"/>
            <w:vAlign w:val="bottom"/>
          </w:tcPr>
          <w:p>
            <w:pPr>
              <w:ind w:left="160"/>
              <w:spacing w:after="0"/>
              <w:rPr>
                <w:sz w:val="20"/>
                <w:szCs w:val="20"/>
                <w:color w:val="auto"/>
              </w:rPr>
            </w:pPr>
            <w:r>
              <w:rPr>
                <w:rFonts w:ascii="Arial" w:cs="Arial" w:eastAsia="Arial" w:hAnsi="Arial"/>
                <w:sz w:val="16"/>
                <w:szCs w:val="16"/>
                <w:color w:val="auto"/>
              </w:rPr>
              <w:t>(DCR) and retirement of 259,878 shares of AAG common stock</w:t>
            </w: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20"/>
                <w:szCs w:val="20"/>
                <w:color w:val="auto"/>
              </w:rPr>
            </w:pPr>
            <w:r>
              <w:rPr>
                <w:rFonts w:ascii="Arial" w:cs="Arial" w:eastAsia="Arial" w:hAnsi="Arial"/>
                <w:sz w:val="16"/>
                <w:szCs w:val="16"/>
                <w:b w:val="1"/>
                <w:bCs w:val="1"/>
                <w:color w:val="auto"/>
              </w:rPr>
              <w:t>Balance at December 31, 2021</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7,234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(5,942)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(8,638)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(7,340)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Other comprehensive income, net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1,357</w:t>
            </w:r>
          </w:p>
        </w:tc>
        <w:tc>
          <w:tcPr>
            <w:tcW w:w="0" w:type="dxa"/>
            <w:vAlign w:val="bottom"/>
          </w:tcPr>
          <w:p>
            <w:pPr>
              <w:spacing w:after="0"/>
              <w:rPr>
                <w:sz w:val="1"/>
                <w:szCs w:val="1"/>
                <w:color w:val="auto"/>
              </w:rPr>
            </w:pPr>
          </w:p>
        </w:tc>
      </w:tr>
      <w:tr>
        <w:trPr>
          <w:trHeight w:val="162"/>
        </w:trPr>
        <w:tc>
          <w:tcPr>
            <w:tcW w:w="57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Issuance of 2,914,866 shares of AAG common stock pursuant to employee</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plans net of shares withheld for cash taxes</w:t>
            </w: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2022</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(5,799)</w:t>
            </w:r>
          </w:p>
        </w:tc>
        <w:tc>
          <w:tcPr>
            <w:tcW w:w="0" w:type="dxa"/>
            <w:vAlign w:val="bottom"/>
          </w:tcPr>
          <w:p>
            <w:pPr>
              <w:spacing w:after="0"/>
              <w:rPr>
                <w:sz w:val="1"/>
                <w:szCs w:val="1"/>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162"/>
        </w:trPr>
        <w:tc>
          <w:tcPr>
            <w:tcW w:w="5700" w:type="dxa"/>
            <w:vAlign w:val="bottom"/>
          </w:tcPr>
          <w:p>
            <w:pPr>
              <w:spacing w:after="0" w:line="162" w:lineRule="exact"/>
              <w:rPr>
                <w:sz w:val="20"/>
                <w:szCs w:val="20"/>
                <w:color w:val="auto"/>
              </w:rPr>
            </w:pPr>
            <w:r>
              <w:rPr>
                <w:rFonts w:ascii="Arial" w:cs="Arial" w:eastAsia="Arial" w:hAnsi="Arial"/>
                <w:sz w:val="16"/>
                <w:szCs w:val="16"/>
                <w:color w:val="auto"/>
              </w:rPr>
              <w:t>Issuance of 3,630,731 shares of AAG common stock pursuant to employee</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5"/>
        </w:trPr>
        <w:tc>
          <w:tcPr>
            <w:tcW w:w="5700" w:type="dxa"/>
            <w:vAlign w:val="bottom"/>
          </w:tcPr>
          <w:p>
            <w:pPr>
              <w:ind w:left="160"/>
              <w:spacing w:after="0"/>
              <w:rPr>
                <w:sz w:val="20"/>
                <w:szCs w:val="20"/>
                <w:color w:val="auto"/>
              </w:rPr>
            </w:pPr>
            <w:r>
              <w:rPr>
                <w:rFonts w:ascii="Arial" w:cs="Arial" w:eastAsia="Arial" w:hAnsi="Arial"/>
                <w:sz w:val="16"/>
                <w:szCs w:val="16"/>
                <w:color w:val="auto"/>
              </w:rPr>
              <w:t>stock plans net of shares withheld for cash taxes</w:t>
            </w: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6"/>
                <w:szCs w:val="16"/>
                <w:color w:val="auto"/>
              </w:rPr>
              <w:t>Settlement of single-dip unsecured claims held in DCR</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5"/>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(5,202)</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p>
    <w:p>
      <w:pPr>
        <w:spacing w:after="0" w:line="251" w:lineRule="exact"/>
        <w:rPr>
          <w:sz w:val="20"/>
          <w:szCs w:val="20"/>
          <w:color w:val="auto"/>
        </w:rPr>
      </w:pPr>
    </w:p>
    <w:p>
      <w:pPr>
        <w:ind w:left="200" w:hanging="192"/>
        <w:spacing w:after="0"/>
        <w:tabs>
          <w:tab w:leader="none" w:pos="2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91" w:lineRule="exact"/>
        <w:rPr>
          <w:rFonts w:ascii="Arial" w:cs="Arial" w:eastAsia="Arial" w:hAnsi="Arial"/>
          <w:sz w:val="18"/>
          <w:szCs w:val="18"/>
          <w:b w:val="1"/>
          <w:bCs w:val="1"/>
          <w:color w:val="auto"/>
        </w:rPr>
      </w:pPr>
    </w:p>
    <w:p>
      <w:pPr>
        <w:ind w:left="520" w:hanging="269"/>
        <w:spacing w:after="0"/>
        <w:tabs>
          <w:tab w:leader="none" w:pos="520" w:val="left"/>
        </w:tabs>
        <w:numPr>
          <w:ilvl w:val="1"/>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Airlines Group Inc. (we, us, our and similar terms, or AAG), a Delaware corporation, is a holding company whose primary business activity is the operation of a major network air carrier, providing scheduled air transportation for passengers and cargo through its mainline operating subsidiary, American Airlines, Inc. (American) and its wholly-owned regional airline subsidiaries, Envoy Aviation Group Inc., PSA Airlines, Inc. (PSA) and Piedmont Airlines, Inc. (Piedmont), that operate under the brand American Eagle. All significant intercompany transactions have been eliminated.</w:t>
      </w:r>
    </w:p>
    <w:p>
      <w:pPr>
        <w:spacing w:after="0" w:line="1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07" w:lineRule="exact"/>
        <w:rPr>
          <w:sz w:val="20"/>
          <w:szCs w:val="20"/>
          <w:color w:val="auto"/>
        </w:rPr>
      </w:pPr>
    </w:p>
    <w:p>
      <w:pPr>
        <w:ind w:left="260" w:right="8660" w:hanging="9"/>
        <w:spacing w:after="0" w:line="362" w:lineRule="auto"/>
        <w:tabs>
          <w:tab w:leader="none" w:pos="539" w:val="left"/>
        </w:tabs>
        <w:numPr>
          <w:ilvl w:val="0"/>
          <w:numId w:val="3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Government Assistance </w:t>
      </w:r>
      <w:r>
        <w:rPr>
          <w:rFonts w:ascii="Arial" w:cs="Arial" w:eastAsia="Arial" w:hAnsi="Arial"/>
          <w:sz w:val="17"/>
          <w:szCs w:val="17"/>
          <w:i w:val="1"/>
          <w:iCs w:val="1"/>
          <w:u w:val="single" w:color="auto"/>
          <w:color w:val="auto"/>
        </w:rPr>
        <w:t>Payroll Support Programs</w:t>
      </w:r>
    </w:p>
    <w:p>
      <w:pPr>
        <w:spacing w:after="0" w:line="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During 2020 and 2021, American, Envoy Air Inc. (Envoy), Piedmont and PSA (together with American, Envoy and Piedmont, the Subsidiaries) entered into payroll support program agreements (PSP Agreements) with the U.S. Department of Treasury (Treasury) pursuant to the payroll support program established under the Coronavirus Aid, Relief, and Economic Security Act (CARES Act) (PSP1), the payroll support program established under the Subtitle A of Title IV of Division N of the Consolidated Appropriations Act, 2021 (PSP Extension Law) (PSP2) and the payroll support program established under the American Rescue Plan Act of 2021 (ARP) (PSP3). The aggregate amount of financial assistance received was approximately $12.8 billion, and as partial compensation to the U.S. Government for the provision of financial assistance provided under each of these programs, AAG issued promissory notes and warrants to Treasury.</w:t>
      </w:r>
    </w:p>
    <w:p>
      <w:pPr>
        <w:spacing w:after="0" w:line="127"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The table below provides a summary of the financial assistance received and the promissory notes and the warrants issued under each program (in millions, except exercise price amounts):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9"/>
              </w:rPr>
              <w:t>PSP Financial</w:t>
            </w:r>
          </w:p>
        </w:tc>
        <w:tc>
          <w:tcPr>
            <w:tcW w:w="140" w:type="dxa"/>
            <w:vAlign w:val="bottom"/>
          </w:tcPr>
          <w:p>
            <w:pPr>
              <w:spacing w:after="0"/>
              <w:rPr>
                <w:sz w:val="18"/>
                <w:szCs w:val="18"/>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8"/>
              </w:rPr>
              <w:t>Promissory</w:t>
            </w: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Warrants</w:t>
            </w:r>
          </w:p>
        </w:tc>
        <w:tc>
          <w:tcPr>
            <w:tcW w:w="80" w:type="dxa"/>
            <w:vAlign w:val="bottom"/>
          </w:tcPr>
          <w:p>
            <w:pPr>
              <w:spacing w:after="0"/>
              <w:rPr>
                <w:sz w:val="18"/>
                <w:szCs w:val="18"/>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175"/>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Program</w:t>
            </w:r>
          </w:p>
        </w:tc>
        <w:tc>
          <w:tcPr>
            <w:tcW w:w="17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9"/>
              </w:rPr>
              <w:t>Closing Date</w:t>
            </w:r>
          </w:p>
        </w:tc>
        <w:tc>
          <w:tcPr>
            <w:tcW w:w="14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PSP Warrants</w:t>
            </w:r>
          </w:p>
        </w:tc>
        <w:tc>
          <w:tcPr>
            <w:tcW w:w="280" w:type="dxa"/>
            <w:vAlign w:val="bottom"/>
          </w:tcPr>
          <w:p>
            <w:pPr>
              <w:spacing w:after="0"/>
              <w:rPr>
                <w:sz w:val="15"/>
                <w:szCs w:val="15"/>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13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8"/>
              </w:rPr>
              <w:t>Issued</w:t>
            </w:r>
          </w:p>
        </w:tc>
        <w:tc>
          <w:tcPr>
            <w:tcW w:w="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40" w:type="dxa"/>
            <w:vAlign w:val="bottom"/>
            <w:gridSpan w:val="2"/>
            <w:vMerge w:val="continue"/>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Assistance</w:t>
            </w:r>
          </w:p>
        </w:tc>
        <w:tc>
          <w:tcPr>
            <w:tcW w:w="140" w:type="dxa"/>
            <w:vAlign w:val="bottom"/>
          </w:tcPr>
          <w:p>
            <w:pPr>
              <w:spacing w:after="0"/>
              <w:rPr>
                <w:sz w:val="21"/>
                <w:szCs w:val="21"/>
                <w:color w:val="auto"/>
              </w:rPr>
            </w:pPr>
          </w:p>
        </w:tc>
        <w:tc>
          <w:tcPr>
            <w:tcW w:w="1260" w:type="dxa"/>
            <w:vAlign w:val="bottom"/>
            <w:gridSpan w:val="2"/>
          </w:tcPr>
          <w:p>
            <w:pPr>
              <w:jc w:val="center"/>
              <w:ind w:right="240"/>
              <w:spacing w:after="0" w:line="243" w:lineRule="exact"/>
              <w:rPr>
                <w:sz w:val="20"/>
                <w:szCs w:val="20"/>
                <w:color w:val="auto"/>
              </w:rPr>
            </w:pPr>
            <w:r>
              <w:rPr>
                <w:rFonts w:ascii="Arial" w:cs="Arial" w:eastAsia="Arial" w:hAnsi="Arial"/>
                <w:sz w:val="18"/>
                <w:szCs w:val="18"/>
                <w:b w:val="1"/>
                <w:bCs w:val="1"/>
                <w:color w:val="auto"/>
                <w:w w:val="94"/>
              </w:rPr>
              <w:t xml:space="preserve">Notes </w:t>
            </w:r>
            <w:r>
              <w:rPr>
                <w:rFonts w:ascii="Arial" w:cs="Arial" w:eastAsia="Arial" w:hAnsi="Arial"/>
                <w:sz w:val="23"/>
                <w:szCs w:val="23"/>
                <w:b w:val="1"/>
                <w:bCs w:val="1"/>
                <w:color w:val="auto"/>
                <w:w w:val="94"/>
                <w:vertAlign w:val="superscript"/>
              </w:rPr>
              <w:t>(1)</w:t>
            </w:r>
          </w:p>
        </w:tc>
        <w:tc>
          <w:tcPr>
            <w:tcW w:w="138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300" w:type="dxa"/>
            <w:vAlign w:val="bottom"/>
          </w:tcPr>
          <w:p>
            <w:pPr>
              <w:jc w:val="center"/>
              <w:spacing w:after="0" w:line="243" w:lineRule="exact"/>
              <w:rPr>
                <w:sz w:val="20"/>
                <w:szCs w:val="20"/>
                <w:color w:val="auto"/>
              </w:rPr>
            </w:pPr>
            <w:r>
              <w:rPr>
                <w:rFonts w:ascii="Arial" w:cs="Arial" w:eastAsia="Arial" w:hAnsi="Arial"/>
                <w:sz w:val="18"/>
                <w:szCs w:val="18"/>
                <w:b w:val="1"/>
                <w:bCs w:val="1"/>
                <w:color w:val="auto"/>
                <w:w w:val="96"/>
              </w:rPr>
              <w:t xml:space="preserve">(Shares) </w:t>
            </w:r>
            <w:r>
              <w:rPr>
                <w:rFonts w:ascii="Arial" w:cs="Arial" w:eastAsia="Arial" w:hAnsi="Arial"/>
                <w:sz w:val="23"/>
                <w:szCs w:val="23"/>
                <w:b w:val="1"/>
                <w:bCs w:val="1"/>
                <w:color w:val="auto"/>
                <w:w w:val="96"/>
                <w:vertAlign w:val="superscript"/>
              </w:rPr>
              <w:t>(2)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of Warrants</w:t>
            </w:r>
          </w:p>
        </w:tc>
        <w:tc>
          <w:tcPr>
            <w:tcW w:w="0" w:type="dxa"/>
            <w:vAlign w:val="bottom"/>
          </w:tcPr>
          <w:p>
            <w:pPr>
              <w:spacing w:after="0"/>
              <w:rPr>
                <w:sz w:val="1"/>
                <w:szCs w:val="1"/>
                <w:color w:val="auto"/>
              </w:rPr>
            </w:pPr>
          </w:p>
        </w:tc>
      </w:tr>
      <w:tr>
        <w:trPr>
          <w:trHeight w:val="223"/>
        </w:trPr>
        <w:tc>
          <w:tcPr>
            <w:tcW w:w="1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PSP1</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April 20, 2020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29"/>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PSP2</w:t>
            </w:r>
          </w:p>
        </w:tc>
        <w:tc>
          <w:tcPr>
            <w:tcW w:w="17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January 15, 2021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3,533</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29"/>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PSP3</w:t>
            </w:r>
          </w:p>
        </w:tc>
        <w:tc>
          <w:tcPr>
            <w:tcW w:w="1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April 23, 2021</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32"/>
        </w:trPr>
        <w:tc>
          <w:tcPr>
            <w:tcW w:w="12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3,746</w:t>
            </w:r>
          </w:p>
        </w:tc>
        <w:tc>
          <w:tcPr>
            <w:tcW w:w="8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12,786</w:t>
            </w: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00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182"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See Note 4 for further information on the promissory notes issued.</w:t>
      </w:r>
    </w:p>
    <w:p>
      <w:pPr>
        <w:spacing w:after="0" w:line="138"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The payroll support program warrants (PSP Warrants) are subject to certain anti-dilution provisions, do not have any voting rights and are freely transferable, with registration rights. Each warrant expires on the fifth anniversary of the date of issuance, with expiration dates ranging from April 2025 to June 2026, and will be exercisable either through net share settlement or cash, at our option. The warrants were issued solely as compensation to the U.S. Government related to entry into the PSP Agreements. No separate proceeds (apart from the financial assistance described below) were received upon issuance of the warrants or will be received upon exercise thereof.</w:t>
      </w:r>
    </w:p>
    <w:p>
      <w:pPr>
        <w:spacing w:after="0" w:line="13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connection with the PSP Agreements entered into with Treasury, we were required to comply with the relevant provisions of the CARES Act, the PSP Extension Law, and the ARP, which included the requirement that funds provided pursuant to these programs be used exclusively for the continuation of payment of eligible employee wages, salaries and benefits, the prohibition against involuntary furloughs and reductions in employee pay rates and benefits, the requirement that certain levels of commercial air service be maintained, provisions that prohibited the repurchase of AAG common stock and the payment of common stock dividends as well as provisions that restrict the payment of certain executive compensation. As of December 31, 2023, all of these provisions have expired.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For accounting purposes, the $12.8 billion of aggregate financial assistance received pursuant to the PSP Agreements was allocated to the promissory notes, warrants and other financial assistance (PSP Financial Assistance). The aggregate principal amount of the promissory notes was recorded as unsecured long-term debt and the total fair value of the warrants, estimated using a Black-Scholes option pricing model, was recorded in stockholders’ deficit in the consolidated balance sheets. The remaining amounts were recognized in 2020 and 2021 as a credit to special items, net in the consolidated statements of operations over the period which the continuation of payment of eligible employee wages, salaries and benefits was required.</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Treasury Loan Agreement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September 25, 2020 (the Treasury Loan Closing Date), AAG and American entered into a Loan and Guarantee Agreement (the Treasury Loan Agreement) with Treasury, which provided for a secured term loan facility (the Treasury Term Loan Facility) that permitted American to borrow up to $5.5 billion. Subsequently, on October 21, 2020, AAG and American entered into an amendment to the Treasury Loan Agreement which increased the borrowing amount up to $7.5 billion. In connection with entry into the Treasury Loan Agreement, on the Treasury Loan Closing Date, AAG also entered into a warrant agreement (the Treasury Loan Warrant Agreement) with Treasury.</w:t>
      </w:r>
    </w:p>
    <w:p>
      <w:pPr>
        <w:spacing w:after="0" w:line="1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September 2020, American borrowed $ 550 million under the Treasury Term Loan Facility and on March 24, 2021, used a portion of the proceeds from the AAdvantage Financing to prepay in full the $550 million of outstanding loans under the Treasury Term Loan Facility and terminated the Treasury Loan Agreement. Pursuant to the Treasury Loan Agreement, AAG issued to Treasury warrants (Treasury Loan Warrants) to purchase up to an aggregate of approximately 4.4 million shares of AAG common stock (the Treasury Loan Warrant Shares), which expire in September 2025. The exercise price of the Treasury Loan Warrant Shares is $ 12.51 per share, subject to certain anti-dilution provisions provided for in the Treasury Loan Warrant Agreement. For accounting purposes, the fair value for the Treasury Loan Warrant Shares, estimated using a Black-Scholes option pricing model, was recorded in stockholders' deficit with an offsetting debt discount to the Treasury Term Loan Facility in the consolidated balance sheet. The provisions of the Treasury Loan Warrants are substantially similar to the PSP Warrants.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 Recent Accounting Pronouncements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ASU 2023-07: Segment Reporting (Topic 280) Improvements to Reportable Segment Disclosures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This standard improves reportable segment disclosure requirements, primarily through enhanced disclosures about significant segment expenses. The amendments in this update are effective for fiscal years beginning after December 15, 2023 and interim periods within fiscal years beginning after December 15, 2024, and early adoption is permitted. We are currently evaluating how the adoption of this standard will impact our reportable segment disclosures.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ASU 2023-09: Income Taxes (Topic 740) Improvements to Income Tax Disclosures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This standard enhances transparency of income tax information through improvements to income tax disclosures primarily related to the rate reconciliation and income taxes paid information, as well as improvements to the effectiveness and comparability of other income tax disclosures. The amendments in this update are effective for annual periods beginning after December 15, 2024, and early adoption is permitted. We are currently evaluating how the adoption of this standard will impact our income tax disclosures.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 Investments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Short-term investments primarily include debt securities and are classified as available-for-sale and stated at fair value. Realized gains and losses are recorded as interest income in nonoperating expense, net on our consolidated statements of operations. Unrealized gains and losses are recorded as a component of accumulated other comprehensive loss on our consolidated balance sheets. For investments in an unrealized loss position, we determine whether a credit loss exists by considering information about the collectability of the instrument, current market conditions and reasonable and supportable forecasts of economic conditions. There have been no credit losses.</w:t>
      </w:r>
    </w:p>
    <w:p>
      <w:pPr>
        <w:spacing w:after="0" w:line="1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Equity investments are accounted for under the equity method if we are able to exercise significant influence over an investee. Equity investments for which we do not have significant influence are recorded at fair value or at cost, if fair value is not readily determinable, with adjustments for observable changes in price or impairments (referred to as the measurement alternative). Our share of equity method investees’ financial results and changes in fair value are recorded in nonoperating other income (expense), net on the consolidated statements of operations. See Note 8 for additional information related to our equity investments.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Restricted Cash and Short-term Investments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We have restricted cash and short-term investments related primarily to collateral held to support workers’ compensation obligations and collateral associated with the AAdvantage Financing.</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 Accounts Receivable, Net</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Accounts receivable primarily consist of amounts due from credit card processing companies for tickets sold to individual passengers, amounts due from airline and non-airline business partners, including our co-branded credit card partners and cargo customers. Receivables from ticket sales are short-term, mostly settled within seven days after sale. Receivables from our business partners are typically settled within 30 days. All accounts receivable are reported net of an allowance for credit losses, which was not material as of December 31, 2023 and 2022. We consider past and future financial and qualitative factors, including aging, payment history and other credit monitoring indicators, when establishing the allowance for credit losses.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 Aircraft Fuel, Spare Parts and Supplies, Net</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Aircraft fuel is recorded on a first-in, first-out basis. Spare parts and supplies are recorded at average costs less an allowance for obsolescence, which is recognized over the weighted average remaining useful life of the related fleet. We also provide an allowance for spare parts and supplies identified as excess or obsolete to reduce the carrying cost to the lower of cost or net realizable value. Aircraft fuel, spare parts and supplies are expensed when used.</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 Operating Property and Equipment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Operating property and equipment is recorded at cost and depreciated or amortized to residual values over the asset’s estimated useful life or the lease term, whichever is less, using the straight-line method. Residual values for aircraft, engines and related rotable parts are generally 5% to 10% of original cost. Costs of major improvements that enhance the usefulness of the asset are capitalized and depreciated or amortized over the estimated useful life of the asset or the lease term, whichever is less. The estimated useful lives for the principal property and equipment classifications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Principal Property and Equipment Classification</w:t>
            </w:r>
          </w:p>
        </w:tc>
        <w:tc>
          <w:tcPr>
            <w:tcW w:w="47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Estimated Useful Life</w:t>
            </w: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Aircraft, engines and related rotable parts</w:t>
            </w: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 30 years</w:t>
            </w:r>
          </w:p>
        </w:tc>
      </w:tr>
      <w:tr>
        <w:trPr>
          <w:trHeight w:val="229"/>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38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 30 years</w:t>
            </w:r>
          </w:p>
        </w:tc>
      </w:tr>
      <w:tr>
        <w:trPr>
          <w:trHeight w:val="229"/>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other equipment</w:t>
            </w: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 15 years</w:t>
            </w:r>
          </w:p>
        </w:tc>
      </w:tr>
      <w:tr>
        <w:trPr>
          <w:trHeight w:val="239"/>
        </w:trPr>
        <w:tc>
          <w:tcPr>
            <w:tcW w:w="20" w:type="dxa"/>
            <w:vAlign w:val="bottom"/>
          </w:tcPr>
          <w:p>
            <w:pPr>
              <w:spacing w:after="0"/>
              <w:rPr>
                <w:sz w:val="20"/>
                <w:szCs w:val="20"/>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Capitalized software</w:t>
            </w:r>
          </w:p>
        </w:tc>
        <w:tc>
          <w:tcPr>
            <w:tcW w:w="38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 10 years</w:t>
            </w:r>
          </w:p>
        </w:tc>
      </w:tr>
    </w:tbl>
    <w:p>
      <w:pPr>
        <w:spacing w:after="0" w:line="21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Total mainline and regional depreciation and amortization expense was $2.3 billion for each of the years ended December 31, 2023, 2022 and 2021.</w:t>
      </w:r>
    </w:p>
    <w:p>
      <w:pPr>
        <w:spacing w:after="0" w:line="10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assess impairment of operating property and equipment when events and circumstances indicate that the assets may be impaired. An impairment of an asset or group of assets exists only when the sum of the estimated undiscounted cash flows expected to be generated directly by the assets are less than the carrying value of the assets. We group assets principally by fleet-type when estimating future cash flows, which is generally the lowest level for which identifiable cash flows exist. Estimates of future cash flows are based on historical results adjusted to reflect management’s best estimate of future market and operating conditions, including our current fleet plan. If such assets are impaired, the impairment charge recognized is the amount by which the carrying value of the assets exceed their fair value. Fair value reflects management’s best estimate including inputs from published pricing guides and bids from third parties as well as contracted sales agreements when applicable.</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 Leases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current operating lease liabilities and noncurrent operating lease liabilities on our consolidated balance sheets. Finance leases are included in property and equipment, current maturities of long-term debt and finance leases and long-term debt and finance leases, net of current maturities, on our consolidated balance sheets.</w:t>
      </w:r>
    </w:p>
    <w:p>
      <w:pPr>
        <w:spacing w:after="0" w:line="121"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ROU assets and liabilities are recognized at the lease commencement date based on the estimated present value of lease payments over the lease term.</w:t>
      </w:r>
    </w:p>
    <w:p>
      <w:pPr>
        <w:sectPr>
          <w:pgSz w:w="11900" w:h="16838" w:orient="portrait"/>
          <w:cols w:equalWidth="0" w:num="1">
            <w:col w:w="11240"/>
          </w:cols>
          <w:pgMar w:left="320" w:top="121" w:right="33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use our estimated incremental borrowing rate, which is derived from information available at the lease commencement date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in determining the present value of lease payments. We give consideration to our recent debt issuances as well as publicly available data for instruments with similar characteristics when calculating our incremental borrowing rates.</w:t>
      </w:r>
    </w:p>
    <w:p>
      <w:pPr>
        <w:spacing w:after="0" w:line="115"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Our lease term includes options to extend the lease when it is reasonably certain that we will exercise that option. Leases with a term of 12 months or less are not recorded on our consolidated balance sheets.</w:t>
      </w:r>
    </w:p>
    <w:p>
      <w:pPr>
        <w:spacing w:after="0" w:line="10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Under certain of our capacity purchase agreements with third-party regional carriers, we do not own the underlying aircraft. However, since we control the marketing, scheduling, ticketing, pricing and seat inventories of these aircraft and therefore control the asset, the aircraft is deemed to be leased for accounting purposes. For these capacity purchase agreements, we account for the lease and non-lease components separately. The lease component consists of the aircraft and the non-lease components consist of services, such as the crew and maintenance. Where applicable, we allocate the consideration in the capacity purchase agreements to the lease and non-lease components using their estimated relative standalone prices. See Note 11(b) for additional information on our capacity purchase agreements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real estate, we account for the lease and non-lease components as a single lease component.</w:t>
      </w:r>
    </w:p>
    <w:p>
      <w:pPr>
        <w:spacing w:after="0" w:line="2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(j) Income Taxes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recorded net as noncurrent deferred income taxes.</w:t>
      </w:r>
    </w:p>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provide a valuation allowance for our deferred tax assets when it is more likely than not that some portion, or all of our deferred tax assets, will not be realized. The ultimate realization of deferred tax assets is dependent upon the generation of future taxable income.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(k) Goodwill</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Goodwill represents the purchase price in excess of the fair value of the net assets acquired and liabilities assumed in connection with the 2013 merger with US Airways Group, Inc. (US Airways Group). We have one reporting unit. We assess goodwill for impairment annually or more frequently if events or circumstances indicate that the fair value of goodwill may be lower than the carrying value. Our annual assessment date is October 1.</w:t>
      </w:r>
    </w:p>
    <w:p>
      <w:pPr>
        <w:spacing w:after="0" w:line="12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Goodwill is assessed for impairment by initially performing a qualitative assessment. If we determine that it is more likely than not that our goodwill may be impaired, we use a quantitative approach to assess the asset’s fair value and the amount of the impairment, if any. Based upon our annual assessment, there was no goodwill impairment in 2023. The carrying value of our goodwill on our consolidated balance sheets was $4.1 billion as of December 31, 2023 and 2022.</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 Other Intangibles, Net</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Intangible assets consist primarily of certain domestic airport slots and gate leasehold rights, customer relationships, marketing agreements, commercial agreements, international slots and route authorities and tradenames.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Definite-Lived Intangible Assets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Definite-lived intangible assets are originally recorded at their acquired fair values, subsequently amortized over their respective estimated useful lives and are assessed for impairment whenever events and circumstances indicate that the assets may be impaired.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information relating to our amortizable intangible assets as of December 31, 2023 and 2022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2022</w:t>
            </w: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airport slots</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agreements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Tradenames</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Airport gate leasehold rights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r>
      <w:tr>
        <w:trPr>
          <w:trHeight w:val="248"/>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Certain domestic airport slots and airport gate leasehold rights are amortized on a straight-line basis over 25 years. Certain marketing agreements were identified as intangible assets subject to amortization and are amortized on a straight-line basis over approximately 30 years. Customer relationships and tradenames are fully amortized.</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recorded amortization expense related to these intangible assets of $7 million for the year ended December 31, 2023 and $41 million for each of the years ended December 31, 2022 and 2021. We expect to record annual amortization expense for these intangible assets as follows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2025</w:t>
            </w: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2027</w:t>
            </w: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2029 and thereafter</w:t>
            </w: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48"/>
        </w:trPr>
        <w:tc>
          <w:tcPr>
            <w:tcW w:w="9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Indefinite-Lived Intangible Assets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Indefinite-lived intangible assets include certain domestic airport slots, international slots and route authorities and our commercial agreement with GOL Linhas Aéreas Inteligentes S.A. (GOL). We assess indefinite-lived intangible assets for impairment annually or more frequently if events or circumstances indicate that the fair values of indefinite-lived intangible assets may be lower than their carrying values. Our annual assessment date is October 1.</w:t>
      </w:r>
    </w:p>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Indefinite-lived intangible assets are assessed for impairment by initially performing a qualitative assessment. If we determine that it is more likely than not that our indefinite-lived intangible assets may be impaired, we use a quantitative approach to assess the asset’s fair value and the amount of the impairment, if any. Based upon our annual assessment, there were no indefinite-lived intangible asset impairments in 2023. We had $1.9 billion of indefinite-lived intangible assets on our consolidated balance sheets as of December 31, 2023 and 2022.</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right="8820" w:hanging="9"/>
        <w:spacing w:after="0" w:line="342" w:lineRule="auto"/>
        <w:tabs>
          <w:tab w:leader="none" w:pos="589"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i w:val="1"/>
          <w:iCs w:val="1"/>
          <w:u w:val="single" w:color="auto"/>
          <w:color w:val="auto"/>
        </w:rPr>
        <w:t>Revenue</w:t>
      </w:r>
    </w:p>
    <w:p>
      <w:pPr>
        <w:spacing w:after="0" w:line="1" w:lineRule="exact"/>
        <w:rPr>
          <w:rFonts w:ascii="Arial" w:cs="Arial" w:eastAsia="Arial" w:hAnsi="Arial"/>
          <w:sz w:val="18"/>
          <w:szCs w:val="18"/>
          <w:b w:val="1"/>
          <w:bCs w:val="1"/>
          <w:i w:val="1"/>
          <w:iCs w:val="1"/>
          <w:color w:val="auto"/>
        </w:rPr>
      </w:pPr>
    </w:p>
    <w:p>
      <w:pPr>
        <w:ind w:left="2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are the significant categories comprising our operating revenues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09"/>
        </w:trPr>
        <w:tc>
          <w:tcPr>
            <w:tcW w:w="2080" w:type="dxa"/>
            <w:vAlign w:val="bottom"/>
            <w:tcBorders>
              <w:bottom w:val="single" w:sz="8" w:color="CCEEFF"/>
            </w:tcBorders>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10"/>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gridSpan w:val="2"/>
          </w:tcPr>
          <w:p>
            <w:pPr>
              <w:ind w:left="220"/>
              <w:spacing w:after="0"/>
              <w:rPr>
                <w:sz w:val="20"/>
                <w:szCs w:val="20"/>
                <w:color w:val="auto"/>
              </w:rPr>
            </w:pPr>
            <w:r>
              <w:rPr>
                <w:rFonts w:ascii="Arial" w:cs="Arial" w:eastAsia="Arial" w:hAnsi="Arial"/>
                <w:sz w:val="18"/>
                <w:szCs w:val="18"/>
                <w:color w:val="auto"/>
              </w:rPr>
              <w:t>Passenger travel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44,914</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41,425</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23,896</w:t>
            </w:r>
          </w:p>
        </w:tc>
      </w:tr>
      <w:tr>
        <w:trPr>
          <w:trHeight w:val="229"/>
        </w:trPr>
        <w:tc>
          <w:tcPr>
            <w:tcW w:w="64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r>
      <w:tr>
        <w:trPr>
          <w:trHeight w:val="223"/>
        </w:trPr>
        <w:tc>
          <w:tcPr>
            <w:tcW w:w="6460" w:type="dxa"/>
            <w:vAlign w:val="bottom"/>
            <w:gridSpan w:val="2"/>
          </w:tcPr>
          <w:p>
            <w:pPr>
              <w:ind w:left="480"/>
              <w:spacing w:after="0"/>
              <w:rPr>
                <w:sz w:val="20"/>
                <w:szCs w:val="20"/>
                <w:color w:val="auto"/>
              </w:rPr>
            </w:pPr>
            <w:r>
              <w:rPr>
                <w:rFonts w:ascii="Arial" w:cs="Arial" w:eastAsia="Arial" w:hAnsi="Arial"/>
                <w:sz w:val="18"/>
                <w:szCs w:val="18"/>
                <w:color w:val="auto"/>
              </w:rPr>
              <w:t>Total passenger revenue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48,512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26,063</w:t>
            </w:r>
          </w:p>
        </w:tc>
      </w:tr>
      <w:tr>
        <w:trPr>
          <w:trHeight w:val="229"/>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29"/>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Loyalty revenue - marketing services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r>
      <w:tr>
        <w:trPr>
          <w:trHeight w:val="229"/>
        </w:trPr>
        <w:tc>
          <w:tcPr>
            <w:tcW w:w="6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223"/>
        </w:trPr>
        <w:tc>
          <w:tcPr>
            <w:tcW w:w="6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w:t>
            </w:r>
          </w:p>
        </w:tc>
      </w:tr>
      <w:tr>
        <w:trPr>
          <w:trHeight w:val="223"/>
        </w:trPr>
        <w:tc>
          <w:tcPr>
            <w:tcW w:w="6460" w:type="dxa"/>
            <w:vAlign w:val="bottom"/>
            <w:gridSpan w:val="2"/>
          </w:tcPr>
          <w:p>
            <w:pPr>
              <w:ind w:left="680"/>
              <w:spacing w:after="0"/>
              <w:rPr>
                <w:sz w:val="20"/>
                <w:szCs w:val="20"/>
                <w:color w:val="auto"/>
              </w:rPr>
            </w:pPr>
            <w:r>
              <w:rPr>
                <w:rFonts w:ascii="Arial" w:cs="Arial" w:eastAsia="Arial" w:hAnsi="Arial"/>
                <w:sz w:val="18"/>
                <w:szCs w:val="18"/>
                <w:color w:val="auto"/>
              </w:rPr>
              <w:t>Total operating revenues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52,788</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48,971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29,882</w:t>
            </w:r>
          </w:p>
        </w:tc>
      </w:tr>
      <w:tr>
        <w:trPr>
          <w:trHeight w:val="20"/>
        </w:trPr>
        <w:tc>
          <w:tcPr>
            <w:tcW w:w="20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4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 See “</w:t>
      </w:r>
      <w:r>
        <w:rPr>
          <w:rFonts w:ascii="Arial" w:cs="Arial" w:eastAsia="Arial" w:hAnsi="Arial"/>
          <w:sz w:val="18"/>
          <w:szCs w:val="18"/>
          <w:i w:val="1"/>
          <w:iCs w:val="1"/>
          <w:color w:val="auto"/>
        </w:rPr>
        <w:t>Loyalty Revenue</w:t>
      </w:r>
      <w:r>
        <w:rPr>
          <w:rFonts w:ascii="Arial" w:cs="Arial" w:eastAsia="Arial" w:hAnsi="Arial"/>
          <w:sz w:val="18"/>
          <w:szCs w:val="18"/>
          <w:color w:val="auto"/>
        </w:rPr>
        <w:t>” below for further discussion on these mileage credits.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9"/>
        </w:trPr>
        <w:tc>
          <w:tcPr>
            <w:tcW w:w="64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21,453</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6,719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3,506</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48"/>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48,512</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26,063</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Passenger Revenue</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recognize all revenues generated from transportation on American and our regional flights operated under the brand name American Eagle, including associated baggage fees and other inflight services, as passenger revenue when transportation is provided. Ticket and other related sales for transportation that has not yet been provided are initially deferred and recorded as air traffic liability on our consolidated balance sheets. The air traffic liability principally represents tickets sold for future travel on American and partner airlines.</w:t>
      </w:r>
    </w:p>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majority of tickets sold are nonrefundable. A small percentage of tickets, some of which are partially used tickets, expire unused. The estimate for tickets expected to expire unused is generally based on an analysis of our historical data and other current applicable factors such as policy changes. We have consistently applied this accounting method to estimate and recognize revenue from unused tickets at the date of travel. This estimate is periodically evaluated based on subsequent activity to validate its accuracy. Any adjustments resulting from periodic evaluations of the estimated air traffic liability are included in passenger revenue during the period in which the evaluations are completed.</w:t>
      </w:r>
    </w:p>
    <w:p>
      <w:pPr>
        <w:spacing w:after="0" w:line="12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Various taxes and fees assessed on the sale of tickets to end customers are collected by us as an agent and remitted to taxing authorities. These taxes and fees have been presented on a net basis in the accompanying consolidated statements of operations and recorded as a liability until remitted to the appropriate taxing authority.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Loyalty Revenue</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We currently operate the loyalty program, AAdvantage.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our co-branded credit cards,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hotels and car rental companies. Mileage credits can be redeemed for travel on American and other participating partner airlines, as well as non-air travel awards such as hotels and rental cars. For mileage credits earned by AAdvantage program members, we apply the deferred revenue method.</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Mileage credits earned through travel</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For mileage credits earned through travel, we apply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cash fares as those used to settle award redemptions. The estimated selling price of mileage credits is adjusted for an estimate of mileage credits that will not be redeemed using a statistical model based on historical redemption patterns to develop an estimate of the likelihood of future redemption.</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Mileage credits sold to co-branded credit cards and other partners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sell mileage credits to participating airline partners and non-airline business partners, including our co-branded credit card partners, under contracts with remaining terms generally from one to six years as of December 31, 2023. Consideration received from the sale of mileage credits is variable and payment terms typically are within 30 days subsequent to the month of mileage sale. Sales of mileage credits to non-airline business partners are comprised of two components, transportation and marketing. We allocate the consideration received from these sales of mileage credits based on the relative selling price of each product or service delivered.</w:t>
      </w:r>
    </w:p>
    <w:p>
      <w:pPr>
        <w:spacing w:after="0" w:line="1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Our most significant mileage credit partner agreements are our co-branded credit card agreements with Citi and Barclaycard US. We identified two revenue elements in these co-branded credit card agreements: the transportation component and the marketing component.</w:t>
      </w:r>
    </w:p>
    <w:p>
      <w:pPr>
        <w:spacing w:after="0" w:line="100"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marketing component includes the use of intellectual property, including the American brand and access to loyalty program member lists, which is the predominant element in these agreements, as well as advertising and other travel-related benefits. We recognize the marketing component in other revenue in the period of the mileage credit sale following the sales-based royalty method.</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For the portion of our outstanding mileage credits that we estimate will not be redeemed, we recognize the associated value proportionally as the remaining mileage credits are redeemed. Our estimates use a statistical model based on historical redemption patterns to develop an estimate of the likelihood of future redemption.</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Cargo Revenue</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Cargo revenue is recognized when we provide the transportation.</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Other Revenue</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Other revenue includes revenue associated with our loyalty program, which is comprised principally of the marketing component of mileage credit sales to co-branded credit card and other partners and other marketing related payments. The accounting and recognition for the loyalty program marketing services are discussed above in “</w:t>
      </w:r>
      <w:r>
        <w:rPr>
          <w:rFonts w:ascii="Arial" w:cs="Arial" w:eastAsia="Arial" w:hAnsi="Arial"/>
          <w:sz w:val="18"/>
          <w:szCs w:val="18"/>
          <w:i w:val="1"/>
          <w:iCs w:val="1"/>
          <w:color w:val="auto"/>
        </w:rPr>
        <w:t>Loyalty Revenue</w:t>
      </w:r>
      <w:r>
        <w:rPr>
          <w:rFonts w:ascii="Arial" w:cs="Arial" w:eastAsia="Arial" w:hAnsi="Arial"/>
          <w:sz w:val="18"/>
          <w:szCs w:val="18"/>
          <w:color w:val="auto"/>
        </w:rPr>
        <w:t>.” The remaining amounts included within other revenue relate to airport clubs, other commission revenue, advertising and vacation-related services.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travel and non-air travel awards, reported as loyalty program liability on our consolidated balance sheets and (2) ticket sales for transportation that has not yet been provided, reported as air traffic liability on our consolidated balance sheets.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8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r>
      <w:tr>
        <w:trPr>
          <w:trHeight w:val="196"/>
        </w:trPr>
        <w:tc>
          <w:tcPr>
            <w:tcW w:w="7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7"/>
                <w:szCs w:val="17"/>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w:t>
            </w:r>
          </w:p>
        </w:tc>
      </w:tr>
      <w:tr>
        <w:trPr>
          <w:trHeight w:val="248"/>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15,890</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5938520</wp:posOffset>
            </wp:positionH>
            <wp:positionV relativeFrom="paragraph">
              <wp:posOffset>-615950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ectPr>
          <w:pgSz w:w="11900" w:h="16838" w:orient="portrait"/>
          <w:cols w:equalWidth="0" w:num="1">
            <w:col w:w="11240"/>
          </w:cols>
          <w:pgMar w:left="320" w:top="121" w:right="339" w:bottom="1440" w:gutter="0" w:footer="0" w:header="0"/>
        </w:sectPr>
      </w:pP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Balance at December 31, 2023 </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00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242" w:hanging="1242"/>
        <w:spacing w:after="0"/>
        <w:tabs>
          <w:tab w:leader="none" w:pos="1242" w:val="left"/>
        </w:tabs>
        <w:numPr>
          <w:ilvl w:val="0"/>
          <w:numId w:val="42"/>
        </w:numPr>
        <w:rPr>
          <w:rFonts w:ascii="Arial" w:cs="Arial" w:eastAsia="Arial" w:hAnsi="Arial"/>
          <w:sz w:val="18"/>
          <w:szCs w:val="18"/>
          <w:color w:val="auto"/>
        </w:rPr>
      </w:pPr>
      <w:r>
        <w:rPr>
          <w:rFonts w:ascii="Arial" w:cs="Arial" w:eastAsia="Arial" w:hAnsi="Arial"/>
          <w:sz w:val="18"/>
          <w:szCs w:val="18"/>
          <w:color w:val="auto"/>
        </w:rPr>
        <w:t>9,145</w:t>
      </w:r>
    </w:p>
    <w:p>
      <w:pPr>
        <w:spacing w:after="0" w:line="31" w:lineRule="exact"/>
        <w:rPr>
          <w:rFonts w:ascii="Arial" w:cs="Arial" w:eastAsia="Arial" w:hAnsi="Arial"/>
          <w:sz w:val="18"/>
          <w:szCs w:val="18"/>
          <w:color w:val="auto"/>
        </w:rPr>
      </w:pPr>
    </w:p>
    <w:p>
      <w:pPr>
        <w:ind w:left="1242"/>
        <w:spacing w:after="0"/>
        <w:rPr>
          <w:rFonts w:ascii="Arial" w:cs="Arial" w:eastAsia="Arial" w:hAnsi="Arial"/>
          <w:sz w:val="18"/>
          <w:szCs w:val="18"/>
          <w:color w:val="auto"/>
        </w:rPr>
      </w:pPr>
      <w:r>
        <w:rPr>
          <w:rFonts w:ascii="Arial" w:cs="Arial" w:eastAsia="Arial" w:hAnsi="Arial"/>
          <w:sz w:val="18"/>
          <w:szCs w:val="18"/>
          <w:color w:val="auto"/>
        </w:rPr>
        <w:t>3,810</w:t>
      </w:r>
    </w:p>
    <w:p>
      <w:pPr>
        <w:spacing w:after="0" w:line="2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(3,628)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wp:posOffset>
            </wp:positionV>
            <wp:extent cx="11303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6" w:lineRule="exact"/>
        <w:rPr>
          <w:sz w:val="20"/>
          <w:szCs w:val="20"/>
          <w:color w:val="auto"/>
        </w:rPr>
      </w:pPr>
    </w:p>
    <w:p>
      <w:pPr>
        <w:ind w:left="1242" w:hanging="1242"/>
        <w:spacing w:after="0"/>
        <w:tabs>
          <w:tab w:leader="none" w:pos="1242" w:val="left"/>
        </w:tabs>
        <w:numPr>
          <w:ilvl w:val="0"/>
          <w:numId w:val="43"/>
        </w:numPr>
        <w:rPr>
          <w:rFonts w:ascii="Arial" w:cs="Arial" w:eastAsia="Arial" w:hAnsi="Arial"/>
          <w:sz w:val="18"/>
          <w:szCs w:val="18"/>
          <w:color w:val="auto"/>
        </w:rPr>
      </w:pPr>
      <w:r>
        <w:rPr>
          <w:rFonts w:ascii="Arial" w:cs="Arial" w:eastAsia="Arial" w:hAnsi="Arial"/>
          <w:sz w:val="18"/>
          <w:szCs w:val="18"/>
          <w:color w:val="auto"/>
        </w:rPr>
        <w:t>9,327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11303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303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1303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8758" w:space="720"/>
            <w:col w:w="1762"/>
          </w:cols>
          <w:pgMar w:left="320" w:top="121" w:right="339" w:bottom="1440" w:gutter="0" w:footer="0" w:header="0"/>
          <w:type w:val="continuous"/>
        </w:sectPr>
      </w:pPr>
    </w:p>
    <w:p>
      <w:pPr>
        <w:spacing w:after="0" w:line="55" w:lineRule="exact"/>
        <w:rPr>
          <w:sz w:val="20"/>
          <w:szCs w:val="20"/>
          <w:color w:val="auto"/>
        </w:rPr>
      </w:pPr>
    </w:p>
    <w:p>
      <w:pPr>
        <w:jc w:val="both"/>
        <w:ind w:left="340" w:hanging="332"/>
        <w:spacing w:after="0"/>
        <w:tabs>
          <w:tab w:leader="none" w:pos="334"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39"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24 months or if the AAdvantage member is the primary holder of a co-branded credit card. As of December 31, 2023, our current loyalty program liability was $3.5 billion and represents our current estimate of revenue expected to be recognized in the next 12 months based on historical trends, with the balance reflected in long-term loyalty program liability expected to be recognized as revenue in periods thereafter.</w:t>
      </w:r>
    </w:p>
    <w:p>
      <w:pPr>
        <w:spacing w:after="0" w:line="13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The balance in our air traffic liability also fluctuates with seasonal travel patterns. The contract duration of passenger tickets is generally one year. Accordingly, any revenue associated with tickets sold for future travel will be recognized within 12 months. For 2023, $5.3 billion of revenue was recognized in passenger revenue that was included in our air traffic liability at December 31, 2022.</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 Maintenance, Materials and Repairs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Maintenance and repair costs for owned and leased flight equipment are charged to operating expense as incurred, except costs incurred for maintenance and repair under certain power-by-the-hour maintenance agreements, which are charged to operating expense based on contractual terms when an obligation exists.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 Selling Expenses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Selling expenses include credit card fees, commissions, third party distribution channel fees and advertising. Selling expenses associated with passenger revenue are expensed when the transportation or service is provided. Advertising costs are expensed as incurred. Advertising expense was $114 million for the year ended December 31, 2023 and $105 million for each of the years ended December 31, 2022 and 2021.</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 Share-based Compensation</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account for our share-based compensation expense based on the fair value of the stock award at the time of grant, which is recognized ratably over the vesting period of the stock award. Certain awards have performance conditions that must be achieved prior to vesting and are expensed based on the expected achievement at each reporting period. The majority of our stock awards are time vested restricted stock units, and the fair value of such awards is based on the market price of the underlying shares of AAG common stock on the date of grant. See Note 14 for further discussion of share-based compensation.</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(q) Foreign Currency Gains and Losses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Foreign currency gains and losses are recorded as part of other income (expense), net within total nonoperating expense, net on our consolidated statements of operations. For the years ended December 31, 2023, 2022 and 2021, respectively, foreign currency losses were $30 million, $38 million and $4 million.</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 Other Operating Expenses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Other operating expenses includes costs associated with onboard food and catering, crew travel, ground and cargo handling, passenger accommodation, international navigation fees, aircraft cleaning, airport lounge operations and certain general and administrative expenses.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 Regional Expenses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Our regional carriers provide scheduled air transportation under the brand name “American Eagle.” The American Eagle carriers include our wholly-owned regional carriers as well as third-party regional carriers. Our regional carrier arrangements are in the form of capacity purchase agreements with our third-party regional partners and similar arrangements with our wholly-owned regional affiliates. Expenses associated with American Eagle operations are classified as regional expenses on the consolidated statements of operations.</w:t>
      </w:r>
    </w:p>
    <w:p>
      <w:pPr>
        <w:spacing w:after="0" w:line="121" w:lineRule="exact"/>
        <w:rPr>
          <w:sz w:val="20"/>
          <w:szCs w:val="20"/>
          <w:color w:val="auto"/>
        </w:rPr>
      </w:pPr>
    </w:p>
    <w:p>
      <w:pPr>
        <w:jc w:val="both"/>
        <w:ind w:right="20" w:firstLine="243"/>
        <w:spacing w:after="0" w:line="285" w:lineRule="auto"/>
        <w:rPr>
          <w:sz w:val="20"/>
          <w:szCs w:val="20"/>
          <w:color w:val="auto"/>
        </w:rPr>
      </w:pPr>
      <w:r>
        <w:rPr>
          <w:rFonts w:ascii="Arial" w:cs="Arial" w:eastAsia="Arial" w:hAnsi="Arial"/>
          <w:sz w:val="18"/>
          <w:szCs w:val="18"/>
          <w:color w:val="auto"/>
        </w:rPr>
        <w:t>Regional expenses for the years ended December 31, 2023</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2022 and 2021 include $318 million, $321 million and $316 million of depreciation and amortization, respectively, and $7 million, $5 million and $6 million of aircraft rent, respectively.</w:t>
      </w:r>
    </w:p>
    <w:p>
      <w:pPr>
        <w:spacing w:after="0" w:line="10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2023</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2022 and 2021, we recognized $636 million, $592 million and $495 million, respectively, of expense under our capacity purchase agreement with Republic Airways Inc. (Republic). We hold a 25% equity interest in Republic Airways Holdings Inc. (Republic Holdings), the parent company of Republic.</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on our consolidated statements of operations consisted of the following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24"/>
        </w:trPr>
        <w:tc>
          <w:tcPr>
            <w:tcW w:w="64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6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(3)</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Litigation reserve adjustments</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(4)</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r>
      <w:tr>
        <w:trPr>
          <w:trHeight w:val="229"/>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special items, net</w:t>
            </w: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r>
      <w:tr>
        <w:trPr>
          <w:trHeight w:val="270"/>
        </w:trPr>
        <w:tc>
          <w:tcPr>
            <w:tcW w:w="6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6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(4)</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9"/>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Regional pilot retention program </w:t>
            </w:r>
            <w:r>
              <w:rPr>
                <w:rFonts w:ascii="Arial" w:cs="Arial" w:eastAsia="Arial" w:hAnsi="Arial"/>
                <w:sz w:val="23"/>
                <w:szCs w:val="23"/>
                <w:color w:val="auto"/>
                <w:vertAlign w:val="superscript"/>
              </w:rPr>
              <w:t>(5)</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6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(3)</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Regional operating special items, net</w:t>
            </w: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r>
      <w:tr>
        <w:trPr>
          <w:trHeight w:val="223"/>
        </w:trPr>
        <w:tc>
          <w:tcPr>
            <w:tcW w:w="6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special items, net</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r>
      <w:tr>
        <w:trPr>
          <w:trHeight w:val="270"/>
        </w:trPr>
        <w:tc>
          <w:tcPr>
            <w:tcW w:w="6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6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Debt refinancing, extinguishment and other, net </w:t>
            </w:r>
            <w:r>
              <w:rPr>
                <w:rFonts w:ascii="Arial" w:cs="Arial" w:eastAsia="Arial" w:hAnsi="Arial"/>
                <w:sz w:val="23"/>
                <w:szCs w:val="23"/>
                <w:color w:val="auto"/>
                <w:vertAlign w:val="superscript"/>
              </w:rPr>
              <w:t>(6)</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4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3"/>
                <w:szCs w:val="23"/>
                <w:color w:val="auto"/>
                <w:vertAlign w:val="superscript"/>
              </w:rPr>
              <w:t>(7)</w:t>
            </w: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6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Nonoperating special items, net</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6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special items, net</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100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31" w:lineRule="exact"/>
        <w:rPr>
          <w:sz w:val="20"/>
          <w:szCs w:val="20"/>
          <w:color w:val="auto"/>
        </w:rPr>
      </w:pPr>
    </w:p>
    <w:p>
      <w:pPr>
        <w:ind w:left="340" w:hanging="332"/>
        <w:spacing w:after="0" w:line="231" w:lineRule="auto"/>
        <w:tabs>
          <w:tab w:leader="none" w:pos="334"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relate to one-time charges resulting from the ratification of a new collective bargaining agreement with our mainline pilots, including a one-time payment of $754 million as well as adjustments to other benefit-related items of $235 million.</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Severance expenses for 2023 included costs associated with headcount reductions in certain corporate functions.</w:t>
      </w:r>
    </w:p>
    <w:p>
      <w:pPr>
        <w:spacing w:after="0" w:line="138" w:lineRule="exact"/>
        <w:rPr>
          <w:rFonts w:ascii="Arial" w:cs="Arial" w:eastAsia="Arial" w:hAnsi="Arial"/>
          <w:sz w:val="23"/>
          <w:szCs w:val="23"/>
          <w:color w:val="auto"/>
          <w:vertAlign w:val="superscript"/>
        </w:rPr>
      </w:pPr>
    </w:p>
    <w:p>
      <w:pPr>
        <w:ind w:left="340"/>
        <w:spacing w:after="0" w:line="286" w:lineRule="auto"/>
        <w:rPr>
          <w:rFonts w:ascii="Arial" w:cs="Arial" w:eastAsia="Arial" w:hAnsi="Arial"/>
          <w:sz w:val="23"/>
          <w:szCs w:val="23"/>
          <w:color w:val="auto"/>
          <w:vertAlign w:val="superscript"/>
        </w:rPr>
      </w:pPr>
      <w:r>
        <w:rPr>
          <w:rFonts w:ascii="Arial" w:cs="Arial" w:eastAsia="Arial" w:hAnsi="Arial"/>
          <w:sz w:val="18"/>
          <w:szCs w:val="18"/>
          <w:color w:val="auto"/>
        </w:rPr>
        <w:t>Severance expenses for 2021 included salary and medical costs primarily associated with certain team members who opted into voluntary early retirement programs offered as a result of reductions to our operation due to the COVID-19 pandemic.</w:t>
      </w:r>
    </w:p>
    <w:p>
      <w:pPr>
        <w:spacing w:after="0" w:line="99" w:lineRule="exact"/>
        <w:rPr>
          <w:rFonts w:ascii="Arial" w:cs="Arial" w:eastAsia="Arial" w:hAnsi="Arial"/>
          <w:sz w:val="23"/>
          <w:szCs w:val="23"/>
          <w:color w:val="auto"/>
          <w:vertAlign w:val="superscript"/>
        </w:rPr>
      </w:pPr>
    </w:p>
    <w:p>
      <w:pPr>
        <w:jc w:val="both"/>
        <w:ind w:left="340" w:right="20" w:hanging="332"/>
        <w:spacing w:after="0" w:line="237" w:lineRule="auto"/>
        <w:tabs>
          <w:tab w:leader="none" w:pos="334"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Fleet impairment for 2022 included a non-cash impairment charge to write down the carrying value of our retired Airbus A330 fleet to the estimated fair value due to the market conditions for certain used aircraft. We retired our Airbus A330 fleet in 2020 as a result of the decline in demand for air travel due to the COVID-19 pandemic.</w:t>
      </w:r>
    </w:p>
    <w:p>
      <w:pPr>
        <w:spacing w:after="0" w:line="139" w:lineRule="exact"/>
        <w:rPr>
          <w:rFonts w:ascii="Arial" w:cs="Arial" w:eastAsia="Arial" w:hAnsi="Arial"/>
          <w:sz w:val="23"/>
          <w:szCs w:val="23"/>
          <w:color w:val="auto"/>
          <w:vertAlign w:val="superscript"/>
        </w:rPr>
      </w:pPr>
    </w:p>
    <w:p>
      <w:pPr>
        <w:ind w:left="340" w:right="20"/>
        <w:spacing w:after="0" w:line="286" w:lineRule="auto"/>
        <w:rPr>
          <w:rFonts w:ascii="Arial" w:cs="Arial" w:eastAsia="Arial" w:hAnsi="Arial"/>
          <w:sz w:val="23"/>
          <w:szCs w:val="23"/>
          <w:color w:val="auto"/>
          <w:vertAlign w:val="superscript"/>
        </w:rPr>
      </w:pPr>
      <w:r>
        <w:rPr>
          <w:rFonts w:ascii="Arial" w:cs="Arial" w:eastAsia="Arial" w:hAnsi="Arial"/>
          <w:sz w:val="18"/>
          <w:szCs w:val="18"/>
          <w:color w:val="auto"/>
        </w:rPr>
        <w:t>Fleet impairment for 2021 included a non-cash impairment charge to write down regional aircraft resulting from the retirement of the remaining Embraer 140 fleet earlier than planned.</w:t>
      </w:r>
    </w:p>
    <w:p>
      <w:pPr>
        <w:spacing w:after="0" w:line="9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Treasury pursuant to the payroll support programs established by the U.S. Government. See Note 1(b) for further information.</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Our regional pilot retention program provides for, among other things, a cash retention bonus paid in the fourth quarter of 2021 to eligible captains at our wholly-owned regional carriers included on the pilot seniority list as of September 1, 2021.</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Debt refinancing and extinguishment costs in 2023 primarily included cash charges for premiums paid in connection with the early repayment of debt. See Note 4 for further information.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0" w:hanging="332"/>
        <w:spacing w:after="0" w:line="231" w:lineRule="auto"/>
        <w:tabs>
          <w:tab w:leader="none" w:pos="334"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and other investments, net principally included net unrealized gains and losses associated with certain equity investments and certain other investments. See Note 8 for further information related to our equity investments.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Common Share</w:t>
      </w:r>
    </w:p>
    <w:p>
      <w:pPr>
        <w:spacing w:after="0" w:line="90"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The following table provides the computation of basic and diluted earnings (loss) per common share (EPS) (in millions, except share and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822</w:t>
            </w:r>
          </w:p>
        </w:tc>
        <w:tc>
          <w:tcPr>
            <w:tcW w:w="5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653,612</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650,345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644,015</w:t>
            </w:r>
          </w:p>
        </w:tc>
        <w:tc>
          <w:tcPr>
            <w:tcW w:w="0" w:type="dxa"/>
            <w:vAlign w:val="bottom"/>
          </w:tcPr>
          <w:p>
            <w:pPr>
              <w:spacing w:after="0"/>
              <w:rPr>
                <w:sz w:val="1"/>
                <w:szCs w:val="1"/>
                <w:color w:val="auto"/>
              </w:rPr>
            </w:pPr>
          </w:p>
        </w:tc>
      </w:tr>
      <w:tr>
        <w:trPr>
          <w:trHeight w:val="223"/>
        </w:trPr>
        <w:tc>
          <w:tcPr>
            <w:tcW w:w="6440" w:type="dxa"/>
            <w:vAlign w:val="bottom"/>
          </w:tcPr>
          <w:p>
            <w:pPr>
              <w:ind w:left="220"/>
              <w:spacing w:after="0"/>
              <w:rPr>
                <w:sz w:val="20"/>
                <w:szCs w:val="20"/>
                <w:color w:val="auto"/>
              </w:rPr>
            </w:pPr>
            <w:r>
              <w:rPr>
                <w:rFonts w:ascii="Arial" w:cs="Arial" w:eastAsia="Arial" w:hAnsi="Arial"/>
                <w:sz w:val="18"/>
                <w:szCs w:val="18"/>
                <w:color w:val="auto"/>
              </w:rPr>
              <w:t>Basic EPS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Diluted EPS: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5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Interest expense on 6.50% convertible senior notes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for purposes of computing diluted EPS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 computation for diluted EPS (in thousands):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common shares outstanding</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653,612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644,015</w:t>
            </w:r>
          </w:p>
        </w:tc>
        <w:tc>
          <w:tcPr>
            <w:tcW w:w="0" w:type="dxa"/>
            <w:vAlign w:val="bottom"/>
          </w:tcPr>
          <w:p>
            <w:pPr>
              <w:spacing w:after="0"/>
              <w:rPr>
                <w:sz w:val="1"/>
                <w:szCs w:val="1"/>
                <w:color w:val="auto"/>
              </w:rPr>
            </w:pP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color w:val="auto"/>
              </w:rPr>
              <w:t>Dilutive effect of restricted stock unit awards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certain PSP Warrants and Treasury Loan Warrants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color w:val="auto"/>
              </w:rPr>
              <w:t>Assumed conversion of 6.50% convertible senior notes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61,728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Diluted weighted average common shares outstanding</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719,669</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655,122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644,015</w:t>
            </w:r>
          </w:p>
        </w:tc>
        <w:tc>
          <w:tcPr>
            <w:tcW w:w="0" w:type="dxa"/>
            <w:vAlign w:val="bottom"/>
          </w:tcPr>
          <w:p>
            <w:pPr>
              <w:spacing w:after="0"/>
              <w:rPr>
                <w:sz w:val="1"/>
                <w:szCs w:val="1"/>
                <w:color w:val="auto"/>
              </w:rPr>
            </w:pPr>
          </w:p>
        </w:tc>
      </w:tr>
      <w:tr>
        <w:trPr>
          <w:trHeight w:val="223"/>
        </w:trPr>
        <w:tc>
          <w:tcPr>
            <w:tcW w:w="6440" w:type="dxa"/>
            <w:vAlign w:val="bottom"/>
          </w:tcPr>
          <w:p>
            <w:pPr>
              <w:ind w:left="680"/>
              <w:spacing w:after="0"/>
              <w:rPr>
                <w:sz w:val="20"/>
                <w:szCs w:val="20"/>
                <w:color w:val="auto"/>
              </w:rPr>
            </w:pPr>
            <w:r>
              <w:rPr>
                <w:rFonts w:ascii="Arial" w:cs="Arial" w:eastAsia="Arial" w:hAnsi="Arial"/>
                <w:sz w:val="18"/>
                <w:szCs w:val="18"/>
                <w:color w:val="auto"/>
              </w:rPr>
              <w:t>Diluted EPS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were excluded from the calculation of diluted EPS because inclusion of such shares would be antidilutive (in thousands):</w:t>
      </w:r>
    </w:p>
    <w:p>
      <w:pPr>
        <w:spacing w:after="0" w:line="140"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22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 awards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r>
      <w:tr>
        <w:trPr>
          <w:trHeight w:val="23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6.50% convertible senior notes</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61,728</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61,728</w:t>
            </w:r>
          </w:p>
        </w:tc>
      </w:tr>
    </w:tbl>
    <w:p>
      <w:pPr>
        <w:spacing w:after="0" w:line="228"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In addition, certain shares underlying our PSP Warrants and Treasury Loan Warrants for the years ended December 31, 2023, 2022 and 2021, were excluded from the calculation of diluted EPS because inclusion of such shares would be antidilutive.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on our consolidated balance sheets consisted of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2013 Term Loan Facility, variable interest rate of 8.60%, installments through February 2028 </w:t>
            </w:r>
            <w:r>
              <w:rPr>
                <w:rFonts w:ascii="Arial" w:cs="Arial" w:eastAsia="Arial" w:hAnsi="Arial"/>
                <w:sz w:val="23"/>
                <w:szCs w:val="23"/>
                <w:color w:val="auto"/>
                <w:vertAlign w:val="superscript"/>
              </w:rPr>
              <w:t>(a)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2014 Term Loan Facility, variable interest rate of 7.32%, installments through January 2027 </w:t>
            </w:r>
            <w:r>
              <w:rPr>
                <w:rFonts w:ascii="Arial" w:cs="Arial" w:eastAsia="Arial" w:hAnsi="Arial"/>
                <w:sz w:val="23"/>
                <w:szCs w:val="23"/>
                <w:color w:val="auto"/>
                <w:vertAlign w:val="superscript"/>
              </w:rPr>
              <w:t>(a)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175"/>
        </w:trPr>
        <w:tc>
          <w:tcPr>
            <w:tcW w:w="8240" w:type="dxa"/>
            <w:vAlign w:val="bottom"/>
          </w:tcPr>
          <w:p>
            <w:pPr>
              <w:ind w:left="240"/>
              <w:spacing w:after="0" w:line="176" w:lineRule="exact"/>
              <w:rPr>
                <w:sz w:val="20"/>
                <w:szCs w:val="20"/>
                <w:color w:val="auto"/>
              </w:rPr>
            </w:pPr>
            <w:r>
              <w:rPr>
                <w:rFonts w:ascii="Arial" w:cs="Arial" w:eastAsia="Arial" w:hAnsi="Arial"/>
                <w:sz w:val="18"/>
                <w:szCs w:val="18"/>
                <w:color w:val="auto"/>
              </w:rPr>
              <w:t>2023 Term Loan Facility, variable interest rate of 8.87%, installments beginning in December 2024</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400"/>
              <w:spacing w:after="0" w:line="243" w:lineRule="exact"/>
              <w:rPr>
                <w:sz w:val="20"/>
                <w:szCs w:val="20"/>
                <w:color w:val="auto"/>
              </w:rPr>
            </w:pPr>
            <w:r>
              <w:rPr>
                <w:rFonts w:ascii="Arial" w:cs="Arial" w:eastAsia="Arial" w:hAnsi="Arial"/>
                <w:sz w:val="18"/>
                <w:szCs w:val="18"/>
                <w:color w:val="auto"/>
              </w:rPr>
              <w:t xml:space="preserve">through June 2029 </w:t>
            </w:r>
            <w:r>
              <w:rPr>
                <w:rFonts w:ascii="Arial" w:cs="Arial" w:eastAsia="Arial" w:hAnsi="Arial"/>
                <w:sz w:val="23"/>
                <w:szCs w:val="23"/>
                <w:color w:val="auto"/>
                <w:vertAlign w:val="superscript"/>
              </w:rPr>
              <w:t>(a)</w:t>
            </w: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11.75% senior secured notes, interest only payments until due in July 2025 </w:t>
            </w:r>
            <w:r>
              <w:rPr>
                <w:rFonts w:ascii="Arial" w:cs="Arial" w:eastAsia="Arial" w:hAnsi="Arial"/>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10.75% senior secured IP notes, interest only payments until due in February 2026 </w:t>
            </w:r>
            <w:r>
              <w:rPr>
                <w:rFonts w:ascii="Arial" w:cs="Arial" w:eastAsia="Arial" w:hAnsi="Arial"/>
                <w:sz w:val="23"/>
                <w:szCs w:val="23"/>
                <w:color w:val="auto"/>
                <w:vertAlign w:val="superscript"/>
              </w:rPr>
              <w:t>(b)</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10.75% senior secured LGA/DCA notes, interest only payments until due in February 2026 </w:t>
            </w:r>
            <w:r>
              <w:rPr>
                <w:rFonts w:ascii="Arial" w:cs="Arial" w:eastAsia="Arial" w:hAnsi="Arial"/>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8240" w:type="dxa"/>
            <w:vAlign w:val="bottom"/>
          </w:tcPr>
          <w:p>
            <w:pPr>
              <w:ind w:left="260"/>
              <w:spacing w:after="0" w:line="230" w:lineRule="exact"/>
              <w:rPr>
                <w:sz w:val="20"/>
                <w:szCs w:val="20"/>
                <w:color w:val="auto"/>
              </w:rPr>
            </w:pPr>
            <w:r>
              <w:rPr>
                <w:rFonts w:ascii="Arial" w:cs="Arial" w:eastAsia="Arial" w:hAnsi="Arial"/>
                <w:sz w:val="18"/>
                <w:szCs w:val="18"/>
                <w:color w:val="auto"/>
              </w:rPr>
              <w:t xml:space="preserve">7.25% senior secured notes, interest only payments until due in February 2028 </w:t>
            </w:r>
            <w:r>
              <w:rPr>
                <w:rFonts w:ascii="Arial" w:cs="Arial" w:eastAsia="Arial" w:hAnsi="Arial"/>
                <w:sz w:val="23"/>
                <w:szCs w:val="23"/>
                <w:color w:val="auto"/>
                <w:vertAlign w:val="superscript"/>
              </w:rPr>
              <w:t>(b)</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60"/>
              <w:spacing w:after="0" w:line="230" w:lineRule="exact"/>
              <w:rPr>
                <w:sz w:val="20"/>
                <w:szCs w:val="20"/>
                <w:color w:val="auto"/>
              </w:rPr>
            </w:pPr>
            <w:r>
              <w:rPr>
                <w:rFonts w:ascii="Arial" w:cs="Arial" w:eastAsia="Arial" w:hAnsi="Arial"/>
                <w:sz w:val="18"/>
                <w:szCs w:val="18"/>
                <w:color w:val="auto"/>
              </w:rPr>
              <w:t xml:space="preserve">8.50% senior secured notes, interest only payments until due in May 2029 </w:t>
            </w:r>
            <w:r>
              <w:rPr>
                <w:rFonts w:ascii="Arial" w:cs="Arial" w:eastAsia="Arial" w:hAnsi="Arial"/>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5.50% senior secured notes, installments through April 2026 </w:t>
            </w:r>
            <w:r>
              <w:rPr>
                <w:rFonts w:ascii="Arial" w:cs="Arial" w:eastAsia="Arial" w:hAnsi="Arial"/>
                <w:sz w:val="23"/>
                <w:szCs w:val="23"/>
                <w:color w:val="auto"/>
                <w:vertAlign w:val="superscript"/>
              </w:rPr>
              <w:t>(c)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AAdvantage Term Loan Facility, variable interest rate of 10.43%, installments through April 2028 </w:t>
            </w:r>
            <w:r>
              <w:rPr>
                <w:rFonts w:ascii="Arial" w:cs="Arial" w:eastAsia="Arial" w:hAnsi="Arial"/>
                <w:sz w:val="23"/>
                <w:szCs w:val="23"/>
                <w:color w:val="auto"/>
                <w:vertAlign w:val="superscript"/>
              </w:rPr>
              <w:t>(c)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 5.90%,</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averaging 3.60%, maturing from 2024 to 2034</w:t>
            </w: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40"/>
              <w:spacing w:after="0" w:line="176" w:lineRule="exact"/>
              <w:rPr>
                <w:sz w:val="20"/>
                <w:szCs w:val="20"/>
                <w:color w:val="auto"/>
              </w:rPr>
            </w:pPr>
            <w:r>
              <w:rPr>
                <w:rFonts w:ascii="Arial" w:cs="Arial" w:eastAsia="Arial" w:hAnsi="Arial"/>
                <w:sz w:val="18"/>
                <w:szCs w:val="18"/>
                <w:color w:val="auto"/>
              </w:rPr>
              <w:t>Equipment loans and other notes payable, fixed and variable interest rates ranging from 2.55% to</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3,612</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43"/>
        </w:trPr>
        <w:tc>
          <w:tcPr>
            <w:tcW w:w="8240" w:type="dxa"/>
            <w:vAlign w:val="bottom"/>
          </w:tcPr>
          <w:p>
            <w:pPr>
              <w:ind w:left="400"/>
              <w:spacing w:after="0" w:line="243" w:lineRule="exact"/>
              <w:rPr>
                <w:sz w:val="20"/>
                <w:szCs w:val="20"/>
                <w:color w:val="auto"/>
              </w:rPr>
            </w:pPr>
            <w:r>
              <w:rPr>
                <w:rFonts w:ascii="Arial" w:cs="Arial" w:eastAsia="Arial" w:hAnsi="Arial"/>
                <w:sz w:val="18"/>
                <w:szCs w:val="18"/>
                <w:color w:val="auto"/>
              </w:rPr>
              <w:t xml:space="preserve">8.90%, averaging 6.98%, maturing from 2024 to 2035 </w:t>
            </w:r>
            <w:r>
              <w:rPr>
                <w:rFonts w:ascii="Arial" w:cs="Arial" w:eastAsia="Arial" w:hAnsi="Arial"/>
                <w:sz w:val="23"/>
                <w:szCs w:val="23"/>
                <w:color w:val="auto"/>
                <w:vertAlign w:val="superscript"/>
              </w:rPr>
              <w:t>(d)</w:t>
            </w: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9"/>
              </w:rPr>
              <w:t>Special facility revenue bonds, fixed interest rates ranging from 2.25% to 5.38%, maturing from 2026</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 2036</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30,043</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Unsecured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PSP1 Promissory Note, interest only payments until due in April 2030 </w:t>
            </w:r>
            <w:r>
              <w:rPr>
                <w:rFonts w:ascii="Arial" w:cs="Arial" w:eastAsia="Arial" w:hAnsi="Arial"/>
                <w:sz w:val="23"/>
                <w:szCs w:val="23"/>
                <w:color w:val="auto"/>
                <w:vertAlign w:val="superscript"/>
              </w:rPr>
              <w: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PSP2 Promissory Note, interest only payments until due in January 2031 </w:t>
            </w:r>
            <w:r>
              <w:rPr>
                <w:rFonts w:ascii="Arial" w:cs="Arial" w:eastAsia="Arial" w:hAnsi="Arial"/>
                <w:sz w:val="23"/>
                <w:szCs w:val="23"/>
                <w:color w:val="auto"/>
                <w:vertAlign w:val="superscript"/>
              </w:rPr>
              <w: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PSP3 Promissory Note, interest only payments until due in April 2031 </w:t>
            </w:r>
            <w:r>
              <w:rPr>
                <w:rFonts w:ascii="Arial" w:cs="Arial" w:eastAsia="Arial" w:hAnsi="Arial"/>
                <w:sz w:val="23"/>
                <w:szCs w:val="23"/>
                <w:color w:val="auto"/>
                <w:vertAlign w:val="superscript"/>
              </w:rPr>
              <w: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6.50% convertible senior notes, interest only payments until due in July 2025 </w:t>
            </w:r>
            <w:r>
              <w:rPr>
                <w:rFonts w:ascii="Arial" w:cs="Arial" w:eastAsia="Arial" w:hAnsi="Arial"/>
                <w:sz w:val="23"/>
                <w:szCs w:val="23"/>
                <w:color w:val="auto"/>
                <w:vertAlign w:val="superscript"/>
              </w:rPr>
              <w:t>(f)</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 xml:space="preserve">3.75% senior notes, interest only payments until due in March 2025 </w:t>
            </w:r>
            <w:r>
              <w:rPr>
                <w:rFonts w:ascii="Arial" w:cs="Arial" w:eastAsia="Arial" w:hAnsi="Arial"/>
                <w:sz w:val="23"/>
                <w:szCs w:val="23"/>
                <w:color w:val="auto"/>
                <w:vertAlign w:val="superscript"/>
              </w:rPr>
              <w:t>(g)</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32,759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35,289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Total unamortized debt discount, premium and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Current maturities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Long-term debt, net of current maturities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2023, the maximum availability under our revolving credit and other facilities is as follows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624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5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2016 Revolving Facility</w:t>
            </w:r>
          </w:p>
        </w:tc>
        <w:tc>
          <w:tcPr>
            <w:tcW w:w="55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short-term facility</w:t>
            </w:r>
          </w:p>
        </w:tc>
        <w:tc>
          <w:tcPr>
            <w:tcW w:w="55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55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bottom w:val="single" w:sz="8" w:color="CCEEFF"/>
            </w:tcBorders>
            <w:vMerge w:val="restart"/>
          </w:tcPr>
          <w:p>
            <w:pPr>
              <w:jc w:val="right"/>
              <w:ind w:right="3650"/>
              <w:spacing w:after="0"/>
              <w:rPr>
                <w:sz w:val="20"/>
                <w:szCs w:val="20"/>
                <w:color w:val="auto"/>
              </w:rPr>
            </w:pPr>
            <w:r>
              <w:rPr>
                <w:rFonts w:ascii="Arial" w:cs="Arial" w:eastAsia="Arial" w:hAnsi="Arial"/>
                <w:sz w:val="18"/>
                <w:szCs w:val="18"/>
                <w:color w:val="auto"/>
              </w:rPr>
              <w:t>98</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390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900" w:type="dxa"/>
            <w:vAlign w:val="bottom"/>
            <w:tcBorders>
              <w:bottom w:val="single" w:sz="8" w:color="9A9A9A"/>
            </w:tcBorders>
          </w:tcPr>
          <w:p>
            <w:pPr>
              <w:spacing w:after="0"/>
              <w:rPr>
                <w:sz w:val="9"/>
                <w:szCs w:val="9"/>
                <w:color w:val="auto"/>
              </w:rPr>
            </w:pPr>
          </w:p>
        </w:tc>
        <w:tc>
          <w:tcPr>
            <w:tcW w:w="55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December 31, 2023, American had $49 million of available borrowing base under a cargo receivables facility that is set to expire in December 2024. As a result of the below amendments to the 2013, 2014 and April 2016 Revolving Facilities, the aggregate commitments under these facilities will be $2.8 billion through October 11, 2024, and thereafter through October 13, 2026, such aggregate commitments will decrease to $2.2 billion.</w:t>
      </w:r>
    </w:p>
    <w:p>
      <w:pPr>
        <w:spacing w:after="0" w:line="12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aircraft spare parts, airport gate leasehold rights, route authorities, airport slots, certain receivables, certain intellectual property and certain loyalty program assets.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460" w:type="dxa"/>
            <w:vAlign w:val="bottom"/>
          </w:tcPr>
          <w:p>
            <w:pPr>
              <w:ind w:left="260"/>
              <w:spacing w:after="0"/>
              <w:rPr>
                <w:sz w:val="20"/>
                <w:szCs w:val="20"/>
                <w:color w:val="auto"/>
              </w:rPr>
            </w:pPr>
            <w:r>
              <w:rPr>
                <w:rFonts w:ascii="Arial" w:cs="Arial" w:eastAsia="Arial" w:hAnsi="Arial"/>
                <w:sz w:val="18"/>
                <w:szCs w:val="18"/>
                <w:color w:val="auto"/>
              </w:rPr>
              <w:t>At December 31, 2023, the maturities of long-term debt are as follows (in millions):</w:t>
            </w: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5"/>
        </w:trPr>
        <w:tc>
          <w:tcPr>
            <w:tcW w:w="9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2025</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5,189</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2027</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4,618</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2029 and thereafter</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9,809</w:t>
            </w:r>
          </w:p>
        </w:tc>
      </w:tr>
      <w:tr>
        <w:trPr>
          <w:trHeight w:val="248"/>
        </w:trPr>
        <w:tc>
          <w:tcPr>
            <w:tcW w:w="9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32,759</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260" w:right="3120" w:hanging="9"/>
        <w:spacing w:after="0" w:line="342" w:lineRule="auto"/>
        <w:tabs>
          <w:tab w:leader="none" w:pos="53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2013 and 2014 Credit Facilities, April 2016 Revolving Facility and 2023 Term Loan Facility </w:t>
      </w:r>
      <w:r>
        <w:rPr>
          <w:rFonts w:ascii="Arial" w:cs="Arial" w:eastAsia="Arial" w:hAnsi="Arial"/>
          <w:sz w:val="18"/>
          <w:szCs w:val="18"/>
          <w:i w:val="1"/>
          <w:iCs w:val="1"/>
          <w:u w:val="single" w:color="auto"/>
          <w:color w:val="auto"/>
        </w:rPr>
        <w:t>2013 Credit Facilities</w:t>
      </w:r>
    </w:p>
    <w:p>
      <w:pPr>
        <w:spacing w:after="0" w:line="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Amended and Restated Credit and Guaranty Agreement dated as of May 21, 2015, as amended (the 2013 Credit Agreement), includes a revolving credit facility (the 2013 Revolving Facility) and term loan (the 2013 Term Loan Facility), collectively referred to as the 2013 Credit Facilities. In February 2023, American and AAG refinanced approximately $1.8 billion in aggregate principal amount of term loans outstanding under the 2013 Term Loan Facility (the 2013 Term Loan Facility Refinancing) through the combination of (i) the issuance of $750 million in aggregate principal amount of 7.25% senior secured notes due 2028 and (ii) the entry into the Seventh Amendment to the 2013 Credit Agreement, pursuant to which the maturity of $1.0 billion in term loans under the 2013 Term Loan Facility was extended to February 2028 from June 2025. The Seventh Amendment also amended certain other terms of the 2013 Credit Agreement, including the interest rate and amortization schedule for the 2013 Term Loan Facility, the requirements for delivery of appraisals and certain covenants relating to dispositions of collateral. Additionally, the Seventh Amendment transitioned the benchmark interest rate from the London Interbank Offered Rate (LIBOR) to the Secured Overnight Financing Rate (SOFR). As a result, the 2013 Term Loan Facility bears interest at a base rate (subject to a floor of 1.00%) plus an applicable margin of 1.75% or, at American’s option, the SOFR rate for a tenor of one, three or six months, depending on the interest period selected by American, plus the SOFR adjustment applicable to such interest period (with such SOFR rate plus SOFR adjustment being subject to a floor of 0.00%) and an applicable margin of 2.75%. As of December 31, 2023, the margin elected was 2.75%.</w:t>
      </w:r>
    </w:p>
    <w:p>
      <w:pPr>
        <w:spacing w:after="0" w:line="14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March 2023, American and AAG entered into the Eighth Amendment to the 2013 Credit Agreement, pursuant to which American extended the maturity of certain commitments under the 2013 Revolving Facility. The Eighth Amendment also amended certain other terms of the 2013 Credit Agreement, including certain covenants and transitioned the benchmark interest rate from LIBOR to SOFR. The 2013 Revolving Facility bears interest at a base rate (subject to a floor of 1.00%) plus an applicable margin of 2.25%, 2.50% or 2.75%, depending on AAG’s public corporate rating, or, at American’s option, the SOFR rate for a tenor of one, three or six months, depending on the interest period selected by American, plus the SOFR adjustment applicable to such interest period (with such SOFR rate plus SOFR adjustment being subject to a floor of 0.00%) plus an applicable margin of 3.25%, 3.50% or 3.75%, depending on AAG’s public corporate rating. Additionally, as a result of the Eighth Amendment, through October 11, 2024, the aggregate commitments under the 2013 Revolving Facility will be $736 million, and thereafter through October 13, 2026, such aggregate commitments will decrease to $563 million. As of December 31, 2023, there were no borrowings or letters of credit outstanding under the 2013 Revolving Facility.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2014 Credit Facilities</w:t>
      </w:r>
    </w:p>
    <w:p>
      <w:pPr>
        <w:spacing w:after="0" w:line="8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Amended and Restated Credit and Guaranty Agreement, dated as of April 20, 2015, as amended (the 2014 Credit Agreement), includes a revolving credit facility (the 2014 Revolving Facility) and term loan (the 2014 Term Loan Facility), collectively referred to as the 2014 Credit Facilities. In March 2023, American and AAG entered into the Ninth Amendment to the 2014 Credit Agreement, pursuant to which American extended the maturity of certain commitments under the 2014 Revolving Facility. The Ninth Amendment also amended certain other terms of the 2014 Credit Agreement including the requirements for delivery of appraisals and certain other covenants and transitioned the benchmark interest rate for the 2014 Revolving Facility and the 2014 Term Loan Facility from LIBOR to SOFR. The 2014 Revolving Facility bears interest at the same base rate and applicable margin as the 2013 Revolving Facility, as noted above in “</w:t>
      </w:r>
      <w:r>
        <w:rPr>
          <w:rFonts w:ascii="Arial" w:cs="Arial" w:eastAsia="Arial" w:hAnsi="Arial"/>
          <w:sz w:val="18"/>
          <w:szCs w:val="18"/>
          <w:i w:val="1"/>
          <w:iCs w:val="1"/>
          <w:color w:val="auto"/>
        </w:rPr>
        <w:t>2013 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Facilities.” </w:t>
      </w:r>
      <w:r>
        <w:rPr>
          <w:rFonts w:ascii="Arial" w:cs="Arial" w:eastAsia="Arial" w:hAnsi="Arial"/>
          <w:sz w:val="18"/>
          <w:szCs w:val="18"/>
          <w:color w:val="auto"/>
        </w:rPr>
        <w:t>The 2014 Term Loan Facility bears interest at a base rate (subject to a floor of 1.00%) plus an applicable margin of 0.75% or, at</w:t>
      </w:r>
      <w:r>
        <w:rPr>
          <w:rFonts w:ascii="Arial" w:cs="Arial" w:eastAsia="Arial" w:hAnsi="Arial"/>
          <w:sz w:val="18"/>
          <w:szCs w:val="18"/>
          <w:i w:val="1"/>
          <w:iCs w:val="1"/>
          <w:color w:val="auto"/>
        </w:rPr>
        <w:t xml:space="preserve"> </w:t>
      </w:r>
      <w:r>
        <w:rPr>
          <w:rFonts w:ascii="Arial" w:cs="Arial" w:eastAsia="Arial" w:hAnsi="Arial"/>
          <w:sz w:val="18"/>
          <w:szCs w:val="18"/>
          <w:color w:val="auto"/>
        </w:rPr>
        <w:t>American’s option, the SOFR rate for a tenor of one, three or six months, depending on the interest period selected by American, plus the SOFR adjustment applicable to such interest period (with such SOFR rate plus SOFR adjustment being subject to a floor of 0.00%) plus an applicable margin of 1.75%. As of December 31, 2023, the margin elected was 1.75%. Additionally, as a result of the Ninth Amendment, through October 11, 2024, the aggregate commitments under the 2014 Revolving Facility will be $1.6 billion, and thereafter through October 13, 2026, such aggregate commitments will decrease to $1.2 billion. As of December 31, 2023, there were no borrowings or letters of credit outstanding under the 2014 Revolving Facility.</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April 2016 Revolving Facility</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March 2023, American and AAG entered into the Sixth Amendment to the Credit and Guaranty Agreement, dated as of April 29, 2016 (the April 2016 Credit Agreement), which includes a revolving credit facility (the April 2016 Revolving Facility). Pursuant to the Sixth Amendment, American extended the maturity of certain commitments under the April 2016 Revolving Facility. The Sixth Amendment also amended certain other terms under the April 2016 Credit Agreement including the requirements for delivery of appraisals and certain other covenants and transitioned the benchmark interest rate for the April 2016 Revolving Facility from LIBOR to SOFR. The April 2016 Revolving Facility bears interest at the same base rate and applicable margin as the 2013 Revolving Facility, as noted above in “</w:t>
      </w:r>
      <w:r>
        <w:rPr>
          <w:rFonts w:ascii="Arial" w:cs="Arial" w:eastAsia="Arial" w:hAnsi="Arial"/>
          <w:sz w:val="18"/>
          <w:szCs w:val="18"/>
          <w:i w:val="1"/>
          <w:iCs w:val="1"/>
          <w:color w:val="auto"/>
        </w:rPr>
        <w:t>2013 Credit Facilities.”</w:t>
      </w:r>
      <w:r>
        <w:rPr>
          <w:rFonts w:ascii="Arial" w:cs="Arial" w:eastAsia="Arial" w:hAnsi="Arial"/>
          <w:sz w:val="18"/>
          <w:szCs w:val="18"/>
          <w:color w:val="auto"/>
        </w:rPr>
        <w:t xml:space="preserve"> Additionally, as a result of the Sixth Amendment, through October 11, 2024, the aggregate commitments under the April 2016 Revolving Facility will be $446 million, and thereafter through October 13, 2026, such aggregate commitments will decrease to $342 million. As of December 31, 2023, there were no borrowings outstanding under the April 2016 Revolving Facility.</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2023 Term Loan Facility</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December 2023, American and AAG entered into a credit and guaranty agreement (the 2023 Credit Agreement) that provided for a term loan facility (the 2023 Term Loan Facility) in an aggregate principal amount of $1.1 billion, maturing in June 2029. Loans made under the 2023 Term Loan Facility bear interest at a base rate (subject to a floor of 1.00%) plus an applicable margin of 2.50% or, at American’s option, the SOFR rate for a tenor of one, three or six months (or if agreed by the relevant lenders, any other tenor), depending on the interest period selected by American (subject to a floor of 0.00%), plus an applicable margin of 3.50%. As of December 31, 2023, the margin elected was 3.50%. The net proceeds from the 2023 Term Loan Facility, together with the net proceeds from the private offering of the 8.50% Senior Secured Notes (as defined below) and cash on hand, were used to redeem all of the outstanding 11.75% Senior Secured Notes in December 2023.</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Other Terms of the 2013 and 2014 Credit Facilities, April 2016 Revolving Facility and 2023 Term Loan Facility</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term loans under the 2013 Credit Facilities and 2014 Credit Facilities (collectively referred to as the Credit Facilities) and the 2023 Term Loan Facility are repayable in annual installments, in an amount equal to 1.00% of the aggregate principal amount issued, with any unpaid balance due on the respective maturity dates. Voluntary prepayments may be made by American at any time.</w:t>
      </w:r>
    </w:p>
    <w:p>
      <w:pPr>
        <w:spacing w:after="0" w:line="11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2013 Revolving Facility, 2014 Revolving Facility and April 2016 Revolving Facility provide that American may from time to time borrow, repay and reborrow loans thereunder. The 2013 Revolving Facility and 2014 Revolving Facility have the ability to issue letters of credit thereunder in an aggregate amount outstanding at any time up to $150 million and $300 million, respectively. The 2013 Revolving Facility, 2014 Revolving Facility and April 2016 Revolving Facility are each subject to an undrawn annual fee of 0.750%.</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Subject to certain limitations and exceptions, the Credit Facilities, April 2016 Revolving Facility and 2023 Term Loan Facility are secured by collateral, including certain spare parts, slots, route authorities, simulators and leasehold rights. American has the ability to make future modifications to the collateral pledged, subject to certain restrictions. American’s obligations under the Credit Facilities, April 2016 Revolving Facility and 2023 Term Loan Facility are guaranteed by AAG, and such guarantee is AAG’s senior unsecured obligations (all of the collateral is owned by American, and AAG has not granted a security interest in any assets to secure any of the foregoing obligations). The Credit Facilities, April 2016 Revolving Facility and 2023 Term Loan Facility contain events of default customary for similar financings, including cross default and cross-acceleration to other material indebtedness.</w:t>
      </w:r>
    </w:p>
    <w:p>
      <w:pPr>
        <w:spacing w:after="0" w:line="209" w:lineRule="exact"/>
        <w:rPr>
          <w:sz w:val="20"/>
          <w:szCs w:val="20"/>
          <w:color w:val="auto"/>
        </w:rPr>
      </w:pPr>
    </w:p>
    <w:p>
      <w:pPr>
        <w:ind w:left="540" w:hanging="289"/>
        <w:spacing w:after="0"/>
        <w:tabs>
          <w:tab w:leader="none" w:pos="54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Secured Notes</w:t>
      </w:r>
    </w:p>
    <w:p>
      <w:pPr>
        <w:spacing w:after="0" w:line="89" w:lineRule="exact"/>
        <w:rPr>
          <w:rFonts w:ascii="Arial" w:cs="Arial" w:eastAsia="Arial" w:hAnsi="Arial"/>
          <w:sz w:val="18"/>
          <w:szCs w:val="18"/>
          <w:b w:val="1"/>
          <w:bCs w:val="1"/>
          <w:i w:val="1"/>
          <w:iCs w:val="1"/>
          <w:color w:val="auto"/>
        </w:rPr>
      </w:pPr>
    </w:p>
    <w:p>
      <w:pPr>
        <w:ind w:left="260"/>
        <w:spacing w:after="0"/>
        <w:rPr>
          <w:rFonts w:ascii="Arial" w:cs="Arial" w:eastAsia="Arial" w:hAnsi="Arial"/>
          <w:sz w:val="18"/>
          <w:szCs w:val="18"/>
          <w:b w:val="1"/>
          <w:bCs w:val="1"/>
          <w:i w:val="1"/>
          <w:iCs w:val="1"/>
          <w:color w:val="auto"/>
        </w:rPr>
      </w:pPr>
      <w:r>
        <w:rPr>
          <w:rFonts w:ascii="Arial" w:cs="Arial" w:eastAsia="Arial" w:hAnsi="Arial"/>
          <w:sz w:val="18"/>
          <w:szCs w:val="18"/>
          <w:i w:val="1"/>
          <w:iCs w:val="1"/>
          <w:u w:val="single" w:color="auto"/>
          <w:color w:val="auto"/>
        </w:rPr>
        <w:t>11.75% Senior Secured Notes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June 2020, American issued $2.5 billion aggregate principal amount of 11.75% senior secured notes due 2025 (the 11.75% Senior Secured Notes) at a price equal to 99% of their aggregate principal amount. In December 2023, American redeemed all of its outstanding 11.75% Senior Secured Notes using net proceeds from the offering of the 8.50% Senior Secured Notes (as defined below), together with net proceeds from borrowings under the 2023 Term Loan Facility and cash on hand. In connection with the early redemption of the 11.75% Senior Secured Notes, in the fourth quarter of 2023, American recorded a $186 million cash special charge for the make-whole premium paid and a $19 million non-cash special charge to write off unamortized debt issuance costs and debt discount.</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10.75% Senior Secured Notes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September 25, 2020 (the 10.75% Senior Secured Notes Closing Date), American issued $ 1.0 billion in initial principal amount of senior secured IP notes (the IP Notes) and $200 million in initial principal amount of senior secured LGA/DCA notes (the LGA/DCA Notes and together with the IP Notes, the 10.75% Senior Secured Notes). The obligations of American under the 10.75% Senior Secured Notes are fully and unconditionally guaranteed (the 10.75% Senior Secured Notes Guarantees) on a senior unsecured basis by AAG. The 10.75% Senior Secured Notes bear interest at a rate of 10.75% per annum in cash. Interest on the 10.75% Senior Secured Notes is payable semiannually in arrears on September 1 and March 1 of each year, which began on March 1, 2021. The 10.75% Senior Secured Notes will mature on February 15, 2026.</w:t>
      </w:r>
    </w:p>
    <w:p>
      <w:pPr>
        <w:spacing w:after="0" w:line="1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IP Notes are secured by a first lien security interest on certain intellectual property of American, including the “American Airlines” trademark and the “aa.com” domain name in the United States and certain foreign jurisdictions (the IP Collateral), and a second lien on certain slots related to American’s operations at New York LaGuardia and Ronald Reagan Washington National airports and certain other assets (the LGA/DCA Collateral and together with the IP Collateral, the 10.75% Senior Secured Notes Collateral). LGA/DCA Notes are secured by a first lien security interest in the LGA/DCA Collateral.</w:t>
      </w:r>
    </w:p>
    <w:p>
      <w:pPr>
        <w:spacing w:after="0" w:line="1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or prior to the fourth anniversary of the 10.75% Senior Secured Notes Closing Date, American may redeem all or any part of the 10.75% Senior Secured Notes, at its option, at a redemption price equal to 100% of the principal amount of the 10.75% Senior Secured Notes redeemed plus a “make-whole” premium, together with accrued and unpaid interest thereon, if any. After the fourth anniversary of the 10.75% Senior Secured Notes Closing Date and on or prior to the fifth anniversary of the 10.75% Senior Secured Notes Closing Date, American may redeem all or any part of the 10.75% Senior Secured Notes, at its option, at a redemption price equal to 105.375% of the principal amount of the 10.75% Senior Secured Notes redeemed, together with accrued and unpaid interest thereon, if any. After the fifth anniversary of the 10.75% Senior Secured Notes Closing Date, American may redeem all or any part of the 10.75% Senior Secured Notes, at its option, at par, together with accrued and unpaid interest thereon, if any.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7.25% Senior Secured Notes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February 15, 2023, as part of the 2013 Term Loan Facility Refinancing, American issued $ 750 million aggregate principal amount of 7.25% senior secured notes due 2028 (the 7.25% Senior Secured Notes) in a private offering. The 7.25% Senior Secured Notes were issued at par and bear interest at a rate of 7.25% per annum (subject to increase if the collateral coverage ratio described below is not met). Interest on the 7.25% Senior Secured Notes is payable semiannually in arrears on February 15 and August 15 of each year, which began on August 15, 2023. The 7.25% Senior Secured Notes will mature on February 15, 2028. The obligations of American under the 7.25% Senior Secured Notes are fully and unconditionally guaranteed on a senior unsecured basis by AAG. American used the proceeds from the offering of the 7.25% Senior Secured Notes, together with cash on hand, to repay a portion of the term loans then outstanding under the 2013 Term Loan Facility and to pay related fees and expenses.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7.25% Senior Secured Notes were issued pursuant to an indenture, dated as of February 15, 2023 (the 7.25% Senior Secured Notes Indenture), by and among American, AAG and Wilmington Trust, National Association, as trustee and collateral agent. The 7.25% Senior Secured Notes are American’s senior secured obligations and are secured on a first lien basis by security interests in certain assets, rights and properties that American uses to provide non-stop scheduled air carrier services between (a) certain airports in the United States and (b) airports in certain countries in South America and New Zealand (collectively, the 7.25% Senior Secured Notes Collateral). The 7.25% Senior Secured Notes Collateral also secures, on a first lien, pari passu basis with the 7.25% Senior Secured Notes, the 2013 Credit Facilities under the 2013 Credit Agreement.</w:t>
      </w:r>
    </w:p>
    <w:p>
      <w:pPr>
        <w:spacing w:after="0" w:line="12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 may redeem the 7.25% Senior Secured Notes, in whole at any time or in part from time to time prior to February 15, 2025, at a redemption price equal to 100% of the principal amount of the 7.25% Senior Secured Notes to be redeemed, plus a “make-whole” premium, plus any accrued and unpaid interest thereon to but excluding the date of redemption. At any time on or after February 15, 2025, American may redeem all or any of the 7.25% Senior Secured Notes in whole at any time, or in part from time to time, at the redemption prices described in the 7.25% Senior Secured Notes Indenture, plus any accrued and unpaid interest thereon to but excluding the date of redemption. In addition, at any time prior to February 15, 2025, American may redeem up to 40% of the original aggregate principal amount of the 7.25% Senior Secured Notes (calculated after giving effect to any issuance of additional notes) with the net cash proceeds of certain equity offerings, at a redemption price equal to 107.250% of the aggregate principal amount of the 7.25% Senior Secured Notes to be redeemed, plus any accrued and unpaid interest thereon to but excluding the date of redemption.</w:t>
      </w:r>
    </w:p>
    <w:p>
      <w:pPr>
        <w:spacing w:after="0" w:line="1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Twice per year, American is required to deliver an appraisal of the 7.25% Senior Secured Notes Collateral and an officer’s certificate demonstrating the calculation of a collateral coverage ratio in relation to the 7.25% Senior Secured Notes Collateral (the 7.25% Senior Secured Notes Collateral Coverage Ratio) as of the date of delivery of the appraisal for the applicable period. If the 7.25% Senior Secured Notes Collateral Coverage Ratio is less than 1.6 to 1.0 as of the date of delivery of the appraisal for the applicable period, then, subject to a cure period in which additional collateral can be provided or debt repaid such that American meets the required 7.25% Senior Secured Notes Collateral Coverage Ratio, American will be required to pay special interest in an additional amount equal to 2.0% per annum of the principal amount of the 7.25% Senior Secured Notes until the 7.25% Senior Secured Notes Collateral Coverage Ratio is established to be at least 1.6 to 1.0.</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8.50% Senior Secured Notes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December 4, 2023, American issued $1.0 billion aggregate principal amount of 8.50% senior secured notes due 2029 (the 8.50% Senior Secured Notes) in a private offering. The 8.50% Senior Secured Notes were issued at par and bear interest at a rate of 8.50% per annum (subject to increase if the collateral coverage ratio described below is not met). Interest on the 8.50% Senior Secured Notes is payable semiannually in arrears on May 15 and November 15 of each year, beginning on May 15, 2024. The 8.50% Senior Secured Notes will mature on May 15, 2029. The obligations of American under the 8.50% Senior Secured Notes are fully and unconditionally guaranteed on a senior unsecured basis by AAG. The net proceeds from the 8.50% Senior Secured Notes, together with borrowings under the 2023 Term Loan Facility and cash on hand, were used to redeem all of the outstanding 11.75% Senior Secured Notes in December 2023.</w:t>
      </w:r>
    </w:p>
    <w:p>
      <w:pPr>
        <w:spacing w:after="0" w:line="12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8.50% Senior Secured Notes were issued pursuant to an indenture, dated as of December 4, 2023 (the 8.50% Senior Secured Notes Indenture), by and among American, AAG and Wilmington Trust, National Association, as trustee and collateral agent. The 8.50% Senior Secured Notes are American’s senior secured obligations and are secured on a first lien basis by security interests in certain assets, rights and properties that American uses to provide non-stop scheduled air carrier services between (a) certain airports in the United States and (b) certain airports in Australia, Canada, the Caribbean, Central America, China, Hong Kong, Japan, Mexico, South Korea and Switzerland (collectively, the 8.50% Senior Secured Notes Collateral). The 8.50% Senior Secured Notes Collateral also secures, on a first lien, pari passu basis with the 8.50% Senior Secured Notes, the 2023 Term Loan Facility.</w:t>
      </w:r>
    </w:p>
    <w:p>
      <w:pPr>
        <w:spacing w:after="0" w:line="12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 may redeem the 8.50% Senior Secured Notes, in whole at any time or in part from time to time prior to November 15, 2025, at a redemption price equal to 100% of the principal amount of the 8.50% Senior Secured Notes to be redeemed, plus a “make-whole” premium, plus any accrued and unpaid interest thereon to but excluding the date of redemption. At any time on or after November 15, 2025, American may redeem all or any of the 8.50% Senior Secured Notes in whole at any time, or in part from time to time, at the redemption prices described in the 8.50% Senior Secured Notes Indenture, plus any accrued and unpaid interest thereon to but excluding the date of redemption. In addition, at any time prior to November 15, 2025, American may redeem up to 40% of the original aggregate principal amount of the 8.50% Senior Secured Notes (calculated after giving effect to any issuance of additional notes) with the net cash proceeds of certain equity offerings, at a redemption price equal to 108.50% of the aggregate principal amount of the 8.50% Senior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Secured Notes to be redeemed, plus any accrued and unpaid interest thereon to but excluding the date of redemption. In addition, during each twelve-month period beginning on December 4, 2023 and ending on or prior to November 15, 2025, American may redeem up to 10% of the original aggregate principal amount of the 8.50% Senior Secured Notes at a redemption price of 103% of the principal amount thereof, plus any accrued and unpaid interest thereon to, but excluding, the applicable date of redemption.</w:t>
      </w:r>
    </w:p>
    <w:p>
      <w:pPr>
        <w:spacing w:after="0" w:line="1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Twice per year, American is required to deliver an appraisal of the 8.50% Senior Secured Notes Collateral and an officer’s certificate demonstrating the calculation of a collateral coverage ratio in relation to the 8.50% Senior Secured Notes Collateral (the 8.50% Senior Secured Notes Collateral Coverage Ratio) as of the date of delivery of the appraisal for the applicable period. If the 8.50% Senior Secured Notes Collateral Coverage Ratio is less than 1.6 to 1.0 as of the date of delivery of the appraisal for the applicable period, then, subject to a cure period in which additional collateral can be provided or debt repaid such that American meets the required 8.50% Senior Secured Notes Collateral Coverage Ratio, American will be required to pay special interest in an additional amount equal to 2.0% per annum of the principal amount of the 8.50% Senior Secured Notes until the 8.50% Senior Secured Notes Collateral Coverage Ratio is established to be at least 1.6 to 1.0.</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 AAdvantage Financing</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March 24, 2021 (the AAdvantage Financing Closing Date), American and AAdvantage Loyalty IP Ltd., a Cayman Islands exempted company incorporated with limited liability and an indirect wholly-owned subsidiary of American (Loyalty Issuer and, together with American, the AAdvantage Issuers), completed the offering of $3.5 billion aggregate principal amount of 5.50% Senior Secured Notes due 2026 (the 2026 Notes) and $3.0 billion aggregate principal amount of 5.75% Senior Secured Notes due 2029 (the 2029 Notes, and together with the 2026 Notes, the AAdvantage Notes). The AAdvantage Notes are fully and unconditionally guaranteed by the SPV Guarantors and AAG.</w:t>
      </w:r>
    </w:p>
    <w:p>
      <w:pPr>
        <w:spacing w:after="0" w:line="1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Concurrent with the issuance of the AAdvantage Notes, the AAdvantage Issuers, as co-borrowers, entered into a term loan credit and guaranty agreement, dated March 24, 2021, providing for a $3.5 billion term loan facility (the AAdvantage Term Loan Facility and collectively with the AAdvantage Notes, the AAdvantage Financing) and pursuant to which the full $3.5 billion of term loans (the AAdvantage Loans) were drawn on the AAdvantage Financing Closing Date. The AAdvantage Loans are fully and unconditionally guaranteed (together with the AAdvantage Note Guarantees, the AAdvantage Guarantees) by the SPV Guarantors and AAG.</w:t>
      </w:r>
    </w:p>
    <w:p>
      <w:pPr>
        <w:spacing w:after="0" w:line="1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Subject to certain permitted liens and other exceptions, the AAdvantage Notes, AAdvantage Loans and AAdvantage Guarantees provided by the SPV Guarantors are secured by a first-priority security interest in, and pledge of, various agreements with respect to the AAdvantage program (the AAdvantage Agreements) (including all payments thereunder) and certain intellectual property licenses, certain deposit accounts that will receive cash under the AAdvantage Agreements, certain reserve accounts, the equity of each of Loyalty Issuer and the SPV Guarantors and substantially all other assets of Loyalty Issuer and the SPV Guarantors including American’s rights to certain data and other intellectual property used in the AAdvantage program (subject to certain exceptions) (collectively, the AAdvantage Collateral).</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Payment Terms of the AAdvantage Notes and AAdvantage Loans under the AAdvantage Term Loan Facility</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Interest on the AAdvantage Notes is payable in cash, quarterly in arrears on the 20th day of each January, April, July and October (each, an AAdvantage Payment Date), which began on July 20, 2021. The 2026 Notes will mature on April 20, 2026, and the 2029 Notes will mature on April 20, 2029. The outstanding principal on the 2026 Notes will be repaid in quarterly installments of $292 million on each AAdvantage Payment Date, which began in July 2023. The outstanding principal on the 2029 Notes will be repaid in quarterly installments of $250 million on each AAdvantage Payment Date, beginning on July 20, 2026.</w:t>
      </w:r>
    </w:p>
    <w:p>
      <w:pPr>
        <w:spacing w:after="0" w:line="1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AAdvantage Issuers may redeem the AAdvantage Notes, at their option, in whole at any time or in part from time to time, at a redemption price equal to 100% of the principal amount of the AAdvantage Notes redeemed plus a “make-whole” premium, together with accrued and unpaid interest to the date of redemption.</w:t>
      </w:r>
    </w:p>
    <w:p>
      <w:pPr>
        <w:spacing w:after="0" w:line="11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scheduled maturity date of the AAdvantage Loans under the AAdvantage Term Loan Facility is April 20, 2028. The outstanding principal on the AAdvantage Loans will be repaid in quarterly installments of $175 million, on each AAdvantage Payment Date, which began in July 2023. These amortization payments (as well as those for the AAdvantage Notes) will be subject to the occurrence of certain early amortization events, including the failure to satisfy a minimum debt service coverage ratio at specified determination dates.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Prepayment of some or all of the AAdvantage Loans outstanding under the AAdvantage Term Loan Facility is permitted, although payment of an applicable premium is required as specified in the AAdvantage Term Loan Facility.</w:t>
      </w:r>
    </w:p>
    <w:p>
      <w:pPr>
        <w:spacing w:after="0" w:line="10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AAdvantage Indenture and the AAdvantage Term Loan Facility contain mandatory prepayment provisions triggered upon (i) the issuance or incurrence by Loyalty Issuer or the SPV Guarantors of certain indebtedness or (ii) the receipt by American or its subsidiaries of net proceeds from pre-paid frequent flyer (i.e., AAdvantage) mile sales exceeding $505 million. Each of these prepayments would also require payment of an applicable premium. Certain other events, including the occurrence of a change of control with respect to AAG and certain AAdvantage Collateral sales exceeding a specified threshold, will also trigger mandatory repurchase or mandatory prepayment provisions under the AAdvantage Indenture and the AAdvantage Term Loan Facility, respectively.</w:t>
      </w:r>
    </w:p>
    <w:p>
      <w:pPr>
        <w:spacing w:after="0" w:line="12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June 2023, American and AAdvantage Loyalty IP Ltd. entered into the First Amendment to the AAdvantage Term Loan Facility pursuant to which the benchmark interest rate transitioned from LIBOR to SOFR, effective July 1, 2023. As a result, the AAdvantage Term Loan Facility bears interest at a base rate (subject to a floor of 0.00%) plus an applicable margin of 3.75% or, at American’s option, the SOFR rate for a tenor of three months, plus a 0.26161% credit spread adjustment (with such SOFR rate plus SOFR adjustment being subject to a floor of 0.75%) and an applicable margin of 4.75%. As of December 31, 2023, the margin elected was 4.75%. Other than the foregoing, the terms of the AAdvantage Term Loan Facility remain substantially unchanged.</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 Equipment Loans and Other Notes Payable Issued in 2023</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2023, American entered into agreements under which it borrowed $1.1 billion in connection with the financing of certain aircraft. Debt incurred under these agreements matures in 2032 through 2035 and bears interest at fixed and variable rates (comprised of SOFR plus an applicable margin) averaging 7.15% as of December 31, 2023.</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PSP Promissory Notes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 Agreements, AAG issued promissory notes to Treasury (PSP1 Promissory Note, PSP2 Promissory Note and PSP3 Promissory Note, collectively the PSP Promissory Notes), in the aggregate principal sum of $3.7 billion which provides for the guarantee of our obligations under the PSP Promissory Notes by the Subsidiaries.</w:t>
      </w:r>
    </w:p>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PSP Promissory Notes bear interest on the outstanding principal amount at a rate equal to 1.00% per annum until the fifth anniversary of the applicable PSP closing date and 2.00% plus an interest rate based on SOFR per annum or other benchmark replacement rate consistent with customary market conventions (but not to be less than 0.00%) thereafter until the tenth anniversary of the applicable PSP closing date, and interest accrued thereon will be payable in arrears on the last business day of March and September of each year. The aggregate principal amount outstanding under the PSP Promissory Notes, together with all accrued and unpaid interest thereon and all other amounts payable under the PSP Promissory Notes, will be due and payable on the maturity date.</w:t>
      </w:r>
    </w:p>
    <w:p>
      <w:pPr>
        <w:spacing w:after="0" w:line="12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PSP Promissory Notes are our senior unsecured obligation and each guarantee of the PSP Promissory Notes is the senior unsecured obligation of each of the Subsidiaries, respectively.</w:t>
      </w:r>
    </w:p>
    <w:p>
      <w:pPr>
        <w:spacing w:after="0" w:line="10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may, at any time and from time to time, voluntarily prepay amounts outstanding under the PSP Promissory Notes, in whole or in part, without penalty or premium. Within 30 days of the occurrence of certain change of control triggering events, we are required to prepay the aggregate outstanding principal amount of the PSP Promissory Notes at such time, together with any accrued interest or other amounts owing under the PSP Promissory Notes at such time.</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 6.50% Convertible Senior Notes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June 2020, AAG completed the public offering of $1.0 billion aggregate principal amount of AAG’s 6.50% convertible senior notes due 2025 (the Convertible Notes). The Convertible Notes are fully and unconditionally guaranteed by American on a senior unsecured basis (the Convertible Notes Guarantee). The net proceeds from the Convertible Notes were approximately $970 million, after deducting the underwriters’ discounts and commissions and our estimated offering expenses.</w:t>
      </w:r>
    </w:p>
    <w:p>
      <w:pPr>
        <w:spacing w:after="0" w:line="12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Convertible Notes bear interest at a rate of 6.50% per annum. Interest on the Convertible Notes is payable semiannually in arrears on January 1 and July 1 of each year, which began on January 1, 2021. The Convertible Notes will mature on July 1, 2025, unless earlier converted, redeemed or repurchased by us.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Upon conversion, AAG will pay or deliver, as the case may be, cash, shares of AAG common stock or a combination of cash and shares of AAG common stock, at AAG’s election. The initial conversion rate is 61.7284 shares of AAG common stock per $1,000 principal amount of Convertible Notes (equivalent to an initial conversion price of approximately $16.20 per share of AAG common stock). The conversion rate is subject to adjustment in some events as described in the Convertible Notes Indenture.</w:t>
      </w:r>
    </w:p>
    <w:p>
      <w:pPr>
        <w:spacing w:after="0" w:line="12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Holders may convert their Convertible Notes at their option only in the following circumstances: (1) during any calendar quarter (and only during such calendar quarter) commencing after the calendar quarter ending on September 30, 2020, if the last reported sale price per share of AAG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10 consecutive trading day period (such 10 consecutive trading day period, the measurement period) in which the trading price per $1,000 principal amount of Convertible Notes for each trading day of the measurement period was less than 98% of the product of the last reported sale price per share of AAG common stock on such trading day and the conversion rate on such trading day; (3) upon the occurrence of certain corporate events or distributions on AAG common stock; (4) if AAG calls such Convertible Notes for redemption; and (5) at any time from, and including, April 1, 2025 until the close of business on the scheduled trading day immediately before the maturity date of the Convertible Notes.</w:t>
      </w:r>
    </w:p>
    <w:p>
      <w:pPr>
        <w:spacing w:after="0" w:line="1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 addition, following certain corporate events that occur prior to the maturity date or upon AAG’s issuance of a notice of redemption, AAG will increase the conversion rate for a holder who elects to convert its Convertible Notes in connection with such corporate event or during the related redemption period in certain circumstances by a specified number of shares of AAG common stock as described in the Convertible Notes Indenture.</w:t>
      </w:r>
    </w:p>
    <w:p>
      <w:pPr>
        <w:spacing w:after="0" w:line="12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AAG did not have the right to redeem the Convertible Notes prior to July 5, 2023. On or after July 5, 2023 and on or before the 20th scheduled trading day immediately before the maturity date, AAG may redeem the Convertible Notes, in whole or in part, if the last reported sale price of AAG common stock has been at least 130% of the conversion price then in effect on (1) each of at least 20 trading days (whether or not consecutive) during the 30 consecutive trading days ending on, and including, the trading day immediately before the date AAG sends the related redemption notice; and (2) the trading day immediately before the date AAG sends such notice. In the case of any optional redemption, AAG will redeem the Convertible Notes at a redemption price equal to 100% of the principal amount of such Convertible Notes to be redeemed, plus accrued and unpaid interest to, but excluding, the redemption date.</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information relating to the Convertible Notes as of December 31, 2023 and 2022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209"/>
        </w:trPr>
        <w:tc>
          <w:tcPr>
            <w:tcW w:w="8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amount</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effective interest rate for the Convertible Notes was 7% for each of the years ended December 31, 2023, 2022, and 2021. Interest recognized for the Convertible Notes is as follows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09"/>
        </w:trPr>
        <w:tc>
          <w:tcPr>
            <w:tcW w:w="64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2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coupon interest</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amortization of debt discount</w:t>
            </w:r>
          </w:p>
        </w:tc>
        <w:tc>
          <w:tcPr>
            <w:tcW w:w="10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At December 31, 2023, the if-converted value of the Convertible Notes did not exceed the principal amount. The last reported sale price per share of our common stock (as defined in the Convertible Notes Indenture) did not exceed 130% of the conversion price of the Convertible Notes for at least 20 of the 30 consecutive trading days ending on December 31, 2023. Accordingly, pursuant to the terms of the Convertible Notes Indenture, the holders of the Convertible Notes cannot convert at their option at any time during the quarter ending March 31, 2024. Each $1,000 principal amount of Convertible Notes is convertible at a rate of 61.7284 shares of our common stock, subject to adjustment as provided in the Convertible Notes Indenture. We may settle conversions by paying or delivering, as applicable, cash, shares of our common stock or a combination of cash and shares of our common stock, at our election.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right="8620" w:hanging="9"/>
        <w:spacing w:after="0" w:line="342" w:lineRule="auto"/>
        <w:tabs>
          <w:tab w:leader="none" w:pos="539"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Unsecured Senior Notes </w:t>
      </w:r>
      <w:r>
        <w:rPr>
          <w:rFonts w:ascii="Arial" w:cs="Arial" w:eastAsia="Arial" w:hAnsi="Arial"/>
          <w:sz w:val="18"/>
          <w:szCs w:val="18"/>
          <w:i w:val="1"/>
          <w:iCs w:val="1"/>
          <w:u w:val="single" w:color="auto"/>
          <w:color w:val="auto"/>
        </w:rPr>
        <w:t>3.75% Senior Notes</w:t>
      </w:r>
    </w:p>
    <w:p>
      <w:pPr>
        <w:spacing w:after="0" w:line="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February 2020, AAG issued $500 million aggregate principal amount of 3.75% senior notes due 2025 (the 3.75% Senior Notes). The 3.75% Senior Notes bear interest at a rate of 3.75% per annum, payable semiannually in arrears in March and September of each year, which began in September 2020. The 3.75% Senior Notes mature in March 2025.</w:t>
      </w:r>
    </w:p>
    <w:p>
      <w:pPr>
        <w:spacing w:after="0" w:line="11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3.75% Senior Notes are senior unsecured obligations of AAG. These Senior Notes are fully and unconditionally guaranteed by American. The indentures for these Senior Notes contain covenants and events of default generally customary for similar financings.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Financing Activities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year ended December 31, 2023, we repurchased $552 million of secured and unsecured notes in the open market. In connection with the repurchase of these secured and unsecured notes in the open market, American recorded $ 57 million of cash special charges for premiums paid and $6 million of non-cash special charges to write off unamortized debt issuance costs and debt discounts.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Guarantees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December 31, 2023, AAG had issued guarantees covering approximately $17.5 billion of American’s secured debt (and interest thereon), including the Credit Facilities, 2023 Term Loan Facility, the AAdvantage Financing, certain EETC financings and special facility revenue bonds.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Our debt agreements contain customary terms and conditions as well as various affirmative, negative and financial covenants that, among other things, may restrict the ability of us and our subsidiaries to incur additional indebtedness, pay dividends or repurchase stock. Our debt agreements also contain customary change of control provisions, which may require us to repay or redeem such indebtedness upon certain events constituting a change of control under the relevant agreement, in certain cases at a premium. Certain of our debt financing agreements (including our secured notes, term loans, revolving credit facilities and spare engine EETCs) contain loan to value (LTV), collateral coverage or peak debt service coverage ratio covenants and certain agreements require us to appraise the related collateral annually or semiannually. Pursuant to such agreements, if the applicable LTV, collateral coverage or peak debt service coverage ratio exceeds or falls below a specified threshold, as the case may be, we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Additionally, a significant portion of our debt financing agreements contain covenants requiring us to maintain an aggregate of at least $2.0 billion of unrestricted cash and cash equivalents and amounts available to be drawn under revolving credit facilities, and our AAdvantage Financing contains a peak debt service coverage ratio, pursuant to which failure to comply with a certain threshold may result in early repayment, in whole or in part, of the AAdvantage Financing.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firstLine="243"/>
        <w:spacing w:after="0" w:line="286" w:lineRule="auto"/>
        <w:rPr>
          <w:sz w:val="20"/>
          <w:szCs w:val="20"/>
          <w:color w:val="auto"/>
        </w:rPr>
      </w:pPr>
      <w:r>
        <w:rPr>
          <w:rFonts w:ascii="Arial" w:cs="Arial" w:eastAsia="Arial" w:hAnsi="Arial"/>
          <w:sz w:val="18"/>
          <w:szCs w:val="18"/>
          <w:color w:val="auto"/>
        </w:rPr>
        <w:t>Specifically, we are required to meet certain collateral coverage tests for our Credit Facilities, April 2016 Revolving Facility, 2023 Term Loan Facility, 7.25% Senior Secured Notes, 8.50% Senior Secured Notes and 10.75% Senior Secured Notes, as described below:</w:t>
      </w:r>
    </w:p>
    <w:p>
      <w:pPr>
        <w:spacing w:after="0" w:line="312" w:lineRule="exact"/>
        <w:rPr>
          <w:sz w:val="20"/>
          <w:szCs w:val="20"/>
          <w:color w:val="auto"/>
        </w:rPr>
      </w:pPr>
    </w:p>
    <w:p>
      <w:pPr>
        <w:ind w:left="1660"/>
        <w:spacing w:after="0"/>
        <w:tabs>
          <w:tab w:leader="none" w:pos="3000" w:val="left"/>
          <w:tab w:leader="none" w:pos="4460" w:val="left"/>
          <w:tab w:leader="none" w:pos="5920" w:val="left"/>
          <w:tab w:leader="none" w:pos="7140" w:val="left"/>
          <w:tab w:leader="none" w:pos="8640" w:val="left"/>
          <w:tab w:leader="none" w:pos="10020" w:val="left"/>
        </w:tabs>
        <w:rPr>
          <w:sz w:val="20"/>
          <w:szCs w:val="20"/>
          <w:color w:val="auto"/>
        </w:rPr>
      </w:pPr>
      <w:r>
        <w:rPr>
          <w:rFonts w:ascii="Arial" w:cs="Arial" w:eastAsia="Arial" w:hAnsi="Arial"/>
          <w:sz w:val="14"/>
          <w:szCs w:val="14"/>
          <w:b w:val="1"/>
          <w:bCs w:val="1"/>
          <w:color w:val="auto"/>
        </w:rPr>
        <w:t>2013 Credit</w:t>
      </w:r>
      <w:r>
        <w:rPr>
          <w:sz w:val="20"/>
          <w:szCs w:val="20"/>
          <w:color w:val="auto"/>
        </w:rPr>
        <w:tab/>
      </w:r>
      <w:r>
        <w:rPr>
          <w:rFonts w:ascii="Arial" w:cs="Arial" w:eastAsia="Arial" w:hAnsi="Arial"/>
          <w:sz w:val="14"/>
          <w:szCs w:val="14"/>
          <w:b w:val="1"/>
          <w:bCs w:val="1"/>
          <w:color w:val="auto"/>
        </w:rPr>
        <w:t>7.25% Senior</w:t>
      </w:r>
      <w:r>
        <w:rPr>
          <w:sz w:val="20"/>
          <w:szCs w:val="20"/>
          <w:color w:val="auto"/>
        </w:rPr>
        <w:tab/>
      </w:r>
      <w:r>
        <w:rPr>
          <w:rFonts w:ascii="Arial" w:cs="Arial" w:eastAsia="Arial" w:hAnsi="Arial"/>
          <w:sz w:val="14"/>
          <w:szCs w:val="14"/>
          <w:b w:val="1"/>
          <w:bCs w:val="1"/>
          <w:color w:val="auto"/>
        </w:rPr>
        <w:t>2014 Credit</w:t>
      </w:r>
      <w:r>
        <w:rPr>
          <w:sz w:val="20"/>
          <w:szCs w:val="20"/>
          <w:color w:val="auto"/>
        </w:rPr>
        <w:tab/>
      </w:r>
      <w:r>
        <w:rPr>
          <w:rFonts w:ascii="Arial" w:cs="Arial" w:eastAsia="Arial" w:hAnsi="Arial"/>
          <w:sz w:val="14"/>
          <w:szCs w:val="14"/>
          <w:b w:val="1"/>
          <w:bCs w:val="1"/>
          <w:color w:val="auto"/>
        </w:rPr>
        <w:t>April 2016</w:t>
      </w:r>
      <w:r>
        <w:rPr>
          <w:sz w:val="20"/>
          <w:szCs w:val="20"/>
          <w:color w:val="auto"/>
        </w:rPr>
        <w:tab/>
      </w:r>
      <w:r>
        <w:rPr>
          <w:rFonts w:ascii="Arial" w:cs="Arial" w:eastAsia="Arial" w:hAnsi="Arial"/>
          <w:sz w:val="14"/>
          <w:szCs w:val="14"/>
          <w:b w:val="1"/>
          <w:bCs w:val="1"/>
          <w:color w:val="auto"/>
        </w:rPr>
        <w:t>2023 Term Loan</w:t>
      </w:r>
      <w:r>
        <w:rPr>
          <w:sz w:val="20"/>
          <w:szCs w:val="20"/>
          <w:color w:val="auto"/>
        </w:rPr>
        <w:tab/>
      </w:r>
      <w:r>
        <w:rPr>
          <w:rFonts w:ascii="Arial" w:cs="Arial" w:eastAsia="Arial" w:hAnsi="Arial"/>
          <w:sz w:val="14"/>
          <w:szCs w:val="14"/>
          <w:b w:val="1"/>
          <w:bCs w:val="1"/>
          <w:color w:val="auto"/>
        </w:rPr>
        <w:t>8.50% Senior</w:t>
      </w:r>
      <w:r>
        <w:rPr>
          <w:sz w:val="20"/>
          <w:szCs w:val="20"/>
          <w:color w:val="auto"/>
        </w:rPr>
        <w:tab/>
      </w:r>
      <w:r>
        <w:rPr>
          <w:rFonts w:ascii="Arial" w:cs="Arial" w:eastAsia="Arial" w:hAnsi="Arial"/>
          <w:sz w:val="14"/>
          <w:szCs w:val="14"/>
          <w:b w:val="1"/>
          <w:bCs w:val="1"/>
          <w:color w:val="auto"/>
        </w:rPr>
        <w:t>10.75% Senior</w:t>
      </w:r>
    </w:p>
    <w:p>
      <w:pPr>
        <w:spacing w:after="0" w:line="1" w:lineRule="exact"/>
        <w:rPr>
          <w:sz w:val="20"/>
          <w:szCs w:val="20"/>
          <w:color w:val="auto"/>
        </w:rPr>
      </w:pPr>
    </w:p>
    <w:p>
      <w:pPr>
        <w:ind w:left="1760"/>
        <w:spacing w:after="0"/>
        <w:tabs>
          <w:tab w:leader="none" w:pos="2960" w:val="left"/>
          <w:tab w:leader="none" w:pos="4560" w:val="left"/>
          <w:tab w:leader="none" w:pos="5660" w:val="left"/>
          <w:tab w:leader="none" w:pos="7440" w:val="left"/>
          <w:tab w:leader="none" w:pos="8600" w:val="left"/>
          <w:tab w:leader="none" w:pos="10000" w:val="left"/>
        </w:tabs>
        <w:rPr>
          <w:sz w:val="20"/>
          <w:szCs w:val="20"/>
          <w:color w:val="auto"/>
        </w:rPr>
      </w:pPr>
      <w:r>
        <w:rPr>
          <w:rFonts w:ascii="Arial" w:cs="Arial" w:eastAsia="Arial" w:hAnsi="Arial"/>
          <w:sz w:val="14"/>
          <w:szCs w:val="14"/>
          <w:b w:val="1"/>
          <w:bCs w:val="1"/>
          <w:color w:val="auto"/>
        </w:rPr>
        <w:t>Facilities</w:t>
      </w:r>
      <w:r>
        <w:rPr>
          <w:sz w:val="20"/>
          <w:szCs w:val="20"/>
          <w:color w:val="auto"/>
        </w:rPr>
        <w:tab/>
      </w:r>
      <w:r>
        <w:rPr>
          <w:rFonts w:ascii="Arial" w:cs="Arial" w:eastAsia="Arial" w:hAnsi="Arial"/>
          <w:sz w:val="14"/>
          <w:szCs w:val="14"/>
          <w:b w:val="1"/>
          <w:bCs w:val="1"/>
          <w:color w:val="auto"/>
        </w:rPr>
        <w:t>Secured Notes</w:t>
      </w:r>
      <w:r>
        <w:rPr>
          <w:sz w:val="20"/>
          <w:szCs w:val="20"/>
          <w:color w:val="auto"/>
        </w:rPr>
        <w:tab/>
      </w:r>
      <w:r>
        <w:rPr>
          <w:rFonts w:ascii="Arial" w:cs="Arial" w:eastAsia="Arial" w:hAnsi="Arial"/>
          <w:sz w:val="14"/>
          <w:szCs w:val="14"/>
          <w:b w:val="1"/>
          <w:bCs w:val="1"/>
          <w:color w:val="auto"/>
        </w:rPr>
        <w:t>Facilities</w:t>
      </w:r>
      <w:r>
        <w:rPr>
          <w:sz w:val="20"/>
          <w:szCs w:val="20"/>
          <w:color w:val="auto"/>
        </w:rPr>
        <w:tab/>
      </w:r>
      <w:r>
        <w:rPr>
          <w:rFonts w:ascii="Arial" w:cs="Arial" w:eastAsia="Arial" w:hAnsi="Arial"/>
          <w:sz w:val="14"/>
          <w:szCs w:val="14"/>
          <w:b w:val="1"/>
          <w:bCs w:val="1"/>
          <w:color w:val="auto"/>
        </w:rPr>
        <w:t>Revolving Facility</w:t>
      </w:r>
      <w:r>
        <w:rPr>
          <w:sz w:val="20"/>
          <w:szCs w:val="20"/>
          <w:color w:val="auto"/>
        </w:rPr>
        <w:tab/>
      </w:r>
      <w:r>
        <w:rPr>
          <w:rFonts w:ascii="Arial" w:cs="Arial" w:eastAsia="Arial" w:hAnsi="Arial"/>
          <w:sz w:val="14"/>
          <w:szCs w:val="14"/>
          <w:b w:val="1"/>
          <w:bCs w:val="1"/>
          <w:color w:val="auto"/>
        </w:rPr>
        <w:t>Facility</w:t>
      </w:r>
      <w:r>
        <w:rPr>
          <w:sz w:val="20"/>
          <w:szCs w:val="20"/>
          <w:color w:val="auto"/>
        </w:rPr>
        <w:tab/>
      </w:r>
      <w:r>
        <w:rPr>
          <w:rFonts w:ascii="Arial" w:cs="Arial" w:eastAsia="Arial" w:hAnsi="Arial"/>
          <w:sz w:val="14"/>
          <w:szCs w:val="14"/>
          <w:b w:val="1"/>
          <w:bCs w:val="1"/>
          <w:color w:val="auto"/>
        </w:rPr>
        <w:t>Secured Notes</w:t>
      </w:r>
      <w:r>
        <w:rPr>
          <w:sz w:val="20"/>
          <w:szCs w:val="20"/>
          <w:color w:val="auto"/>
        </w:rPr>
        <w:tab/>
      </w:r>
      <w:r>
        <w:rPr>
          <w:rFonts w:ascii="Arial" w:cs="Arial" w:eastAsia="Arial" w:hAnsi="Arial"/>
          <w:sz w:val="14"/>
          <w:szCs w:val="14"/>
          <w:b w:val="1"/>
          <w:bCs w:val="1"/>
          <w:color w:val="auto"/>
        </w:rPr>
        <w:t>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92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06920" cy="13716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380" w:type="dxa"/>
            <w:vAlign w:val="bottom"/>
          </w:tcPr>
          <w:p>
            <w:pPr>
              <w:spacing w:after="0"/>
              <w:rPr>
                <w:sz w:val="20"/>
                <w:szCs w:val="20"/>
                <w:color w:val="auto"/>
              </w:rPr>
            </w:pPr>
            <w:r>
              <w:rPr>
                <w:rFonts w:ascii="Arial" w:cs="Arial" w:eastAsia="Arial" w:hAnsi="Arial"/>
                <w:sz w:val="14"/>
                <w:szCs w:val="14"/>
                <w:color w:val="auto"/>
              </w:rPr>
              <w:t>LTV Requirement</w:t>
            </w: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380" w:type="dxa"/>
            <w:vAlign w:val="bottom"/>
          </w:tcPr>
          <w:p>
            <w:pPr>
              <w:spacing w:after="0"/>
              <w:rPr>
                <w:sz w:val="20"/>
                <w:szCs w:val="20"/>
                <w:color w:val="auto"/>
              </w:rPr>
            </w:pPr>
            <w:r>
              <w:rPr>
                <w:rFonts w:ascii="Arial" w:cs="Arial" w:eastAsia="Arial" w:hAnsi="Arial"/>
                <w:sz w:val="14"/>
                <w:szCs w:val="14"/>
                <w:color w:val="auto"/>
              </w:rPr>
              <w:t>LTV as of Last</w:t>
            </w:r>
          </w:p>
        </w:tc>
        <w:tc>
          <w:tcPr>
            <w:tcW w:w="2680" w:type="dxa"/>
            <w:vAlign w:val="bottom"/>
            <w:vMerge w:val="restart"/>
          </w:tcPr>
          <w:p>
            <w:pPr>
              <w:jc w:val="center"/>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09"/>
        </w:trPr>
        <w:tc>
          <w:tcPr>
            <w:tcW w:w="1380" w:type="dxa"/>
            <w:vAlign w:val="bottom"/>
            <w:vMerge w:val="restart"/>
          </w:tcPr>
          <w:p>
            <w:pPr>
              <w:ind w:left="80"/>
              <w:spacing w:after="0"/>
              <w:rPr>
                <w:sz w:val="20"/>
                <w:szCs w:val="20"/>
                <w:color w:val="auto"/>
              </w:rPr>
            </w:pPr>
            <w:r>
              <w:rPr>
                <w:rFonts w:ascii="Arial" w:cs="Arial" w:eastAsia="Arial" w:hAnsi="Arial"/>
                <w:sz w:val="14"/>
                <w:szCs w:val="14"/>
                <w:color w:val="auto"/>
              </w:rPr>
              <w:t>Measurement Date</w:t>
            </w: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380" w:type="dxa"/>
            <w:vAlign w:val="bottom"/>
            <w:vMerge w:val="continue"/>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line="149" w:lineRule="exact"/>
              <w:rPr>
                <w:sz w:val="20"/>
                <w:szCs w:val="20"/>
                <w:color w:val="auto"/>
              </w:rPr>
            </w:pPr>
            <w:r>
              <w:rPr>
                <w:rFonts w:ascii="Arial" w:cs="Arial" w:eastAsia="Arial" w:hAnsi="Arial"/>
                <w:sz w:val="14"/>
                <w:szCs w:val="14"/>
                <w:color w:val="auto"/>
              </w:rPr>
              <w:t>Frequency of</w:t>
            </w: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80" w:type="dxa"/>
            <w:vAlign w:val="bottom"/>
          </w:tcPr>
          <w:p>
            <w:pPr>
              <w:ind w:left="80"/>
              <w:spacing w:after="0" w:line="144" w:lineRule="exact"/>
              <w:rPr>
                <w:sz w:val="20"/>
                <w:szCs w:val="20"/>
                <w:color w:val="auto"/>
              </w:rPr>
            </w:pPr>
            <w:r>
              <w:rPr>
                <w:rFonts w:ascii="Arial" w:cs="Arial" w:eastAsia="Arial" w:hAnsi="Arial"/>
                <w:sz w:val="14"/>
                <w:szCs w:val="14"/>
                <w:color w:val="auto"/>
              </w:rPr>
              <w:t>Appraisals of</w:t>
            </w: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80" w:type="dxa"/>
            <w:vAlign w:val="bottom"/>
          </w:tcPr>
          <w:p>
            <w:pPr>
              <w:ind w:left="80"/>
              <w:spacing w:after="0" w:line="139" w:lineRule="exact"/>
              <w:rPr>
                <w:sz w:val="20"/>
                <w:szCs w:val="20"/>
                <w:color w:val="auto"/>
              </w:rPr>
            </w:pPr>
            <w:r>
              <w:rPr>
                <w:rFonts w:ascii="Arial" w:cs="Arial" w:eastAsia="Arial" w:hAnsi="Arial"/>
                <w:sz w:val="14"/>
                <w:szCs w:val="14"/>
                <w:color w:val="auto"/>
              </w:rPr>
              <w:t>Appraised</w:t>
            </w: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80" w:type="dxa"/>
            <w:vAlign w:val="bottom"/>
          </w:tcPr>
          <w:p>
            <w:pPr>
              <w:ind w:left="80"/>
              <w:spacing w:after="0"/>
              <w:rPr>
                <w:sz w:val="20"/>
                <w:szCs w:val="20"/>
                <w:color w:val="auto"/>
              </w:rPr>
            </w:pPr>
            <w:r>
              <w:rPr>
                <w:rFonts w:ascii="Arial" w:cs="Arial" w:eastAsia="Arial" w:hAnsi="Arial"/>
                <w:sz w:val="14"/>
                <w:szCs w:val="14"/>
                <w:color w:val="auto"/>
              </w:rPr>
              <w:t>Collateral</w:t>
            </w: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9"/>
        </w:trPr>
        <w:tc>
          <w:tcPr>
            <w:tcW w:w="1380" w:type="dxa"/>
            <w:vAlign w:val="bottom"/>
          </w:tcPr>
          <w:p>
            <w:pPr>
              <w:spacing w:after="0"/>
              <w:rPr>
                <w:sz w:val="24"/>
                <w:szCs w:val="24"/>
                <w:color w:val="auto"/>
              </w:rPr>
            </w:pPr>
          </w:p>
        </w:tc>
        <w:tc>
          <w:tcPr>
            <w:tcW w:w="2680" w:type="dxa"/>
            <w:vAlign w:val="bottom"/>
          </w:tcPr>
          <w:p>
            <w:pPr>
              <w:jc w:val="center"/>
              <w:ind w:left="8"/>
              <w:spacing w:after="0"/>
              <w:rPr>
                <w:sz w:val="20"/>
                <w:szCs w:val="20"/>
                <w:color w:val="auto"/>
              </w:rPr>
            </w:pPr>
            <w:r>
              <w:rPr>
                <w:rFonts w:ascii="Arial" w:cs="Arial" w:eastAsia="Arial" w:hAnsi="Arial"/>
                <w:sz w:val="14"/>
                <w:szCs w:val="14"/>
                <w:color w:val="auto"/>
              </w:rPr>
              <w:t>Generally, certain slots, route authorities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680" w:type="dxa"/>
            <w:vAlign w:val="bottom"/>
          </w:tcPr>
          <w:p>
            <w:pPr>
              <w:jc w:val="center"/>
              <w:ind w:left="8"/>
              <w:spacing w:after="0" w:line="149" w:lineRule="exact"/>
              <w:rPr>
                <w:sz w:val="20"/>
                <w:szCs w:val="20"/>
                <w:color w:val="auto"/>
              </w:rPr>
            </w:pPr>
            <w:r>
              <w:rPr>
                <w:rFonts w:ascii="Arial" w:cs="Arial" w:eastAsia="Arial" w:hAnsi="Arial"/>
                <w:sz w:val="14"/>
                <w:szCs w:val="14"/>
                <w:color w:val="auto"/>
              </w:rPr>
              <w:t>and airport gate leasehold rights used by</w:t>
            </w:r>
          </w:p>
        </w:tc>
        <w:tc>
          <w:tcPr>
            <w:tcW w:w="0" w:type="dxa"/>
            <w:vAlign w:val="bottom"/>
          </w:tcPr>
          <w:p>
            <w:pPr>
              <w:spacing w:after="0"/>
              <w:rPr>
                <w:sz w:val="1"/>
                <w:szCs w:val="1"/>
                <w:color w:val="auto"/>
              </w:rPr>
            </w:pPr>
          </w:p>
        </w:tc>
      </w:tr>
    </w:tbl>
    <w:p>
      <w:pPr>
        <w:jc w:val="both"/>
        <w:ind w:left="1460" w:hanging="1423"/>
        <w:spacing w:after="0" w:line="221" w:lineRule="auto"/>
        <w:tabs>
          <w:tab w:leader="none" w:pos="1440" w:val="left"/>
        </w:tabs>
        <w:rPr>
          <w:sz w:val="20"/>
          <w:szCs w:val="20"/>
          <w:color w:val="auto"/>
        </w:rPr>
      </w:pPr>
      <w:r>
        <w:rPr>
          <w:rFonts w:ascii="Arial" w:cs="Arial" w:eastAsia="Arial" w:hAnsi="Arial"/>
          <w:sz w:val="14"/>
          <w:szCs w:val="14"/>
          <w:color w:val="auto"/>
        </w:rPr>
        <w:t>Collateral Description</w:t>
        <w:tab/>
        <w:t>American to operate certain services between the U.S. and South America and</w:t>
      </w:r>
    </w:p>
    <w:p>
      <w:pPr>
        <w:ind w:left="2340"/>
        <w:spacing w:after="0"/>
        <w:rPr>
          <w:sz w:val="20"/>
          <w:szCs w:val="20"/>
          <w:color w:val="auto"/>
        </w:rPr>
      </w:pPr>
      <w:r>
        <w:rPr>
          <w:rFonts w:ascii="Arial" w:cs="Arial" w:eastAsia="Arial" w:hAnsi="Arial"/>
          <w:sz w:val="14"/>
          <w:szCs w:val="14"/>
          <w:color w:val="auto"/>
        </w:rPr>
        <w:t>New Zealand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1.6x Collateral valuation to amount of debt outstanding (62.5% LTV)</w:t>
      </w:r>
    </w:p>
    <w:p>
      <w:pPr>
        <w:spacing w:after="0" w:line="109"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1300" w:type="dxa"/>
            <w:vAlign w:val="bottom"/>
          </w:tcPr>
          <w:p>
            <w:pPr>
              <w:jc w:val="center"/>
              <w:ind w:right="68"/>
              <w:spacing w:after="0"/>
              <w:rPr>
                <w:sz w:val="20"/>
                <w:szCs w:val="20"/>
                <w:color w:val="auto"/>
              </w:rPr>
            </w:pPr>
            <w:r>
              <w:rPr>
                <w:rFonts w:ascii="Arial" w:cs="Arial" w:eastAsia="Arial" w:hAnsi="Arial"/>
                <w:sz w:val="14"/>
                <w:szCs w:val="14"/>
                <w:color w:val="auto"/>
              </w:rPr>
              <w:t>16.4%</w:t>
            </w:r>
          </w:p>
        </w:tc>
        <w:tc>
          <w:tcPr>
            <w:tcW w:w="1380" w:type="dxa"/>
            <w:vAlign w:val="bottom"/>
          </w:tcPr>
          <w:p>
            <w:pPr>
              <w:jc w:val="center"/>
              <w:spacing w:after="0"/>
              <w:rPr>
                <w:sz w:val="20"/>
                <w:szCs w:val="20"/>
                <w:color w:val="auto"/>
              </w:rPr>
            </w:pPr>
            <w:r>
              <w:rPr>
                <w:rFonts w:ascii="Arial" w:cs="Arial" w:eastAsia="Arial" w:hAnsi="Arial"/>
                <w:sz w:val="14"/>
                <w:szCs w:val="14"/>
                <w:color w:val="auto"/>
              </w:rPr>
              <w:t>Not Applicable</w:t>
            </w:r>
          </w:p>
        </w:tc>
        <w:tc>
          <w:tcPr>
            <w:tcW w:w="2740" w:type="dxa"/>
            <w:vAlign w:val="bottom"/>
          </w:tcPr>
          <w:p>
            <w:pPr>
              <w:jc w:val="center"/>
              <w:ind w:left="71"/>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485"/>
        </w:trPr>
        <w:tc>
          <w:tcPr>
            <w:tcW w:w="2680" w:type="dxa"/>
            <w:vAlign w:val="bottom"/>
            <w:gridSpan w:val="2"/>
          </w:tcPr>
          <w:p>
            <w:pPr>
              <w:ind w:left="880"/>
              <w:spacing w:after="0"/>
              <w:rPr>
                <w:sz w:val="20"/>
                <w:szCs w:val="20"/>
                <w:color w:val="auto"/>
              </w:rPr>
            </w:pPr>
            <w:r>
              <w:rPr>
                <w:rFonts w:ascii="Arial" w:cs="Arial" w:eastAsia="Arial" w:hAnsi="Arial"/>
                <w:sz w:val="14"/>
                <w:szCs w:val="14"/>
                <w:color w:val="auto"/>
              </w:rPr>
              <w:t>Semi-Annual</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300" w:type="dxa"/>
            <w:vAlign w:val="bottom"/>
          </w:tcPr>
          <w:p>
            <w:pPr>
              <w:jc w:val="center"/>
              <w:ind w:right="68"/>
              <w:spacing w:after="0"/>
              <w:rPr>
                <w:sz w:val="20"/>
                <w:szCs w:val="20"/>
                <w:color w:val="auto"/>
              </w:rPr>
            </w:pPr>
            <w:r>
              <w:rPr>
                <w:rFonts w:ascii="Arial" w:cs="Arial" w:eastAsia="Arial" w:hAnsi="Arial"/>
                <w:sz w:val="14"/>
                <w:szCs w:val="14"/>
                <w:color w:val="auto"/>
              </w:rPr>
              <w:t>Generally, certain</w:t>
            </w:r>
          </w:p>
        </w:tc>
        <w:tc>
          <w:tcPr>
            <w:tcW w:w="13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300" w:type="dxa"/>
            <w:vAlign w:val="bottom"/>
          </w:tcPr>
          <w:p>
            <w:pPr>
              <w:jc w:val="center"/>
              <w:ind w:right="48"/>
              <w:spacing w:after="0" w:line="144" w:lineRule="exact"/>
              <w:rPr>
                <w:sz w:val="20"/>
                <w:szCs w:val="20"/>
                <w:color w:val="auto"/>
              </w:rPr>
            </w:pPr>
            <w:r>
              <w:rPr>
                <w:rFonts w:ascii="Arial" w:cs="Arial" w:eastAsia="Arial" w:hAnsi="Arial"/>
                <w:sz w:val="14"/>
                <w:szCs w:val="14"/>
                <w:color w:val="auto"/>
              </w:rPr>
              <w:t>slots, route</w:t>
            </w:r>
          </w:p>
        </w:tc>
        <w:tc>
          <w:tcPr>
            <w:tcW w:w="1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jc w:val="center"/>
              <w:ind w:right="48"/>
              <w:spacing w:after="0" w:line="139" w:lineRule="exact"/>
              <w:rPr>
                <w:sz w:val="20"/>
                <w:szCs w:val="20"/>
                <w:color w:val="auto"/>
              </w:rPr>
            </w:pPr>
            <w:r>
              <w:rPr>
                <w:rFonts w:ascii="Arial" w:cs="Arial" w:eastAsia="Arial" w:hAnsi="Arial"/>
                <w:sz w:val="14"/>
                <w:szCs w:val="14"/>
                <w:color w:val="auto"/>
              </w:rPr>
              <w:t>authorities and</w:t>
            </w:r>
          </w:p>
        </w:tc>
        <w:tc>
          <w:tcPr>
            <w:tcW w:w="1380" w:type="dxa"/>
            <w:vAlign w:val="bottom"/>
          </w:tcPr>
          <w:p>
            <w:pPr>
              <w:spacing w:after="0"/>
              <w:rPr>
                <w:sz w:val="12"/>
                <w:szCs w:val="12"/>
                <w:color w:val="auto"/>
              </w:rPr>
            </w:pPr>
          </w:p>
        </w:tc>
        <w:tc>
          <w:tcPr>
            <w:tcW w:w="2740" w:type="dxa"/>
            <w:vAlign w:val="bottom"/>
            <w:vMerge w:val="restart"/>
          </w:tcPr>
          <w:p>
            <w:pPr>
              <w:jc w:val="center"/>
              <w:ind w:left="71"/>
              <w:spacing w:after="0"/>
              <w:rPr>
                <w:sz w:val="20"/>
                <w:szCs w:val="20"/>
                <w:color w:val="auto"/>
              </w:rPr>
            </w:pPr>
            <w:r>
              <w:rPr>
                <w:rFonts w:ascii="Arial" w:cs="Arial" w:eastAsia="Arial" w:hAnsi="Arial"/>
                <w:sz w:val="14"/>
                <w:szCs w:val="14"/>
                <w:color w:val="auto"/>
              </w:rPr>
              <w:t>Generally, certain slots, route authorities</w:t>
            </w:r>
          </w:p>
        </w:tc>
        <w:tc>
          <w:tcPr>
            <w:tcW w:w="0" w:type="dxa"/>
            <w:vAlign w:val="bottom"/>
          </w:tcPr>
          <w:p>
            <w:pPr>
              <w:spacing w:after="0"/>
              <w:rPr>
                <w:sz w:val="1"/>
                <w:szCs w:val="1"/>
                <w:color w:val="auto"/>
              </w:rPr>
            </w:pPr>
          </w:p>
        </w:tc>
      </w:tr>
      <w:tr>
        <w:trPr>
          <w:trHeight w:val="67"/>
        </w:trPr>
        <w:tc>
          <w:tcPr>
            <w:tcW w:w="1300" w:type="dxa"/>
            <w:vAlign w:val="bottom"/>
            <w:vMerge w:val="restart"/>
          </w:tcPr>
          <w:p>
            <w:pPr>
              <w:jc w:val="center"/>
              <w:ind w:right="68"/>
              <w:spacing w:after="0" w:line="149" w:lineRule="exact"/>
              <w:rPr>
                <w:sz w:val="20"/>
                <w:szCs w:val="20"/>
                <w:color w:val="auto"/>
              </w:rPr>
            </w:pPr>
            <w:r>
              <w:rPr>
                <w:rFonts w:ascii="Arial" w:cs="Arial" w:eastAsia="Arial" w:hAnsi="Arial"/>
                <w:sz w:val="14"/>
                <w:szCs w:val="14"/>
                <w:color w:val="auto"/>
              </w:rPr>
              <w:t>airport gate</w:t>
            </w:r>
          </w:p>
        </w:tc>
        <w:tc>
          <w:tcPr>
            <w:tcW w:w="138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0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2740" w:type="dxa"/>
            <w:vAlign w:val="bottom"/>
            <w:vMerge w:val="restart"/>
          </w:tcPr>
          <w:p>
            <w:pPr>
              <w:jc w:val="center"/>
              <w:ind w:left="71"/>
              <w:spacing w:after="0" w:line="144" w:lineRule="exact"/>
              <w:rPr>
                <w:sz w:val="20"/>
                <w:szCs w:val="20"/>
                <w:color w:val="auto"/>
              </w:rPr>
            </w:pPr>
            <w:r>
              <w:rPr>
                <w:rFonts w:ascii="Arial" w:cs="Arial" w:eastAsia="Arial" w:hAnsi="Arial"/>
                <w:sz w:val="14"/>
                <w:szCs w:val="14"/>
                <w:color w:val="auto"/>
              </w:rPr>
              <w:t>and airport gate leasehold rights used by</w:t>
            </w:r>
          </w:p>
        </w:tc>
        <w:tc>
          <w:tcPr>
            <w:tcW w:w="0" w:type="dxa"/>
            <w:vAlign w:val="bottom"/>
          </w:tcPr>
          <w:p>
            <w:pPr>
              <w:spacing w:after="0"/>
              <w:rPr>
                <w:sz w:val="1"/>
                <w:szCs w:val="1"/>
                <w:color w:val="auto"/>
              </w:rPr>
            </w:pPr>
          </w:p>
        </w:tc>
      </w:tr>
      <w:tr>
        <w:trPr>
          <w:trHeight w:val="63"/>
        </w:trPr>
        <w:tc>
          <w:tcPr>
            <w:tcW w:w="1300" w:type="dxa"/>
            <w:vAlign w:val="bottom"/>
            <w:vMerge w:val="restart"/>
          </w:tcPr>
          <w:p>
            <w:pPr>
              <w:jc w:val="center"/>
              <w:ind w:right="68"/>
              <w:spacing w:after="0" w:line="144" w:lineRule="exact"/>
              <w:rPr>
                <w:sz w:val="20"/>
                <w:szCs w:val="20"/>
                <w:color w:val="auto"/>
              </w:rPr>
            </w:pPr>
            <w:r>
              <w:rPr>
                <w:rFonts w:ascii="Arial" w:cs="Arial" w:eastAsia="Arial" w:hAnsi="Arial"/>
                <w:sz w:val="14"/>
                <w:szCs w:val="14"/>
                <w:color w:val="auto"/>
              </w:rPr>
              <w:t>leasehold rights</w:t>
            </w:r>
          </w:p>
        </w:tc>
        <w:tc>
          <w:tcPr>
            <w:tcW w:w="138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0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2740" w:type="dxa"/>
            <w:vAlign w:val="bottom"/>
            <w:vMerge w:val="restart"/>
          </w:tcPr>
          <w:p>
            <w:pPr>
              <w:jc w:val="center"/>
              <w:ind w:left="51"/>
              <w:spacing w:after="0" w:line="139" w:lineRule="exact"/>
              <w:rPr>
                <w:sz w:val="20"/>
                <w:szCs w:val="20"/>
                <w:color w:val="auto"/>
              </w:rPr>
            </w:pPr>
            <w:r>
              <w:rPr>
                <w:rFonts w:ascii="Arial" w:cs="Arial" w:eastAsia="Arial" w:hAnsi="Arial"/>
                <w:sz w:val="14"/>
                <w:szCs w:val="14"/>
                <w:color w:val="auto"/>
              </w:rPr>
              <w:t>American to operate certain services</w:t>
            </w:r>
          </w:p>
        </w:tc>
        <w:tc>
          <w:tcPr>
            <w:tcW w:w="0" w:type="dxa"/>
            <w:vAlign w:val="bottom"/>
          </w:tcPr>
          <w:p>
            <w:pPr>
              <w:spacing w:after="0"/>
              <w:rPr>
                <w:sz w:val="1"/>
                <w:szCs w:val="1"/>
                <w:color w:val="auto"/>
              </w:rPr>
            </w:pPr>
          </w:p>
        </w:tc>
      </w:tr>
      <w:tr>
        <w:trPr>
          <w:trHeight w:val="58"/>
        </w:trPr>
        <w:tc>
          <w:tcPr>
            <w:tcW w:w="1300" w:type="dxa"/>
            <w:vAlign w:val="bottom"/>
            <w:vMerge w:val="restart"/>
          </w:tcPr>
          <w:p>
            <w:pPr>
              <w:jc w:val="center"/>
              <w:ind w:right="68"/>
              <w:spacing w:after="0" w:line="139" w:lineRule="exact"/>
              <w:rPr>
                <w:sz w:val="20"/>
                <w:szCs w:val="20"/>
                <w:color w:val="auto"/>
              </w:rPr>
            </w:pPr>
            <w:r>
              <w:rPr>
                <w:rFonts w:ascii="Arial" w:cs="Arial" w:eastAsia="Arial" w:hAnsi="Arial"/>
                <w:sz w:val="14"/>
                <w:szCs w:val="14"/>
                <w:color w:val="auto"/>
              </w:rPr>
              <w:t>used by American</w:t>
            </w:r>
          </w:p>
        </w:tc>
        <w:tc>
          <w:tcPr>
            <w:tcW w:w="1380" w:type="dxa"/>
            <w:vAlign w:val="bottom"/>
            <w:vMerge w:val="restart"/>
          </w:tcPr>
          <w:p>
            <w:pPr>
              <w:jc w:val="center"/>
              <w:spacing w:after="0" w:line="139" w:lineRule="exact"/>
              <w:rPr>
                <w:sz w:val="20"/>
                <w:szCs w:val="20"/>
                <w:color w:val="auto"/>
              </w:rPr>
            </w:pPr>
            <w:r>
              <w:rPr>
                <w:rFonts w:ascii="Arial" w:cs="Arial" w:eastAsia="Arial" w:hAnsi="Arial"/>
                <w:sz w:val="14"/>
                <w:szCs w:val="14"/>
                <w:color w:val="auto"/>
              </w:rPr>
              <w:t>Generally, certain</w:t>
            </w:r>
          </w:p>
        </w:tc>
        <w:tc>
          <w:tcPr>
            <w:tcW w:w="2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0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2740" w:type="dxa"/>
            <w:vAlign w:val="bottom"/>
            <w:vMerge w:val="restart"/>
          </w:tcPr>
          <w:p>
            <w:pPr>
              <w:jc w:val="center"/>
              <w:ind w:left="71"/>
              <w:spacing w:after="0" w:line="149" w:lineRule="exact"/>
              <w:rPr>
                <w:sz w:val="20"/>
                <w:szCs w:val="20"/>
                <w:color w:val="auto"/>
              </w:rPr>
            </w:pPr>
            <w:r>
              <w:rPr>
                <w:rFonts w:ascii="Arial" w:cs="Arial" w:eastAsia="Arial" w:hAnsi="Arial"/>
                <w:sz w:val="14"/>
                <w:szCs w:val="14"/>
                <w:color w:val="auto"/>
              </w:rPr>
              <w:t>between the U.S. and Australia, Canada,</w:t>
            </w:r>
          </w:p>
        </w:tc>
        <w:tc>
          <w:tcPr>
            <w:tcW w:w="0" w:type="dxa"/>
            <w:vAlign w:val="bottom"/>
          </w:tcPr>
          <w:p>
            <w:pPr>
              <w:spacing w:after="0"/>
              <w:rPr>
                <w:sz w:val="1"/>
                <w:szCs w:val="1"/>
                <w:color w:val="auto"/>
              </w:rPr>
            </w:pPr>
          </w:p>
        </w:tc>
      </w:tr>
      <w:tr>
        <w:trPr>
          <w:trHeight w:val="67"/>
        </w:trPr>
        <w:tc>
          <w:tcPr>
            <w:tcW w:w="1300" w:type="dxa"/>
            <w:vAlign w:val="bottom"/>
            <w:vMerge w:val="restart"/>
          </w:tcPr>
          <w:p>
            <w:pPr>
              <w:jc w:val="center"/>
              <w:ind w:right="68"/>
              <w:spacing w:after="0"/>
              <w:rPr>
                <w:sz w:val="20"/>
                <w:szCs w:val="20"/>
                <w:color w:val="auto"/>
              </w:rPr>
            </w:pPr>
            <w:r>
              <w:rPr>
                <w:rFonts w:ascii="Arial" w:cs="Arial" w:eastAsia="Arial" w:hAnsi="Arial"/>
                <w:sz w:val="14"/>
                <w:szCs w:val="14"/>
                <w:color w:val="auto"/>
              </w:rPr>
              <w:t>to operate certain</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spare parts</w:t>
            </w:r>
          </w:p>
        </w:tc>
        <w:tc>
          <w:tcPr>
            <w:tcW w:w="2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2740" w:type="dxa"/>
            <w:vAlign w:val="bottom"/>
          </w:tcPr>
          <w:p>
            <w:pPr>
              <w:jc w:val="center"/>
              <w:ind w:left="51"/>
              <w:spacing w:after="0" w:line="95" w:lineRule="exact"/>
              <w:rPr>
                <w:sz w:val="20"/>
                <w:szCs w:val="20"/>
                <w:color w:val="auto"/>
              </w:rPr>
            </w:pPr>
            <w:r>
              <w:rPr>
                <w:rFonts w:ascii="Arial" w:cs="Arial" w:eastAsia="Arial" w:hAnsi="Arial"/>
                <w:sz w:val="11"/>
                <w:szCs w:val="11"/>
                <w:color w:val="auto"/>
              </w:rPr>
              <w:t>the Caribbean, Central America, China,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-1073150</wp:posOffset>
            </wp:positionV>
            <wp:extent cx="7106920" cy="402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06920" cy="402590"/>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130"/>
        </w:trPr>
        <w:tc>
          <w:tcPr>
            <w:tcW w:w="1960" w:type="dxa"/>
            <w:vAlign w:val="bottom"/>
          </w:tcPr>
          <w:p>
            <w:pPr>
              <w:jc w:val="center"/>
              <w:ind w:right="768"/>
              <w:spacing w:after="0" w:line="130" w:lineRule="exact"/>
              <w:rPr>
                <w:sz w:val="20"/>
                <w:szCs w:val="20"/>
                <w:color w:val="auto"/>
              </w:rPr>
            </w:pPr>
            <w:r>
              <w:rPr>
                <w:rFonts w:ascii="Arial" w:cs="Arial" w:eastAsia="Arial" w:hAnsi="Arial"/>
                <w:sz w:val="14"/>
                <w:szCs w:val="14"/>
                <w:color w:val="auto"/>
              </w:rPr>
              <w:t>services between</w:t>
            </w:r>
          </w:p>
        </w:tc>
        <w:tc>
          <w:tcPr>
            <w:tcW w:w="3440" w:type="dxa"/>
            <w:vAlign w:val="bottom"/>
            <w:vMerge w:val="restart"/>
          </w:tcPr>
          <w:p>
            <w:pPr>
              <w:jc w:val="center"/>
              <w:ind w:left="768"/>
              <w:spacing w:after="0"/>
              <w:rPr>
                <w:sz w:val="20"/>
                <w:szCs w:val="20"/>
                <w:color w:val="auto"/>
              </w:rPr>
            </w:pPr>
            <w:r>
              <w:rPr>
                <w:rFonts w:ascii="Arial" w:cs="Arial" w:eastAsia="Arial" w:hAnsi="Arial"/>
                <w:sz w:val="14"/>
                <w:szCs w:val="14"/>
                <w:color w:val="auto"/>
              </w:rPr>
              <w:t>Hong Kong, Japan, Mexico, South Korea</w:t>
            </w:r>
          </w:p>
        </w:tc>
        <w:tc>
          <w:tcPr>
            <w:tcW w:w="0" w:type="dxa"/>
            <w:vAlign w:val="bottom"/>
          </w:tcPr>
          <w:p>
            <w:pPr>
              <w:spacing w:after="0"/>
              <w:rPr>
                <w:sz w:val="1"/>
                <w:szCs w:val="1"/>
                <w:color w:val="auto"/>
              </w:rPr>
            </w:pPr>
          </w:p>
        </w:tc>
      </w:tr>
      <w:tr>
        <w:trPr>
          <w:trHeight w:val="58"/>
        </w:trPr>
        <w:tc>
          <w:tcPr>
            <w:tcW w:w="1960" w:type="dxa"/>
            <w:vAlign w:val="bottom"/>
            <w:vMerge w:val="restart"/>
          </w:tcPr>
          <w:p>
            <w:pPr>
              <w:jc w:val="center"/>
              <w:ind w:right="768"/>
              <w:spacing w:after="0" w:line="139" w:lineRule="exact"/>
              <w:rPr>
                <w:sz w:val="20"/>
                <w:szCs w:val="20"/>
                <w:color w:val="auto"/>
              </w:rPr>
            </w:pPr>
            <w:r>
              <w:rPr>
                <w:rFonts w:ascii="Arial" w:cs="Arial" w:eastAsia="Arial" w:hAnsi="Arial"/>
                <w:sz w:val="14"/>
                <w:szCs w:val="14"/>
                <w:color w:val="auto"/>
              </w:rPr>
              <w:t>the U.S. and</w:t>
            </w: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960" w:type="dxa"/>
            <w:vAlign w:val="bottom"/>
            <w:vMerge w:val="continue"/>
          </w:tcPr>
          <w:p>
            <w:pPr>
              <w:spacing w:after="0"/>
              <w:rPr>
                <w:sz w:val="7"/>
                <w:szCs w:val="7"/>
                <w:color w:val="auto"/>
              </w:rPr>
            </w:pPr>
          </w:p>
        </w:tc>
        <w:tc>
          <w:tcPr>
            <w:tcW w:w="3440" w:type="dxa"/>
            <w:vAlign w:val="bottom"/>
            <w:vMerge w:val="restart"/>
          </w:tcPr>
          <w:p>
            <w:pPr>
              <w:jc w:val="center"/>
              <w:ind w:left="748"/>
              <w:spacing w:after="0"/>
              <w:rPr>
                <w:sz w:val="20"/>
                <w:szCs w:val="20"/>
                <w:color w:val="auto"/>
              </w:rPr>
            </w:pPr>
            <w:r>
              <w:rPr>
                <w:rFonts w:ascii="Arial" w:cs="Arial" w:eastAsia="Arial" w:hAnsi="Arial"/>
                <w:sz w:val="14"/>
                <w:szCs w:val="14"/>
                <w:color w:val="auto"/>
              </w:rPr>
              <w:t>and Switzerland</w:t>
            </w:r>
          </w:p>
        </w:tc>
        <w:tc>
          <w:tcPr>
            <w:tcW w:w="0" w:type="dxa"/>
            <w:vAlign w:val="bottom"/>
          </w:tcPr>
          <w:p>
            <w:pPr>
              <w:spacing w:after="0"/>
              <w:rPr>
                <w:sz w:val="1"/>
                <w:szCs w:val="1"/>
                <w:color w:val="auto"/>
              </w:rPr>
            </w:pPr>
          </w:p>
        </w:tc>
      </w:tr>
      <w:tr>
        <w:trPr>
          <w:trHeight w:val="109"/>
        </w:trPr>
        <w:tc>
          <w:tcPr>
            <w:tcW w:w="1960" w:type="dxa"/>
            <w:vAlign w:val="bottom"/>
            <w:vMerge w:val="restart"/>
          </w:tcPr>
          <w:p>
            <w:pPr>
              <w:jc w:val="center"/>
              <w:ind w:right="768"/>
              <w:spacing w:after="0" w:line="149" w:lineRule="exact"/>
              <w:rPr>
                <w:sz w:val="20"/>
                <w:szCs w:val="20"/>
                <w:color w:val="auto"/>
              </w:rPr>
            </w:pPr>
            <w:r>
              <w:rPr>
                <w:rFonts w:ascii="Arial" w:cs="Arial" w:eastAsia="Arial" w:hAnsi="Arial"/>
                <w:sz w:val="14"/>
                <w:szCs w:val="14"/>
                <w:color w:val="auto"/>
              </w:rPr>
              <w:t>European Union</w:t>
            </w:r>
          </w:p>
        </w:tc>
        <w:tc>
          <w:tcPr>
            <w:tcW w:w="3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960" w:type="dxa"/>
            <w:vAlign w:val="bottom"/>
            <w:vMerge w:val="continue"/>
          </w:tcPr>
          <w:p>
            <w:pPr>
              <w:spacing w:after="0"/>
              <w:rPr>
                <w:sz w:val="3"/>
                <w:szCs w:val="3"/>
                <w:color w:val="auto"/>
              </w:rPr>
            </w:pPr>
          </w:p>
        </w:tc>
        <w:tc>
          <w:tcPr>
            <w:tcW w:w="3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1960" w:type="dxa"/>
            <w:vAlign w:val="bottom"/>
          </w:tcPr>
          <w:p>
            <w:pPr>
              <w:jc w:val="center"/>
              <w:ind w:right="768"/>
              <w:spacing w:after="0" w:line="144" w:lineRule="exact"/>
              <w:rPr>
                <w:sz w:val="20"/>
                <w:szCs w:val="20"/>
                <w:color w:val="auto"/>
              </w:rPr>
            </w:pPr>
            <w:r>
              <w:rPr>
                <w:rFonts w:ascii="Arial" w:cs="Arial" w:eastAsia="Arial" w:hAnsi="Arial"/>
                <w:sz w:val="14"/>
                <w:szCs w:val="14"/>
                <w:color w:val="auto"/>
              </w:rPr>
              <w:t>(including London</w:t>
            </w: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960" w:type="dxa"/>
            <w:vAlign w:val="bottom"/>
          </w:tcPr>
          <w:p>
            <w:pPr>
              <w:jc w:val="center"/>
              <w:ind w:right="748"/>
              <w:spacing w:after="0"/>
              <w:rPr>
                <w:sz w:val="20"/>
                <w:szCs w:val="20"/>
                <w:color w:val="auto"/>
              </w:rPr>
            </w:pPr>
            <w:r>
              <w:rPr>
                <w:rFonts w:ascii="Arial" w:cs="Arial" w:eastAsia="Arial" w:hAnsi="Arial"/>
                <w:sz w:val="14"/>
                <w:szCs w:val="14"/>
                <w:color w:val="auto"/>
              </w:rPr>
              <w:t>Heathrow)</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6.9%</w:t>
      </w:r>
    </w:p>
    <w:p>
      <w:pPr>
        <w:spacing w:after="0" w:line="32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Annual</w:t>
      </w:r>
    </w:p>
    <w:p>
      <w:pPr>
        <w:spacing w:after="0" w:line="392" w:lineRule="exact"/>
        <w:rPr>
          <w:sz w:val="20"/>
          <w:szCs w:val="20"/>
          <w:color w:val="auto"/>
        </w:rPr>
      </w:pPr>
    </w:p>
    <w:p>
      <w:pPr>
        <w:ind w:left="80"/>
        <w:spacing w:after="0"/>
        <w:rPr>
          <w:sz w:val="20"/>
          <w:szCs w:val="20"/>
          <w:color w:val="auto"/>
        </w:rPr>
      </w:pPr>
      <w:r>
        <w:rPr>
          <w:rFonts w:ascii="Arial" w:cs="Arial" w:eastAsia="Arial" w:hAnsi="Arial"/>
          <w:sz w:val="14"/>
          <w:szCs w:val="14"/>
          <w:color w:val="auto"/>
        </w:rPr>
        <w:t>Generally, certain</w:t>
      </w:r>
    </w:p>
    <w:p>
      <w:pPr>
        <w:spacing w:after="0" w:line="1" w:lineRule="exact"/>
        <w:rPr>
          <w:sz w:val="20"/>
          <w:szCs w:val="20"/>
          <w:color w:val="auto"/>
        </w:rPr>
      </w:pPr>
    </w:p>
    <w:p>
      <w:pPr>
        <w:ind w:left="60" w:right="140" w:hanging="7"/>
        <w:spacing w:after="0" w:line="211" w:lineRule="auto"/>
        <w:rPr>
          <w:sz w:val="20"/>
          <w:szCs w:val="20"/>
          <w:color w:val="auto"/>
        </w:rPr>
      </w:pPr>
      <w:r>
        <w:rPr>
          <w:rFonts w:ascii="Arial" w:cs="Arial" w:eastAsia="Arial" w:hAnsi="Arial"/>
          <w:sz w:val="14"/>
          <w:szCs w:val="14"/>
          <w:color w:val="auto"/>
        </w:rPr>
        <w:t>DCA slots, certain LGA slots, certain</w:t>
      </w:r>
    </w:p>
    <w:p>
      <w:pPr>
        <w:jc w:val="center"/>
        <w:ind w:right="80"/>
        <w:spacing w:after="0" w:line="221" w:lineRule="auto"/>
        <w:rPr>
          <w:sz w:val="20"/>
          <w:szCs w:val="20"/>
          <w:color w:val="auto"/>
        </w:rPr>
      </w:pPr>
      <w:r>
        <w:rPr>
          <w:rFonts w:ascii="Arial" w:cs="Arial" w:eastAsia="Arial" w:hAnsi="Arial"/>
          <w:sz w:val="14"/>
          <w:szCs w:val="14"/>
          <w:color w:val="auto"/>
        </w:rPr>
        <w:t>simulators and</w:t>
      </w:r>
    </w:p>
    <w:p>
      <w:pPr>
        <w:ind w:left="100" w:right="160" w:hanging="11"/>
        <w:spacing w:after="0" w:line="211" w:lineRule="auto"/>
        <w:rPr>
          <w:sz w:val="20"/>
          <w:szCs w:val="20"/>
          <w:color w:val="auto"/>
        </w:rPr>
      </w:pPr>
      <w:r>
        <w:rPr>
          <w:rFonts w:ascii="Arial" w:cs="Arial" w:eastAsia="Arial" w:hAnsi="Arial"/>
          <w:sz w:val="14"/>
          <w:szCs w:val="14"/>
          <w:color w:val="auto"/>
        </w:rPr>
        <w:t>certain leasehold rights and, in the</w:t>
      </w:r>
    </w:p>
    <w:p>
      <w:pPr>
        <w:ind w:left="200"/>
        <w:spacing w:after="0" w:line="221" w:lineRule="auto"/>
        <w:rPr>
          <w:sz w:val="20"/>
          <w:szCs w:val="20"/>
          <w:color w:val="auto"/>
        </w:rPr>
      </w:pPr>
      <w:r>
        <w:rPr>
          <w:rFonts w:ascii="Arial" w:cs="Arial" w:eastAsia="Arial" w:hAnsi="Arial"/>
          <w:sz w:val="14"/>
          <w:szCs w:val="14"/>
          <w:color w:val="auto"/>
        </w:rPr>
        <w:t>case of the IP</w:t>
      </w:r>
    </w:p>
    <w:p>
      <w:pPr>
        <w:ind w:left="180"/>
        <w:spacing w:after="0" w:line="201" w:lineRule="auto"/>
        <w:rPr>
          <w:sz w:val="20"/>
          <w:szCs w:val="20"/>
          <w:color w:val="auto"/>
        </w:rPr>
      </w:pPr>
      <w:r>
        <w:rPr>
          <w:rFonts w:ascii="Arial" w:cs="Arial" w:eastAsia="Arial" w:hAnsi="Arial"/>
          <w:sz w:val="14"/>
          <w:szCs w:val="14"/>
          <w:color w:val="auto"/>
        </w:rPr>
        <w:t>Notes, certain</w:t>
      </w:r>
    </w:p>
    <w:p>
      <w:pPr>
        <w:jc w:val="center"/>
        <w:ind w:right="80"/>
        <w:spacing w:after="0" w:line="243" w:lineRule="auto"/>
        <w:rPr>
          <w:sz w:val="20"/>
          <w:szCs w:val="20"/>
          <w:color w:val="auto"/>
        </w:rPr>
      </w:pPr>
      <w:r>
        <w:rPr>
          <w:rFonts w:ascii="Arial" w:cs="Arial" w:eastAsia="Arial" w:hAnsi="Arial"/>
          <w:sz w:val="14"/>
          <w:szCs w:val="14"/>
          <w:color w:val="auto"/>
        </w:rPr>
        <w:t>intellectual property of American</w:t>
      </w:r>
    </w:p>
    <w:p>
      <w:pPr>
        <w:spacing w:after="0" w:line="355" w:lineRule="exact"/>
        <w:rPr>
          <w:sz w:val="20"/>
          <w:szCs w:val="20"/>
          <w:color w:val="auto"/>
        </w:rPr>
      </w:pPr>
    </w:p>
    <w:p>
      <w:pPr>
        <w:sectPr>
          <w:pgSz w:w="11900" w:h="16838" w:orient="portrait"/>
          <w:cols w:equalWidth="0" w:num="3">
            <w:col w:w="4100" w:space="40"/>
            <w:col w:w="5580" w:space="180"/>
            <w:col w:w="1340"/>
          </w:cols>
          <w:pgMar w:left="320" w:top="122" w:right="339" w:bottom="1440" w:gutter="0" w:footer="0" w:header="0"/>
          <w:type w:val="continuous"/>
        </w:sectPr>
      </w:pP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December 31, 2023, we were in compliance with the applicable collateral coverage tests as of the most recent measurement dates.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lease certain aircraft and engines, including aircraft under capacity purchase agreements. As of December 31, 2023, we operated 737 leased aircraft, including seven aircraft in temporary storage and 237 aircraft leased under capacity purchase agreements, with remaining terms ranging from less than one year to 10 years.</w:t>
      </w:r>
    </w:p>
    <w:p>
      <w:pPr>
        <w:spacing w:after="0" w:line="11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At each airport where we conduct flight operations, we have agreements, generally with a governmental unit or authority, for the use of passenger, operations and baggage handling space as well as runways and taxiways. These agreements, particularly in the U.S., often contain provisions for periodic adjustments to rates and charges applicable under such agreements. These rates and charges also vary with our level of operations and the operations of the airport. Because of the variable nature of these rates, these leases are not recorded on our consolidated balance sheets as a ROU asset or a lease liability. Additionally, at our hub locations and in certain other cities we serve, we lease administrative offices, catering, cargo, training, maintenance and other facilities.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2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assets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 net lease cost</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w:t>
            </w:r>
          </w:p>
        </w:tc>
      </w:tr>
      <w:tr>
        <w:trPr>
          <w:trHeight w:val="20"/>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Included in the table above is $274 million, $242 million and $ 190 million of operating lease cost under our capacity purchase agreement with Republic for the years ended December 31, 2023, 2022 and 2021, respectively. We hold a 25% equity interest in Republic Holdings, the parent company of Republic.</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balance sheet information related to leases was as follows (in millions, except lease term and discount rate):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96"/>
        </w:trPr>
        <w:tc>
          <w:tcPr>
            <w:tcW w:w="65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2022</w:t>
            </w: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Operating lease ROU assets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00" w:type="dxa"/>
            <w:vAlign w:val="bottom"/>
            <w:gridSpan w:val="3"/>
          </w:tcPr>
          <w:p>
            <w:pPr>
              <w:jc w:val="right"/>
              <w:ind w:right="8"/>
              <w:spacing w:after="0"/>
              <w:rPr>
                <w:sz w:val="20"/>
                <w:szCs w:val="20"/>
                <w:color w:val="auto"/>
              </w:rPr>
            </w:pPr>
            <w:r>
              <w:rPr>
                <w:rFonts w:ascii="Arial" w:cs="Arial" w:eastAsia="Arial" w:hAnsi="Arial"/>
                <w:sz w:val="18"/>
                <w:szCs w:val="18"/>
                <w:color w:val="auto"/>
              </w:rPr>
              <w:t>7,939</w:t>
            </w:r>
          </w:p>
        </w:tc>
        <w:tc>
          <w:tcPr>
            <w:tcW w:w="5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8,094</w:t>
            </w:r>
          </w:p>
        </w:tc>
      </w:tr>
      <w:tr>
        <w:trPr>
          <w:trHeight w:val="270"/>
        </w:trPr>
        <w:tc>
          <w:tcPr>
            <w:tcW w:w="65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Current operating lease liabilities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00" w:type="dxa"/>
            <w:vAlign w:val="bottom"/>
            <w:gridSpan w:val="3"/>
          </w:tcPr>
          <w:p>
            <w:pPr>
              <w:jc w:val="right"/>
              <w:ind w:right="8"/>
              <w:spacing w:after="0"/>
              <w:rPr>
                <w:sz w:val="20"/>
                <w:szCs w:val="20"/>
                <w:color w:val="auto"/>
              </w:rPr>
            </w:pPr>
            <w:r>
              <w:rPr>
                <w:rFonts w:ascii="Arial" w:cs="Arial" w:eastAsia="Arial" w:hAnsi="Arial"/>
                <w:sz w:val="18"/>
                <w:szCs w:val="18"/>
                <w:color w:val="auto"/>
              </w:rPr>
              <w:t>1,309</w:t>
            </w:r>
          </w:p>
        </w:tc>
        <w:tc>
          <w:tcPr>
            <w:tcW w:w="5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1,465</w:t>
            </w: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6,452</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6,559</w:t>
            </w: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7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7,761</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8,024</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65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at cost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1,380</w:t>
            </w:r>
          </w:p>
        </w:tc>
        <w:tc>
          <w:tcPr>
            <w:tcW w:w="5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1,364</w:t>
            </w:r>
          </w:p>
        </w:tc>
      </w:tr>
      <w:tr>
        <w:trPr>
          <w:trHeight w:val="229"/>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amortization</w:t>
            </w:r>
          </w:p>
        </w:tc>
        <w:tc>
          <w:tcPr>
            <w:tcW w:w="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(891)</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(779)</w:t>
            </w:r>
          </w:p>
        </w:tc>
      </w:tr>
      <w:tr>
        <w:trPr>
          <w:trHeight w:val="248"/>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489</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585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finance lease liabilities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131</w:t>
            </w:r>
          </w:p>
        </w:tc>
        <w:tc>
          <w:tcPr>
            <w:tcW w:w="5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216</w:t>
            </w:r>
          </w:p>
        </w:tc>
      </w:tr>
      <w:tr>
        <w:trPr>
          <w:trHeight w:val="229"/>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Noncurrent finance lease liabilities</w:t>
            </w:r>
          </w:p>
        </w:tc>
        <w:tc>
          <w:tcPr>
            <w:tcW w:w="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375</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545</w:t>
            </w:r>
          </w:p>
        </w:tc>
      </w:tr>
      <w:tr>
        <w:trPr>
          <w:trHeight w:val="248"/>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finance lease liabilities</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506</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761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6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463"/>
        </w:trPr>
        <w:tc>
          <w:tcPr>
            <w:tcW w:w="7500" w:type="dxa"/>
            <w:vAlign w:val="bottom"/>
            <w:gridSpan w:val="3"/>
          </w:tcPr>
          <w:p>
            <w:pPr>
              <w:ind w:left="260"/>
              <w:spacing w:after="0"/>
              <w:rPr>
                <w:sz w:val="20"/>
                <w:szCs w:val="20"/>
                <w:color w:val="auto"/>
              </w:rPr>
            </w:pPr>
            <w:r>
              <w:rPr>
                <w:rFonts w:ascii="Arial" w:cs="Arial" w:eastAsia="Arial" w:hAnsi="Arial"/>
                <w:sz w:val="18"/>
                <w:szCs w:val="18"/>
                <w:color w:val="auto"/>
                <w:w w:val="99"/>
              </w:rPr>
              <w:t>Supplemental cash flow and other information related to leases was as follows (in millions):</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9"/>
        </w:trPr>
        <w:tc>
          <w:tcPr>
            <w:tcW w:w="65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bottom w:val="single" w:sz="8" w:color="auto"/>
            </w:tcBorders>
          </w:tcPr>
          <w:p>
            <w:pPr>
              <w:spacing w:after="0"/>
              <w:rPr>
                <w:sz w:val="24"/>
                <w:szCs w:val="24"/>
                <w:color w:val="auto"/>
              </w:rPr>
            </w:pPr>
          </w:p>
        </w:tc>
      </w:tr>
      <w:tr>
        <w:trPr>
          <w:trHeight w:val="196"/>
        </w:trPr>
        <w:tc>
          <w:tcPr>
            <w:tcW w:w="65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1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780" w:type="dxa"/>
            <w:vAlign w:val="bottom"/>
          </w:tcPr>
          <w:p>
            <w:pPr>
              <w:jc w:val="right"/>
              <w:ind w:right="57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2,033</w:t>
            </w:r>
          </w:p>
        </w:tc>
        <w:tc>
          <w:tcPr>
            <w:tcW w:w="1100" w:type="dxa"/>
            <w:vAlign w:val="bottom"/>
            <w:gridSpan w:val="3"/>
          </w:tcPr>
          <w:p>
            <w:pPr>
              <w:jc w:val="right"/>
              <w:ind w:right="748"/>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2,053</w:t>
            </w: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0"/>
        </w:trPr>
        <w:tc>
          <w:tcPr>
            <w:tcW w:w="65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60" w:type="dxa"/>
            <w:vAlign w:val="bottom"/>
            <w:gridSpan w:val="3"/>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9"/>
        </w:trPr>
        <w:tc>
          <w:tcPr>
            <w:tcW w:w="6540" w:type="dxa"/>
            <w:vAlign w:val="bottom"/>
          </w:tcPr>
          <w:p>
            <w:pPr>
              <w:ind w:left="20"/>
              <w:spacing w:after="0"/>
              <w:rPr>
                <w:sz w:val="20"/>
                <w:szCs w:val="20"/>
                <w:color w:val="auto"/>
              </w:rPr>
            </w:pPr>
            <w:r>
              <w:rPr>
                <w:rFonts w:ascii="Arial" w:cs="Arial" w:eastAsia="Arial" w:hAnsi="Arial"/>
                <w:sz w:val="18"/>
                <w:szCs w:val="18"/>
                <w:color w:val="auto"/>
              </w:rPr>
              <w:t>Gain on sale leaseback transactions, net</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736"/>
        </w:trPr>
        <w:tc>
          <w:tcPr>
            <w:tcW w:w="6540" w:type="dxa"/>
            <w:vAlign w:val="bottom"/>
          </w:tcPr>
          <w:p>
            <w:pPr>
              <w:ind w:left="5480"/>
              <w:spacing w:after="0"/>
              <w:rPr>
                <w:sz w:val="20"/>
                <w:szCs w:val="20"/>
                <w:color w:val="auto"/>
              </w:rPr>
            </w:pPr>
            <w:r>
              <w:rPr>
                <w:rFonts w:ascii="Arial" w:cs="Arial" w:eastAsia="Arial" w:hAnsi="Arial"/>
                <w:sz w:val="18"/>
                <w:szCs w:val="18"/>
                <w:color w:val="auto"/>
              </w:rPr>
              <w:t>108</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1"/>
        </w:trPr>
        <w:tc>
          <w:tcPr>
            <w:tcW w:w="65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Maturities of lease liabilities were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4"/>
          </w:tcPr>
          <w:p>
            <w:pPr>
              <w:ind w:left="980"/>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7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7"/>
                <w:szCs w:val="17"/>
                <w:color w:val="auto"/>
              </w:rPr>
            </w:pPr>
          </w:p>
        </w:tc>
        <w:tc>
          <w:tcPr>
            <w:tcW w:w="1540" w:type="dxa"/>
            <w:vAlign w:val="bottom"/>
          </w:tcPr>
          <w:p>
            <w:pPr>
              <w:jc w:val="right"/>
              <w:ind w:right="272"/>
              <w:spacing w:after="0"/>
              <w:rPr>
                <w:sz w:val="20"/>
                <w:szCs w:val="20"/>
                <w:color w:val="auto"/>
              </w:rPr>
            </w:pPr>
            <w:r>
              <w:rPr>
                <w:rFonts w:ascii="Arial" w:cs="Arial" w:eastAsia="Arial" w:hAnsi="Arial"/>
                <w:sz w:val="14"/>
                <w:szCs w:val="14"/>
                <w:b w:val="1"/>
                <w:bCs w:val="1"/>
                <w:color w:val="auto"/>
              </w:rPr>
              <w:t>Finance Leases</w:t>
            </w:r>
          </w:p>
        </w:tc>
      </w:tr>
      <w:tr>
        <w:trPr>
          <w:trHeight w:val="224"/>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2029 and thereafter</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(2,663)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obligations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obligations</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48"/>
        </w:trPr>
        <w:tc>
          <w:tcPr>
            <w:tcW w:w="7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Long-term lease 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As of December 31, 2023, we had additional operating lease commitments that have not yet commenced of approximately $669 million for five Boeing 787 Family aircraft scheduled to be delivered in 2024 with lease terms of 10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significant components of the income tax provision (benefit) were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benefit:</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State, local and foreign</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provision (benefit):</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Federal</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and local</w:t>
            </w: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income tax provision (benefit)</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provision (benefit)</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income tax provision (benefit) differed from amounts computed at the statutory federal income tax rate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income tax provision (benefit)</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State, local and foreign income tax provision (benefit), net of federal tax effect</w:t>
            </w: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expenses not deductible for tax purposes</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0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340"/>
              <w:spacing w:after="0"/>
              <w:rPr>
                <w:sz w:val="20"/>
                <w:szCs w:val="20"/>
                <w:color w:val="auto"/>
              </w:rPr>
            </w:pPr>
            <w:r>
              <w:rPr>
                <w:rFonts w:ascii="Arial" w:cs="Arial" w:eastAsia="Arial" w:hAnsi="Arial"/>
                <w:sz w:val="18"/>
                <w:szCs w:val="18"/>
                <w:color w:val="auto"/>
              </w:rPr>
              <w:t>Income tax provision (benefit)</w:t>
            </w: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ind w:left="5480"/>
              <w:spacing w:after="0"/>
              <w:rPr>
                <w:sz w:val="20"/>
                <w:szCs w:val="20"/>
                <w:color w:val="auto"/>
              </w:rPr>
            </w:pPr>
            <w:r>
              <w:rPr>
                <w:rFonts w:ascii="Arial" w:cs="Arial" w:eastAsia="Arial" w:hAnsi="Arial"/>
                <w:sz w:val="18"/>
                <w:szCs w:val="18"/>
                <w:color w:val="auto"/>
              </w:rPr>
              <w:t>109</w:t>
            </w: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9"/>
        </w:trPr>
        <w:tc>
          <w:tcPr>
            <w:tcW w:w="64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4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our deferred tax assets and liabilities were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Net operating loss and other carryforwards</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4,238</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4,679</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Loyalty program liability</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Leases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1,819</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benefits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Postretirement benefits other than pension benefits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Rent expense</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r>
      <w:tr>
        <w:trPr>
          <w:trHeight w:val="223"/>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w:t>
            </w:r>
          </w:p>
        </w:tc>
      </w:tr>
      <w:tr>
        <w:trPr>
          <w:trHeight w:val="229"/>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Valuation allowance</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7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deferred tax assets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9,813</w:t>
            </w:r>
          </w:p>
        </w:tc>
      </w:tr>
      <w:tr>
        <w:trPr>
          <w:trHeight w:val="209"/>
        </w:trPr>
        <w:tc>
          <w:tcPr>
            <w:tcW w:w="75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Accelerated depreciation and amortization</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Leases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(1,832)</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23"/>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 tax liabilities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(6,724)</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At December 31, 2023, we had approximately $13.7 billion of gross federal net operating losses (NOLs) and $4.7 billion of other carryforwards available to reduce future federal taxable income, of which $3.4 billion will expire beginning in 2029 if unused and $ 15.0 billion can be carried forward indefinitely. We also had approximately $5.5 billion of NOL carryforwards to reduce future state taxable income at December 31, 2023, which will expire in taxable years 2023 through 2043 if unused.</w:t>
      </w:r>
    </w:p>
    <w:p>
      <w:pPr>
        <w:spacing w:after="0" w:line="1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ability to use our NOLs and other carryforwards depends on the amount of taxable income generated in future periods. We provide a valuation allowance for our deferred tax assets, which include our NOLs,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have determined that positive factors outweigh negative factors in the determination of the realizability of our deferred tax assets. There can be no assurance that an additional valuation allowance on our net deferred tax assets will not be required. Such valuation allowance could be material.</w:t>
      </w:r>
    </w:p>
    <w:p>
      <w:pPr>
        <w:spacing w:after="0" w:line="12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ability to deduct our NOL carryforwards and to utilize certain other available tax attributes can be substantially constrained under the general annual limitation rules of Section 382 where an “ownership change” has occurred. Substantially all of our remaining federal NOL carryforwards attributable to US Airways Group are subject to limitation under Section 382; however, our ability to utilize such NOL carryforwards is not anticipated to be effectively constrained as a result of such limitation. Similar limitations may apply for state income tax purposes. Our ability to utilize any new NOL carryforwards arising after the ownership changes is not affected by the annual limitation rules imposed by Section 382 unless another ownership change occurs. Under the Section 382 limitation, cumulative stock ownership changes among material stockholders exceeding 50% during a rolling three-year period can potentially limit our future use of NOLs and tax credits.</w:t>
      </w:r>
    </w:p>
    <w:p>
      <w:pPr>
        <w:spacing w:after="0" w:line="127"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In 2023, we recorded an income tax provision of $299 million, with an effective rate of approximately 27%, which was substantially non-cash. Substantially all of our income before income taxes is attributable to the United States.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file our tax returns as prescribed by the tax laws of the jurisdictions in which we operate. Our 2020 through 2022 tax years are still subject to examination by the Internal Revenue Service. Various state and foreign jurisdiction tax years remain open to examination, and we are under examination, in administrative appeals or engaged in tax litigation in certain jurisdictions. We believe that the effect of any assessments will not be material to our consolidated financial statements.</w:t>
      </w:r>
    </w:p>
    <w:p>
      <w:pPr>
        <w:spacing w:after="0" w:line="121"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The amount of, and changes to, our uncertain tax positions were not material in any of the years presented. We accrue interest and penalties related to unrecognized tax benefits in interest expense and operating expense,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Fair value is defined as the price that would be received from the sale of an asset or paid to transfer a liability (i.e., an exit price) on the measurement date in an orderly transaction between market participants in the principal or most advantageous market for the asset or liability. Accounting standards include disclosure requirements around fair values used for certain financial instruments and establish a fair value hierarchy. The hierarchy prioritizes valuation inputs into three levels based on the extent to which inputs used in measuring fair value are observable in the market. Each fair value measurement is reported in one of three levels:</w:t>
      </w:r>
    </w:p>
    <w:p>
      <w:pPr>
        <w:spacing w:after="0" w:line="70" w:lineRule="exact"/>
        <w:rPr>
          <w:sz w:val="20"/>
          <w:szCs w:val="20"/>
          <w:color w:val="auto"/>
        </w:rPr>
      </w:pPr>
    </w:p>
    <w:p>
      <w:pPr>
        <w:ind w:left="1300" w:hanging="645"/>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w:t>
      </w:r>
    </w:p>
    <w:p>
      <w:pPr>
        <w:spacing w:after="0" w:line="116" w:lineRule="exact"/>
        <w:rPr>
          <w:rFonts w:ascii="Arial" w:cs="Arial" w:eastAsia="Arial" w:hAnsi="Arial"/>
          <w:sz w:val="18"/>
          <w:szCs w:val="18"/>
          <w:color w:val="auto"/>
        </w:rPr>
      </w:pPr>
    </w:p>
    <w:p>
      <w:pPr>
        <w:ind w:left="1300" w:hanging="645"/>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that are observable either directly or indirectly; and</w:t>
      </w:r>
    </w:p>
    <w:p>
      <w:pPr>
        <w:spacing w:after="0" w:line="116" w:lineRule="exact"/>
        <w:rPr>
          <w:rFonts w:ascii="Arial" w:cs="Arial" w:eastAsia="Arial" w:hAnsi="Arial"/>
          <w:sz w:val="18"/>
          <w:szCs w:val="18"/>
          <w:color w:val="auto"/>
        </w:rPr>
      </w:pPr>
    </w:p>
    <w:p>
      <w:pPr>
        <w:ind w:left="1300" w:hanging="645"/>
        <w:spacing w:after="0" w:line="286" w:lineRule="auto"/>
        <w:tabs>
          <w:tab w:leader="none" w:pos="12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3 – Unobservable inputs in which there is little or no market data, which require the reporting entity to develop its own assumptions.</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When available, we use quoted market prices to determine the fair value of our financial assets. If quoted market prices are not available, we measure fair value using valuation techniques that use, when possible, current market-based or independently-sourced market parameters, such as interest rates and currency rates.</w:t>
      </w:r>
    </w:p>
    <w:p>
      <w:pPr>
        <w:spacing w:after="0" w:line="11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utilize the market approach to measure the fair value of our financial assets. The market approach uses prices and other relevant information generated by market transactions involving identical or comparable assets. Our short-term investments, restricted cash and restricted short-term investments classified as Level 2 utilize significant observable inputs, other than quoted prices in active markets, for valuation of these securities. No changes in valuation techniques or inputs occurred during the year ended December 31, 2023.</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68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Fair Value Measurements as of December 31, 2023</w:t>
            </w:r>
          </w:p>
        </w:tc>
        <w:tc>
          <w:tcPr>
            <w:tcW w:w="1200" w:type="dxa"/>
            <w:vAlign w:val="bottom"/>
            <w:tcBorders>
              <w:bottom w:val="single" w:sz="8" w:color="auto"/>
            </w:tcBorders>
          </w:tcPr>
          <w:p>
            <w:pPr>
              <w:spacing w:after="0"/>
              <w:rPr>
                <w:sz w:val="17"/>
                <w:szCs w:val="17"/>
                <w:color w:val="auto"/>
              </w:rPr>
            </w:pPr>
          </w:p>
        </w:tc>
      </w:tr>
      <w:tr>
        <w:trPr>
          <w:trHeight w:val="196"/>
        </w:trPr>
        <w:tc>
          <w:tcPr>
            <w:tcW w:w="5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10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U.S. government and agency obligations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0"/>
        </w:trPr>
        <w:tc>
          <w:tcPr>
            <w:tcW w:w="5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26"/>
        </w:trPr>
        <w:tc>
          <w:tcPr>
            <w:tcW w:w="5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71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1"/>
        </w:trPr>
        <w:tc>
          <w:tcPr>
            <w:tcW w:w="5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64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Fair Value Measurements as of December 31, 2022</w:t>
            </w:r>
          </w:p>
        </w:tc>
        <w:tc>
          <w:tcPr>
            <w:tcW w:w="1200" w:type="dxa"/>
            <w:vAlign w:val="bottom"/>
            <w:tcBorders>
              <w:bottom w:val="single" w:sz="8" w:color="auto"/>
            </w:tcBorders>
          </w:tcPr>
          <w:p>
            <w:pPr>
              <w:spacing w:after="0"/>
              <w:rPr>
                <w:sz w:val="17"/>
                <w:szCs w:val="17"/>
                <w:color w:val="auto"/>
              </w:rPr>
            </w:pPr>
          </w:p>
        </w:tc>
      </w:tr>
      <w:tr>
        <w:trPr>
          <w:trHeight w:val="209"/>
        </w:trPr>
        <w:tc>
          <w:tcPr>
            <w:tcW w:w="20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8"/>
                <w:szCs w:val="18"/>
                <w:color w:val="auto"/>
              </w:rPr>
            </w:pP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100" w:type="dxa"/>
            <w:vAlign w:val="bottom"/>
            <w:tcBorders>
              <w:top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510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gridSpan w:val="2"/>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20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51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r>
      <w:tr>
        <w:trPr>
          <w:trHeight w:val="248"/>
        </w:trPr>
        <w:tc>
          <w:tcPr>
            <w:tcW w:w="5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r>
    </w:tbl>
    <w:p>
      <w:pPr>
        <w:spacing w:after="0" w:line="76" w:lineRule="exact"/>
        <w:rPr>
          <w:sz w:val="20"/>
          <w:szCs w:val="20"/>
          <w:color w:val="auto"/>
        </w:rPr>
      </w:pPr>
    </w:p>
    <w:p>
      <w:pPr>
        <w:ind w:left="340" w:right="20" w:hanging="332"/>
        <w:spacing w:after="0" w:line="231" w:lineRule="auto"/>
        <w:tabs>
          <w:tab w:leader="none" w:pos="334"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Our short-term investments as of December 31, 2023 mature in one year or less.</w:t>
      </w:r>
    </w:p>
    <w:p>
      <w:pPr>
        <w:spacing w:after="0" w:line="138"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and collateral associated with the payment of interest for the AAdvantage Financing. Restricted short-term investments mature in one year or less except for $218 million as of December 31, 2023.</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Long-term investments include our equity investments in China Southern Airlines Company Limited (China Southern Airlines), GOL and Vertical Aerospace Ltd. (Vertical). See Note 8 for further information on our equity investments.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except for $3.7 billion as of December 31, 2023 and December 31, 2022, which would have been classified as Level 3 in the fair value hierarchy. The fair value of the Convertible Notes, which would have been classified as Level 2, was $1.1 billion as of December 31, 2023 and December 31, 2022.</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14"/>
                <w:szCs w:val="14"/>
                <w:b w:val="1"/>
                <w:bCs w:val="1"/>
                <w:color w:val="auto"/>
              </w:rPr>
              <w:t>December 31, 2022</w:t>
            </w:r>
          </w:p>
        </w:tc>
      </w:tr>
      <w:tr>
        <w:trPr>
          <w:trHeight w:val="143"/>
        </w:trPr>
        <w:tc>
          <w:tcPr>
            <w:tcW w:w="5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22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100" w:type="dxa"/>
            <w:vAlign w:val="bottom"/>
          </w:tcPr>
          <w:p>
            <w:pPr>
              <w:jc w:val="center"/>
              <w:ind w:right="242"/>
              <w:spacing w:after="0" w:line="143" w:lineRule="exact"/>
              <w:rPr>
                <w:sz w:val="20"/>
                <w:szCs w:val="20"/>
                <w:color w:val="auto"/>
              </w:rPr>
            </w:pPr>
            <w:r>
              <w:rPr>
                <w:rFonts w:ascii="Arial" w:cs="Arial" w:eastAsia="Arial" w:hAnsi="Arial"/>
                <w:sz w:val="14"/>
                <w:szCs w:val="14"/>
                <w:b w:val="1"/>
                <w:bCs w:val="1"/>
                <w:color w:val="auto"/>
              </w:rPr>
              <w:t>Fair</w:t>
            </w:r>
          </w:p>
        </w:tc>
      </w:tr>
      <w:tr>
        <w:trPr>
          <w:trHeight w:val="189"/>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6"/>
                <w:szCs w:val="16"/>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6"/>
                <w:szCs w:val="16"/>
                <w:color w:val="auto"/>
              </w:rPr>
            </w:pPr>
          </w:p>
        </w:tc>
        <w:tc>
          <w:tcPr>
            <w:tcW w:w="110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32,310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34,903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32,569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To help expand our network and as part of our ongoing commitment to sustainability, we enter into various commercial relationships or other strategic partnerships, including equity investments, with other airlines and companies. Our equity investments are reflected in other assets on our consolidated balance sheets. Our share of equity method investees’ financial results and changes in fair value are recorded in nonoperating other income (expense), net on the consolidated statements of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equity investments ownership interest and carrying value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bottom w:val="single" w:sz="8" w:color="auto"/>
            </w:tcBorders>
            <w:gridSpan w:val="3"/>
          </w:tcPr>
          <w:p>
            <w:pPr>
              <w:jc w:val="center"/>
              <w:ind w:left="861"/>
              <w:spacing w:after="0"/>
              <w:rPr>
                <w:sz w:val="20"/>
                <w:szCs w:val="20"/>
                <w:color w:val="auto"/>
              </w:rPr>
            </w:pPr>
            <w:r>
              <w:rPr>
                <w:rFonts w:ascii="Arial" w:cs="Arial" w:eastAsia="Arial" w:hAnsi="Arial"/>
                <w:sz w:val="14"/>
                <w:szCs w:val="14"/>
                <w:b w:val="1"/>
                <w:bCs w:val="1"/>
                <w:color w:val="auto"/>
              </w:rPr>
              <w:t>Ownership Interest</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Carrying Value (in millions)</w:t>
            </w:r>
          </w:p>
        </w:tc>
      </w:tr>
      <w:tr>
        <w:trPr>
          <w:trHeight w:val="200"/>
        </w:trPr>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bottom w:val="single" w:sz="8" w:color="auto"/>
            </w:tcBorders>
            <w:gridSpan w:val="3"/>
          </w:tcPr>
          <w:p>
            <w:pPr>
              <w:jc w:val="center"/>
              <w:ind w:left="861"/>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197"/>
        </w:trPr>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Accounting Treatment</w:t>
            </w:r>
          </w:p>
        </w:tc>
        <w:tc>
          <w:tcPr>
            <w:tcW w:w="1540" w:type="dxa"/>
            <w:vAlign w:val="bottom"/>
          </w:tcPr>
          <w:p>
            <w:pPr>
              <w:jc w:val="right"/>
              <w:ind w:right="54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ind w:right="536"/>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224"/>
        </w:trPr>
        <w:tc>
          <w:tcPr>
            <w:tcW w:w="2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Republic Holdings</w:t>
            </w: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Equity Method</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China Southern Airlines</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Fair Value</w:t>
            </w:r>
          </w:p>
        </w:tc>
        <w:tc>
          <w:tcPr>
            <w:tcW w:w="154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24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(1)</w:t>
            </w: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Various</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3"/>
        </w:trPr>
        <w:tc>
          <w:tcPr>
            <w:tcW w:w="244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r>
      <w:tr>
        <w:trPr>
          <w:trHeight w:val="20"/>
        </w:trPr>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Primarily includes our investment in JetSMART Holdings Limited, which is accounted for under the equity method, and our investments in GOL and Vertical, which are each accounted for at fair value.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sponsor defined benefit and defined contribution pension plans for eligible employees. The defined benefit pension plans provide benefits for participating employees based on years of service and average compensation for a specified period of time before retirement. Effective November 1, 2012, substantially all of our defined benefit pension plans were frozen and we began providing enhanced benefits under our defined contribution pension plans for certain employee groups. We use a December 31 measurement date for all of our defined benefit pension plans. We also provide certain retiree medical and other postretirement benefits, including health care and life insurance benefits, to retired employees.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Obligations, Fair Value of Plan Assets and Funded Status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following tables provide a reconciliation of the changes in the pension and retiree medical and other postretirement benefits obligations, fair value of plan assets and funded status as of December 31, 2023 and 2022:</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gridSpan w:val="6"/>
          </w:tcPr>
          <w:p>
            <w:pPr>
              <w:jc w:val="right"/>
              <w:ind w:right="751"/>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371"/>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20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 obligation at beginning of period</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14,037</w:t>
            </w: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18,910</w:t>
            </w: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20"/>
              <w:spacing w:after="0"/>
              <w:rPr>
                <w:sz w:val="20"/>
                <w:szCs w:val="20"/>
                <w:color w:val="auto"/>
              </w:rPr>
            </w:pPr>
            <w:r>
              <w:rPr>
                <w:rFonts w:ascii="Arial" w:cs="Arial" w:eastAsia="Arial" w:hAnsi="Arial"/>
                <w:sz w:val="18"/>
                <w:szCs w:val="18"/>
                <w:color w:val="auto"/>
              </w:rPr>
              <w:t>Service cost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Actuarial loss (gain) </w:t>
            </w:r>
            <w:r>
              <w:rPr>
                <w:rFonts w:ascii="Arial" w:cs="Arial" w:eastAsia="Arial" w:hAnsi="Arial"/>
                <w:sz w:val="23"/>
                <w:szCs w:val="23"/>
                <w:color w:val="auto"/>
                <w:vertAlign w:val="superscript"/>
              </w:rPr>
              <w:t>(1), (2)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Plan amendments </w:t>
            </w:r>
            <w:r>
              <w:rPr>
                <w:rFonts w:ascii="Arial" w:cs="Arial" w:eastAsia="Arial" w:hAnsi="Arial"/>
                <w:sz w:val="23"/>
                <w:szCs w:val="23"/>
                <w:color w:val="auto"/>
                <w:vertAlign w:val="superscript"/>
              </w:rPr>
              <w:t>(3)</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Benefit payments</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Benefit obligation at end of period</w:t>
            </w: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14,410</w:t>
            </w:r>
          </w:p>
        </w:tc>
        <w:tc>
          <w:tcPr>
            <w:tcW w:w="100" w:type="dxa"/>
            <w:vAlign w:val="bottom"/>
          </w:tcPr>
          <w:p>
            <w:pPr>
              <w:spacing w:after="0"/>
              <w:rPr>
                <w:sz w:val="19"/>
                <w:szCs w:val="19"/>
                <w:color w:val="auto"/>
              </w:rPr>
            </w:pPr>
          </w:p>
        </w:tc>
        <w:tc>
          <w:tcPr>
            <w:tcW w:w="5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14,037</w:t>
            </w:r>
          </w:p>
        </w:tc>
        <w:tc>
          <w:tcPr>
            <w:tcW w:w="10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20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of plan assets at beginning of period</w:t>
            </w:r>
          </w:p>
        </w:tc>
        <w:tc>
          <w:tcPr>
            <w:tcW w:w="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11,884</w:t>
            </w: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14,691</w:t>
            </w: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20"/>
              <w:spacing w:after="0"/>
              <w:rPr>
                <w:sz w:val="20"/>
                <w:szCs w:val="20"/>
                <w:color w:val="auto"/>
              </w:rPr>
            </w:pPr>
            <w:r>
              <w:rPr>
                <w:rFonts w:ascii="Arial" w:cs="Arial" w:eastAsia="Arial" w:hAnsi="Arial"/>
                <w:sz w:val="18"/>
                <w:szCs w:val="18"/>
                <w:color w:val="auto"/>
              </w:rPr>
              <w:t>Actual return (loss) on plan assets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Employer contributions </w:t>
            </w:r>
            <w:r>
              <w:rPr>
                <w:rFonts w:ascii="Arial" w:cs="Arial" w:eastAsia="Arial" w:hAnsi="Arial"/>
                <w:sz w:val="23"/>
                <w:szCs w:val="23"/>
                <w:color w:val="auto"/>
                <w:vertAlign w:val="superscript"/>
              </w:rPr>
              <w:t>(4)</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Benefit payments</w:t>
            </w: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Fair value of plan assets at end of period</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Funded status at end of period</w:t>
            </w:r>
          </w:p>
        </w:tc>
        <w:tc>
          <w:tcPr>
            <w:tcW w:w="3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Borders>
              <w:top w:val="single" w:sz="8" w:color="CCEEFF"/>
            </w:tcBorders>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(2,153)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(1,192)</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The 2023 and 2022 pension actuarial loss (gain) primarily relates to the change in our weighted average discount rate assumption.</w:t>
      </w:r>
    </w:p>
    <w:p>
      <w:pPr>
        <w:spacing w:after="0" w:line="138"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The 2023 and 2022 retiree medical and other postretirement benefits actuarial loss (gain) primarily relates to the change in our weighted average discount rate assumption and, in 2023, the change in health care cost assumptions.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340" w:hanging="332"/>
        <w:spacing w:after="0"/>
        <w:tabs>
          <w:tab w:leader="none" w:pos="334" w:val="left"/>
        </w:tabs>
        <w:numPr>
          <w:ilvl w:val="0"/>
          <w:numId w:val="54"/>
        </w:numPr>
        <w:rPr>
          <w:rFonts w:ascii="Arial" w:cs="Arial" w:eastAsia="Arial" w:hAnsi="Arial"/>
          <w:sz w:val="23"/>
          <w:szCs w:val="23"/>
          <w:color w:val="auto"/>
          <w:vertAlign w:val="superscript"/>
        </w:rPr>
      </w:pPr>
      <w:r>
        <w:rPr>
          <w:rFonts w:ascii="Arial" w:cs="Arial" w:eastAsia="Arial" w:hAnsi="Arial"/>
          <w:sz w:val="18"/>
          <w:szCs w:val="18"/>
          <w:color w:val="auto"/>
        </w:rPr>
        <w:t>As of September 30, 2023, we remeasured our retiree medical and other postretirement benefits to account for enhanced retirement benefits provided to our mainline pilots pursuant to the new collective bargaining agreement ratified in August 2023. As a result, we increased our postretirement benefits obligation by $339 million, which was included as a component of prior service cost in accumulated other comprehensive loss.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54"/>
        </w:numPr>
        <w:rPr>
          <w:rFonts w:ascii="Arial" w:cs="Arial" w:eastAsia="Arial" w:hAnsi="Arial"/>
          <w:sz w:val="23"/>
          <w:szCs w:val="23"/>
          <w:color w:val="auto"/>
          <w:vertAlign w:val="superscript"/>
        </w:rPr>
      </w:pPr>
      <w:r>
        <w:rPr>
          <w:rFonts w:ascii="Arial" w:cs="Arial" w:eastAsia="Arial" w:hAnsi="Arial"/>
          <w:sz w:val="18"/>
          <w:szCs w:val="18"/>
          <w:color w:val="auto"/>
        </w:rPr>
        <w:t>In 2023, we made required contributions of $69 million to our defined benefit pension plans.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Balance Sheet Position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gridSpan w:val="7"/>
          </w:tcPr>
          <w:p>
            <w:pPr>
              <w:jc w:val="center"/>
              <w:ind w:right="355"/>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jc w:val="center"/>
              <w:ind w:right="315"/>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46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3"/>
          </w:tcPr>
          <w:p>
            <w:pPr>
              <w:ind w:left="240"/>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line="190" w:lineRule="exact"/>
              <w:rPr>
                <w:sz w:val="20"/>
                <w:szCs w:val="20"/>
                <w:color w:val="auto"/>
              </w:rPr>
            </w:pPr>
            <w:r>
              <w:rPr>
                <w:rFonts w:ascii="Arial" w:cs="Arial" w:eastAsia="Arial" w:hAnsi="Arial"/>
                <w:sz w:val="18"/>
                <w:szCs w:val="18"/>
                <w:color w:val="auto"/>
                <w:w w:val="99"/>
              </w:rPr>
              <w:t>As of December 31,</w:t>
            </w:r>
          </w:p>
        </w:tc>
        <w:tc>
          <w:tcPr>
            <w:tcW w:w="3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Current liability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122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liability</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2,149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gridSpan w:val="7"/>
          </w:tcPr>
          <w:p>
            <w:pPr>
              <w:jc w:val="center"/>
              <w:ind w:right="355"/>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jc w:val="center"/>
              <w:ind w:right="315"/>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46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3"/>
          </w:tcPr>
          <w:p>
            <w:pPr>
              <w:ind w:left="240"/>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actuarial loss (gain)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3,613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Prior service cost (benefit)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80" w:type="dxa"/>
            <w:vAlign w:val="bottom"/>
            <w:gridSpan w:val="2"/>
          </w:tcPr>
          <w:p>
            <w:pPr>
              <w:jc w:val="right"/>
              <w:ind w:right="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197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accumulated other comprehensive loss (income), pre-tax</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3,631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20" w:type="dxa"/>
            <w:vAlign w:val="bottom"/>
          </w:tcPr>
          <w:p>
            <w:pPr>
              <w:spacing w:after="0"/>
              <w:rPr>
                <w:sz w:val="24"/>
                <w:szCs w:val="24"/>
                <w:color w:val="auto"/>
              </w:rPr>
            </w:pPr>
          </w:p>
        </w:tc>
        <w:tc>
          <w:tcPr>
            <w:tcW w:w="7260" w:type="dxa"/>
            <w:vAlign w:val="bottom"/>
            <w:gridSpan w:val="6"/>
          </w:tcPr>
          <w:p>
            <w:pPr>
              <w:ind w:left="240"/>
              <w:spacing w:after="0"/>
              <w:rPr>
                <w:sz w:val="20"/>
                <w:szCs w:val="20"/>
                <w:color w:val="auto"/>
              </w:rPr>
            </w:pPr>
            <w:r>
              <w:rPr>
                <w:rFonts w:ascii="Arial" w:cs="Arial" w:eastAsia="Arial" w:hAnsi="Arial"/>
                <w:sz w:val="18"/>
                <w:szCs w:val="18"/>
                <w:b w:val="1"/>
                <w:bCs w:val="1"/>
                <w:i w:val="1"/>
                <w:iCs w:val="1"/>
                <w:color w:val="auto"/>
              </w:rPr>
              <w:t>Plans with Projected Benefit Obligations Exceeding Fair Value of Plan Assets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Pension Benefits</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5"/>
          </w:tcPr>
          <w:p>
            <w:pPr>
              <w:jc w:val="center"/>
              <w:ind w:left="221"/>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14,410</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14,037</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Fair value of plan assets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12,431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11,884</w:t>
            </w: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7260" w:type="dxa"/>
            <w:vAlign w:val="bottom"/>
            <w:gridSpan w:val="6"/>
          </w:tcPr>
          <w:p>
            <w:pPr>
              <w:ind w:left="240"/>
              <w:spacing w:after="0"/>
              <w:rPr>
                <w:sz w:val="20"/>
                <w:szCs w:val="20"/>
                <w:color w:val="auto"/>
              </w:rPr>
            </w:pPr>
            <w:r>
              <w:rPr>
                <w:rFonts w:ascii="Arial" w:cs="Arial" w:eastAsia="Arial" w:hAnsi="Arial"/>
                <w:sz w:val="18"/>
                <w:szCs w:val="18"/>
                <w:b w:val="1"/>
                <w:bCs w:val="1"/>
                <w:i w:val="1"/>
                <w:iCs w:val="1"/>
                <w:color w:val="auto"/>
              </w:rPr>
              <w:t>Plans with Accumulated Benefit Obligations Exceeding Fair Value of Plan Assets</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560" w:type="dxa"/>
            <w:vAlign w:val="bottom"/>
            <w:gridSpan w:val="7"/>
          </w:tcPr>
          <w:p>
            <w:pPr>
              <w:jc w:val="center"/>
              <w:ind w:right="355"/>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jc w:val="center"/>
              <w:ind w:right="315"/>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46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3"/>
          </w:tcPr>
          <w:p>
            <w:pPr>
              <w:ind w:left="240"/>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14,403</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14,030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Accumulated postretirement benefit obligation</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11,884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133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746"/>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777"/>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Periodic Benefit Cost (Income)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rPr>
              <w:t>Retiree Medical and</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jc w:val="center"/>
              <w:ind w:left="294"/>
              <w:spacing w:after="0"/>
              <w:rPr>
                <w:sz w:val="20"/>
                <w:szCs w:val="20"/>
                <w:color w:val="auto"/>
              </w:rPr>
            </w:pPr>
            <w:r>
              <w:rPr>
                <w:rFonts w:ascii="Arial" w:cs="Arial" w:eastAsia="Arial" w:hAnsi="Arial"/>
                <w:sz w:val="14"/>
                <w:szCs w:val="14"/>
                <w:b w:val="1"/>
                <w:bCs w:val="1"/>
                <w:color w:val="auto"/>
              </w:rPr>
              <w:t>Other Postretirement Benefits</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6"/>
        </w:trPr>
        <w:tc>
          <w:tcPr>
            <w:tcW w:w="3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plans:</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3780" w:type="dxa"/>
            <w:vAlign w:val="bottom"/>
          </w:tcPr>
          <w:p>
            <w:pPr>
              <w:ind w:left="220"/>
              <w:spacing w:after="0"/>
              <w:rPr>
                <w:sz w:val="20"/>
                <w:szCs w:val="20"/>
                <w:color w:val="auto"/>
              </w:rPr>
            </w:pPr>
            <w:r>
              <w:rPr>
                <w:rFonts w:ascii="Arial" w:cs="Arial" w:eastAsia="Arial" w:hAnsi="Arial"/>
                <w:sz w:val="18"/>
                <w:szCs w:val="18"/>
                <w:color w:val="auto"/>
              </w:rPr>
              <w:t>Expected return on assets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Special termination benefits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service cost (benefit)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Unrecognized net loss (gain)</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service cost component of net periodic benefit cost (income) is included in operating expenses, the cost for the special termination benefits is included in special items, net and the other components of net periodic benefit cost (income) are included in nonoperating other income (expense), net on our consolidated statements of operations.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Assumptions</w:t>
      </w:r>
    </w:p>
    <w:p>
      <w:pPr>
        <w:spacing w:after="0" w:line="88"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The following actuarial assumptions were used to determine our benefit obligations and net periodic benefit cost (income) for the periods presented: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8"/>
            <w:vMerge w:val="restart"/>
          </w:tcPr>
          <w:p>
            <w:pPr>
              <w:ind w:left="220"/>
              <w:spacing w:after="0"/>
              <w:rPr>
                <w:sz w:val="20"/>
                <w:szCs w:val="20"/>
                <w:color w:val="auto"/>
              </w:rPr>
            </w:pPr>
            <w:r>
              <w:rPr>
                <w:rFonts w:ascii="Arial" w:cs="Arial" w:eastAsia="Arial" w:hAnsi="Arial"/>
                <w:sz w:val="14"/>
                <w:szCs w:val="14"/>
                <w:b w:val="1"/>
                <w:bCs w:val="1"/>
                <w:color w:val="auto"/>
              </w:rPr>
              <w:t>Pension Benefits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6"/>
          </w:tcPr>
          <w:p>
            <w:pPr>
              <w:jc w:val="center"/>
              <w:ind w:right="696"/>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8"/>
            <w:vMerge w:val="continue"/>
          </w:tcPr>
          <w:p>
            <w:pPr>
              <w:spacing w:after="0"/>
              <w:rPr>
                <w:sz w:val="16"/>
                <w:szCs w:val="16"/>
                <w:color w:val="auto"/>
              </w:rPr>
            </w:pPr>
          </w:p>
        </w:tc>
        <w:tc>
          <w:tcPr>
            <w:tcW w:w="2960" w:type="dxa"/>
            <w:vAlign w:val="bottom"/>
            <w:gridSpan w:val="8"/>
          </w:tcPr>
          <w:p>
            <w:pPr>
              <w:jc w:val="center"/>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8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Benefit obligations:</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Weighted average discount rate</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3"/>
          </w:tcPr>
          <w:p>
            <w:pPr>
              <w:jc w:val="right"/>
              <w:ind w:right="419"/>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216"/>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gridSpan w:val="3"/>
          </w:tcPr>
          <w:p>
            <w:pPr>
              <w:jc w:val="right"/>
              <w:ind w:right="500"/>
              <w:spacing w:after="0"/>
              <w:rPr>
                <w:sz w:val="20"/>
                <w:szCs w:val="20"/>
                <w:color w:val="auto"/>
              </w:rPr>
            </w:pPr>
            <w:r>
              <w:rPr>
                <w:rFonts w:ascii="Arial" w:cs="Arial" w:eastAsia="Arial" w:hAnsi="Arial"/>
                <w:sz w:val="18"/>
                <w:szCs w:val="18"/>
                <w:color w:val="auto"/>
                <w:w w:val="97"/>
              </w:rPr>
              <w:t>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416"/>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Pension Benefits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60" w:type="dxa"/>
            <w:vAlign w:val="bottom"/>
            <w:gridSpan w:val="7"/>
          </w:tcPr>
          <w:p>
            <w:pPr>
              <w:jc w:val="center"/>
              <w:ind w:right="616"/>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8"/>
          </w:tcPr>
          <w:p>
            <w:pPr>
              <w:jc w:val="center"/>
              <w:ind w:right="116"/>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rPr>
              <w:t>2023</w:t>
            </w:r>
          </w:p>
        </w:tc>
        <w:tc>
          <w:tcPr>
            <w:tcW w:w="102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2023</w:t>
            </w:r>
          </w:p>
        </w:tc>
        <w:tc>
          <w:tcPr>
            <w:tcW w:w="1360" w:type="dxa"/>
            <w:vAlign w:val="bottom"/>
            <w:gridSpan w:val="5"/>
          </w:tcPr>
          <w:p>
            <w:pPr>
              <w:jc w:val="center"/>
              <w:ind w:left="31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740" w:type="dxa"/>
            <w:vAlign w:val="bottom"/>
            <w:tcBorders>
              <w:top w:val="single" w:sz="8" w:color="CCEEFF"/>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99"/>
              </w:rPr>
              <w:t>Net periodic benefit cost (income):</w:t>
            </w:r>
          </w:p>
        </w:tc>
        <w:tc>
          <w:tcPr>
            <w:tcW w:w="206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Weighted average discount rate</w:t>
            </w:r>
          </w:p>
        </w:tc>
        <w:tc>
          <w:tcPr>
            <w:tcW w:w="800" w:type="dxa"/>
            <w:vAlign w:val="bottom"/>
            <w:gridSpan w:val="2"/>
          </w:tcPr>
          <w:p>
            <w:pPr>
              <w:jc w:val="center"/>
              <w:ind w:left="95"/>
              <w:spacing w:after="0"/>
              <w:rPr>
                <w:sz w:val="20"/>
                <w:szCs w:val="20"/>
                <w:color w:val="auto"/>
              </w:rPr>
            </w:pPr>
            <w:r>
              <w:rPr>
                <w:rFonts w:ascii="Arial" w:cs="Arial" w:eastAsia="Arial" w:hAnsi="Arial"/>
                <w:sz w:val="18"/>
                <w:szCs w:val="18"/>
                <w:color w:val="auto"/>
              </w:rPr>
              <w:t>5.6%</w:t>
            </w:r>
          </w:p>
        </w:tc>
        <w:tc>
          <w:tcPr>
            <w:tcW w:w="1020" w:type="dxa"/>
            <w:vAlign w:val="bottom"/>
            <w:gridSpan w:val="3"/>
          </w:tcPr>
          <w:p>
            <w:pPr>
              <w:jc w:val="center"/>
              <w:ind w:left="437"/>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7"/>
              </w:rPr>
              <w:t>5.7%</w:t>
            </w:r>
          </w:p>
        </w:tc>
        <w:tc>
          <w:tcPr>
            <w:tcW w:w="1360" w:type="dxa"/>
            <w:vAlign w:val="bottom"/>
            <w:gridSpan w:val="5"/>
          </w:tcPr>
          <w:p>
            <w:pPr>
              <w:jc w:val="center"/>
              <w:ind w:left="318"/>
              <w:spacing w:after="0"/>
              <w:rPr>
                <w:sz w:val="20"/>
                <w:szCs w:val="20"/>
                <w:color w:val="auto"/>
              </w:rPr>
            </w:pPr>
            <w:r>
              <w:rPr>
                <w:rFonts w:ascii="Arial" w:cs="Arial" w:eastAsia="Arial" w:hAnsi="Arial"/>
                <w:sz w:val="18"/>
                <w:szCs w:val="18"/>
                <w:color w:val="auto"/>
                <w:w w:val="97"/>
              </w:rPr>
              <w:t>2.8%</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expected rate of return on plan assets</w:t>
            </w:r>
          </w:p>
        </w:tc>
        <w:tc>
          <w:tcPr>
            <w:tcW w:w="800" w:type="dxa"/>
            <w:vAlign w:val="bottom"/>
            <w:gridSpan w:val="2"/>
            <w:shd w:val="clear" w:color="auto" w:fill="CCEEFF"/>
          </w:tcPr>
          <w:p>
            <w:pPr>
              <w:jc w:val="center"/>
              <w:ind w:left="95"/>
              <w:spacing w:after="0"/>
              <w:rPr>
                <w:sz w:val="20"/>
                <w:szCs w:val="20"/>
                <w:color w:val="auto"/>
              </w:rPr>
            </w:pPr>
            <w:r>
              <w:rPr>
                <w:rFonts w:ascii="Arial" w:cs="Arial" w:eastAsia="Arial" w:hAnsi="Arial"/>
                <w:sz w:val="18"/>
                <w:szCs w:val="18"/>
                <w:color w:val="auto"/>
              </w:rPr>
              <w:t>8.0%</w:t>
            </w:r>
          </w:p>
        </w:tc>
        <w:tc>
          <w:tcPr>
            <w:tcW w:w="1020" w:type="dxa"/>
            <w:vAlign w:val="bottom"/>
            <w:gridSpan w:val="3"/>
            <w:shd w:val="clear" w:color="auto" w:fill="CCEEFF"/>
          </w:tcPr>
          <w:p>
            <w:pPr>
              <w:jc w:val="center"/>
              <w:ind w:left="437"/>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8.0%</w:t>
            </w:r>
          </w:p>
        </w:tc>
        <w:tc>
          <w:tcPr>
            <w:tcW w:w="1360" w:type="dxa"/>
            <w:vAlign w:val="bottom"/>
            <w:gridSpan w:val="5"/>
            <w:shd w:val="clear" w:color="auto" w:fill="CCEEFF"/>
          </w:tcPr>
          <w:p>
            <w:pPr>
              <w:jc w:val="center"/>
              <w:ind w:left="318"/>
              <w:spacing w:after="0"/>
              <w:rPr>
                <w:sz w:val="20"/>
                <w:szCs w:val="20"/>
                <w:color w:val="auto"/>
              </w:rPr>
            </w:pPr>
            <w:r>
              <w:rPr>
                <w:rFonts w:ascii="Arial" w:cs="Arial" w:eastAsia="Arial" w:hAnsi="Arial"/>
                <w:sz w:val="18"/>
                <w:szCs w:val="18"/>
                <w:color w:val="auto"/>
                <w:w w:val="97"/>
              </w:rPr>
              <w:t>8.0%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0" w:type="dxa"/>
            <w:vAlign w:val="bottom"/>
            <w:gridSpan w:val="3"/>
          </w:tcPr>
          <w:p>
            <w:pPr>
              <w:spacing w:after="0" w:line="181" w:lineRule="exact"/>
              <w:rPr>
                <w:sz w:val="20"/>
                <w:szCs w:val="20"/>
                <w:color w:val="auto"/>
              </w:rPr>
            </w:pPr>
            <w:r>
              <w:rPr>
                <w:rFonts w:ascii="Arial" w:cs="Arial" w:eastAsia="Arial" w:hAnsi="Arial"/>
                <w:sz w:val="18"/>
                <w:szCs w:val="18"/>
                <w:color w:val="auto"/>
              </w:rPr>
              <w:t>Weighted average health care cost trend rate assumed for</w:t>
            </w:r>
          </w:p>
        </w:tc>
        <w:tc>
          <w:tcPr>
            <w:tcW w:w="800" w:type="dxa"/>
            <w:vAlign w:val="bottom"/>
            <w:gridSpan w:val="2"/>
            <w:vMerge w:val="restart"/>
          </w:tcPr>
          <w:p>
            <w:pPr>
              <w:ind w:left="3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4"/>
            <w:vMerge w:val="restart"/>
          </w:tcPr>
          <w:p>
            <w:pPr>
              <w:jc w:val="center"/>
              <w:ind w:right="100"/>
              <w:spacing w:after="0"/>
              <w:rPr>
                <w:sz w:val="20"/>
                <w:szCs w:val="20"/>
                <w:color w:val="auto"/>
              </w:rPr>
            </w:pPr>
            <w:r>
              <w:rPr>
                <w:rFonts w:ascii="Arial" w:cs="Arial" w:eastAsia="Arial" w:hAnsi="Arial"/>
                <w:sz w:val="18"/>
                <w:szCs w:val="18"/>
                <w:color w:val="auto"/>
                <w:w w:val="99"/>
              </w:rPr>
              <w:t>N/A</w:t>
            </w:r>
          </w:p>
        </w:tc>
        <w:tc>
          <w:tcPr>
            <w:tcW w:w="1300" w:type="dxa"/>
            <w:vAlign w:val="bottom"/>
            <w:gridSpan w:val="4"/>
            <w:vMerge w:val="restart"/>
          </w:tcPr>
          <w:p>
            <w:pPr>
              <w:ind w:left="340"/>
              <w:spacing w:after="0"/>
              <w:rPr>
                <w:sz w:val="20"/>
                <w:szCs w:val="20"/>
                <w:color w:val="auto"/>
              </w:rPr>
            </w:pPr>
            <w:r>
              <w:rPr>
                <w:rFonts w:ascii="Arial" w:cs="Arial" w:eastAsia="Arial" w:hAnsi="Arial"/>
                <w:sz w:val="18"/>
                <w:szCs w:val="18"/>
                <w:color w:val="auto"/>
              </w:rPr>
              <w:t>N/A</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97"/>
              </w:rPr>
              <w:t>6.5%</w:t>
            </w:r>
          </w:p>
        </w:tc>
        <w:tc>
          <w:tcPr>
            <w:tcW w:w="1360" w:type="dxa"/>
            <w:vAlign w:val="bottom"/>
            <w:gridSpan w:val="5"/>
            <w:vMerge w:val="restart"/>
          </w:tcPr>
          <w:p>
            <w:pPr>
              <w:jc w:val="center"/>
              <w:ind w:left="318"/>
              <w:spacing w:after="0"/>
              <w:rPr>
                <w:sz w:val="20"/>
                <w:szCs w:val="20"/>
                <w:color w:val="auto"/>
              </w:rPr>
            </w:pPr>
            <w:r>
              <w:rPr>
                <w:rFonts w:ascii="Arial" w:cs="Arial" w:eastAsia="Arial" w:hAnsi="Arial"/>
                <w:sz w:val="18"/>
                <w:szCs w:val="18"/>
                <w:color w:val="auto"/>
                <w:w w:val="97"/>
              </w:rPr>
              <w:t>5.8%</w:t>
            </w:r>
          </w:p>
        </w:tc>
        <w:tc>
          <w:tcPr>
            <w:tcW w:w="12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800" w:type="dxa"/>
            <w:vAlign w:val="bottom"/>
            <w:gridSpan w:val="3"/>
          </w:tcPr>
          <w:p>
            <w:pPr>
              <w:ind w:left="160"/>
              <w:spacing w:after="0"/>
              <w:rPr>
                <w:sz w:val="20"/>
                <w:szCs w:val="20"/>
                <w:color w:val="auto"/>
              </w:rPr>
            </w:pPr>
            <w:r>
              <w:rPr>
                <w:rFonts w:ascii="Arial" w:cs="Arial" w:eastAsia="Arial" w:hAnsi="Arial"/>
                <w:sz w:val="18"/>
                <w:szCs w:val="18"/>
                <w:color w:val="auto"/>
              </w:rPr>
              <w:t xml:space="preserve">next year </w:t>
            </w:r>
            <w:r>
              <w:rPr>
                <w:rFonts w:ascii="Arial" w:cs="Arial" w:eastAsia="Arial" w:hAnsi="Arial"/>
                <w:sz w:val="23"/>
                <w:szCs w:val="23"/>
                <w:color w:val="auto"/>
                <w:vertAlign w:val="superscript"/>
              </w:rPr>
              <w:t>(1)</w:t>
            </w:r>
          </w:p>
        </w:tc>
        <w:tc>
          <w:tcPr>
            <w:tcW w:w="8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4"/>
            <w:vMerge w:val="continue"/>
          </w:tcPr>
          <w:p>
            <w:pPr>
              <w:spacing w:after="0"/>
              <w:rPr>
                <w:sz w:val="24"/>
                <w:szCs w:val="24"/>
                <w:color w:val="auto"/>
              </w:rPr>
            </w:pPr>
          </w:p>
        </w:tc>
        <w:tc>
          <w:tcPr>
            <w:tcW w:w="1300" w:type="dxa"/>
            <w:vAlign w:val="bottom"/>
            <w:gridSpan w:val="4"/>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136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3100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171" w:lineRule="exact"/>
        <w:rPr>
          <w:sz w:val="20"/>
          <w:szCs w:val="20"/>
          <w:color w:val="auto"/>
        </w:rPr>
      </w:pPr>
    </w:p>
    <w:p>
      <w:pPr>
        <w:ind w:left="340" w:hanging="332"/>
        <w:spacing w:after="0" w:line="231" w:lineRule="auto"/>
        <w:tabs>
          <w:tab w:leader="none" w:pos="334" w:val="left"/>
        </w:tabs>
        <w:numPr>
          <w:ilvl w:val="0"/>
          <w:numId w:val="55"/>
        </w:numPr>
        <w:rPr>
          <w:rFonts w:ascii="Arial" w:cs="Arial" w:eastAsia="Arial" w:hAnsi="Arial"/>
          <w:sz w:val="23"/>
          <w:szCs w:val="23"/>
          <w:color w:val="auto"/>
          <w:vertAlign w:val="superscript"/>
        </w:rPr>
      </w:pPr>
      <w:r>
        <w:rPr>
          <w:rFonts w:ascii="Arial" w:cs="Arial" w:eastAsia="Arial" w:hAnsi="Arial"/>
          <w:sz w:val="18"/>
          <w:szCs w:val="18"/>
          <w:color w:val="auto"/>
        </w:rPr>
        <w:t>The weighted average health care cost trend rate at December 31, 2023 is assumed to decline gradually to 4.5% by 2033 and remain level thereafter.</w:t>
      </w:r>
    </w:p>
    <w:p>
      <w:pPr>
        <w:spacing w:after="0" w:line="14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December 31, 2023, our estimate of the long-term rate of return on plan assets was 8.0% based on the target asset allocation. Expected returns on long duration bonds are based on yields to maturity of the bonds held at year-end. Expected returns on other assets are based on a combination of long-term historical returns, actual returns on plan assets achieved over the last 10 years, current and expected market conditions, and expected value to be generated through active management and securities lending programs.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Minimum Contributions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are required to make minimum contributions to our defined benefit pension plans under the minimum funding requirements of the Employee Retirement Income Security Act of 1974 (ERISA) and various other laws for U.S. based plans as well as underfunding rules specific to countries where we maintain defined benefit pension plans. Based on current funding assumptions, we have minimum required contributions of $284 million for 2024 including contributions to defined benefit pension plans for our wholly-owned subsidiaries. Our future funding obligations will depend on the performance of our investments held in a trust by the pension plans, interest rates for determining funding targets, the amount of and timing of any supplemental contributions and our actuarial experience.</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Payments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(approximately,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2029-2033</w:t>
            </w: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benefits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w:t>
            </w:r>
          </w:p>
        </w:tc>
      </w:tr>
      <w:tr>
        <w:trPr>
          <w:trHeight w:val="239"/>
        </w:trPr>
        <w:tc>
          <w:tcPr>
            <w:tcW w:w="5280" w:type="dxa"/>
            <w:vAlign w:val="bottom"/>
          </w:tcPr>
          <w:p>
            <w:pPr>
              <w:ind w:left="20"/>
              <w:spacing w:after="0"/>
              <w:rPr>
                <w:sz w:val="20"/>
                <w:szCs w:val="20"/>
                <w:color w:val="auto"/>
              </w:rPr>
            </w:pPr>
            <w:r>
              <w:rPr>
                <w:rFonts w:ascii="Arial" w:cs="Arial" w:eastAsia="Arial" w:hAnsi="Arial"/>
                <w:sz w:val="18"/>
                <w:szCs w:val="18"/>
                <w:color w:val="auto"/>
              </w:rPr>
              <w:t>Retiree medical and other postretirement benefits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674</w:t>
            </w:r>
          </w:p>
        </w:tc>
      </w:tr>
    </w:tbl>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Plan Assets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objectives of our investment policies are to: maintain sufficient income and liquidity to pay retirement benefits; produce a long-term rate of return that meets or exceeds the assumed rate of return for plan assets; limit the volatility of asset performance and funded status; and diversify assets among asset classes and investment managers.</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Based on these investment objectives, a long-term strategic asset allocation has been established. This strategic allocation seeks to balance the potential benefit of improving the funded position with the potential risk that the funded position would decline. The current strategic target asset allocation with the corresponding allowed range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Asset Class/Sub-Class</w:t>
            </w:r>
          </w:p>
        </w:tc>
        <w:tc>
          <w:tcPr>
            <w:tcW w:w="2200" w:type="dxa"/>
            <w:vAlign w:val="bottom"/>
            <w:gridSpan w:val="2"/>
          </w:tcPr>
          <w:p>
            <w:pPr>
              <w:ind w:left="460"/>
              <w:spacing w:after="0"/>
              <w:rPr>
                <w:sz w:val="20"/>
                <w:szCs w:val="20"/>
                <w:color w:val="auto"/>
              </w:rPr>
            </w:pPr>
            <w:r>
              <w:rPr>
                <w:rFonts w:ascii="Arial" w:cs="Arial" w:eastAsia="Arial" w:hAnsi="Arial"/>
                <w:sz w:val="14"/>
                <w:szCs w:val="14"/>
                <w:b w:val="1"/>
                <w:bCs w:val="1"/>
                <w:color w:val="auto"/>
              </w:rPr>
              <w:t>Target Allocation</w:t>
            </w:r>
          </w:p>
        </w:tc>
        <w:tc>
          <w:tcPr>
            <w:tcW w:w="19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Allowed Range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- 85%</w:t>
            </w:r>
          </w:p>
        </w:tc>
      </w:tr>
      <w:tr>
        <w:trPr>
          <w:trHeight w:val="229"/>
        </w:trPr>
        <w:tc>
          <w:tcPr>
            <w:tcW w:w="20" w:type="dxa"/>
            <w:vAlign w:val="bottom"/>
          </w:tcPr>
          <w:p>
            <w:pPr>
              <w:spacing w:after="0"/>
              <w:rPr>
                <w:sz w:val="19"/>
                <w:szCs w:val="19"/>
                <w:color w:val="auto"/>
              </w:rPr>
            </w:pP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Public:</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Large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w:t>
            </w:r>
          </w:p>
        </w:tc>
      </w:tr>
      <w:tr>
        <w:trPr>
          <w:trHeight w:val="229"/>
        </w:trPr>
        <w:tc>
          <w:tcPr>
            <w:tcW w:w="20" w:type="dxa"/>
            <w:vAlign w:val="bottom"/>
          </w:tcPr>
          <w:p>
            <w:pPr>
              <w:spacing w:after="0"/>
              <w:rPr>
                <w:sz w:val="19"/>
                <w:szCs w:val="19"/>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U.S. Small/Mid</w:t>
            </w:r>
          </w:p>
        </w:tc>
        <w:tc>
          <w:tcPr>
            <w:tcW w:w="208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International Large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w:t>
            </w:r>
          </w:p>
        </w:tc>
      </w:tr>
      <w:tr>
        <w:trPr>
          <w:trHeight w:val="229"/>
        </w:trPr>
        <w:tc>
          <w:tcPr>
            <w:tcW w:w="20" w:type="dxa"/>
            <w:vAlign w:val="bottom"/>
          </w:tcPr>
          <w:p>
            <w:pPr>
              <w:spacing w:after="0"/>
              <w:rPr>
                <w:sz w:val="19"/>
                <w:szCs w:val="19"/>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International Small/Mid</w:t>
            </w:r>
          </w:p>
        </w:tc>
        <w:tc>
          <w:tcPr>
            <w:tcW w:w="208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Emerging Markets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w:t>
            </w:r>
          </w:p>
        </w:tc>
      </w:tr>
      <w:tr>
        <w:trPr>
          <w:trHeight w:val="229"/>
        </w:trPr>
        <w:tc>
          <w:tcPr>
            <w:tcW w:w="20" w:type="dxa"/>
            <w:vAlign w:val="bottom"/>
          </w:tcPr>
          <w:p>
            <w:pPr>
              <w:spacing w:after="0"/>
              <w:rPr>
                <w:sz w:val="19"/>
                <w:szCs w:val="19"/>
                <w:color w:val="auto"/>
              </w:rPr>
            </w:pP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Private Equity</w:t>
            </w:r>
          </w:p>
        </w:tc>
        <w:tc>
          <w:tcPr>
            <w:tcW w:w="208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jc w:val="right"/>
              <w:spacing w:after="0"/>
              <w:rPr>
                <w:sz w:val="20"/>
                <w:szCs w:val="20"/>
                <w:color w:val="auto"/>
              </w:rPr>
            </w:pPr>
            <w:r>
              <w:rPr>
                <w:rFonts w:ascii="Arial" w:cs="Arial" w:eastAsia="Arial" w:hAnsi="Arial"/>
                <w:sz w:val="18"/>
                <w:szCs w:val="18"/>
                <w:color w:val="auto"/>
              </w:rPr>
              <w:t>- 30%</w:t>
            </w:r>
          </w:p>
        </w:tc>
      </w:tr>
      <w:tr>
        <w:trPr>
          <w:trHeight w:val="256"/>
        </w:trPr>
        <w:tc>
          <w:tcPr>
            <w:tcW w:w="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554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2080" w:type="dxa"/>
            <w:vAlign w:val="bottom"/>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jc w:val="right"/>
              <w:spacing w:after="0"/>
              <w:rPr>
                <w:sz w:val="20"/>
                <w:szCs w:val="20"/>
                <w:color w:val="auto"/>
              </w:rPr>
            </w:pPr>
            <w:r>
              <w:rPr>
                <w:rFonts w:ascii="Arial" w:cs="Arial" w:eastAsia="Arial" w:hAnsi="Arial"/>
                <w:sz w:val="18"/>
                <w:szCs w:val="18"/>
                <w:color w:val="auto"/>
              </w:rPr>
              <w:t>- 70%</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Public U.S. Fixed Income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- 60%</w:t>
            </w:r>
          </w:p>
        </w:tc>
      </w:tr>
      <w:tr>
        <w:trPr>
          <w:trHeight w:val="229"/>
        </w:trPr>
        <w:tc>
          <w:tcPr>
            <w:tcW w:w="20" w:type="dxa"/>
            <w:vAlign w:val="bottom"/>
          </w:tcPr>
          <w:p>
            <w:pPr>
              <w:spacing w:after="0"/>
              <w:rPr>
                <w:sz w:val="19"/>
                <w:szCs w:val="19"/>
                <w:color w:val="auto"/>
              </w:rPr>
            </w:pP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Private Income</w:t>
            </w:r>
          </w:p>
        </w:tc>
        <w:tc>
          <w:tcPr>
            <w:tcW w:w="208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- 20%</w:t>
            </w:r>
          </w:p>
        </w:tc>
      </w:tr>
      <w:tr>
        <w:trPr>
          <w:trHeight w:val="256"/>
        </w:trPr>
        <w:tc>
          <w:tcPr>
            <w:tcW w:w="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554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0% - 5%</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w:t>
            </w:r>
          </w:p>
        </w:tc>
      </w:tr>
    </w:tbl>
    <w:p>
      <w:pPr>
        <w:spacing w:after="0" w:line="23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Public equity investments are intended to provide a real return over a full market cycle and, therefore, to contribute to the pension plan’s long-term objective. Public fixed income investments are intended to provide income to the plan and offer the potential for long term capital appreciation. Private investments, such as private equity and private income, are used to provide higher expected returns than public markets over the long-term by assuming reduced levels of liquidity and higher levels of risk. The pension plan’s master trust participates in securities lending programs to generate additional income by loaning plan assets to borrowers on a fully collateralized basis. The pension plan’s master trust will also engage in derivative instruments to equitize residual levels of cash as well as hedge the pension plan’s exposure to interest rates. Such programs are subject to market risk and counterparty risk.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Investments in securities traded on recognized securities exchanges are valued at the last reported sales price on the last business day of the year. Securities traded in the over-the-counter market are valued at the last bid price. Investments in limited partnerships are carried at estimated net asset value (NAV) as determined by and reported by the general partners of the partnerships and represent the proportionate share of the estimated fair value of the underlying assets of the limited partnerships. Mutual funds are valued once daily through a NAV calculation provided at the end of each trade day. Common/collective trusts are valued at NAV based on the fair values of the underlying investments of the trusts as determined by the sponsor of the trusts. No changes in valuation techniques or inputs occurred during the year.</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Plan Assets Measured at Fair Value on a Recurring Basis</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The fair value of our pension plan assets at December 31, 2023 and 2022, by asset category, were as follows (in millions)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224"/>
        </w:trPr>
        <w:tc>
          <w:tcPr>
            <w:tcW w:w="270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Equity </w:t>
            </w:r>
            <w:r>
              <w:rPr>
                <w:rFonts w:ascii="Arial" w:cs="Arial" w:eastAsia="Arial" w:hAnsi="Arial"/>
                <w:sz w:val="23"/>
                <w:szCs w:val="23"/>
                <w:color w:val="auto"/>
                <w:vertAlign w:val="superscript"/>
              </w:rPr>
              <w:t>(2)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w:t>
            </w:r>
          </w:p>
        </w:tc>
      </w:tr>
      <w:tr>
        <w:trPr>
          <w:trHeight w:val="229"/>
        </w:trPr>
        <w:tc>
          <w:tcPr>
            <w:tcW w:w="2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3,144</w:t>
            </w:r>
          </w:p>
        </w:tc>
      </w:tr>
      <w:tr>
        <w:trPr>
          <w:trHeight w:val="229"/>
        </w:trPr>
        <w:tc>
          <w:tcPr>
            <w:tcW w:w="2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net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29"/>
        </w:trPr>
        <w:tc>
          <w:tcPr>
            <w:tcW w:w="2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Measured at NAV </w:t>
            </w:r>
            <w:r>
              <w:rPr>
                <w:rFonts w:ascii="Arial" w:cs="Arial" w:eastAsia="Arial" w:hAnsi="Arial"/>
                <w:sz w:val="23"/>
                <w:szCs w:val="23"/>
                <w:color w:val="auto"/>
                <w:vertAlign w:val="superscript"/>
              </w:rPr>
              <w:t>(5)</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270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Common collective trusts </w:t>
            </w:r>
            <w:r>
              <w:rPr>
                <w:rFonts w:ascii="Arial" w:cs="Arial" w:eastAsia="Arial" w:hAnsi="Arial"/>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r>
      <w:tr>
        <w:trPr>
          <w:trHeight w:val="229"/>
        </w:trPr>
        <w:tc>
          <w:tcPr>
            <w:tcW w:w="270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Private investments </w:t>
            </w:r>
            <w:r>
              <w:rPr>
                <w:rFonts w:ascii="Arial" w:cs="Arial" w:eastAsia="Arial" w:hAnsi="Arial"/>
                <w:sz w:val="23"/>
                <w:szCs w:val="23"/>
                <w:color w:val="auto"/>
                <w:vertAlign w:val="superscript"/>
              </w:rPr>
              <w:t>(7)</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3,522</w:t>
            </w:r>
          </w:p>
        </w:tc>
      </w:tr>
      <w:tr>
        <w:trPr>
          <w:trHeight w:val="248"/>
        </w:trPr>
        <w:tc>
          <w:tcPr>
            <w:tcW w:w="270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plan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11,884</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73"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Arial" w:cs="Arial" w:eastAsia="Arial" w:hAnsi="Arial"/>
          <w:sz w:val="12"/>
          <w:szCs w:val="12"/>
          <w:color w:val="auto"/>
        </w:rPr>
        <w:t>(1)</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See Note 7 for a description of the levels within the fair value hierarchy.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Equity investments include domestic and international common stock, preferred stock and mutual funds invested in equity securities.</w:t>
      </w:r>
    </w:p>
    <w:p>
      <w:pPr>
        <w:spacing w:after="0" w:line="182" w:lineRule="exact"/>
        <w:rPr>
          <w:sz w:val="20"/>
          <w:szCs w:val="20"/>
          <w:color w:val="auto"/>
        </w:rPr>
      </w:pPr>
    </w:p>
    <w:p>
      <w:pPr>
        <w:sectPr>
          <w:pgSz w:w="11900" w:h="16838" w:orient="portrait"/>
          <w:cols w:equalWidth="0" w:num="2">
            <w:col w:w="160" w:space="160"/>
            <w:col w:w="10920"/>
          </w:cols>
          <w:pgMar w:left="320" w:top="121" w:right="339" w:bottom="1440" w:gutter="0" w:footer="0" w:header="0"/>
          <w:type w:val="continuous"/>
        </w:sectPr>
      </w:pPr>
    </w:p>
    <w:p>
      <w:pPr>
        <w:ind w:left="340" w:hanging="332"/>
        <w:spacing w:after="0" w:line="231" w:lineRule="auto"/>
        <w:tabs>
          <w:tab w:leader="none" w:pos="334"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Fixed income investments include corporate, government and U.S. municipal bonds, as well as mutual funds invested in fixed income securities.</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Other primarily includes a short-term investment fund, net receivables and payables of the master trust for dividends, interest and amounts due to or from the sale and purchase of securities and cash and cash equivalents.</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Includes investments that were measured at NAV per share (or its equivalent) as a practical expedient that have not been classified in the fair value hierarchy.</w:t>
      </w:r>
    </w:p>
    <w:p>
      <w:pPr>
        <w:spacing w:after="0" w:line="139"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Common collective trusts include commingled funds primarily invested in equity securities. For some trusts, requests for withdrawals must meet specific requirements with advance notice of redemption preferred.</w:t>
      </w:r>
    </w:p>
    <w:p>
      <w:pPr>
        <w:spacing w:after="0" w:line="139"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Private investments include limited partnerships that invest primarily in domestic private equity and private income opportunities. The pension plan’s master trust does not have the right to redeem its limited partnership investment at its NAV, but rather receives distributions as the underlying assets are liquidated. It is estimated that the underlying assets of these funds will be gradually liquidated over the next 10 years. As of December 31, 2023, the pension plan’s master trust has future funding commitments to these limited partnerships of approximately $1.3 billion, most of which are expected to be called over the next five years.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Changes in fair value measurements of Level 3 investments during the years ended December 31, 2023 and 2022, were as follows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24"/>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Actual gain (loss) on plan assets:</w:t>
            </w: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Relating to assets still held at the reporting date</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Transfers out</w:t>
            </w:r>
          </w:p>
        </w:tc>
        <w:tc>
          <w:tcPr>
            <w:tcW w:w="11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110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Plan assets in the retiree medical and other postretirement benefits plans are primarily Level 2 mutual funds valued by quoted prices on the active market, which is fair value, and represents the NAV of the shares of such funds as of the close of business at the end of the period. NAV is based on the fair market value of the funds’ underlying assets and liabilities at the date of determination.</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Defined Contribution and Multiemployer Plans</w:t>
      </w:r>
    </w:p>
    <w:p>
      <w:pPr>
        <w:spacing w:after="0" w:line="88"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The costs associated with our defined contribution plans were $1.1 billion, $949 million and $920 million for the years ended December 31, 2023, 2022 and 2021, respectively.</w:t>
      </w:r>
    </w:p>
    <w:p>
      <w:pPr>
        <w:spacing w:after="0" w:line="10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participate in the International Association of Machinists &amp; Aerospace Workers (IAM) National Pension Fund, Employer Identification No. 51-6031295 and Plan No. 002 (the IAM Pension Fund). Our contributions to the IAM Pension Fund were $52 million, $46 million and $43 million for the years ended December 31, 2023, 2022 and 2021, respectively. The IAM Pension Fund reported $533 million in employers’ contributions for the year ended December 31, 2022, which is the most recent year for which such information is available. For 2022, our contributions represented more than 5% of total contributions to the IAM Pension Fund.</w:t>
      </w:r>
    </w:p>
    <w:p>
      <w:pPr>
        <w:spacing w:after="0" w:line="12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March 29, 2019, the actuary for the IAM Pension Fund certified that the fund was in “endangered” status despite reporting a funded status of over 80%. Additionally, the IAM Pension Fund’s Board voluntarily elected to enter into “critical” status on April 17, 2019. Upon entry into critical status, the IAM Pension Fund was required by law to adopt a rehabilitation plan aimed at restoring the financial health of the pension plan and did so on April 17, 2019 (the Rehabilitation Plan). Under the Rehabilitation Plan, we were subject to an immaterial contribution surcharge, which ceased to apply June 14, 2019 upon our mandatory adoption of a contribution schedule under the Rehabilitation Plan. The contribution schedule requires 2.5% annual increases to our contribution rate. This contribution schedule will remain in effect through the earlier of December 31, 2031 or the date the IAM Pension Fund emerges from critical status.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Profit Sharing Program</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We accrue a percentage of our pre-tax income excluding net special items for our profit sharing program. For the year ended December 31, 2023, we accrued $261 million for this program, which will be distributed to employees in the first quarter of 2024.</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AOCI are as follows (in millions):</w:t>
      </w:r>
    </w:p>
    <w:p>
      <w:pPr>
        <w:spacing w:after="0" w:line="141" w:lineRule="exact"/>
        <w:rPr>
          <w:sz w:val="20"/>
          <w:szCs w:val="20"/>
          <w:color w:val="auto"/>
        </w:rPr>
      </w:pPr>
    </w:p>
    <w:p>
      <w:pPr>
        <w:jc w:val="center"/>
        <w:ind w:left="1400"/>
        <w:spacing w:after="0"/>
        <w:rPr>
          <w:sz w:val="20"/>
          <w:szCs w:val="20"/>
          <w:color w:val="auto"/>
        </w:rPr>
      </w:pPr>
      <w:r>
        <w:rPr>
          <w:rFonts w:ascii="Arial" w:cs="Arial" w:eastAsia="Arial" w:hAnsi="Arial"/>
          <w:sz w:val="14"/>
          <w:szCs w:val="14"/>
          <w:b w:val="1"/>
          <w:bCs w:val="1"/>
          <w:color w:val="auto"/>
        </w:rPr>
        <w:t>Pension,</w:t>
      </w:r>
    </w:p>
    <w:p>
      <w:pPr>
        <w:jc w:val="center"/>
        <w:ind w:left="1400"/>
        <w:spacing w:after="0" w:line="221" w:lineRule="auto"/>
        <w:rPr>
          <w:sz w:val="20"/>
          <w:szCs w:val="20"/>
          <w:color w:val="auto"/>
        </w:rPr>
      </w:pPr>
      <w:r>
        <w:rPr>
          <w:rFonts w:ascii="Arial" w:cs="Arial" w:eastAsia="Arial" w:hAnsi="Arial"/>
          <w:sz w:val="14"/>
          <w:szCs w:val="14"/>
          <w:b w:val="1"/>
          <w:bCs w:val="1"/>
          <w:color w:val="auto"/>
        </w:rPr>
        <w:t>Retiree</w:t>
      </w:r>
    </w:p>
    <w:tbl>
      <w:tblPr>
        <w:tblLayout w:type="fixed"/>
        <w:tblInd w:w="0" w:type="dxa"/>
        <w:tblCellMar>
          <w:top w:w="0" w:type="dxa"/>
          <w:left w:w="0" w:type="dxa"/>
          <w:bottom w:w="0" w:type="dxa"/>
          <w:right w:w="0" w:type="dxa"/>
        </w:tblCellMar>
      </w:tblPr>
      <w:tr>
        <w:trPr>
          <w:trHeight w:val="134"/>
        </w:trPr>
        <w:tc>
          <w:tcPr>
            <w:tcW w:w="20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Medical and</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1"/>
                <w:szCs w:val="11"/>
                <w:color w:val="auto"/>
              </w:rPr>
            </w:pPr>
          </w:p>
        </w:tc>
        <w:tc>
          <w:tcPr>
            <w:tcW w:w="114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rPr>
              <w:t>Other</w:t>
            </w:r>
          </w:p>
        </w:tc>
        <w:tc>
          <w:tcPr>
            <w:tcW w:w="14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7" w:lineRule="exact"/>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rPr>
              <w:t>(Loss) on</w:t>
            </w:r>
          </w:p>
        </w:tc>
        <w:tc>
          <w:tcPr>
            <w:tcW w:w="160" w:type="dxa"/>
            <w:vAlign w:val="bottom"/>
          </w:tcPr>
          <w:p>
            <w:pPr>
              <w:spacing w:after="0"/>
              <w:rPr>
                <w:sz w:val="11"/>
                <w:szCs w:val="11"/>
                <w:color w:val="auto"/>
              </w:rPr>
            </w:pPr>
          </w:p>
        </w:tc>
        <w:tc>
          <w:tcPr>
            <w:tcW w:w="1140" w:type="dxa"/>
            <w:vAlign w:val="bottom"/>
          </w:tcPr>
          <w:p>
            <w:pPr>
              <w:jc w:val="center"/>
              <w:ind w:right="95"/>
              <w:spacing w:after="0" w:line="137"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0"/>
        </w:trPr>
        <w:tc>
          <w:tcPr>
            <w:tcW w:w="20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7"/>
                <w:szCs w:val="17"/>
                <w:color w:val="auto"/>
              </w:rPr>
            </w:pPr>
          </w:p>
        </w:tc>
        <w:tc>
          <w:tcPr>
            <w:tcW w:w="1140" w:type="dxa"/>
            <w:vAlign w:val="bottom"/>
          </w:tcPr>
          <w:p>
            <w:pPr>
              <w:jc w:val="center"/>
              <w:ind w:right="75"/>
              <w:spacing w:after="0" w:line="201" w:lineRule="exact"/>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8"/>
                <w:szCs w:val="18"/>
                <w:b w:val="1"/>
                <w:bCs w:val="1"/>
                <w:color w:val="auto"/>
                <w:w w:val="98"/>
                <w:vertAlign w:val="superscript"/>
              </w:rPr>
              <w:t>(1)</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3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0" w:type="dxa"/>
            <w:vAlign w:val="bottom"/>
          </w:tcPr>
          <w:p>
            <w:pPr>
              <w:spacing w:after="0"/>
              <w:rPr>
                <w:sz w:val="1"/>
                <w:szCs w:val="1"/>
                <w:color w:val="auto"/>
              </w:rPr>
            </w:pPr>
          </w:p>
        </w:tc>
      </w:tr>
      <w:tr>
        <w:trPr>
          <w:trHeight w:val="229"/>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29"/>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w w:val="95"/>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3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2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29"/>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9"/>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w w:val="95"/>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(loss) until the obligations are fully extinguished.</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(benefit) on our consolidated statements of operations.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for the years ended December 31, 2023 and 2022 are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7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Amounts reclassified from AOCI</w:t>
            </w:r>
          </w:p>
        </w:tc>
        <w:tc>
          <w:tcPr>
            <w:tcW w:w="1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Affected line items on the</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AOCI Components</w:t>
            </w:r>
          </w:p>
        </w:tc>
        <w:tc>
          <w:tcPr>
            <w:tcW w:w="94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4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consolidated statements of operations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34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Amortization of pension, retiree medical and other</w:t>
            </w:r>
          </w:p>
        </w:tc>
        <w:tc>
          <w:tcPr>
            <w:tcW w:w="9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postretirement benefits:</w:t>
            </w:r>
          </w:p>
        </w:tc>
        <w:tc>
          <w:tcPr>
            <w:tcW w:w="9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Prior service cost</w:t>
            </w:r>
          </w:p>
        </w:tc>
        <w:tc>
          <w:tcPr>
            <w:tcW w:w="940" w:type="dxa"/>
            <w:vAlign w:val="bottom"/>
          </w:tcPr>
          <w:p>
            <w:pPr>
              <w:jc w:val="right"/>
              <w:ind w:right="74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Nonoperating other income (expense), net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Actuarial loss</w:t>
            </w:r>
          </w:p>
        </w:tc>
        <w:tc>
          <w:tcPr>
            <w:tcW w:w="9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other income (expense), net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 net of tax</w:t>
            </w:r>
          </w:p>
        </w:tc>
        <w:tc>
          <w:tcPr>
            <w:tcW w:w="940" w:type="dxa"/>
            <w:vAlign w:val="bottom"/>
            <w:tcBorders>
              <w:bottom w:val="single" w:sz="8" w:color="auto"/>
            </w:tcBorders>
          </w:tcPr>
          <w:p>
            <w:pPr>
              <w:jc w:val="right"/>
              <w:ind w:right="74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Contingencies and Guarantees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Aircraft, Engine and Other Purchase Commitments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Under all of our aircraft and engine purchase agreements, our total future commitments as of December 31, 2023 are expected to be as follows (approximately,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8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2029 and</w:t>
            </w:r>
          </w:p>
        </w:tc>
        <w:tc>
          <w:tcPr>
            <w:tcW w:w="9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Thereafter</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340" w:type="dxa"/>
            <w:vAlign w:val="bottom"/>
            <w:tcBorders>
              <w:top w:val="single" w:sz="8" w:color="CCEEFF"/>
            </w:tcBorders>
            <w:shd w:val="clear" w:color="auto" w:fill="CCEEFF"/>
          </w:tcPr>
          <w:p>
            <w:pPr>
              <w:jc w:val="right"/>
              <w:ind w:right="2210"/>
              <w:spacing w:after="0" w:line="156" w:lineRule="exact"/>
              <w:rPr>
                <w:sz w:val="20"/>
                <w:szCs w:val="20"/>
                <w:color w:val="auto"/>
              </w:rPr>
            </w:pPr>
            <w:r>
              <w:rPr>
                <w:rFonts w:ascii="Arial" w:cs="Arial" w:eastAsia="Arial" w:hAnsi="Arial"/>
                <w:sz w:val="18"/>
                <w:szCs w:val="18"/>
                <w:color w:val="auto"/>
              </w:rPr>
              <w:t>Payments for aircraft and</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2,410</w:t>
            </w: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3,725</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12,307</w:t>
            </w: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jc w:val="right"/>
              <w:ind w:right="2210"/>
              <w:spacing w:after="0" w:line="243" w:lineRule="exact"/>
              <w:rPr>
                <w:sz w:val="20"/>
                <w:szCs w:val="20"/>
                <w:color w:val="auto"/>
              </w:rPr>
            </w:pPr>
            <w:r>
              <w:rPr>
                <w:rFonts w:ascii="Arial" w:cs="Arial" w:eastAsia="Arial" w:hAnsi="Arial"/>
                <w:sz w:val="18"/>
                <w:szCs w:val="18"/>
                <w:color w:val="auto"/>
              </w:rPr>
              <w:t xml:space="preserve">engine commitments </w:t>
            </w:r>
            <w:r>
              <w:rPr>
                <w:rFonts w:ascii="Arial" w:cs="Arial" w:eastAsia="Arial" w:hAnsi="Arial"/>
                <w:sz w:val="23"/>
                <w:szCs w:val="23"/>
                <w:color w:val="auto"/>
                <w:vertAlign w:val="superscript"/>
              </w:rPr>
              <w:t>(1)</w:t>
            </w: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100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31" w:lineRule="exact"/>
        <w:rPr>
          <w:sz w:val="20"/>
          <w:szCs w:val="20"/>
          <w:color w:val="auto"/>
        </w:rPr>
      </w:pPr>
    </w:p>
    <w:p>
      <w:pPr>
        <w:ind w:left="340" w:right="20" w:hanging="332"/>
        <w:spacing w:after="0" w:line="231" w:lineRule="auto"/>
        <w:tabs>
          <w:tab w:leader="none" w:pos="334" w:val="left"/>
        </w:tabs>
        <w:numPr>
          <w:ilvl w:val="0"/>
          <w:numId w:val="58"/>
        </w:numPr>
        <w:rPr>
          <w:rFonts w:ascii="Arial" w:cs="Arial" w:eastAsia="Arial" w:hAnsi="Arial"/>
          <w:sz w:val="23"/>
          <w:szCs w:val="23"/>
          <w:color w:val="auto"/>
          <w:vertAlign w:val="superscript"/>
        </w:rPr>
      </w:pPr>
      <w:r>
        <w:rPr>
          <w:rFonts w:ascii="Arial" w:cs="Arial" w:eastAsia="Arial" w:hAnsi="Arial"/>
          <w:sz w:val="18"/>
          <w:szCs w:val="18"/>
          <w:color w:val="auto"/>
        </w:rPr>
        <w:t>These amounts are net of purchase deposits currently held by the manufacturers. Our purchase deposits held by all manufacturers totaled $760 million and $613 million as of December 31, 2023 and 2022, respectively.</w:t>
      </w:r>
    </w:p>
    <w:p>
      <w:pPr>
        <w:spacing w:after="0" w:line="139" w:lineRule="exact"/>
        <w:rPr>
          <w:rFonts w:ascii="Arial" w:cs="Arial" w:eastAsia="Arial" w:hAnsi="Arial"/>
          <w:sz w:val="23"/>
          <w:szCs w:val="23"/>
          <w:color w:val="auto"/>
          <w:vertAlign w:val="superscript"/>
        </w:rPr>
      </w:pPr>
    </w:p>
    <w:p>
      <w:pPr>
        <w:jc w:val="both"/>
        <w:ind w:left="340"/>
        <w:spacing w:after="0" w:line="262" w:lineRule="auto"/>
        <w:rPr>
          <w:rFonts w:ascii="Arial" w:cs="Arial" w:eastAsia="Arial" w:hAnsi="Arial"/>
          <w:sz w:val="23"/>
          <w:szCs w:val="23"/>
          <w:color w:val="auto"/>
          <w:vertAlign w:val="superscript"/>
        </w:rPr>
      </w:pPr>
      <w:r>
        <w:rPr>
          <w:rFonts w:ascii="Arial" w:cs="Arial" w:eastAsia="Arial" w:hAnsi="Arial"/>
          <w:sz w:val="18"/>
          <w:szCs w:val="18"/>
          <w:color w:val="auto"/>
        </w:rPr>
        <w:t>Due to uncertainty surrounding the timing of delivery of certain aircraft, the amounts in the table represent our most current estimate based on contractual delivery schedules adjusted for updates and revisions to such schedules communicated to management by the applicable equipment manufacturer. However, the actual delivery schedule may differ, potentially materially, based on various potential factors including production delays by the manufacturer and regulatory concerns.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0"/>
        <w:spacing w:after="0" w:line="286" w:lineRule="auto"/>
        <w:rPr>
          <w:sz w:val="20"/>
          <w:szCs w:val="20"/>
          <w:color w:val="auto"/>
        </w:rPr>
      </w:pPr>
      <w:r>
        <w:rPr>
          <w:rFonts w:ascii="Arial" w:cs="Arial" w:eastAsia="Arial" w:hAnsi="Arial"/>
          <w:sz w:val="18"/>
          <w:szCs w:val="18"/>
          <w:color w:val="auto"/>
        </w:rPr>
        <w:t>Additionally, the amounts in the table exclude five Boeing 787 Family aircraft scheduled to be delivered in 2024, for which we have obtained committed lease financing. See Note 5 for information regarding this operating lease commitment.</w:t>
      </w:r>
    </w:p>
    <w:p>
      <w:pPr>
        <w:spacing w:after="0" w:line="10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Additionally, we have other purchase commitments primarily related to aircraft fuel, flight equipment maintenance and information technology support as follows (approximately): $4.7 billion in 2024, $2.0 billion in 2025, $1.4 billion in 2026, $150 million in 2027, $124 million in 2028 and $843 million in 2029 and thereafter. These amounts exclude obligations under certain fuel offtake agreements or other agreements for which the timing of the related expenditure is uncertain, or which are subject to material contingencies, such as the construction of a production facility.</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 Capacity Purchase Agreements with Third-Party Regional Carriers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has capacity purchase agreements with third-party regional carriers. The capacity purchase agreements provide that all revenues, including passenger, in-flight, ancillary, mail and freight revenues, go to American. American controls marketing, scheduling, ticketing, pricing and seat inventories. In return, American agrees to pay predetermined fees to these airlines for operating an agreed-upon number of aircraft, without regard to the number of passengers on board. In addition, these agreements provide that American either reimburses or pays 100% of certain variable costs, such as airport landing fees, fuel and passenger liability insurance.</w:t>
      </w:r>
    </w:p>
    <w:p>
      <w:pPr>
        <w:spacing w:after="0" w:line="124"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As of December 31, 2023, American’s capacity purchase agreements with third-party regional carriers had expiration dates ranging from 2024 to 2032, with rights of American to extend the respective terms of certain agreements.</w:t>
      </w:r>
    </w:p>
    <w:p>
      <w:pPr>
        <w:spacing w:after="0" w:line="10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As of December 31, 2023, American’s minimum obligations under its capacity purchase agreements with third-party regional carriers are expected to be as follows (approximately,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2029 and</w:t>
            </w:r>
          </w:p>
        </w:tc>
        <w:tc>
          <w:tcPr>
            <w:tcW w:w="8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Thereafter</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4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Minimum obligations under capacity purchase</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2,038</w:t>
            </w: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1,992</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1,332</w:t>
            </w: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9,230</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agreements with third-party regional carriers </w:t>
            </w:r>
            <w:r>
              <w:rPr>
                <w:rFonts w:ascii="Arial" w:cs="Arial" w:eastAsia="Arial" w:hAnsi="Arial"/>
                <w:sz w:val="23"/>
                <w:szCs w:val="23"/>
                <w:color w:val="auto"/>
                <w:vertAlign w:val="superscript"/>
              </w:rPr>
              <w:t>(1)</w:t>
            </w: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100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tabs>
          <w:tab w:leader="none" w:pos="334" w:val="left"/>
        </w:tabs>
        <w:numPr>
          <w:ilvl w:val="0"/>
          <w:numId w:val="59"/>
        </w:numPr>
        <w:rPr>
          <w:rFonts w:ascii="Arial" w:cs="Arial" w:eastAsia="Arial" w:hAnsi="Arial"/>
          <w:sz w:val="23"/>
          <w:szCs w:val="23"/>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American’s actual payments could differ materially. Rental payments under operating leases for certain aircraft flown under these capacity purchase agreements are reflected in the operating lease commitments in Note 5.</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 Airport Redevelopment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Los Angeles International Airport (LAX)</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From time to time, airports engage in construction projects, often substantial, that result in new or improved facilities that are ultimately funded through increases in the rent and other occupancy costs payable by airlines operating at the airport. Unlike this construction and funding model, we are managing a project at LAX where we have legal title to the assets during construction. In 2018, we executed a lease agreement with Los Angeles World Airports (LAWA), which owns and operates LAX, in connection with a $1.6 billion modernization project related to LAX Terminals 4 and 5. Construction, which started in October 2018 and is expected to be completed in 2028, will occur in a phased approach. The modernization project will include a unified departure hall to the entranceway of Terminals 4 and 5, reconfigured ticket counter and check-in areas with seamless access to security screening areas, 10 new security screening lanes with automated technology in addition to the existing Terminal 5 lanes, and a new Terminal 4 South concourse with more open and upgraded amenities at gate areas. The project will also include renovated break rooms, multi-use meeting rooms and team gathering spaces throughout the terminals to support our team members at LAX.</w:t>
      </w:r>
    </w:p>
    <w:p>
      <w:pPr>
        <w:spacing w:after="0" w:line="1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each phase is completed and ready for use, the assets will be sold and transferred to LAWA, including the site improvements and other non-proprietary improvements. As we control the assets during construction, they are recognized on our consolidated balance sheets within operating property and equipment until the assets are sold and transferred to LAWA. As of December 31, 2023, we have incurred $862 million in costs relating to the LAX modernization project, of which $283 million were incurred in 2023. Cash paid for non-proprietary improvements are included within other investing activities on our consolidated statements of cash flows. In addition, as of December 31, 2023, we have sold and transferred $346 million of non-proprietary improvements to LAWA, of which $170 million occurred during 2023. For non-proprietary improvements which are not yet ready for use, any cash payments received from LAWA will be reflected as a financial liability included within noncurrent other liabilities on our consolidated balance sheets and reflected as other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financing activities on our consolidated statements of cash flows. As of December 31, 2023, $53 million of cash proceeds received for non-proprietary improvements were not yet ready for use, and therefore have not been sold and transferred back to LAWA.</w:t>
      </w:r>
    </w:p>
    <w:p>
      <w:pPr>
        <w:spacing w:after="0" w:line="183" w:lineRule="exact"/>
        <w:rPr>
          <w:sz w:val="20"/>
          <w:szCs w:val="20"/>
          <w:color w:val="auto"/>
        </w:rPr>
      </w:pPr>
    </w:p>
    <w:p>
      <w:pPr>
        <w:ind w:left="260" w:right="7900" w:hanging="9"/>
        <w:spacing w:after="0" w:line="342" w:lineRule="auto"/>
        <w:tabs>
          <w:tab w:leader="none" w:pos="539"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i w:val="1"/>
          <w:iCs w:val="1"/>
          <w:u w:val="single" w:color="auto"/>
          <w:color w:val="auto"/>
        </w:rPr>
        <w:t>Pass-Through Trusts</w:t>
      </w:r>
    </w:p>
    <w:p>
      <w:pPr>
        <w:spacing w:after="0" w:line="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 currently has 308 owned aircraft and 60 owned spare aircraft engines, which in each case were financed with EETCs issued by pass-through trusts. These trusts are off-balance sheet entities, the primary purpose of which is to finance the acquisition of flight equipment or to permit issuance of debt backed by existing flight equipment. In the case of aircraft EETCs,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Similarly, in the case of the spare engine EETCs, the trusts allow American to use its existing pool of spare engines to raise financing under a single facility. The trusts have also been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2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Each trust covers a set number of aircraft or spare engines scheduled to be delivered, financed or refinanced upon the issuance of the EETC or within a specific period of time thereafter. At the time of each covered aircraft or spare engine financing, the relevant trust used the proceeds from the issuance of the EETC (which may have been available at the time of issuance thereof or held in escrow until financing of the applicable aircraft following its delivery) to purchase equipment notes relating to the financed aircraft or engines. The equipment notes are issued, at American’s election, in connection with a mortgage financing of the aircraft or spare engines. The equipment notes are secured by a security interest in the aircraft or engines, as applicable. The pass-through trust certificates are not direct obligations of, nor are they guaranteed by, AAG or American. However, the equipment notes issued to the trusts are direct obligations of American and, in certain instances, have been guaranteed by AAG. As of December 31, 2023, $7.7 billion associated with these mortgage financings is reflected as debt in the accompanying consolidated balance sheet.</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Letters of Credit and Other</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provide financial assurance, such as letters of credit and surety bonds, primarily to support projected workers’ compensation obligations and airport commitments. As of December 31, 2023, we had $318 million of letters of credit and surety bonds securing various obligations, of which $94 million is collateralized with our restricted cash. The letters of credit and surety bonds that are subject to expiration will expire on various dates through 2028.</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Legal Proceedings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joined</w:t>
      </w:r>
      <w:r>
        <w:rPr>
          <w:rFonts w:ascii="Arial" w:cs="Arial" w:eastAsia="Arial" w:hAnsi="Arial"/>
          <w:sz w:val="18"/>
          <w:szCs w:val="18"/>
          <w:i w:val="1"/>
          <w:iCs w:val="1"/>
          <w:color w:val="auto"/>
        </w:rPr>
        <w:t xml:space="preserve"> </w:t>
      </w:r>
      <w:r>
        <w:rPr>
          <w:rFonts w:ascii="Arial" w:cs="Arial" w:eastAsia="Arial" w:hAnsi="Arial"/>
          <w:sz w:val="18"/>
          <w:szCs w:val="18"/>
          <w:color w:val="auto"/>
        </w:rPr>
        <w:t>by Attorneys General from six states and the District of Columbia, filed an antitrust complaint against American and JetBlue Airways Corporation (JetBlue) in the U.S. District Court for the District of Massachusetts alleging that American and JetBlue violated U.S. antitrust law in connection with the previously disclosed Northeast Alliance arrangement (NEA).</w:t>
      </w:r>
    </w:p>
    <w:p>
      <w:pPr>
        <w:spacing w:after="0" w:line="12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May 19, 2023, the U.S. District Court for the District of Massachusetts issued an order permanently enjoining American and JetBlue from continuing and further implementing the NEA. In June 2023, JetBlue delivered a notice of termination of the NEA, effective July 29, 2023, and the carriers have commenced wind-down activities to accommodate mutual customers. Following written submissions by the parties and a hearing on July 26, 2023, the U.S. District Court for the District of Massachusetts entered a Final Judgment and Order Entering Permanent Injunction on July 28, 2023. The parties are complying with the terms of the Final Judgment and Order Entering Permanent Injunction, including winding down activities related to the NEA. American filed a notice of appeal to the U.S. Court of Appeals for the First Circuit on September 25, 2023, and American’s opening brief was filed on December 6, 2023.</w:t>
      </w:r>
    </w:p>
    <w:p>
      <w:pPr>
        <w:spacing w:after="0" w:line="12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Private Party Antitrust Actions Related to the Northeast Alliance. </w:t>
      </w:r>
      <w:r>
        <w:rPr>
          <w:rFonts w:ascii="Arial" w:cs="Arial" w:eastAsia="Arial" w:hAnsi="Arial"/>
          <w:sz w:val="18"/>
          <w:szCs w:val="18"/>
          <w:color w:val="auto"/>
        </w:rPr>
        <w:t>On December 5, 2022 and December 7, 2022, two private party plaintiffs</w:t>
      </w:r>
      <w:r>
        <w:rPr>
          <w:rFonts w:ascii="Arial" w:cs="Arial" w:eastAsia="Arial" w:hAnsi="Arial"/>
          <w:sz w:val="18"/>
          <w:szCs w:val="18"/>
          <w:i w:val="1"/>
          <w:iCs w:val="1"/>
          <w:color w:val="auto"/>
        </w:rPr>
        <w:t xml:space="preserve"> </w:t>
      </w:r>
      <w:r>
        <w:rPr>
          <w:rFonts w:ascii="Arial" w:cs="Arial" w:eastAsia="Arial" w:hAnsi="Arial"/>
          <w:sz w:val="18"/>
          <w:szCs w:val="18"/>
          <w:color w:val="auto"/>
        </w:rPr>
        <w:t>filed putative class action antitrust complaints against American and JetBlue in the U.S. District Court for the Eastern District of New York alleging that American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American and JetBlue in the U.S. District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Court for the District of Massachusetts and the U.S. District Court for the Eastern District of New York, respectively. In March 2023, American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American, together with JetBlue, filed a motion to dismiss the third amended complaint, and that motion remains pending. We believe these lawsuits are without merit and are defending against them vigorously.</w:t>
      </w:r>
    </w:p>
    <w:p>
      <w:pPr>
        <w:spacing w:after="0" w:line="1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 Guarantees and Indemnifications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We are party to many routine contracts in which we provide general indemnities in the normal course of business to third parties for various risks. We are not able to estimate the potential amount of any liability resulting from the indemnities. These indemnities are discussed in the following paragraphs.</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our aircraft financing agreements, we generally indemnify the financing parties, trustees acting on their behalf and other relevant parties against liabilities (including certain taxes) resulting from the financing, manufacture, design, ownership, operation and maintenance of the aircraft regardless of whether these liabilities (including certain taxes) relate to the negligence of the indemnified parties.</w:t>
      </w:r>
    </w:p>
    <w:p>
      <w:pPr>
        <w:spacing w:after="0" w:line="11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loan agreements and certain other financing transactions may obligate us to reimburse the applicable lender for incremental costs due to a change in law that imposes (i) any reserve or special deposit requirement against assets of, deposits with or credit extended by such lender related to the loan, (ii) any tax, duty or other charge with respect to the loan (except standard income tax) or (iii) capital adequacy requirements. In addition, our loan agreements and other financing arrangements typically contain a withholding tax provision that requires us to pay additional amounts to the applicable lender or other financing party, generally if withholding taxes are imposed on such lender or other financing party as a result of a change in the applicable tax law.</w:t>
      </w:r>
    </w:p>
    <w:p>
      <w:pPr>
        <w:spacing w:after="0" w:line="12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certain transactions, including certain aircraft financing leases and loans, the lessors, lenders and/or other parties have rights to terminate the transaction based on changes in foreign tax law, illegality or certain other events or circumstances. In such a case, we may be required to make a lump sum payment to terminate the relevant transaction.</w:t>
      </w:r>
    </w:p>
    <w:p>
      <w:pPr>
        <w:spacing w:after="0" w:line="11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We have general indemnity clauses in many of our airport and other real estate leases where we as lessee indemnify the lessor (and related parties) against liabilities related to our use of the leased property. Generally, these indemnifications cover liabilities resulting from the negligence of the indemnified parties, but not liabilities resulting from the gross negligence or willful misconduct of the indemnified parties. In addition, we provide environmental indemnities in many of these leases for contamination related to our use of the leased property.</w:t>
      </w:r>
    </w:p>
    <w:p>
      <w:pPr>
        <w:spacing w:after="0" w:line="12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Under certain contracts with third parties, we indemnify the third-party against legal liability arising out of an action by the third-party, or certain other parties. The terms of these contracts vary and the potential exposure under these indemnities cannot be determined. We have liability insurance protecting us from some of the obligations we have undertaken under these indemnities.</w:t>
      </w:r>
    </w:p>
    <w:p>
      <w:pPr>
        <w:spacing w:after="0" w:line="11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is required to make principal and interest payments for certain special facility revenue bonds issued by municipalities primarily to build or improve airport facilities and purchase equipment, which are leased to American. The payment of principal and interest of certain special facility revenue bonds is guaranteed by AAG. As of December 31, 2023, the remaining lease payments through 2035 guaranteeing the principal and interest on these bonds are $520 million and the current carrying amount of the associated operating lease liability in the accompanying consolidated balance sheet is $321 million.</w:t>
      </w:r>
    </w:p>
    <w:p>
      <w:pPr>
        <w:spacing w:after="0" w:line="1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December 31, 2023, AAG had issued guarantees covering approximately $17.5 billion of American’s secured debt (and interest thereon), including the Credit Facilities, 2023 Term Loan Facility, the AAdvantage Financing, certain EETC financings and special facility revenue bonds.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 Credit Card Processing Agreements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Our agreements allow these credit card processing companies, under certain conditions, to hold an amount of our cash (referred to as a holdback) equal to all or a portion of advance ticket sales that have been processed by that company, but for which we have not yet provided the air transportation. These holdback requirements can be implemented at the discretion of the credit card processing companies upon the occurrence of specific events, including material adverse changes in our financial condition or the triggering of a liquidity covenant. These credit card processing companies are not currently entitled to maintain any holdbacks. The imposition of holdback requirements would reduce our liquidity.</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 Labor Contracts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May 2023, American and the Allied Pilots Association, the union representing our mainline pilots, reached an agreement in principle on a new collective bargaining agreement (CBA), which was ratified in August 2023. This four-year agreement provides wage rate increases, including an initial wage rate increase of 21% effective as of January 1, 2023, quality-of-life benefits and other benefit-related items. The additional compensation for the 2023 period prior to contract ratification as a result of the higher wage rates was recorded within salaries, wages and benefits in the consolidated statements of operations in the second and third quarters of 2023. The agreement also included a provision for a one-time payment upon ratification. In 2023, one-time charges resulting from the ratification of this new agreement were recorded as mainline operating special items, net in the consolidated statement of operations, including the one-time payment of $754 million as well as adjustments to other benefit-related items of $235 million. The one-time payment and the additional compensation were principally paid in 2023, with remaining payments expected to be paid in the first quarter of 2024.</w:t>
      </w:r>
    </w:p>
    <w:p>
      <w:pPr>
        <w:spacing w:after="0" w:line="1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December 31, 2023, we employed approximately 132,100 active full-time equivalent (FTE) employees, of which 28,900 were employed by our wholly-owned regional subsidiaries. Of the total active FTE employees, 87% are covered by CBAs with various labor unions and 34% are covered by CBAs that are currently amendable or that will become amendable within one year. In January 2024, mainline passenger service employees represented by the CWA-IBT ratified a new five-year agreement. The CBA covering our flight attendants is now amendable. The CBAs covering certain employee groups at our wholly-owned regional subsidiaries are also amendable.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Supplemental Cash Flow Information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disclosure of cash flow information and non-cash investing and financing activities are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ROU assets acquired through operating leases</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1,180</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1,386</w:t>
            </w: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acquired through debt, finance leases and other</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Finance leases converted to operating leases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 converted to finance leases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Settlement of bankruptcy obligations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investments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paid, net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r>
      <w:tr>
        <w:trPr>
          <w:trHeight w:val="239"/>
        </w:trPr>
        <w:tc>
          <w:tcPr>
            <w:tcW w:w="6460" w:type="dxa"/>
            <w:vAlign w:val="bottom"/>
          </w:tcPr>
          <w:p>
            <w:pPr>
              <w:ind w:left="220"/>
              <w:spacing w:after="0"/>
              <w:rPr>
                <w:sz w:val="20"/>
                <w:szCs w:val="20"/>
                <w:color w:val="auto"/>
              </w:rPr>
            </w:pPr>
            <w:r>
              <w:rPr>
                <w:rFonts w:ascii="Arial" w:cs="Arial" w:eastAsia="Arial" w:hAnsi="Arial"/>
                <w:sz w:val="18"/>
                <w:szCs w:val="18"/>
                <w:color w:val="auto"/>
              </w:rPr>
              <w:t>Income taxes paid</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723"/>
        </w:trPr>
        <w:tc>
          <w:tcPr>
            <w:tcW w:w="6460" w:type="dxa"/>
            <w:vAlign w:val="bottom"/>
          </w:tcPr>
          <w:p>
            <w:pPr>
              <w:ind w:left="5480"/>
              <w:spacing w:after="0"/>
              <w:rPr>
                <w:sz w:val="20"/>
                <w:szCs w:val="20"/>
                <w:color w:val="auto"/>
              </w:rPr>
            </w:pPr>
            <w:r>
              <w:rPr>
                <w:rFonts w:ascii="Arial" w:cs="Arial" w:eastAsia="Arial" w:hAnsi="Arial"/>
                <w:sz w:val="18"/>
                <w:szCs w:val="18"/>
                <w:color w:val="auto"/>
              </w:rPr>
              <w:t>123</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1"/>
        </w:trPr>
        <w:tc>
          <w:tcPr>
            <w:tcW w:w="64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Operating Segments and Related Disclosures</w:t>
      </w:r>
    </w:p>
    <w:p>
      <w:pPr>
        <w:spacing w:after="0" w:line="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are managed as a single business unit that provides air transportation for passengers and cargo. This allows us to benefit from an integrated revenue pricing and route network that includes American and our wholly-owned and third-party regional carriers that fly under capacity purchase agreements operating as American Eagle. The flight equipment of all these carriers is combined to form one fleet that is deployed through a single route scheduling system. Financial information and annual operational plans and forecasts are prepared and reviewed by the chief operating decision maker at the consolidated level. When making operational decisions, the chief operating decision maker evaluates flight profitability data, which considers aircraft type and route economics, but is indifferent to the results of the individual regional carriers. The objective in making operational decisions is to maximize consolidated financial results, not the individual results of American or American Eagle.</w:t>
      </w:r>
    </w:p>
    <w:p>
      <w:pPr>
        <w:spacing w:after="0" w:line="12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See Note 1(m) for our passenger revenue by geographic region. Our tangible assets consist primarily of flight equipment, which are mobile across geographic markets and, therefore, have not been allocated.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May 2023, the stockholders of AAG approved the 2023 Incentive Award Plan (the 2023 Plan). The 2023 Plan replaces and supersedes AAG’s 2013 Incentive Award Plan (the 2013 Plan). No further awards will be granted under the 2013 Plan; however, the terms and conditions of the 2013 Plan will continue to govern any outstanding awards granted thereunder. The 2023 Plan provides that an award may be in the form of a stock option, including an incentive stock option and nonqualified stock option, stock appreciation right, restricted stock, restricted stock unit, performance bonus award, performance stock unit, other stock or cash-based award and dividend equivalent to eligible individuals.</w:t>
      </w:r>
    </w:p>
    <w:p>
      <w:pPr>
        <w:spacing w:after="0" w:line="12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2023 Plan authorizes the grant of awards for the issuance of 17.2 million shares less any shares granted under the 2013 Plan after March 22, 2023, the date the Board of Directors of AAG approved the 2023 Plan. Any shares underlying awards granted under the 2023 Plan or 2013 Plan that are forfeited, terminate or are settled in cash (in whole or in part) without the delivery of shares will again be available for grant under the 2023 Plan.</w:t>
      </w:r>
    </w:p>
    <w:p>
      <w:pPr>
        <w:spacing w:after="0" w:line="121"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For the years ended December 31, 2023, 2022 and 2021, we recorded $102 million, $78 million and $98 million, respectively, of share-based compensation costs principally in salaries, wages and benefits expense on our consolidated statements of operations.</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2023, 2022 and 2021, we withheld approximately 1.5 million, 1.2 million and 1.0 million shares of AAG common stock, respectively, and paid approximately $23 million, $21 million and $18 million, respectively, in satisfaction of certain tax withholding obligations associated with employee equity awards.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 Awards (RSUs)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granted RSUs with service conditions (time vested primarily over three years) and performance conditions. The grant-date fair value of these RSUs is equal to the market price of the underlying shares of AAG common stock on the date of grant. For time vested awards, the expense is recognized on a straight-line basis over the vesting period for the entire award. For awards with performance conditions, the expense is recognized based on the expected achievement at each reporting period. RSUs are classified as equity awards as the vesting results in the issuance of shares of AAG common stock.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GROUP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RSU award activity for all plans for the years ended December 31, 2023, 2022 and 2021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 Grant Date</w:t>
            </w:r>
          </w:p>
        </w:tc>
        <w:tc>
          <w:tcPr>
            <w:tcW w:w="0" w:type="dxa"/>
            <w:vAlign w:val="bottom"/>
          </w:tcPr>
          <w:p>
            <w:pPr>
              <w:spacing w:after="0"/>
              <w:rPr>
                <w:sz w:val="1"/>
                <w:szCs w:val="1"/>
                <w:color w:val="auto"/>
              </w:rPr>
            </w:pPr>
          </w:p>
        </w:tc>
      </w:tr>
      <w:tr>
        <w:trPr>
          <w:trHeight w:val="189"/>
        </w:trPr>
        <w:tc>
          <w:tcPr>
            <w:tcW w:w="7020" w:type="dxa"/>
            <w:vAlign w:val="bottom"/>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16"/>
                <w:szCs w:val="16"/>
                <w:color w:val="auto"/>
              </w:rPr>
            </w:pPr>
          </w:p>
        </w:tc>
        <w:tc>
          <w:tcPr>
            <w:tcW w:w="2040" w:type="dxa"/>
            <w:vAlign w:val="bottom"/>
          </w:tcPr>
          <w:p>
            <w:pPr>
              <w:jc w:val="right"/>
              <w:ind w:right="433"/>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5,525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5,882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9,834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2023</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14,235</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December 31, 2023, there was $127 million of unrecognized compensation cost related to RSUs. These costs are expected to be recognized over a weighted average period of one year. The total fair value of RSUs vested during the years ended December 31, 2023, 2022 and 2021 was $78 million, $70 million and $62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Valuation and Qualifying Accounts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at Beginning</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Additions Charged to</w:t>
            </w:r>
          </w:p>
        </w:tc>
        <w:tc>
          <w:tcPr>
            <w:tcW w:w="240" w:type="dxa"/>
            <w:vAlign w:val="bottom"/>
          </w:tcPr>
          <w:p>
            <w:pPr>
              <w:spacing w:after="0"/>
              <w:rPr>
                <w:sz w:val="14"/>
                <w:szCs w:val="14"/>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Deductions</w:t>
            </w:r>
          </w:p>
        </w:tc>
        <w:tc>
          <w:tcPr>
            <w:tcW w:w="260" w:type="dxa"/>
            <w:vAlign w:val="bottom"/>
          </w:tcPr>
          <w:p>
            <w:pPr>
              <w:spacing w:after="0"/>
              <w:rPr>
                <w:sz w:val="14"/>
                <w:szCs w:val="14"/>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4"/>
        </w:trPr>
        <w:tc>
          <w:tcPr>
            <w:tcW w:w="468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40"/>
              <w:spacing w:after="0" w:line="144" w:lineRule="exact"/>
              <w:rPr>
                <w:sz w:val="20"/>
                <w:szCs w:val="20"/>
                <w:color w:val="auto"/>
              </w:rPr>
            </w:pPr>
            <w:r>
              <w:rPr>
                <w:rFonts w:ascii="Arial" w:cs="Arial" w:eastAsia="Arial" w:hAnsi="Arial"/>
                <w:sz w:val="14"/>
                <w:szCs w:val="14"/>
                <w:b w:val="1"/>
                <w:bCs w:val="1"/>
                <w:color w:val="auto"/>
              </w:rPr>
              <w:t>Statement of</w:t>
            </w: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of Year</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Operations Accounts</w:t>
            </w: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obsolescence of spare parts</w:t>
            </w: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Year ended December 31, 2023</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9"/>
                <w:szCs w:val="19"/>
                <w:color w:val="auto"/>
              </w:rPr>
            </w:pPr>
          </w:p>
        </w:tc>
        <w:tc>
          <w:tcPr>
            <w:tcW w:w="220" w:type="dxa"/>
            <w:vAlign w:val="bottom"/>
          </w:tcPr>
          <w:p>
            <w:pPr>
              <w:jc w:val="right"/>
              <w:ind w:right="4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Year ended December 31, 2022</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140"/>
              <w:spacing w:after="0"/>
              <w:rPr>
                <w:sz w:val="20"/>
                <w:szCs w:val="20"/>
                <w:color w:val="auto"/>
              </w:rPr>
            </w:pPr>
            <w:r>
              <w:rPr>
                <w:rFonts w:ascii="Arial" w:cs="Arial" w:eastAsia="Arial" w:hAnsi="Arial"/>
                <w:sz w:val="18"/>
                <w:szCs w:val="18"/>
                <w:color w:val="auto"/>
              </w:rPr>
              <w:t>Year ended December 31, 2021</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6"/>
        </w:trPr>
        <w:tc>
          <w:tcPr>
            <w:tcW w:w="4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ind w:right="354"/>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6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40" w:right="1480" w:hanging="3134"/>
        <w:spacing w:after="0" w:line="437" w:lineRule="auto"/>
        <w:rPr>
          <w:sz w:val="20"/>
          <w:szCs w:val="20"/>
          <w:color w:val="auto"/>
        </w:rPr>
      </w:pPr>
      <w:r>
        <w:rPr>
          <w:rFonts w:ascii="Arial" w:cs="Arial" w:eastAsia="Arial" w:hAnsi="Arial"/>
          <w:sz w:val="18"/>
          <w:szCs w:val="18"/>
          <w:b w:val="1"/>
          <w:bCs w:val="1"/>
          <w:color w:val="auto"/>
        </w:rPr>
        <w:t>ITEM 8B. CONSOLIDATED FINANCIAL STATEMENTS AND SUPPLEMENTARY DATA OF AMERICAN AIRLINES, INC. Report of Independent Registered Public Accounting Firm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American Airlines, Inc. and subsidiaries (American) as of December 31, 2023 and 2022, the related consolidated statements of operations, comprehensive income (loss), cash flows, and stockholder’s equity for each of the years in the three-year period ended December 31, 2023, and the related notes (collectively, the consolidated financial statements). In our opinion, the consolidated financial statements present fairly, in all material respects, the financial position of American as of December 31, 2023 and 2022, and the results of its operations and its cash flows for each of the years in the three-year period ended December 31, 2023, in conformity with U.S. generally accepted accounting principles.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American’s internal control over financial reporting as of December 31, 2023,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21,</w:t>
      </w:r>
      <w:r>
        <w:rPr>
          <w:rFonts w:ascii="Arial" w:cs="Arial" w:eastAsia="Arial" w:hAnsi="Arial"/>
          <w:sz w:val="18"/>
          <w:szCs w:val="18"/>
          <w:i w:val="1"/>
          <w:iCs w:val="1"/>
          <w:color w:val="auto"/>
        </w:rPr>
        <w:t xml:space="preserve"> </w:t>
      </w:r>
      <w:r>
        <w:rPr>
          <w:rFonts w:ascii="Arial" w:cs="Arial" w:eastAsia="Arial" w:hAnsi="Arial"/>
          <w:sz w:val="18"/>
          <w:szCs w:val="18"/>
          <w:color w:val="auto"/>
        </w:rPr>
        <w:t>2024 expressed an unqualified opinion on the effectiveness of American’s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consolidated financial statements are the responsibility of American’s management. Our responsibility is to express an opinion on these consolidated financial statements based on our audits. We are a public accounting firm registered with the PCAOB and are required to be independent with respect to American in accordance with the U.S. federal securities laws and the applicable rules and regulations of the Securities and Exchange Commission and the PCAOB.</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Sufficiency of audit evidence over the realizability of tax net operating loss and other carryforwards</w:t>
      </w:r>
    </w:p>
    <w:p>
      <w:pPr>
        <w:spacing w:after="0" w:line="8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As discussed in Notes 1(j) and 5 to the consolidated financial statements, American had $4.0 billion of tax net operating loss and other carryforwards, which are recorded as deferred tax assets at December 31, 2023. Deferred tax assets are recognized related to tax net operating loss and other carryforwards that will reduce future taxable income. American provides a valuation allowance for deferred tax assets when it is more likely than not that some portion, or all of the deferred tax assets, will not be realized. In evaluating the need for a valuation allowance, management considers all available positive and negative evidence.</w:t>
      </w:r>
    </w:p>
    <w:p>
      <w:pPr>
        <w:spacing w:after="0" w:line="124"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We identified the evaluation of the sufficiency of audit evidence over the realizability of the federal tax net operating loss and other carryforwards as a critical audit matter. Evaluating the sufficiency of audit evidence required subjective auditor judgment in order to assess the extent of procedures performed in assessing the realizability of the federal tax net operating loss and other carryforwards.</w:t>
      </w:r>
    </w:p>
    <w:p>
      <w:pPr>
        <w:spacing w:after="0" w:line="11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American’s deferred tax asset valuation allowance process, including controls related to the realizability of the federal tax net operating loss and other carryforwards. We evaluated positive and negative evidence used in assessing whether the federal tax net operating loss and other carryforwards were more likely than not to be realized in the future. We evaluated the reasonableness of management’s projections of future profitability considering historical profitability of American, and consistency with industry data. We involved tax professionals with specialized skills and knowledge, who assisted in evaluating the application of tax law. We assessed the sufficiency of audit evidence obtained over the realizability of the federal tax net operating loss and other carryforwards by evaluating the cumulative results of the audit procedures.</w:t>
      </w:r>
    </w:p>
    <w:p>
      <w:pPr>
        <w:spacing w:after="0" w:line="128"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/s/</w:t>
        <w:tab/>
        <w:t>KPMG LLP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American’s auditor since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Passenger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48,512</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44,568</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26,063</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Cargo</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29"/>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w:t>
            </w:r>
          </w:p>
        </w:tc>
      </w:tr>
      <w:tr>
        <w:trPr>
          <w:trHeight w:val="223"/>
        </w:trPr>
        <w:tc>
          <w:tcPr>
            <w:tcW w:w="6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operating revenues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29,880</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fuel and related taxes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11,811</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Maintenance, materials and repairs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1,979</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rent and landing fees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Aircraft rent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1,425</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2,019</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 items,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r>
      <w:tr>
        <w:trPr>
          <w:trHeight w:val="229"/>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w:t>
            </w:r>
          </w:p>
        </w:tc>
      </w:tr>
      <w:tr>
        <w:trPr>
          <w:trHeight w:val="223"/>
        </w:trPr>
        <w:tc>
          <w:tcPr>
            <w:tcW w:w="6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30,841</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r>
      <w:tr>
        <w:trPr>
          <w:trHeight w:val="229"/>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r>
      <w:tr>
        <w:trPr>
          <w:trHeight w:val="223"/>
        </w:trPr>
        <w:tc>
          <w:tcPr>
            <w:tcW w:w="6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nonoperating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(2,277)</w:t>
            </w:r>
          </w:p>
        </w:tc>
      </w:tr>
      <w:tr>
        <w:trPr>
          <w:trHeight w:val="229"/>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 (benefit)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r>
      <w:tr>
        <w:trPr>
          <w:trHeight w:val="20"/>
        </w:trPr>
        <w:tc>
          <w:tcPr>
            <w:tcW w:w="6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2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retiree medical and other postretirement benefits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r>
      <w:tr>
        <w:trPr>
          <w:trHeight w:val="229"/>
        </w:trPr>
        <w:tc>
          <w:tcPr>
            <w:tcW w:w="6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Investments</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r>
      <w:tr>
        <w:trPr>
          <w:trHeight w:val="20"/>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7"/>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6,998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8,523</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cash and short-term investments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2,117</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 from related parties, net</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6,588</w:t>
            </w: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Aircraft fuel, spare parts and supplies, net</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2,266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2,157</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09"/>
        </w:trPr>
        <w:tc>
          <w:tcPr>
            <w:tcW w:w="7740" w:type="dxa"/>
            <w:vAlign w:val="bottom"/>
          </w:tcPr>
          <w:p>
            <w:pPr>
              <w:ind w:left="480"/>
              <w:spacing w:after="0"/>
              <w:rPr>
                <w:sz w:val="20"/>
                <w:szCs w:val="20"/>
                <w:color w:val="auto"/>
              </w:rPr>
            </w:pPr>
            <w:r>
              <w:rPr>
                <w:rFonts w:ascii="Arial" w:cs="Arial" w:eastAsia="Arial" w:hAnsi="Arial"/>
                <w:sz w:val="16"/>
                <w:szCs w:val="16"/>
                <w:color w:val="auto"/>
              </w:rPr>
              <w:t>Total current assets</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20,367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21,607</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property and equipment</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Flight equipment</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41,440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39,359</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Ground property and equipment</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9,479</w:t>
            </w:r>
          </w:p>
        </w:tc>
        <w:tc>
          <w:tcPr>
            <w:tcW w:w="0" w:type="dxa"/>
            <w:vAlign w:val="bottom"/>
          </w:tcPr>
          <w:p>
            <w:pPr>
              <w:spacing w:after="0"/>
              <w:rPr>
                <w:sz w:val="1"/>
                <w:szCs w:val="1"/>
                <w:color w:val="auto"/>
              </w:rPr>
            </w:pPr>
          </w:p>
        </w:tc>
      </w:tr>
      <w:tr>
        <w:trPr>
          <w:trHeight w:val="215"/>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Equipment purchase deposits</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property and equipment, at cost</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52,048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49,451</w:t>
            </w:r>
          </w:p>
        </w:tc>
        <w:tc>
          <w:tcPr>
            <w:tcW w:w="0" w:type="dxa"/>
            <w:vAlign w:val="bottom"/>
          </w:tcPr>
          <w:p>
            <w:pPr>
              <w:spacing w:after="0"/>
              <w:rPr>
                <w:sz w:val="1"/>
                <w:szCs w:val="1"/>
                <w:color w:val="auto"/>
              </w:rPr>
            </w:pPr>
          </w:p>
        </w:tc>
      </w:tr>
      <w:tr>
        <w:trPr>
          <w:trHeight w:val="215"/>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Less accumulated depreciation and amortization</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(21,588)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(19,569)</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property and equipment, net</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29,882</w:t>
            </w: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Operating lease right-of-use assets</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7,886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8,033</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4,091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4,091</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Intangibles, net of accumulated amortization of $834 and $827, respectively</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w:t>
            </w: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Deferred tax asset</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2,589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2,893</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1,759</w:t>
            </w:r>
          </w:p>
        </w:tc>
        <w:tc>
          <w:tcPr>
            <w:tcW w:w="0" w:type="dxa"/>
            <w:vAlign w:val="bottom"/>
          </w:tcPr>
          <w:p>
            <w:pPr>
              <w:spacing w:after="0"/>
              <w:rPr>
                <w:sz w:val="1"/>
                <w:szCs w:val="1"/>
                <w:color w:val="auto"/>
              </w:rPr>
            </w:pPr>
          </w:p>
        </w:tc>
      </w:tr>
      <w:tr>
        <w:trPr>
          <w:trHeight w:val="209"/>
        </w:trPr>
        <w:tc>
          <w:tcPr>
            <w:tcW w:w="77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assets</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10,361</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10,802</w:t>
            </w:r>
          </w:p>
        </w:tc>
        <w:tc>
          <w:tcPr>
            <w:tcW w:w="0" w:type="dxa"/>
            <w:vAlign w:val="bottom"/>
          </w:tcPr>
          <w:p>
            <w:pPr>
              <w:spacing w:after="0"/>
              <w:rPr>
                <w:sz w:val="1"/>
                <w:szCs w:val="1"/>
                <w:color w:val="auto"/>
              </w:rPr>
            </w:pPr>
          </w:p>
        </w:tc>
      </w:tr>
      <w:tr>
        <w:trPr>
          <w:trHeight w:val="235"/>
        </w:trPr>
        <w:tc>
          <w:tcPr>
            <w:tcW w:w="7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assets</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69,074</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70,324</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Current maturities of long-term debt and finance leases</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3,625</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3,267</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Accrued salaries and wages</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2,210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1,529</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Air traffic liability</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6,745</w:t>
            </w: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Loyalty program liability</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3,453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3,169</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0" w:type="dxa"/>
            <w:vAlign w:val="bottom"/>
          </w:tcPr>
          <w:p>
            <w:pPr>
              <w:spacing w:after="0"/>
              <w:rPr>
                <w:sz w:val="1"/>
                <w:szCs w:val="1"/>
                <w:color w:val="auto"/>
              </w:rPr>
            </w:pPr>
          </w:p>
        </w:tc>
      </w:tr>
      <w:tr>
        <w:trPr>
          <w:trHeight w:val="215"/>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accrued liabilities</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2,852</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liabilities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21,082</w:t>
            </w: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and finance leases, net of current maturities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27,155</w:t>
            </w: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Pension and postretirement benefits</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2,811</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Loyalty program liability</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5,976</w:t>
            </w: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6,416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6,512</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09"/>
        </w:trPr>
        <w:tc>
          <w:tcPr>
            <w:tcW w:w="7740" w:type="dxa"/>
            <w:vAlign w:val="bottom"/>
          </w:tcPr>
          <w:p>
            <w:pPr>
              <w:ind w:left="480"/>
              <w:spacing w:after="0"/>
              <w:rPr>
                <w:sz w:val="20"/>
                <w:szCs w:val="20"/>
                <w:color w:val="auto"/>
              </w:rPr>
            </w:pPr>
            <w:r>
              <w:rPr>
                <w:rFonts w:ascii="Arial" w:cs="Arial" w:eastAsia="Arial" w:hAnsi="Arial"/>
                <w:sz w:val="16"/>
                <w:szCs w:val="16"/>
                <w:color w:val="auto"/>
              </w:rPr>
              <w:t>Total noncurrent liabilities</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40,880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43,649</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(Note 10)</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$1.00 par value; 1,000 shares authorized, issued and outstanding</w:t>
            </w: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7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17,335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17,230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(4,690)</w:t>
            </w:r>
          </w:p>
        </w:tc>
        <w:tc>
          <w:tcPr>
            <w:tcW w:w="0" w:type="dxa"/>
            <w:vAlign w:val="bottom"/>
          </w:tcPr>
          <w:p>
            <w:pPr>
              <w:spacing w:after="0"/>
              <w:rPr>
                <w:sz w:val="1"/>
                <w:szCs w:val="1"/>
                <w:color w:val="auto"/>
              </w:rPr>
            </w:pPr>
          </w:p>
        </w:tc>
      </w:tr>
      <w:tr>
        <w:trPr>
          <w:trHeight w:val="215"/>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Retained deficit</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(5,759)</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(6,947)</w:t>
            </w:r>
          </w:p>
        </w:tc>
        <w:tc>
          <w:tcPr>
            <w:tcW w:w="0" w:type="dxa"/>
            <w:vAlign w:val="bottom"/>
          </w:tcPr>
          <w:p>
            <w:pPr>
              <w:spacing w:after="0"/>
              <w:rPr>
                <w:sz w:val="1"/>
                <w:szCs w:val="1"/>
                <w:color w:val="auto"/>
              </w:rPr>
            </w:pPr>
          </w:p>
        </w:tc>
      </w:tr>
      <w:tr>
        <w:trPr>
          <w:trHeight w:val="209"/>
        </w:trPr>
        <w:tc>
          <w:tcPr>
            <w:tcW w:w="7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stockholder’s equity</w:t>
            </w: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6,577</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5,593</w:t>
            </w:r>
          </w:p>
        </w:tc>
        <w:tc>
          <w:tcPr>
            <w:tcW w:w="0" w:type="dxa"/>
            <w:vAlign w:val="bottom"/>
          </w:tcPr>
          <w:p>
            <w:pPr>
              <w:spacing w:after="0"/>
              <w:rPr>
                <w:sz w:val="1"/>
                <w:szCs w:val="1"/>
                <w:color w:val="auto"/>
              </w:rPr>
            </w:pPr>
          </w:p>
        </w:tc>
      </w:tr>
      <w:tr>
        <w:trPr>
          <w:trHeight w:val="210"/>
        </w:trPr>
        <w:tc>
          <w:tcPr>
            <w:tcW w:w="7740" w:type="dxa"/>
            <w:vAlign w:val="bottom"/>
          </w:tcPr>
          <w:p>
            <w:pPr>
              <w:ind w:left="680"/>
              <w:spacing w:after="0"/>
              <w:rPr>
                <w:sz w:val="20"/>
                <w:szCs w:val="20"/>
                <w:color w:val="auto"/>
              </w:rPr>
            </w:pPr>
            <w:r>
              <w:rPr>
                <w:rFonts w:ascii="Arial" w:cs="Arial" w:eastAsia="Arial" w:hAnsi="Arial"/>
                <w:sz w:val="16"/>
                <w:szCs w:val="16"/>
                <w:b w:val="1"/>
                <w:bCs w:val="1"/>
                <w:color w:val="auto"/>
              </w:rPr>
              <w:t>Total liabilities and stockholder’s equity</w:t>
            </w: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69,074</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70,324</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363" w:right="339" w:bottom="1440"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right"/>
              <w:ind w:right="124"/>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r>
      <w:tr>
        <w:trPr>
          <w:trHeight w:val="196"/>
        </w:trPr>
        <w:tc>
          <w:tcPr>
            <w:tcW w:w="2080" w:type="dxa"/>
            <w:vAlign w:val="bottom"/>
            <w:tcBorders>
              <w:bottom w:val="single" w:sz="8" w:color="CCEEFF"/>
            </w:tcBorders>
          </w:tcPr>
          <w:p>
            <w:pPr>
              <w:spacing w:after="0"/>
              <w:rPr>
                <w:sz w:val="17"/>
                <w:szCs w:val="17"/>
                <w:color w:val="auto"/>
              </w:rPr>
            </w:pPr>
          </w:p>
        </w:tc>
        <w:tc>
          <w:tcPr>
            <w:tcW w:w="49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2021</w:t>
            </w:r>
          </w:p>
        </w:tc>
      </w:tr>
      <w:tr>
        <w:trPr>
          <w:trHeight w:val="18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1"/>
        </w:trPr>
        <w:tc>
          <w:tcPr>
            <w:tcW w:w="7060" w:type="dxa"/>
            <w:vAlign w:val="bottom"/>
            <w:gridSpan w:val="2"/>
          </w:tcPr>
          <w:p>
            <w:pPr>
              <w:ind w:left="20"/>
              <w:spacing w:after="0"/>
              <w:rPr>
                <w:sz w:val="20"/>
                <w:szCs w:val="20"/>
                <w:color w:val="auto"/>
              </w:rPr>
            </w:pPr>
            <w:r>
              <w:rPr>
                <w:rFonts w:ascii="Arial" w:cs="Arial" w:eastAsia="Arial" w:hAnsi="Arial"/>
                <w:sz w:val="15"/>
                <w:szCs w:val="15"/>
                <w:color w:val="auto"/>
              </w:rPr>
              <w:t>Net income (loss)</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1,188</w:t>
            </w:r>
          </w:p>
        </w:tc>
        <w:tc>
          <w:tcPr>
            <w:tcW w:w="100" w:type="dxa"/>
            <w:vAlign w:val="bottom"/>
          </w:tcPr>
          <w:p>
            <w:pPr>
              <w:spacing w:after="0"/>
              <w:rPr>
                <w:sz w:val="17"/>
                <w:szCs w:val="17"/>
                <w:color w:val="auto"/>
              </w:rPr>
            </w:pPr>
          </w:p>
        </w:tc>
        <w:tc>
          <w:tcPr>
            <w:tcW w:w="32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338</w:t>
            </w:r>
          </w:p>
        </w:tc>
        <w:tc>
          <w:tcPr>
            <w:tcW w:w="10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(1,777)</w:t>
            </w:r>
          </w:p>
        </w:tc>
      </w:tr>
      <w:tr>
        <w:trPr>
          <w:trHeight w:val="20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1"/>
        </w:trPr>
        <w:tc>
          <w:tcPr>
            <w:tcW w:w="7060" w:type="dxa"/>
            <w:vAlign w:val="bottom"/>
            <w:gridSpan w:val="2"/>
          </w:tcPr>
          <w:p>
            <w:pPr>
              <w:ind w:left="220"/>
              <w:spacing w:after="0"/>
              <w:rPr>
                <w:sz w:val="20"/>
                <w:szCs w:val="20"/>
                <w:color w:val="auto"/>
              </w:rPr>
            </w:pPr>
            <w:r>
              <w:rPr>
                <w:rFonts w:ascii="Arial" w:cs="Arial" w:eastAsia="Arial" w:hAnsi="Arial"/>
                <w:sz w:val="15"/>
                <w:szCs w:val="15"/>
                <w:color w:val="auto"/>
              </w:rPr>
              <w:t>Depreciation and amortization</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2,198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2,238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2,282</w:t>
            </w:r>
          </w:p>
        </w:tc>
      </w:tr>
      <w:tr>
        <w:trPr>
          <w:trHeight w:val="203"/>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Debt extinguishment costs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r>
      <w:tr>
        <w:trPr>
          <w:trHeight w:val="201"/>
        </w:trPr>
        <w:tc>
          <w:tcPr>
            <w:tcW w:w="7060" w:type="dxa"/>
            <w:vAlign w:val="bottom"/>
            <w:gridSpan w:val="2"/>
          </w:tcPr>
          <w:p>
            <w:pPr>
              <w:ind w:left="220"/>
              <w:spacing w:after="0"/>
              <w:rPr>
                <w:sz w:val="20"/>
                <w:szCs w:val="20"/>
                <w:color w:val="auto"/>
              </w:rPr>
            </w:pPr>
            <w:r>
              <w:rPr>
                <w:rFonts w:ascii="Arial" w:cs="Arial" w:eastAsia="Arial" w:hAnsi="Arial"/>
                <w:sz w:val="15"/>
                <w:szCs w:val="15"/>
                <w:color w:val="auto"/>
              </w:rPr>
              <w:t>Special items, net non-cash</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203"/>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Pension and postretirement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w:t>
            </w:r>
          </w:p>
        </w:tc>
      </w:tr>
      <w:tr>
        <w:trPr>
          <w:trHeight w:val="201"/>
        </w:trPr>
        <w:tc>
          <w:tcPr>
            <w:tcW w:w="7060" w:type="dxa"/>
            <w:vAlign w:val="bottom"/>
            <w:gridSpan w:val="2"/>
          </w:tcPr>
          <w:p>
            <w:pPr>
              <w:ind w:left="220"/>
              <w:spacing w:after="0"/>
              <w:rPr>
                <w:sz w:val="20"/>
                <w:szCs w:val="20"/>
                <w:color w:val="auto"/>
              </w:rPr>
            </w:pPr>
            <w:r>
              <w:rPr>
                <w:rFonts w:ascii="Arial" w:cs="Arial" w:eastAsia="Arial" w:hAnsi="Arial"/>
                <w:sz w:val="15"/>
                <w:szCs w:val="15"/>
                <w:color w:val="auto"/>
              </w:rPr>
              <w:t>Deferred income tax provision (benefit)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394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(500)</w:t>
            </w:r>
          </w:p>
        </w:tc>
      </w:tr>
      <w:tr>
        <w:trPr>
          <w:trHeight w:val="203"/>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Share-based compensation</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w:t>
            </w:r>
          </w:p>
        </w:tc>
      </w:tr>
      <w:tr>
        <w:trPr>
          <w:trHeight w:val="201"/>
        </w:trPr>
        <w:tc>
          <w:tcPr>
            <w:tcW w:w="7060" w:type="dxa"/>
            <w:vAlign w:val="bottom"/>
            <w:gridSpan w:val="2"/>
          </w:tcPr>
          <w:p>
            <w:pPr>
              <w:ind w:left="220"/>
              <w:spacing w:after="0"/>
              <w:rPr>
                <w:sz w:val="20"/>
                <w:szCs w:val="20"/>
                <w:color w:val="auto"/>
              </w:rPr>
            </w:pPr>
            <w:r>
              <w:rPr>
                <w:rFonts w:ascii="Arial" w:cs="Arial" w:eastAsia="Arial" w:hAnsi="Arial"/>
                <w:sz w:val="15"/>
                <w:szCs w:val="15"/>
                <w:color w:val="auto"/>
              </w:rPr>
              <w:t>Other, net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(216)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03"/>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5"/>
                <w:szCs w:val="15"/>
                <w:b w:val="1"/>
                <w:bCs w:val="1"/>
                <w:color w:val="auto"/>
              </w:rPr>
              <w:t>Changes in operating assets and 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1"/>
        </w:trPr>
        <w:tc>
          <w:tcPr>
            <w:tcW w:w="7060" w:type="dxa"/>
            <w:vAlign w:val="bottom"/>
            <w:gridSpan w:val="2"/>
          </w:tcPr>
          <w:p>
            <w:pPr>
              <w:ind w:left="340"/>
              <w:spacing w:after="0"/>
              <w:rPr>
                <w:sz w:val="20"/>
                <w:szCs w:val="20"/>
                <w:color w:val="auto"/>
              </w:rPr>
            </w:pPr>
            <w:r>
              <w:rPr>
                <w:rFonts w:ascii="Arial" w:cs="Arial" w:eastAsia="Arial" w:hAnsi="Arial"/>
                <w:sz w:val="15"/>
                <w:szCs w:val="15"/>
                <w:color w:val="auto"/>
              </w:rPr>
              <w:t>Decrease (increase) in accounts receivable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(290)</w:t>
            </w:r>
          </w:p>
        </w:tc>
      </w:tr>
      <w:tr>
        <w:trPr>
          <w:trHeight w:val="203"/>
        </w:trPr>
        <w:tc>
          <w:tcPr>
            <w:tcW w:w="70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Increase in other assets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w:t>
            </w:r>
          </w:p>
        </w:tc>
      </w:tr>
      <w:tr>
        <w:trPr>
          <w:trHeight w:val="201"/>
        </w:trPr>
        <w:tc>
          <w:tcPr>
            <w:tcW w:w="7060" w:type="dxa"/>
            <w:vAlign w:val="bottom"/>
            <w:gridSpan w:val="2"/>
          </w:tcPr>
          <w:p>
            <w:pPr>
              <w:ind w:left="340"/>
              <w:spacing w:after="0"/>
              <w:rPr>
                <w:sz w:val="20"/>
                <w:szCs w:val="20"/>
                <w:color w:val="auto"/>
              </w:rPr>
            </w:pPr>
            <w:r>
              <w:rPr>
                <w:rFonts w:ascii="Arial" w:cs="Arial" w:eastAsia="Arial" w:hAnsi="Arial"/>
                <w:sz w:val="15"/>
                <w:szCs w:val="15"/>
                <w:color w:val="auto"/>
              </w:rPr>
              <w:t>Increase in accounts payable and accrued liabilities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549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335</w:t>
            </w:r>
          </w:p>
        </w:tc>
      </w:tr>
      <w:tr>
        <w:trPr>
          <w:trHeight w:val="203"/>
        </w:trPr>
        <w:tc>
          <w:tcPr>
            <w:tcW w:w="70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Increase (decrease) in air traffic liability</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1,454</w:t>
            </w:r>
          </w:p>
        </w:tc>
      </w:tr>
      <w:tr>
        <w:trPr>
          <w:trHeight w:val="201"/>
        </w:trPr>
        <w:tc>
          <w:tcPr>
            <w:tcW w:w="7060" w:type="dxa"/>
            <w:vAlign w:val="bottom"/>
            <w:gridSpan w:val="2"/>
          </w:tcPr>
          <w:p>
            <w:pPr>
              <w:ind w:left="340"/>
              <w:spacing w:after="0"/>
              <w:rPr>
                <w:sz w:val="20"/>
                <w:szCs w:val="20"/>
                <w:color w:val="auto"/>
              </w:rPr>
            </w:pPr>
            <w:r>
              <w:rPr>
                <w:rFonts w:ascii="Arial" w:cs="Arial" w:eastAsia="Arial" w:hAnsi="Arial"/>
                <w:sz w:val="15"/>
                <w:szCs w:val="15"/>
                <w:color w:val="auto"/>
              </w:rPr>
              <w:t>Decrease (increase) in receivables from related parties, net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1,857</w:t>
            </w:r>
          </w:p>
        </w:tc>
      </w:tr>
      <w:tr>
        <w:trPr>
          <w:trHeight w:val="203"/>
        </w:trPr>
        <w:tc>
          <w:tcPr>
            <w:tcW w:w="70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Increase (decrease) in loyalty program liability</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r>
      <w:tr>
        <w:trPr>
          <w:trHeight w:val="201"/>
        </w:trPr>
        <w:tc>
          <w:tcPr>
            <w:tcW w:w="7060" w:type="dxa"/>
            <w:vAlign w:val="bottom"/>
            <w:gridSpan w:val="2"/>
          </w:tcPr>
          <w:p>
            <w:pPr>
              <w:ind w:left="340"/>
              <w:spacing w:after="0"/>
              <w:rPr>
                <w:sz w:val="20"/>
                <w:szCs w:val="20"/>
                <w:color w:val="auto"/>
              </w:rPr>
            </w:pPr>
            <w:r>
              <w:rPr>
                <w:rFonts w:ascii="Arial" w:cs="Arial" w:eastAsia="Arial" w:hAnsi="Arial"/>
                <w:sz w:val="15"/>
                <w:szCs w:val="15"/>
                <w:color w:val="auto"/>
              </w:rPr>
              <w:t>Contributions to pension plans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(247)</w:t>
            </w:r>
          </w:p>
        </w:tc>
      </w:tr>
      <w:tr>
        <w:trPr>
          <w:trHeight w:val="203"/>
        </w:trPr>
        <w:tc>
          <w:tcPr>
            <w:tcW w:w="70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Increase (decrease) in other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650</w:t>
            </w:r>
          </w:p>
        </w:tc>
      </w:tr>
      <w:tr>
        <w:trPr>
          <w:trHeight w:val="195"/>
        </w:trPr>
        <w:tc>
          <w:tcPr>
            <w:tcW w:w="7060" w:type="dxa"/>
            <w:vAlign w:val="bottom"/>
            <w:gridSpan w:val="2"/>
          </w:tcPr>
          <w:p>
            <w:pPr>
              <w:ind w:left="480"/>
              <w:spacing w:after="0"/>
              <w:rPr>
                <w:sz w:val="20"/>
                <w:szCs w:val="20"/>
                <w:color w:val="auto"/>
              </w:rPr>
            </w:pPr>
            <w:r>
              <w:rPr>
                <w:rFonts w:ascii="Arial" w:cs="Arial" w:eastAsia="Arial" w:hAnsi="Arial"/>
                <w:sz w:val="15"/>
                <w:szCs w:val="15"/>
                <w:color w:val="auto"/>
              </w:rPr>
              <w:t>Net cash provided by operating activities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1,329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3,190</w:t>
            </w:r>
          </w:p>
        </w:tc>
      </w:tr>
      <w:tr>
        <w:trPr>
          <w:trHeight w:val="20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1"/>
        </w:trPr>
        <w:tc>
          <w:tcPr>
            <w:tcW w:w="7060" w:type="dxa"/>
            <w:vAlign w:val="bottom"/>
            <w:gridSpan w:val="2"/>
          </w:tcPr>
          <w:p>
            <w:pPr>
              <w:ind w:left="220"/>
              <w:spacing w:after="0"/>
              <w:rPr>
                <w:sz w:val="20"/>
                <w:szCs w:val="20"/>
                <w:color w:val="auto"/>
              </w:rPr>
            </w:pPr>
            <w:r>
              <w:rPr>
                <w:rFonts w:ascii="Arial" w:cs="Arial" w:eastAsia="Arial" w:hAnsi="Arial"/>
                <w:sz w:val="15"/>
                <w:szCs w:val="15"/>
                <w:color w:val="auto"/>
              </w:rPr>
              <w:t>Capital expenditures, net of aircraft purchase deposit returns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(2,489)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(169)</w:t>
            </w:r>
          </w:p>
        </w:tc>
      </w:tr>
      <w:tr>
        <w:trPr>
          <w:trHeight w:val="203"/>
        </w:trPr>
        <w:tc>
          <w:tcPr>
            <w:tcW w:w="70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Proceeds from sale of property and equipment and sale-leaseback transactions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w:t>
            </w:r>
          </w:p>
        </w:tc>
      </w:tr>
      <w:tr>
        <w:trPr>
          <w:trHeight w:val="201"/>
        </w:trPr>
        <w:tc>
          <w:tcPr>
            <w:tcW w:w="7060" w:type="dxa"/>
            <w:vAlign w:val="bottom"/>
            <w:gridSpan w:val="2"/>
          </w:tcPr>
          <w:p>
            <w:pPr>
              <w:ind w:left="220"/>
              <w:spacing w:after="0"/>
              <w:rPr>
                <w:sz w:val="20"/>
                <w:szCs w:val="20"/>
                <w:color w:val="auto"/>
              </w:rPr>
            </w:pPr>
            <w:r>
              <w:rPr>
                <w:rFonts w:ascii="Arial" w:cs="Arial" w:eastAsia="Arial" w:hAnsi="Arial"/>
                <w:sz w:val="15"/>
                <w:szCs w:val="15"/>
                <w:color w:val="auto"/>
              </w:rPr>
              <w:t>Sales of short-term investments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8,861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14,972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13,923</w:t>
            </w:r>
          </w:p>
        </w:tc>
      </w:tr>
      <w:tr>
        <w:trPr>
          <w:trHeight w:val="203"/>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Purchases of short-term investments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(11,257)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(19,454)</w:t>
            </w:r>
          </w:p>
        </w:tc>
      </w:tr>
      <w:tr>
        <w:trPr>
          <w:trHeight w:val="201"/>
        </w:trPr>
        <w:tc>
          <w:tcPr>
            <w:tcW w:w="7060" w:type="dxa"/>
            <w:vAlign w:val="bottom"/>
            <w:gridSpan w:val="2"/>
          </w:tcPr>
          <w:p>
            <w:pPr>
              <w:ind w:left="220"/>
              <w:spacing w:after="0"/>
              <w:rPr>
                <w:sz w:val="20"/>
                <w:szCs w:val="20"/>
                <w:color w:val="auto"/>
              </w:rPr>
            </w:pPr>
            <w:r>
              <w:rPr>
                <w:rFonts w:ascii="Arial" w:cs="Arial" w:eastAsia="Arial" w:hAnsi="Arial"/>
                <w:sz w:val="15"/>
                <w:szCs w:val="15"/>
                <w:color w:val="auto"/>
              </w:rPr>
              <w:t>Decrease (increase) in restricted short-term investments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(401)</w:t>
            </w:r>
          </w:p>
        </w:tc>
      </w:tr>
      <w:tr>
        <w:trPr>
          <w:trHeight w:val="203"/>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Purchase of equity investments</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r>
      <w:tr>
        <w:trPr>
          <w:trHeight w:val="201"/>
        </w:trPr>
        <w:tc>
          <w:tcPr>
            <w:tcW w:w="7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Other investing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w:t>
            </w:r>
          </w:p>
        </w:tc>
      </w:tr>
      <w:tr>
        <w:trPr>
          <w:trHeight w:val="197"/>
        </w:trPr>
        <w:tc>
          <w:tcPr>
            <w:tcW w:w="70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Net cash provided by (used in) investing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693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(5,945)</w:t>
            </w:r>
          </w:p>
        </w:tc>
      </w:tr>
      <w:tr>
        <w:trPr>
          <w:trHeight w:val="202"/>
        </w:trPr>
        <w:tc>
          <w:tcPr>
            <w:tcW w:w="7060" w:type="dxa"/>
            <w:vAlign w:val="bottom"/>
            <w:gridSpan w:val="2"/>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Payments on long-term debt and finance leases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(7,697)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(7,320)</w:t>
            </w:r>
          </w:p>
        </w:tc>
      </w:tr>
      <w:tr>
        <w:trPr>
          <w:trHeight w:val="201"/>
        </w:trPr>
        <w:tc>
          <w:tcPr>
            <w:tcW w:w="7060" w:type="dxa"/>
            <w:vAlign w:val="bottom"/>
            <w:gridSpan w:val="2"/>
          </w:tcPr>
          <w:p>
            <w:pPr>
              <w:ind w:left="220"/>
              <w:spacing w:after="0"/>
              <w:rPr>
                <w:sz w:val="20"/>
                <w:szCs w:val="20"/>
                <w:color w:val="auto"/>
              </w:rPr>
            </w:pPr>
            <w:r>
              <w:rPr>
                <w:rFonts w:ascii="Arial" w:cs="Arial" w:eastAsia="Arial" w:hAnsi="Arial"/>
                <w:sz w:val="15"/>
                <w:szCs w:val="15"/>
                <w:color w:val="auto"/>
              </w:rPr>
              <w:t>Proceeds from issuance of long-term debt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4,822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1,069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10,209</w:t>
            </w:r>
          </w:p>
        </w:tc>
      </w:tr>
      <w:tr>
        <w:trPr>
          <w:trHeight w:val="203"/>
        </w:trPr>
        <w:tc>
          <w:tcPr>
            <w:tcW w:w="70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Other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w:t>
            </w:r>
          </w:p>
        </w:tc>
      </w:tr>
      <w:tr>
        <w:trPr>
          <w:trHeight w:val="195"/>
        </w:trPr>
        <w:tc>
          <w:tcPr>
            <w:tcW w:w="7060" w:type="dxa"/>
            <w:vAlign w:val="bottom"/>
            <w:tcBorders>
              <w:bottom w:val="single" w:sz="8" w:color="CCEEFF"/>
            </w:tcBorders>
            <w:gridSpan w:val="2"/>
          </w:tcPr>
          <w:p>
            <w:pPr>
              <w:ind w:left="480"/>
              <w:spacing w:after="0"/>
              <w:rPr>
                <w:sz w:val="20"/>
                <w:szCs w:val="20"/>
                <w:color w:val="auto"/>
              </w:rPr>
            </w:pPr>
            <w:r>
              <w:rPr>
                <w:rFonts w:ascii="Arial" w:cs="Arial" w:eastAsia="Arial" w:hAnsi="Arial"/>
                <w:sz w:val="15"/>
                <w:szCs w:val="15"/>
                <w:color w:val="auto"/>
              </w:rPr>
              <w:t>Net cash provided by (used in) financing activities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(3,162)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2,770</w:t>
            </w:r>
          </w:p>
        </w:tc>
      </w:tr>
      <w:tr>
        <w:trPr>
          <w:trHeight w:val="197"/>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increase in cash and restricted cash</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r>
      <w:tr>
        <w:trPr>
          <w:trHeight w:val="201"/>
        </w:trPr>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Cash and restricted cash at beginning of year</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400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385</w:t>
            </w:r>
          </w:p>
        </w:tc>
      </w:tr>
      <w:tr>
        <w:trPr>
          <w:trHeight w:val="222"/>
        </w:trPr>
        <w:tc>
          <w:tcPr>
            <w:tcW w:w="7060" w:type="dxa"/>
            <w:vAlign w:val="bottom"/>
            <w:tcBorders>
              <w:bottom w:val="single" w:sz="8" w:color="CCEEFF"/>
            </w:tcBorders>
            <w:gridSpan w:val="2"/>
            <w:shd w:val="clear" w:color="auto" w:fill="CCEEFF"/>
          </w:tcPr>
          <w:p>
            <w:pPr>
              <w:ind w:left="20"/>
              <w:spacing w:after="0" w:line="197" w:lineRule="exact"/>
              <w:rPr>
                <w:sz w:val="20"/>
                <w:szCs w:val="20"/>
                <w:color w:val="auto"/>
              </w:rPr>
            </w:pPr>
            <w:r>
              <w:rPr>
                <w:rFonts w:ascii="Arial" w:cs="Arial" w:eastAsia="Arial" w:hAnsi="Arial"/>
                <w:sz w:val="15"/>
                <w:szCs w:val="15"/>
                <w:color w:val="auto"/>
              </w:rPr>
              <w:t xml:space="preserve">Cash and restricted cash at end of year </w:t>
            </w:r>
            <w:r>
              <w:rPr>
                <w:rFonts w:ascii="Arial" w:cs="Arial" w:eastAsia="Arial" w:hAnsi="Arial"/>
                <w:sz w:val="19"/>
                <w:szCs w:val="19"/>
                <w:color w:val="auto"/>
                <w:vertAlign w:val="superscript"/>
              </w:rPr>
              <w:t>(a)</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575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2"/>
                <w:szCs w:val="12"/>
                <w:color w:val="auto"/>
              </w:rPr>
            </w:pPr>
          </w:p>
        </w:tc>
        <w:tc>
          <w:tcPr>
            <w:tcW w:w="4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bl>
    <w:p>
      <w:pPr>
        <w:spacing w:after="0" w:line="72" w:lineRule="exact"/>
        <w:rPr>
          <w:sz w:val="20"/>
          <w:szCs w:val="20"/>
          <w:color w:val="auto"/>
        </w:rPr>
      </w:pPr>
    </w:p>
    <w:p>
      <w:pPr>
        <w:ind w:left="140" w:hanging="132"/>
        <w:spacing w:after="0"/>
        <w:tabs>
          <w:tab w:leader="none" w:pos="140" w:val="left"/>
        </w:tabs>
        <w:numPr>
          <w:ilvl w:val="0"/>
          <w:numId w:val="61"/>
        </w:numPr>
        <w:rPr>
          <w:rFonts w:ascii="Arial" w:cs="Arial" w:eastAsia="Arial" w:hAnsi="Arial"/>
          <w:sz w:val="9"/>
          <w:szCs w:val="9"/>
          <w:color w:val="auto"/>
        </w:rPr>
      </w:pPr>
      <w:r>
        <w:rPr>
          <w:rFonts w:ascii="Arial" w:cs="Arial" w:eastAsia="Arial" w:hAnsi="Arial"/>
          <w:sz w:val="14"/>
          <w:szCs w:val="14"/>
          <w:color w:val="auto"/>
        </w:rPr>
        <w:t>The following table provides a reconciliation of cash and restricted cash to amounts reported within the consolidated balance sheets: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w:t>
            </w:r>
          </w:p>
        </w:tc>
        <w:tc>
          <w:tcPr>
            <w:tcW w:w="560" w:type="dxa"/>
            <w:vAlign w:val="bottom"/>
            <w:shd w:val="clear" w:color="auto" w:fill="CCEEFF"/>
          </w:tcPr>
          <w:p>
            <w:pPr>
              <w:jc w:val="right"/>
              <w:ind w:right="38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567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w:t>
            </w:r>
          </w:p>
        </w:tc>
      </w:tr>
      <w:tr>
        <w:trPr>
          <w:trHeight w:val="201"/>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Restricted cash included in restricted cash and short-term investments</w:t>
            </w:r>
          </w:p>
        </w:tc>
        <w:tc>
          <w:tcPr>
            <w:tcW w:w="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103</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146</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w:t>
            </w:r>
          </w:p>
        </w:tc>
      </w:tr>
      <w:tr>
        <w:trPr>
          <w:trHeight w:val="222"/>
        </w:trPr>
        <w:tc>
          <w:tcPr>
            <w:tcW w:w="7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cash and restricted cash</w:t>
            </w:r>
          </w:p>
        </w:tc>
        <w:tc>
          <w:tcPr>
            <w:tcW w:w="560" w:type="dxa"/>
            <w:vAlign w:val="bottom"/>
            <w:tcBorders>
              <w:bottom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670</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575</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2"/>
                <w:szCs w:val="12"/>
                <w:color w:val="auto"/>
              </w:rPr>
            </w:pPr>
          </w:p>
        </w:tc>
        <w:tc>
          <w:tcPr>
            <w:tcW w:w="7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17,050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Intercompany equity transfer</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Balance at December 31, 2021</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17,152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(7,285)</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Other comprehensive income, net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Intercompany equity transfer</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2022</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17,230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Intercompany equity transfer</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Balance at December 31, 2023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17,335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51" w:lineRule="exact"/>
        <w:rPr>
          <w:sz w:val="20"/>
          <w:szCs w:val="20"/>
          <w:color w:val="auto"/>
        </w:rPr>
      </w:pPr>
    </w:p>
    <w:p>
      <w:pPr>
        <w:ind w:left="200" w:hanging="192"/>
        <w:spacing w:after="0"/>
        <w:tabs>
          <w:tab w:leader="none" w:pos="2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91" w:lineRule="exact"/>
        <w:rPr>
          <w:rFonts w:ascii="Arial" w:cs="Arial" w:eastAsia="Arial" w:hAnsi="Arial"/>
          <w:sz w:val="18"/>
          <w:szCs w:val="18"/>
          <w:b w:val="1"/>
          <w:bCs w:val="1"/>
          <w:color w:val="auto"/>
        </w:rPr>
      </w:pPr>
    </w:p>
    <w:p>
      <w:pPr>
        <w:ind w:left="520" w:hanging="269"/>
        <w:spacing w:after="0"/>
        <w:tabs>
          <w:tab w:leader="none" w:pos="520" w:val="left"/>
        </w:tabs>
        <w:numPr>
          <w:ilvl w:val="1"/>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Airlines, Inc. (American) is a Delaware corporation whose primary business activity is the operation of a major network air carrier, providing scheduled air transportation for passengers and cargo. American is the principal wholly-owned subsidiary of American Airlines Group Inc. (AAG), which owns all of American’s outstanding common stock, par value $1.00 per share. All significant intercompany transactions have been eliminated.</w:t>
      </w:r>
    </w:p>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the loyalty program, deferred tax assets, as well as pension and retiree medical and other postretirement benefits.</w:t>
      </w:r>
    </w:p>
    <w:p>
      <w:pPr>
        <w:spacing w:after="0" w:line="207" w:lineRule="exact"/>
        <w:rPr>
          <w:sz w:val="20"/>
          <w:szCs w:val="20"/>
          <w:color w:val="auto"/>
        </w:rPr>
      </w:pPr>
    </w:p>
    <w:p>
      <w:pPr>
        <w:ind w:left="260" w:right="8660" w:hanging="9"/>
        <w:spacing w:after="0" w:line="362" w:lineRule="auto"/>
        <w:tabs>
          <w:tab w:leader="none" w:pos="539" w:val="left"/>
        </w:tabs>
        <w:numPr>
          <w:ilvl w:val="0"/>
          <w:numId w:val="6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Government Assistance </w:t>
      </w:r>
      <w:r>
        <w:rPr>
          <w:rFonts w:ascii="Arial" w:cs="Arial" w:eastAsia="Arial" w:hAnsi="Arial"/>
          <w:sz w:val="17"/>
          <w:szCs w:val="17"/>
          <w:i w:val="1"/>
          <w:iCs w:val="1"/>
          <w:u w:val="single" w:color="auto"/>
          <w:color w:val="auto"/>
        </w:rPr>
        <w:t>Payroll Support Programs</w:t>
      </w:r>
    </w:p>
    <w:p>
      <w:pPr>
        <w:spacing w:after="0" w:line="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2020 and 2021, American, Envoy Air Inc. (Envoy), Piedmont Airlines, Inc. (Piedmont) and PSA Airlines, Inc. (PSA and together with American, Envoy and Piedmont, the Subsidiaries) entered into payroll support program agreements (PSP Agreements) with the U.S. Department of Treasury (Treasury) pursuant to the payroll support program established under the Coronavirus Aid, Relief, and Economic Security Act (CARES Act) (PSP1), the payroll support program established under the Subtitle A of Title IV of Division N of the Consolidated Appropriations Act, 2021 (PSP Extension Law) (PSP2) and the payroll support program established under the American Rescue Plan Act of 2021 (ARP) (PSP3). The aggregate amount of financial assistance received was approximately $12.8 billion, and as partial compensation to the U.S. Government for the provision of financial assistance provided under each of these programs, AAG issued promissory notes and warrants to Treasury.</w:t>
      </w:r>
    </w:p>
    <w:p>
      <w:pPr>
        <w:spacing w:after="0" w:line="128"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The table below provides a summary of the financial assistance received and the promissory notes and the warrants issued under each program (in millions, except exercise price amounts):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9"/>
              </w:rPr>
              <w:t>PSP Financial</w:t>
            </w:r>
          </w:p>
        </w:tc>
        <w:tc>
          <w:tcPr>
            <w:tcW w:w="140" w:type="dxa"/>
            <w:vAlign w:val="bottom"/>
          </w:tcPr>
          <w:p>
            <w:pPr>
              <w:spacing w:after="0"/>
              <w:rPr>
                <w:sz w:val="18"/>
                <w:szCs w:val="18"/>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8"/>
              </w:rPr>
              <w:t>Promissory</w:t>
            </w: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Warrants</w:t>
            </w:r>
          </w:p>
        </w:tc>
        <w:tc>
          <w:tcPr>
            <w:tcW w:w="80" w:type="dxa"/>
            <w:vAlign w:val="bottom"/>
          </w:tcPr>
          <w:p>
            <w:pPr>
              <w:spacing w:after="0"/>
              <w:rPr>
                <w:sz w:val="18"/>
                <w:szCs w:val="18"/>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175"/>
        </w:trPr>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Program</w:t>
            </w:r>
          </w:p>
        </w:tc>
        <w:tc>
          <w:tcPr>
            <w:tcW w:w="17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9"/>
              </w:rPr>
              <w:t>Closing Date</w:t>
            </w:r>
          </w:p>
        </w:tc>
        <w:tc>
          <w:tcPr>
            <w:tcW w:w="14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PSP Warrants</w:t>
            </w:r>
          </w:p>
        </w:tc>
        <w:tc>
          <w:tcPr>
            <w:tcW w:w="280" w:type="dxa"/>
            <w:vAlign w:val="bottom"/>
          </w:tcPr>
          <w:p>
            <w:pPr>
              <w:spacing w:after="0"/>
              <w:rPr>
                <w:sz w:val="15"/>
                <w:szCs w:val="15"/>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13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8"/>
              </w:rPr>
              <w:t>Issued</w:t>
            </w:r>
          </w:p>
        </w:tc>
        <w:tc>
          <w:tcPr>
            <w:tcW w:w="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40" w:type="dxa"/>
            <w:vAlign w:val="bottom"/>
            <w:gridSpan w:val="2"/>
            <w:vMerge w:val="continue"/>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Assistance</w:t>
            </w:r>
          </w:p>
        </w:tc>
        <w:tc>
          <w:tcPr>
            <w:tcW w:w="140" w:type="dxa"/>
            <w:vAlign w:val="bottom"/>
          </w:tcPr>
          <w:p>
            <w:pPr>
              <w:spacing w:after="0"/>
              <w:rPr>
                <w:sz w:val="21"/>
                <w:szCs w:val="21"/>
                <w:color w:val="auto"/>
              </w:rPr>
            </w:pPr>
          </w:p>
        </w:tc>
        <w:tc>
          <w:tcPr>
            <w:tcW w:w="1260" w:type="dxa"/>
            <w:vAlign w:val="bottom"/>
            <w:gridSpan w:val="2"/>
          </w:tcPr>
          <w:p>
            <w:pPr>
              <w:jc w:val="center"/>
              <w:ind w:right="240"/>
              <w:spacing w:after="0" w:line="243" w:lineRule="exact"/>
              <w:rPr>
                <w:sz w:val="20"/>
                <w:szCs w:val="20"/>
                <w:color w:val="auto"/>
              </w:rPr>
            </w:pPr>
            <w:r>
              <w:rPr>
                <w:rFonts w:ascii="Arial" w:cs="Arial" w:eastAsia="Arial" w:hAnsi="Arial"/>
                <w:sz w:val="18"/>
                <w:szCs w:val="18"/>
                <w:b w:val="1"/>
                <w:bCs w:val="1"/>
                <w:color w:val="auto"/>
                <w:w w:val="94"/>
              </w:rPr>
              <w:t xml:space="preserve">Notes </w:t>
            </w:r>
            <w:r>
              <w:rPr>
                <w:rFonts w:ascii="Arial" w:cs="Arial" w:eastAsia="Arial" w:hAnsi="Arial"/>
                <w:sz w:val="23"/>
                <w:szCs w:val="23"/>
                <w:b w:val="1"/>
                <w:bCs w:val="1"/>
                <w:color w:val="auto"/>
                <w:w w:val="94"/>
                <w:vertAlign w:val="superscript"/>
              </w:rPr>
              <w:t>(1)</w:t>
            </w:r>
          </w:p>
        </w:tc>
        <w:tc>
          <w:tcPr>
            <w:tcW w:w="138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300" w:type="dxa"/>
            <w:vAlign w:val="bottom"/>
          </w:tcPr>
          <w:p>
            <w:pPr>
              <w:jc w:val="center"/>
              <w:spacing w:after="0" w:line="243" w:lineRule="exact"/>
              <w:rPr>
                <w:sz w:val="20"/>
                <w:szCs w:val="20"/>
                <w:color w:val="auto"/>
              </w:rPr>
            </w:pPr>
            <w:r>
              <w:rPr>
                <w:rFonts w:ascii="Arial" w:cs="Arial" w:eastAsia="Arial" w:hAnsi="Arial"/>
                <w:sz w:val="18"/>
                <w:szCs w:val="18"/>
                <w:b w:val="1"/>
                <w:bCs w:val="1"/>
                <w:color w:val="auto"/>
                <w:w w:val="96"/>
              </w:rPr>
              <w:t xml:space="preserve">(Shares) </w:t>
            </w:r>
            <w:r>
              <w:rPr>
                <w:rFonts w:ascii="Arial" w:cs="Arial" w:eastAsia="Arial" w:hAnsi="Arial"/>
                <w:sz w:val="23"/>
                <w:szCs w:val="23"/>
                <w:b w:val="1"/>
                <w:bCs w:val="1"/>
                <w:color w:val="auto"/>
                <w:w w:val="96"/>
                <w:vertAlign w:val="superscript"/>
              </w:rPr>
              <w:t>(2)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of Warrants</w:t>
            </w:r>
          </w:p>
        </w:tc>
        <w:tc>
          <w:tcPr>
            <w:tcW w:w="0" w:type="dxa"/>
            <w:vAlign w:val="bottom"/>
          </w:tcPr>
          <w:p>
            <w:pPr>
              <w:spacing w:after="0"/>
              <w:rPr>
                <w:sz w:val="1"/>
                <w:szCs w:val="1"/>
                <w:color w:val="auto"/>
              </w:rPr>
            </w:pPr>
          </w:p>
        </w:tc>
      </w:tr>
      <w:tr>
        <w:trPr>
          <w:trHeight w:val="223"/>
        </w:trPr>
        <w:tc>
          <w:tcPr>
            <w:tcW w:w="1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PSP1</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April 20, 2020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29"/>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PSP2</w:t>
            </w:r>
          </w:p>
        </w:tc>
        <w:tc>
          <w:tcPr>
            <w:tcW w:w="17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January 15, 2021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3,533</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29"/>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PSP3</w:t>
            </w:r>
          </w:p>
        </w:tc>
        <w:tc>
          <w:tcPr>
            <w:tcW w:w="1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April 23, 2021</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32"/>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3,746</w:t>
            </w:r>
          </w:p>
        </w:tc>
        <w:tc>
          <w:tcPr>
            <w:tcW w:w="8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12,786</w:t>
            </w:r>
          </w:p>
        </w:tc>
        <w:tc>
          <w:tcPr>
            <w:tcW w:w="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00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21" w:lineRule="exact"/>
        <w:rPr>
          <w:sz w:val="20"/>
          <w:szCs w:val="20"/>
          <w:color w:val="auto"/>
        </w:rPr>
      </w:pPr>
    </w:p>
    <w:p>
      <w:pPr>
        <w:jc w:val="both"/>
        <w:ind w:left="340" w:hanging="332"/>
        <w:spacing w:after="0"/>
        <w:tabs>
          <w:tab w:leader="none" w:pos="334" w:val="left"/>
        </w:tabs>
        <w:numPr>
          <w:ilvl w:val="0"/>
          <w:numId w:val="64"/>
        </w:numPr>
        <w:rPr>
          <w:rFonts w:ascii="Arial" w:cs="Arial" w:eastAsia="Arial" w:hAnsi="Arial"/>
          <w:sz w:val="23"/>
          <w:szCs w:val="23"/>
          <w:color w:val="auto"/>
          <w:vertAlign w:val="superscript"/>
        </w:rPr>
      </w:pPr>
      <w:r>
        <w:rPr>
          <w:rFonts w:ascii="Arial" w:cs="Arial" w:eastAsia="Arial" w:hAnsi="Arial"/>
          <w:sz w:val="18"/>
          <w:szCs w:val="18"/>
          <w:color w:val="auto"/>
        </w:rPr>
        <w:t>As partial compensation to the U.S. Government for the provision of financial assistance under the PSP Agreements, AAG issued promissory notes to Treasury (PSP1 Promissory Note, PSP2 Promissory Note and PSP3 Promissory Note, collectively the PSP Promissory Notes), in the aggregate principal sum of $3.7 billion which provides for the guarantee of AAG’s obligations under the PSP Promissory Notes by the Subsidiaries.</w:t>
      </w:r>
    </w:p>
    <w:p>
      <w:pPr>
        <w:spacing w:after="0" w:line="139"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64"/>
        </w:numPr>
        <w:rPr>
          <w:rFonts w:ascii="Arial" w:cs="Arial" w:eastAsia="Arial" w:hAnsi="Arial"/>
          <w:sz w:val="23"/>
          <w:szCs w:val="23"/>
          <w:color w:val="auto"/>
          <w:vertAlign w:val="superscript"/>
        </w:rPr>
      </w:pPr>
      <w:r>
        <w:rPr>
          <w:rFonts w:ascii="Arial" w:cs="Arial" w:eastAsia="Arial" w:hAnsi="Arial"/>
          <w:sz w:val="18"/>
          <w:szCs w:val="18"/>
          <w:color w:val="auto"/>
        </w:rPr>
        <w:t>The payroll support program warrants (PSP Warrants) are subject to certain anti-dilution provisions, do not have any voting rights and are freely transferable, with registration rights. Each warrant expires on the fifth anniversary of the date of issuance, with expiration dates ranging from April 2025 to June 2026, and will be exercisable either through net share settlement or cash, at AAG’s option. The warrants were issued solely as compensation to the U.S. Government related to entry into the PSP Agreements. No separate proceeds (apart from the financial assistance described below) were received upon issuance of the warrants or will be received upon exercise thereof.</w:t>
      </w:r>
    </w:p>
    <w:p>
      <w:pPr>
        <w:spacing w:after="0" w:line="13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connection with the PSP Agreements entered into with Treasury, AAG and the Subsidiaries were required to comply with the relevant provisions of the CARES Act, the PSP Extension Law, and the ARP, which included the requirement that funds provided pursuant to these programs be used exclusively for the continuation of payment of eligible employee wages, salaries and benefits, the prohibition against involuntary furloughs and reductions in employee pay rates and benefits, the requirement that certain levels of commercial air service be maintained, provisions that prohibited the</w:t>
      </w:r>
    </w:p>
    <w:p>
      <w:pPr>
        <w:sectPr>
          <w:pgSz w:w="11900" w:h="16838" w:orient="portrait"/>
          <w:cols w:equalWidth="0" w:num="1">
            <w:col w:w="11240"/>
          </w:cols>
          <w:pgMar w:left="320" w:top="363"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repurchase of AAG common stock and the payment of common stock dividends as well as provisions that restrict the payment of certain executive compensation. As of December 31, 2023, all of these provisions have expired.</w:t>
      </w:r>
    </w:p>
    <w:p>
      <w:pPr>
        <w:spacing w:after="0" w:line="10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For accounting purposes, the $12.8 billion of aggregate financial assistance received pursuant to the PSP Agreements was allocated to the promissory notes, warrants and other financial assistance (PSP Financial Assistance). The aggregate principal amount of the promissory notes was recorded as unsecured long-term debt and the total fair value of the warrants, estimated using a Black-Scholes option pricing model, was recorded in stockholders’ deficit in AAG’s consolidated balance sheets. The remaining amounts were recognized in 2020 and 2021 as a credit to special items, net in the consolidated statements of operations over the period which the continuation of payment of eligible employee wages, salaries and benefits was required.</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Treasury Loan Agreement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September 25, 2020 (the Treasury Loan Closing Date), AAG and American entered into a Loan and Guarantee Agreement (the Treasury Loan Agreement) with Treasury, which provided for a secured term loan facility (the Treasury Term Loan Facility) that permitted American to borrow up to $5.5 billion. Subsequently, on October 21, 2020, AAG and American entered into an amendment to the Treasury Loan Agreement which increased the borrowing amount up to $7.5 billion. In connection with AAG’s entry into the Treasury Loan Agreement, on the Treasury Loan Closing Date, AAG also entered into a warrant agreement (the Treasury Loan Warrant Agreement) with Treasury.</w:t>
      </w:r>
    </w:p>
    <w:p>
      <w:pPr>
        <w:spacing w:after="0" w:line="1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September 2020, American borrowed $ 550 million under the Treasury Term Loan Facility and on March 24, 2021, used a portion of the proceeds from the AAdvantage Financing to prepay in full the $550 million of outstanding loans under the Treasury Term Loan Facility and terminated the Treasury Loan Agreement. Pursuant to the Treasury Loan Agreement, AAG issued to Treasury warrants (Treasury Loan Warrants) to purchase up to an aggregate of approximately 4.4 million shares of AAG common stock (the Treasury Loan Warrant Shares), which expire in September 2025. The exercise price of the Treasury Loan Warrant Shares is $ 12.51 per share, subject to certain anti-dilution provisions provided for in the Treasury Loan Warrant Agreement. For accounting purposes, the fair value for the Treasury Loan Warrant Shares, estimated using a Black-Scholes option pricing model, was recorded in stockholders' deficit in AAG’s consolidated balance sheet with an offsetting debt discount to the Treasury Term Loan Facility in American’s consolidated balance sheet. The provisions of the Treasury Loan Warrants are substantially similar to the PSP Warrants.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 Recent Accounting Pronouncements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Standards Update (ASU) 2023-07: Segment Reporting (Topic 280) Improvements to Reportable Segment Disclosures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This standard improves reportable segment disclosure requirements, primarily through enhanced disclosures about significant segment expenses. The amendments in this update are effective for fiscal years beginning after December 15, 2023 and interim periods within fiscal years beginning after December 15, 2024, and early adoption is permitted. American is currently evaluating how the adoption of this standard will impact its reportable segment disclosures.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ASU 2023-09: Income Taxes (Topic 740) Improvements to Income Tax Disclosures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This standard enhances transparency of income tax information through improvements to income tax disclosures primarily related to the rate reconciliation and income taxes paid information, as well as improvements to the effectiveness and comparability of other income tax disclosures. The amendments in this update are effective for annual periods beginning after December 15, 2024, and early adoption is permitted. American is currently evaluating how the adoption of this standard will impact its income tax disclosures.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 Investments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Short-term investments primarily include debt securities and are classified as available-for-sale and stated at fair value. Realized gains and losses are recorded as interest income in nonoperating expense, net on American’s consolidated statements of operations. Unrealized gains and losses are recorded as a component of accumulated other comprehensive loss on American’s consolidated balance sheets. For investments in an unrealized loss position, American determines whether a credit loss exists by considering information about the collectability of the instrument, current market conditions and reasonable and supportable forecasts of economic conditions. There have been no credit losses.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Equity investments are accounted for under the equity method if American is able to exercise significant influence over an investee. Equity investments for which American does not have significant influence are recorded at fair value or at cost, if fair value is not readily determinable, with adjustments for observable changes in price or impairments (referred to as the measurement alternative). American’s share of equity method investees’ financial results and changes in fair value are recorded in nonoperating other income (expense), net on the consolidated statements of operations. See Note 7 for additional information related to American’s equity investments.</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Restricted Cash and Short-term Investments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American has restricted cash and short-term investments related primarily to collateral held to support workers’ compensation obligations and collateral associated with the AAdvantage Financing.</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 Accounts Receivable, Net</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Accounts receivable primarily consist of amounts due from credit card processing companies for tickets sold to individual passengers, amounts due from airline and non-airline business partners, including American’s co-branded credit card partners and cargo customers. Receivables from ticket sales are short-term, mostly settled within seven days after sale. Receivables from American’s business partners are typically settled within 30 days. All accounts receivable are reported net of an allowance for credit losses, which was not material as of December 31, 2023 and 2022. American considers past and future financial and qualitative factors, including aging, payment history and other credit monitoring indicators, when establishing the allowance for credit losses.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 Aircraft Fuel, Spare Parts and Supplies, Net</w:t>
      </w:r>
    </w:p>
    <w:p>
      <w:pPr>
        <w:spacing w:after="0" w:line="88"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Aircraft fuel is recorded on a first-in, first-out basis. Spare parts and supplies are recorded at average costs less an allowance for obsolescence, which is recognized over the weighted average remaining useful life of the related fleet. American also provides an allowance for spare parts and supplies identified as excess or obsolete to reduce the carrying cost to the lower of cost or net realizable value. Aircraft fuel, spare parts and supplies are expensed when used.</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 Operating Property and Equipment</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Operating property and equipment is recorded at cost and depreciated or amortized to residual values over the asset’s estimated useful life or the lease term, whichever is less, using the straight-line method. Residual values for aircraft, engines and related rotable parts are generally 5% to 10% of original cost. Costs of major improvements that enhance the usefulness of the asset are capitalized and depreciated or amortized over the estimated useful life of the asset or the lease term, whichever is less. The estimated useful lives for the principal property and equipment classifications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Principal Property and Equipment Classification</w:t>
            </w:r>
          </w:p>
        </w:tc>
        <w:tc>
          <w:tcPr>
            <w:tcW w:w="47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Estimated Useful Life</w:t>
            </w: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Aircraft, engines and related rotable parts</w:t>
            </w: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 30 years</w:t>
            </w:r>
          </w:p>
        </w:tc>
      </w:tr>
      <w:tr>
        <w:trPr>
          <w:trHeight w:val="229"/>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38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 30 years</w:t>
            </w:r>
          </w:p>
        </w:tc>
      </w:tr>
      <w:tr>
        <w:trPr>
          <w:trHeight w:val="229"/>
        </w:trPr>
        <w:tc>
          <w:tcPr>
            <w:tcW w:w="20" w:type="dxa"/>
            <w:vAlign w:val="bottom"/>
            <w:shd w:val="clear" w:color="auto" w:fill="CCEEFF"/>
          </w:tcPr>
          <w:p>
            <w:pPr>
              <w:spacing w:after="0"/>
              <w:rPr>
                <w:sz w:val="19"/>
                <w:szCs w:val="19"/>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other equipment</w:t>
            </w:r>
          </w:p>
        </w:tc>
        <w:tc>
          <w:tcPr>
            <w:tcW w:w="3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 15 years</w:t>
            </w:r>
          </w:p>
        </w:tc>
      </w:tr>
      <w:tr>
        <w:trPr>
          <w:trHeight w:val="239"/>
        </w:trPr>
        <w:tc>
          <w:tcPr>
            <w:tcW w:w="20" w:type="dxa"/>
            <w:vAlign w:val="bottom"/>
          </w:tcPr>
          <w:p>
            <w:pPr>
              <w:spacing w:after="0"/>
              <w:rPr>
                <w:sz w:val="20"/>
                <w:szCs w:val="20"/>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Capitalized software</w:t>
            </w:r>
          </w:p>
        </w:tc>
        <w:tc>
          <w:tcPr>
            <w:tcW w:w="38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 10 years</w:t>
            </w:r>
          </w:p>
        </w:tc>
      </w:tr>
    </w:tbl>
    <w:p>
      <w:pPr>
        <w:spacing w:after="0" w:line="22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Total mainline and regional depreciation and amortization expense was $2.2 billion for each of the years ended December 31, 2023 and 2022 and $2.3 billion for the year ended December 31, 2021.</w:t>
      </w:r>
    </w:p>
    <w:p>
      <w:pPr>
        <w:spacing w:after="0" w:line="10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 assesses impairment of operating property and equipment when events and circumstances indicate that the assets may be impaired. An impairment of an asset or group of assets exists only when the sum of the estimated undiscounted cash flows expected to be generated directly by the assets are less than the carrying value of the assets. American groups assets principally by fleet-type when estimating future cash flows, which is generally the lowest level for which identifiable cash flows exist. Estimates of future cash flows are based on historical results adjusted to reflect management’s best estimate of future market and operating conditions, including American’s current fleet plan. If such assets are impaired, the impairment charge recognized is the amount by which the carrying value of the assets exceed their fair value. Fair value reflects management’s best estimate including inputs from published pricing guides and bids from third parties as well as contracted sales agreements when applicable.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 Leases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determines if an arrangement is a lease at inception. Operating leases are included in operating lease right-of-use (ROU) assets, current operating lease liabilities and noncurrent operating lease liabilities on American’s consolidated balance sheets. Finance leases are included in property and equipment, current maturities of long-term debt and finance leases and long-term debt and finance leases, net of current maturities, on American’s consolidated balance sheets.</w:t>
      </w:r>
    </w:p>
    <w:p>
      <w:pPr>
        <w:spacing w:after="0" w:line="12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ROU assets represent American’s right to use an underlying asset for the lease term and lease liabilities represent its obligation to make lease payments arising from the lease. ROU assets and liabilities are recognized at the lease commencement date based on the estimated present value of lease payments over the lease term.</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 uses its estimated incremental borrowing rate, which is derived from information available at the lease commencement date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in determining the present value of lease payments. American gives consideration to its recent debt issuances as well as publicly available data for instruments with similar characteristics when calculating its incremental borrowing rates.</w:t>
      </w:r>
    </w:p>
    <w:p>
      <w:pPr>
        <w:spacing w:after="0" w:line="11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American’s lease term includes options to extend the lease when it is reasonably certain that it will exercise that option. Leases with a term of 12 months or less are not recorded on its consolidated balance sheets.</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Under certain of American’s capacity purchase agreements with third-party regional carriers, American does not own the underlying aircraft. However, since American controls the marketing, scheduling, ticketing, pricing and seat inventories of these aircraft and therefore control the asset, the aircraft is deemed to be leased for accounting purposes. For these capacity purchase agreements, American accounts for the lease and non-lease components separately. The lease component consists of the aircraft and the non-lease components consist of services, such as the crew and maintenance. Where applicable, American allocates the consideration in the capacity purchase agreements to the lease and non-lease components using their estimated relative standalone prices. See Note 10(b) for additional information on its capacity purchase agreements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real estate, American accounts for the lease and non-lease components as a single lease component.</w:t>
      </w:r>
    </w:p>
    <w:p>
      <w:pPr>
        <w:spacing w:after="0" w:line="2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(j) Income Taxes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recorded net as noncurrent deferred income taxes.</w:t>
      </w:r>
    </w:p>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American provides a valuation allowance for its deferred tax assets when it is more likely than not that some portion, or all of its deferred tax assets, will not be realized. The ultimate realization of deferred tax assets is dependent upon the generation of future taxable income.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has determined that positive factors outweigh negative factors in the determination of the realizability of its deferred tax assets.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(k) Goodwill</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Goodwill represents the purchase price in excess of the fair value of the net assets acquired and liabilities assumed in connection with the 2013 merger with US Airways Group, Inc. (US Airways Group). American has one reporting unit. American assesses goodwill for impairment annually or more frequently if events or circumstances indicate that the fair value of goodwill may be lower than the carrying value. American’s annual assessment date is October 1.</w:t>
      </w:r>
    </w:p>
    <w:p>
      <w:pPr>
        <w:spacing w:after="0" w:line="121"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Goodwill is assessed for impairment by initially performing a qualitative assessment. If American determines that it is more likely than not that its goodwill may be impaired, it uses a quantitative approach to assess the asset’s fair value and the amount of the impairment, if any. Based upon American’s annual assessment, there was no goodwill impairment in 2023. The carrying value of American’s goodwill on its consolidated balance sheets was $4.1 billion as of December 31, 2023 and 2022.</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 Other Intangibles, Net</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Intangible assets consist primarily of certain domestic airport slots and gate leasehold rights, customer relationships, marketing agreements, commercial agreements, international slots and route authorities and tradenames.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Definite-Lived Intangible Assets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Definite-lived intangible assets are originally recorded at their acquired fair values, subsequently amortized over their respective estimated useful lives and are assessed for impairment whenever events and circumstances indicate that the assets may be impaired.</w:t>
      </w:r>
    </w:p>
    <w:p>
      <w:pPr>
        <w:spacing w:after="0" w:line="100"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The following table provides information relating to American’s amortizable intangible assets as of December 31, 2023 and 2022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2022</w:t>
            </w: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airport slots</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agreements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Tradenames</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Airport gate leasehold rights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r>
      <w:tr>
        <w:trPr>
          <w:trHeight w:val="248"/>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Certain domestic airport slots and airport gate leasehold rights are amortized on a straight-line basis over 25 years. Certain marketing agreements were identified as intangible assets subject to amortization and are amortized on a straight-line basis over approximately 30 years. Customer relationships and tradenames are fully amortized.</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 recorded amortization expense related to these intangible assets of $7 million for the year ended December 31, 2023 and $41 million for each of the years ended December 31, 2022 and 2021. American expects to record annual amortization expense for these intangible assets as follows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2025</w:t>
            </w: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2027</w:t>
            </w: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2029 and thereafter</w:t>
            </w: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48"/>
        </w:trPr>
        <w:tc>
          <w:tcPr>
            <w:tcW w:w="9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Indefinite-Lived Intangible Assets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Indefinite-lived intangible assets include certain domestic airport slots, international slots and route authorities and American’s commercial agreement with GOL Linhas Aéreas Inteligentes S.A. (GOL). American assesses indefinite-lived intangible assets for impairment annually or more frequently if events or circumstances indicate that the fair values of indefinite-lived intangible assets may be lower than their carrying values. American’s annual assessment date is October 1.</w:t>
      </w:r>
    </w:p>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Indefinite-lived intangible assets are assessed for impairment by initially performing a qualitative assessment. If American determines that it is more likely than not that its indefinite-lived intangible assets may be impaired, American uses a quantitative approach to assess the asset’s fair value and the amount of the impairment, if any. Based upon American’s annual assessment, there were no indefinite-lived intangible asset impairments in 2023. American had $1.9 billion of indefinite-lived intangible assets on its consolidated balance sheets as of December 31, 2023 and 2022.</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right="8820" w:hanging="9"/>
        <w:spacing w:after="0" w:line="342" w:lineRule="auto"/>
        <w:tabs>
          <w:tab w:leader="none" w:pos="589"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i w:val="1"/>
          <w:iCs w:val="1"/>
          <w:u w:val="single" w:color="auto"/>
          <w:color w:val="auto"/>
        </w:rPr>
        <w:t>Revenue</w:t>
      </w:r>
    </w:p>
    <w:p>
      <w:pPr>
        <w:spacing w:after="0" w:line="1" w:lineRule="exact"/>
        <w:rPr>
          <w:rFonts w:ascii="Arial" w:cs="Arial" w:eastAsia="Arial" w:hAnsi="Arial"/>
          <w:sz w:val="18"/>
          <w:szCs w:val="18"/>
          <w:b w:val="1"/>
          <w:bCs w:val="1"/>
          <w:i w:val="1"/>
          <w:iCs w:val="1"/>
          <w:color w:val="auto"/>
        </w:rPr>
      </w:pPr>
    </w:p>
    <w:p>
      <w:pPr>
        <w:ind w:left="2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following are the significant categories comprising American’s operating revenues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60" w:type="dxa"/>
            <w:vAlign w:val="bottom"/>
            <w:gridSpan w:val="2"/>
            <w:vMerge w:val="restart"/>
          </w:tcPr>
          <w:p>
            <w:pPr>
              <w:ind w:left="20"/>
              <w:spacing w:after="0"/>
              <w:rPr>
                <w:sz w:val="20"/>
                <w:szCs w:val="20"/>
                <w:color w:val="auto"/>
              </w:rPr>
            </w:pPr>
            <w:r>
              <w:rPr>
                <w:rFonts w:ascii="Arial" w:cs="Arial" w:eastAsia="Arial" w:hAnsi="Arial"/>
                <w:sz w:val="18"/>
                <w:szCs w:val="18"/>
                <w:color w:val="auto"/>
              </w:rPr>
              <w:t>Passenger revenue:</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4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Passenger travel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44,914</w:t>
            </w:r>
          </w:p>
        </w:tc>
        <w:tc>
          <w:tcPr>
            <w:tcW w:w="5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23,896</w:t>
            </w:r>
          </w:p>
        </w:tc>
        <w:tc>
          <w:tcPr>
            <w:tcW w:w="0" w:type="dxa"/>
            <w:vAlign w:val="bottom"/>
          </w:tcPr>
          <w:p>
            <w:pPr>
              <w:spacing w:after="0"/>
              <w:rPr>
                <w:sz w:val="1"/>
                <w:szCs w:val="1"/>
                <w:color w:val="auto"/>
              </w:rPr>
            </w:pPr>
          </w:p>
        </w:tc>
      </w:tr>
      <w:tr>
        <w:trPr>
          <w:trHeight w:val="229"/>
        </w:trPr>
        <w:tc>
          <w:tcPr>
            <w:tcW w:w="6460" w:type="dxa"/>
            <w:vAlign w:val="bottom"/>
            <w:tcBorders>
              <w:bottom w:val="single" w:sz="8" w:color="CCEEFF"/>
            </w:tcBorders>
            <w:gridSpan w:val="2"/>
          </w:tcPr>
          <w:p>
            <w:pPr>
              <w:ind w:left="220"/>
              <w:spacing w:after="0" w:line="230"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23"/>
        </w:trPr>
        <w:tc>
          <w:tcPr>
            <w:tcW w:w="64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passenger revenue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26,063</w:t>
            </w:r>
          </w:p>
        </w:tc>
        <w:tc>
          <w:tcPr>
            <w:tcW w:w="0" w:type="dxa"/>
            <w:vAlign w:val="bottom"/>
          </w:tcPr>
          <w:p>
            <w:pPr>
              <w:spacing w:after="0"/>
              <w:rPr>
                <w:sz w:val="1"/>
                <w:szCs w:val="1"/>
                <w:color w:val="auto"/>
              </w:rPr>
            </w:pPr>
          </w:p>
        </w:tc>
      </w:tr>
      <w:tr>
        <w:trPr>
          <w:trHeight w:val="229"/>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Cargo</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29"/>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gridSpan w:val="2"/>
          </w:tcPr>
          <w:p>
            <w:pPr>
              <w:ind w:left="220"/>
              <w:spacing w:after="0"/>
              <w:rPr>
                <w:sz w:val="20"/>
                <w:szCs w:val="20"/>
                <w:color w:val="auto"/>
              </w:rPr>
            </w:pPr>
            <w:r>
              <w:rPr>
                <w:rFonts w:ascii="Arial" w:cs="Arial" w:eastAsia="Arial" w:hAnsi="Arial"/>
                <w:sz w:val="18"/>
                <w:szCs w:val="18"/>
                <w:color w:val="auto"/>
              </w:rPr>
              <w:t>Loyalty revenue - marketing services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29"/>
        </w:trPr>
        <w:tc>
          <w:tcPr>
            <w:tcW w:w="6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other revenue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operating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52,784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29,880</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4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66"/>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 See “</w:t>
      </w:r>
      <w:r>
        <w:rPr>
          <w:rFonts w:ascii="Arial" w:cs="Arial" w:eastAsia="Arial" w:hAnsi="Arial"/>
          <w:sz w:val="18"/>
          <w:szCs w:val="18"/>
          <w:i w:val="1"/>
          <w:iCs w:val="1"/>
          <w:color w:val="auto"/>
        </w:rPr>
        <w:t>Loyalty Revenue”</w:t>
      </w:r>
      <w:r>
        <w:rPr>
          <w:rFonts w:ascii="Arial" w:cs="Arial" w:eastAsia="Arial" w:hAnsi="Arial"/>
          <w:sz w:val="18"/>
          <w:szCs w:val="18"/>
          <w:color w:val="auto"/>
        </w:rPr>
        <w:t xml:space="preserve"> below for further discussion on these mileage credits.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8"/>
        </w:trPr>
        <w:tc>
          <w:tcPr>
            <w:tcW w:w="6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25"/>
        </w:trPr>
        <w:tc>
          <w:tcPr>
            <w:tcW w:w="6440" w:type="dxa"/>
            <w:vAlign w:val="bottom"/>
          </w:tcPr>
          <w:p>
            <w:pPr>
              <w:ind w:left="20"/>
              <w:spacing w:after="0"/>
              <w:rPr>
                <w:sz w:val="20"/>
                <w:szCs w:val="20"/>
                <w:color w:val="auto"/>
              </w:rPr>
            </w:pPr>
            <w:r>
              <w:rPr>
                <w:rFonts w:ascii="Arial" w:cs="Arial" w:eastAsia="Arial" w:hAnsi="Arial"/>
                <w:sz w:val="18"/>
                <w:szCs w:val="18"/>
                <w:color w:val="auto"/>
              </w:rPr>
              <w:t>Domestic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34,592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32,911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21,453</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Atlantic</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6,205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965</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Pacific</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3"/>
        </w:trPr>
        <w:tc>
          <w:tcPr>
            <w:tcW w:w="6440" w:type="dxa"/>
            <w:vAlign w:val="bottom"/>
          </w:tcPr>
          <w:p>
            <w:pPr>
              <w:ind w:left="220"/>
              <w:spacing w:after="0"/>
              <w:rPr>
                <w:sz w:val="20"/>
                <w:szCs w:val="20"/>
                <w:color w:val="auto"/>
              </w:rPr>
            </w:pPr>
            <w:r>
              <w:rPr>
                <w:rFonts w:ascii="Arial" w:cs="Arial" w:eastAsia="Arial" w:hAnsi="Arial"/>
                <w:sz w:val="18"/>
                <w:szCs w:val="18"/>
                <w:color w:val="auto"/>
              </w:rPr>
              <w:t>Total passenger revenue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48,512</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44,568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26,063</w:t>
            </w: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5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Passenger Revenue</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recognizes all revenues generated from transportation on American and its regional flights operated under the brand name American Eagle, including associated baggage fees and other inflight services, as passenger revenue when transportation is provided. Ticket and other related sales for transportation that has not yet been provided are initially deferred and recorded as air traffic liability on American’s consolidated balance sheets. The air traffic liability principally represents tickets sold for future travel on American and partner airlines.</w:t>
      </w:r>
    </w:p>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majority of tickets sold are nonrefundable. A small percentage of tickets, some of which are partially used tickets, expire unused. The estimate for tickets expected to expire unused is generally based on an analysis of American’s historical data and other current applicable factors such as policy changes. American has consistently applied this accounting method to estimate and recognize revenue from unused tickets at the date of travel. This estimate is periodically evaluated based on subsequent activity to validate its accuracy. Any adjustments resulting from periodic evaluations of the estimated air traffic liability are included in passenger revenue during the period in which the evaluations are completed.</w:t>
      </w:r>
    </w:p>
    <w:p>
      <w:pPr>
        <w:spacing w:after="0" w:line="126"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Various taxes and fees assessed on the sale of tickets to end customers are collected by American as an agent and remitted to taxing authorities. These taxes and fees have been presented on a net basis in the accompanying consolidated statements of operations and recorded as a liability until remitted to the appropriate taxing authority.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Loyalty Revenue</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American currently operates the loyalty program, AAdvantage. This program awards mileage credits to passengers who fly on American, any </w:t>
      </w:r>
      <w:r>
        <w:rPr>
          <w:rFonts w:ascii="Arial" w:cs="Arial" w:eastAsia="Arial" w:hAnsi="Arial"/>
          <w:sz w:val="18"/>
          <w:szCs w:val="18"/>
          <w:b w:val="1"/>
          <w:bCs w:val="1"/>
          <w:color w:val="auto"/>
        </w:rPr>
        <w:t>one</w:t>
      </w:r>
      <w:r>
        <w:rPr>
          <w:rFonts w:ascii="Arial" w:cs="Arial" w:eastAsia="Arial" w:hAnsi="Arial"/>
          <w:sz w:val="18"/>
          <w:szCs w:val="18"/>
          <w:color w:val="auto"/>
        </w:rPr>
        <w:t>world airline or other partner airlines, or by using the services of other program participants, such as American’s co-branded credit cards, and certain hotels and car rental companies. Mileage credits can be redeemed for travel on American and other participating partner airlines, as well as non-air travel awards such as hotels and rental cars. For mileage credits earned by AAdvantage program members, American applies the deferred revenue method.</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Mileage credits earned through travel</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For mileage credits earned through travel, American applies a relative selling price approach whereby the total amount collected from each passenger ticket sale is allocated between the air transportation and the mileage credits earned. The portion of each passenger ticket sale attributable to mileage credits earned is initially deferred and then recognized in passenger revenue when mileage credits are redeemed and transportation is provided. The estimated selling price of mileage credits is determined using an equivalent ticket value approach, which uses historical data, including award redemption patterns by geographic region and class of service, as well as similar cash fares as those used to settle award redemptions. The estimated selling price of mileage credits is adjusted for an estimate of mileage credits that will not be redeemed using a statistical model based on historical redemption patterns to develop an estimate of the likelihood of future redemption.</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Mileage credits sold to co-branded credit cards and other partners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sells mileage credits to participating airline partners and non-airline business partners, including American’s co-branded credit card partners, under contracts with remaining terms generally from one to six years as of December 31, 2023. Consideration received from the sale of mileage credits is variable and payment terms typically are within 30 days subsequent to the month of mileage sale. Sales of mileage credits to non-airline business partners are comprised of two components, transportation and marketing. American allocates the consideration received from these sales of mileage credits based on the relative selling price of each product or service delivered.</w:t>
      </w:r>
    </w:p>
    <w:p>
      <w:pPr>
        <w:spacing w:after="0" w:line="1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most significant mileage credit partner agreements are its co-branded credit card agreements with Citi and Barclaycard US. American identified two revenue elements in these co-branded credit card agreements: the transportation component and the marketing component.</w:t>
      </w:r>
    </w:p>
    <w:p>
      <w:pPr>
        <w:spacing w:after="0" w:line="116"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The transportation component represents the estimated selling price of future travel awards and is determined using the same equivalent ticket value approach described above. The portion of each mileage credit sold attributable to transportation is initially deferred and then recognized in passenger revenue when mileage credits are redeemed and transportation is provided.</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marketing component includes the use of intellectual property, including the American brand and access to loyalty program member lists, which is the predominant element in these agreements, as well as advertising and other travel-related benefits. American recognizes the marketing component in other revenue in the period of the mileage credit sale following the sales-based royalty method.</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For the portion of American’s outstanding mileage credits that it estimates will not be redeemed, American recognizes the associated value proportionally as the remaining mileage credits are redeemed. American’s estimates use a statistical model based on historical redemption patterns to develop an estimate of the likelihood of future redemption.</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Cargo Revenue</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Cargo revenue is recognized when American provides the transportation.</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Other Revenue</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Other revenue includes revenue associated with American’s loyalty program, which is comprised principally of the marketing component of mileage credit sales to co-branded credit card and other partners and other marketing related payments. The accounting and recognition for the loyalty program marketing services are discussed above in “</w:t>
      </w:r>
      <w:r>
        <w:rPr>
          <w:rFonts w:ascii="Arial" w:cs="Arial" w:eastAsia="Arial" w:hAnsi="Arial"/>
          <w:sz w:val="18"/>
          <w:szCs w:val="18"/>
          <w:i w:val="1"/>
          <w:iCs w:val="1"/>
          <w:color w:val="auto"/>
        </w:rPr>
        <w:t>Loyalty Revenue</w:t>
      </w:r>
      <w:r>
        <w:rPr>
          <w:rFonts w:ascii="Arial" w:cs="Arial" w:eastAsia="Arial" w:hAnsi="Arial"/>
          <w:sz w:val="18"/>
          <w:szCs w:val="18"/>
          <w:color w:val="auto"/>
        </w:rPr>
        <w:t>.” The remaining amounts included within other revenue relate to airport clubs, other commission revenue, advertising and vacation-related services.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travel and non-air travel awards, reported as loyalty program liability on American’s consolidated balance sheets and (2) ticket sales for transportation that has not yet been provided, reported as air traffic liability on American’s consolidated balance sheets.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8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r>
      <w:tr>
        <w:trPr>
          <w:trHeight w:val="196"/>
        </w:trPr>
        <w:tc>
          <w:tcPr>
            <w:tcW w:w="7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7"/>
                <w:szCs w:val="17"/>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w:t>
            </w:r>
          </w:p>
        </w:tc>
      </w:tr>
      <w:tr>
        <w:trPr>
          <w:trHeight w:val="248"/>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15,890</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5938520</wp:posOffset>
            </wp:positionH>
            <wp:positionV relativeFrom="paragraph">
              <wp:posOffset>-615950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ectPr>
          <w:pgSz w:w="11900" w:h="16838" w:orient="portrait"/>
          <w:cols w:equalWidth="0" w:num="1">
            <w:col w:w="11240"/>
          </w:cols>
          <w:pgMar w:left="320" w:top="122" w:right="339" w:bottom="1440" w:gutter="0" w:footer="0" w:header="0"/>
        </w:sectPr>
      </w:pP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Deferral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Balance at December 31, 2023 </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31000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242" w:hanging="1242"/>
        <w:spacing w:after="0"/>
        <w:tabs>
          <w:tab w:leader="none" w:pos="1242" w:val="left"/>
        </w:tabs>
        <w:numPr>
          <w:ilvl w:val="0"/>
          <w:numId w:val="67"/>
        </w:numPr>
        <w:rPr>
          <w:rFonts w:ascii="Arial" w:cs="Arial" w:eastAsia="Arial" w:hAnsi="Arial"/>
          <w:sz w:val="18"/>
          <w:szCs w:val="18"/>
          <w:color w:val="auto"/>
        </w:rPr>
      </w:pPr>
      <w:r>
        <w:rPr>
          <w:rFonts w:ascii="Arial" w:cs="Arial" w:eastAsia="Arial" w:hAnsi="Arial"/>
          <w:sz w:val="18"/>
          <w:szCs w:val="18"/>
          <w:color w:val="auto"/>
        </w:rPr>
        <w:t>9,145</w:t>
      </w:r>
    </w:p>
    <w:p>
      <w:pPr>
        <w:spacing w:after="0" w:line="31" w:lineRule="exact"/>
        <w:rPr>
          <w:rFonts w:ascii="Arial" w:cs="Arial" w:eastAsia="Arial" w:hAnsi="Arial"/>
          <w:sz w:val="18"/>
          <w:szCs w:val="18"/>
          <w:color w:val="auto"/>
        </w:rPr>
      </w:pPr>
    </w:p>
    <w:p>
      <w:pPr>
        <w:ind w:left="1242"/>
        <w:spacing w:after="0"/>
        <w:rPr>
          <w:rFonts w:ascii="Arial" w:cs="Arial" w:eastAsia="Arial" w:hAnsi="Arial"/>
          <w:sz w:val="18"/>
          <w:szCs w:val="18"/>
          <w:color w:val="auto"/>
        </w:rPr>
      </w:pPr>
      <w:r>
        <w:rPr>
          <w:rFonts w:ascii="Arial" w:cs="Arial" w:eastAsia="Arial" w:hAnsi="Arial"/>
          <w:sz w:val="18"/>
          <w:szCs w:val="18"/>
          <w:color w:val="auto"/>
        </w:rPr>
        <w:t>3,810</w:t>
      </w:r>
    </w:p>
    <w:p>
      <w:pPr>
        <w:spacing w:after="0" w:line="2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(3,628)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wp:posOffset>
            </wp:positionV>
            <wp:extent cx="11303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6" w:lineRule="exact"/>
        <w:rPr>
          <w:sz w:val="20"/>
          <w:szCs w:val="20"/>
          <w:color w:val="auto"/>
        </w:rPr>
      </w:pPr>
    </w:p>
    <w:p>
      <w:pPr>
        <w:ind w:left="1242" w:hanging="1242"/>
        <w:spacing w:after="0"/>
        <w:tabs>
          <w:tab w:leader="none" w:pos="1242" w:val="left"/>
        </w:tabs>
        <w:numPr>
          <w:ilvl w:val="0"/>
          <w:numId w:val="68"/>
        </w:numPr>
        <w:rPr>
          <w:rFonts w:ascii="Arial" w:cs="Arial" w:eastAsia="Arial" w:hAnsi="Arial"/>
          <w:sz w:val="18"/>
          <w:szCs w:val="18"/>
          <w:color w:val="auto"/>
        </w:rPr>
      </w:pPr>
      <w:r>
        <w:rPr>
          <w:rFonts w:ascii="Arial" w:cs="Arial" w:eastAsia="Arial" w:hAnsi="Arial"/>
          <w:sz w:val="18"/>
          <w:szCs w:val="18"/>
          <w:color w:val="auto"/>
        </w:rPr>
        <w:t>9,327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11303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303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1303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8758" w:space="720"/>
            <w:col w:w="1762"/>
          </w:cols>
          <w:pgMar w:left="320" w:top="122" w:right="339" w:bottom="1440" w:gutter="0" w:footer="0" w:header="0"/>
          <w:type w:val="continuous"/>
        </w:sectPr>
      </w:pPr>
    </w:p>
    <w:p>
      <w:pPr>
        <w:spacing w:after="0" w:line="55" w:lineRule="exact"/>
        <w:rPr>
          <w:sz w:val="20"/>
          <w:szCs w:val="20"/>
          <w:color w:val="auto"/>
        </w:rPr>
      </w:pPr>
    </w:p>
    <w:p>
      <w:pPr>
        <w:jc w:val="both"/>
        <w:ind w:left="340" w:hanging="332"/>
        <w:spacing w:after="0"/>
        <w:tabs>
          <w:tab w:leader="none" w:pos="334" w:val="left"/>
        </w:tabs>
        <w:numPr>
          <w:ilvl w:val="0"/>
          <w:numId w:val="69"/>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mileage credits that were part of the loyalty program deferred revenue balance at the beginning of the period, as well as mileage credits that were issued during the period.</w:t>
      </w:r>
    </w:p>
    <w:p>
      <w:pPr>
        <w:spacing w:after="0" w:line="139"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69"/>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24 months or if the AAdvantage member is the primary holder of a co-branded credit card. As of December 31, 2023, American’s current loyalty program liability was $3.5 billion and represents American’s current estimate of revenue expected to be recognized in the next 12 months based on historical trends, with the balance reflected in long-term loyalty program liability expected to be recognized as revenue in periods thereafter.</w:t>
      </w:r>
    </w:p>
    <w:p>
      <w:pPr>
        <w:spacing w:after="0" w:line="13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The balance in American’s air traffic liability also fluctuates with seasonal travel patterns. The contract duration of passenger tickets is generally one year. Accordingly, any revenue associated with tickets sold for future travel will be recognized within 12 months. For 2023, $5.3 billion of revenue was recognized in passenger revenue that was included in American’s air traffic liability at December 31, 2022.</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 Maintenance, Materials and Repairs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Maintenance and repair costs for owned and leased flight equipment are charged to operating expense as incurred, except costs incurred for maintenance and repair under certain power-by-the-hour maintenance agreements, which are charged to operating expense based on contractual terms when an obligation exists.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 Selling Expenses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Selling expenses include credit card fees, commissions, third party distribution channel fees and advertising. Selling expenses associated with passenger revenue are expensed when the transportation or service is provided. Advertising costs are expensed as incurred. Advertising expense was $114 million for the year ended December 31, 2023 and $105 million for each of the years ended December 31, 2022 and 2021.</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 Share-based Compensation</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accounts for its share-based compensation expense based on the fair value of the stock award at the time of grant, which is recognized ratably over the vesting period of the stock award. Certain awards have performance conditions that must be achieved prior to vesting and are expensed based on the expected achievement at each reporting period. The majority of American’s stock awards are time vested restricted stock units, and the fair value of such awards is based on the market price of the underlying shares of AAG common stock on the date of grant. See Note 13 for further discussion of share-based compensation.</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(q) Foreign Currency Gains and Losses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Foreign currency gains and losses are recorded as part of other income (expense), net within total nonoperating expense, net on American’s consolidated statements of operations. For the years ended December 31, 2023</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2022 and 2021, respectively, foreign currency losses were $30 million, $38 million and $4 million.</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 Other Operating Expenses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Other operating expenses includes costs associated with onboard food and catering, crew travel, ground and cargo handling, passenger accommodation, international navigation fees, aircraft cleaning, airport lounge operations and certain general and administrative expenses.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 Regional Expenses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American's regional carriers provide scheduled air transportation under the brand name “American Eagle.” The American Eagle carriers include AAG's wholly-owned regional carriers as well as third-party regional carriers. American's regional carrier arrangements are in the form of capacity purchase agreements with its third-party regional partners and similar arrangements with AAG’s wholly-owned regional affiliates. Expenses associated with American Eagle operations are classified as regional expenses on the consolidated statements of operations.</w:t>
      </w:r>
    </w:p>
    <w:p>
      <w:pPr>
        <w:spacing w:after="0" w:line="124" w:lineRule="exact"/>
        <w:rPr>
          <w:sz w:val="20"/>
          <w:szCs w:val="20"/>
          <w:color w:val="auto"/>
        </w:rPr>
      </w:pPr>
    </w:p>
    <w:p>
      <w:pPr>
        <w:jc w:val="both"/>
        <w:ind w:right="20" w:firstLine="243"/>
        <w:spacing w:after="0" w:line="285" w:lineRule="auto"/>
        <w:rPr>
          <w:sz w:val="20"/>
          <w:szCs w:val="20"/>
          <w:color w:val="auto"/>
        </w:rPr>
      </w:pPr>
      <w:r>
        <w:rPr>
          <w:rFonts w:ascii="Arial" w:cs="Arial" w:eastAsia="Arial" w:hAnsi="Arial"/>
          <w:sz w:val="18"/>
          <w:szCs w:val="18"/>
          <w:color w:val="auto"/>
        </w:rPr>
        <w:t>Regional expenses for the years ended December 31, 2023</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2022 and 2021 include $271 million, $269 million and $263 million of depreciation and amortization, respectively, and $7 million, $5 million and $6 million of aircraft rent, respectively.</w:t>
      </w:r>
    </w:p>
    <w:p>
      <w:pPr>
        <w:spacing w:after="0" w:line="10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2023, 2022 and 2021, American recognized $636 million, $592 million and $495 million, respectively, of expense under its capacity purchase agreement with Republic Airways Inc. (Republic). American holds a 25% equity interest in Republic Airways Holdings Inc. (Republic Holdings), the parent company of Republic.</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 items, net on American’s consolidated statements of operations consisted of the following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24"/>
        </w:trPr>
        <w:tc>
          <w:tcPr>
            <w:tcW w:w="64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(1)</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6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(3)</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Litigation reserve adjustments</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(4)</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r>
      <w:tr>
        <w:trPr>
          <w:trHeight w:val="229"/>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special items, net</w:t>
            </w: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r>
      <w:tr>
        <w:trPr>
          <w:trHeight w:val="256"/>
        </w:trPr>
        <w:tc>
          <w:tcPr>
            <w:tcW w:w="6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6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(4)</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9"/>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(3)</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64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Regional operating special items, net</w:t>
            </w: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23"/>
        </w:trPr>
        <w:tc>
          <w:tcPr>
            <w:tcW w:w="6460" w:type="dxa"/>
            <w:vAlign w:val="bottom"/>
          </w:tcPr>
          <w:p>
            <w:pPr>
              <w:ind w:left="480"/>
              <w:spacing w:after="0"/>
              <w:rPr>
                <w:sz w:val="20"/>
                <w:szCs w:val="20"/>
                <w:color w:val="auto"/>
              </w:rPr>
            </w:pPr>
            <w:r>
              <w:rPr>
                <w:rFonts w:ascii="Arial" w:cs="Arial" w:eastAsia="Arial" w:hAnsi="Arial"/>
                <w:sz w:val="18"/>
                <w:szCs w:val="18"/>
                <w:color w:val="auto"/>
              </w:rPr>
              <w:t>Operating special items, net</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(4,518)</w:t>
            </w:r>
          </w:p>
        </w:tc>
      </w:tr>
      <w:tr>
        <w:trPr>
          <w:trHeight w:val="256"/>
        </w:trPr>
        <w:tc>
          <w:tcPr>
            <w:tcW w:w="6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64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Debt refinancing, extinguishment and other, net </w:t>
            </w:r>
            <w:r>
              <w:rPr>
                <w:rFonts w:ascii="Arial" w:cs="Arial" w:eastAsia="Arial" w:hAnsi="Arial"/>
                <w:sz w:val="23"/>
                <w:szCs w:val="23"/>
                <w:color w:val="auto"/>
                <w:vertAlign w:val="superscript"/>
              </w:rPr>
              <w:t>(5)</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3"/>
                <w:szCs w:val="23"/>
                <w:color w:val="auto"/>
                <w:vertAlign w:val="superscript"/>
              </w:rPr>
              <w:t>(6)</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6460" w:type="dxa"/>
            <w:vAlign w:val="bottom"/>
          </w:tcPr>
          <w:p>
            <w:pPr>
              <w:ind w:left="480"/>
              <w:spacing w:after="0"/>
              <w:rPr>
                <w:sz w:val="20"/>
                <w:szCs w:val="20"/>
                <w:color w:val="auto"/>
              </w:rPr>
            </w:pPr>
            <w:r>
              <w:rPr>
                <w:rFonts w:ascii="Arial" w:cs="Arial" w:eastAsia="Arial" w:hAnsi="Arial"/>
                <w:sz w:val="18"/>
                <w:szCs w:val="18"/>
                <w:color w:val="auto"/>
              </w:rPr>
              <w:t>Nonoperating special items, net</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56"/>
        </w:trPr>
        <w:tc>
          <w:tcPr>
            <w:tcW w:w="6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9"/>
        </w:trPr>
        <w:tc>
          <w:tcPr>
            <w:tcW w:w="6460" w:type="dxa"/>
            <w:vAlign w:val="bottom"/>
          </w:tcPr>
          <w:p>
            <w:pPr>
              <w:ind w:left="20"/>
              <w:spacing w:after="0"/>
              <w:rPr>
                <w:sz w:val="20"/>
                <w:szCs w:val="20"/>
                <w:color w:val="auto"/>
              </w:rPr>
            </w:pPr>
            <w:r>
              <w:rPr>
                <w:rFonts w:ascii="Arial" w:cs="Arial" w:eastAsia="Arial" w:hAnsi="Arial"/>
                <w:sz w:val="18"/>
                <w:szCs w:val="18"/>
                <w:color w:val="auto"/>
              </w:rPr>
              <w:t>Income tax special items, net</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3100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21" w:lineRule="exact"/>
        <w:rPr>
          <w:sz w:val="20"/>
          <w:szCs w:val="20"/>
          <w:color w:val="auto"/>
        </w:rPr>
      </w:pPr>
    </w:p>
    <w:p>
      <w:pPr>
        <w:jc w:val="both"/>
        <w:ind w:left="340" w:hanging="332"/>
        <w:spacing w:after="0" w:line="237" w:lineRule="auto"/>
        <w:tabs>
          <w:tab w:leader="none" w:pos="334" w:val="left"/>
        </w:tabs>
        <w:numPr>
          <w:ilvl w:val="0"/>
          <w:numId w:val="70"/>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relate to one-time charges resulting from the ratification of a new collective bargaining agreement with American’s mainline pilots, including a one-time payment of $754 million as well as adjustments to other benefit-related items of $235 million.</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70"/>
        </w:numPr>
        <w:rPr>
          <w:rFonts w:ascii="Arial" w:cs="Arial" w:eastAsia="Arial" w:hAnsi="Arial"/>
          <w:sz w:val="23"/>
          <w:szCs w:val="23"/>
          <w:color w:val="auto"/>
          <w:vertAlign w:val="superscript"/>
        </w:rPr>
      </w:pPr>
      <w:r>
        <w:rPr>
          <w:rFonts w:ascii="Arial" w:cs="Arial" w:eastAsia="Arial" w:hAnsi="Arial"/>
          <w:sz w:val="18"/>
          <w:szCs w:val="18"/>
          <w:color w:val="auto"/>
        </w:rPr>
        <w:t>Severance expenses for 2023 included costs associated with headcount reductions in certain corporate functions.</w:t>
      </w:r>
    </w:p>
    <w:p>
      <w:pPr>
        <w:spacing w:after="0" w:line="138" w:lineRule="exact"/>
        <w:rPr>
          <w:rFonts w:ascii="Arial" w:cs="Arial" w:eastAsia="Arial" w:hAnsi="Arial"/>
          <w:sz w:val="23"/>
          <w:szCs w:val="23"/>
          <w:color w:val="auto"/>
          <w:vertAlign w:val="superscript"/>
        </w:rPr>
      </w:pPr>
    </w:p>
    <w:p>
      <w:pPr>
        <w:ind w:left="340"/>
        <w:spacing w:after="0" w:line="286" w:lineRule="auto"/>
        <w:rPr>
          <w:rFonts w:ascii="Arial" w:cs="Arial" w:eastAsia="Arial" w:hAnsi="Arial"/>
          <w:sz w:val="23"/>
          <w:szCs w:val="23"/>
          <w:color w:val="auto"/>
          <w:vertAlign w:val="superscript"/>
        </w:rPr>
      </w:pPr>
      <w:r>
        <w:rPr>
          <w:rFonts w:ascii="Arial" w:cs="Arial" w:eastAsia="Arial" w:hAnsi="Arial"/>
          <w:sz w:val="18"/>
          <w:szCs w:val="18"/>
          <w:color w:val="auto"/>
        </w:rPr>
        <w:t>Severance expenses for 2021 included salary and medical costs primarily associated with certain team members who opted into voluntary early retirement programs offered as a result of reductions to American’s operation due to the COVID-19 pandemic.</w:t>
      </w:r>
    </w:p>
    <w:p>
      <w:pPr>
        <w:spacing w:after="0" w:line="99"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70"/>
        </w:numPr>
        <w:rPr>
          <w:rFonts w:ascii="Arial" w:cs="Arial" w:eastAsia="Arial" w:hAnsi="Arial"/>
          <w:sz w:val="23"/>
          <w:szCs w:val="23"/>
          <w:color w:val="auto"/>
          <w:vertAlign w:val="superscript"/>
        </w:rPr>
      </w:pPr>
      <w:r>
        <w:rPr>
          <w:rFonts w:ascii="Arial" w:cs="Arial" w:eastAsia="Arial" w:hAnsi="Arial"/>
          <w:sz w:val="18"/>
          <w:szCs w:val="18"/>
          <w:color w:val="auto"/>
        </w:rPr>
        <w:t>Fleet impairment for 2022 included a non-cash impairment charge to write down the carrying value of American’s retired Airbus A330 fleet to the estimated fair value due to the market conditions for certain used aircraft. American retired its Airbus A330 fleet in 2020 as a result of the decline in demand for air travel due to the COVID-19 pandemic.</w:t>
      </w:r>
    </w:p>
    <w:p>
      <w:pPr>
        <w:spacing w:after="0" w:line="139" w:lineRule="exact"/>
        <w:rPr>
          <w:rFonts w:ascii="Arial" w:cs="Arial" w:eastAsia="Arial" w:hAnsi="Arial"/>
          <w:sz w:val="23"/>
          <w:szCs w:val="23"/>
          <w:color w:val="auto"/>
          <w:vertAlign w:val="superscript"/>
        </w:rPr>
      </w:pPr>
    </w:p>
    <w:p>
      <w:pPr>
        <w:ind w:left="340" w:right="20"/>
        <w:spacing w:after="0" w:line="286" w:lineRule="auto"/>
        <w:rPr>
          <w:rFonts w:ascii="Arial" w:cs="Arial" w:eastAsia="Arial" w:hAnsi="Arial"/>
          <w:sz w:val="23"/>
          <w:szCs w:val="23"/>
          <w:color w:val="auto"/>
          <w:vertAlign w:val="superscript"/>
        </w:rPr>
      </w:pPr>
      <w:r>
        <w:rPr>
          <w:rFonts w:ascii="Arial" w:cs="Arial" w:eastAsia="Arial" w:hAnsi="Arial"/>
          <w:sz w:val="18"/>
          <w:szCs w:val="18"/>
          <w:color w:val="auto"/>
        </w:rPr>
        <w:t>Fleet impairment for 2021 included a non-cash impairment charge to write down regional aircraft resulting from the retirement of the remaining Embraer 140 fleet earlier than planned.</w:t>
      </w:r>
    </w:p>
    <w:p>
      <w:pPr>
        <w:spacing w:after="0" w:line="9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70"/>
        </w:numPr>
        <w:rPr>
          <w:rFonts w:ascii="Arial" w:cs="Arial" w:eastAsia="Arial" w:hAnsi="Arial"/>
          <w:sz w:val="23"/>
          <w:szCs w:val="23"/>
          <w:color w:val="auto"/>
          <w:vertAlign w:val="superscript"/>
        </w:rPr>
      </w:pPr>
      <w:r>
        <w:rPr>
          <w:rFonts w:ascii="Arial" w:cs="Arial" w:eastAsia="Arial" w:hAnsi="Arial"/>
          <w:sz w:val="18"/>
          <w:szCs w:val="18"/>
          <w:color w:val="auto"/>
        </w:rPr>
        <w:t>The PSP Financial Assistance represents recognition of a portion of the financial assistance received from Treasury pursuant to the payroll support programs established by the U.S. Government. See Note 1(b) for further information.</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70"/>
        </w:numPr>
        <w:rPr>
          <w:rFonts w:ascii="Arial" w:cs="Arial" w:eastAsia="Arial" w:hAnsi="Arial"/>
          <w:sz w:val="23"/>
          <w:szCs w:val="23"/>
          <w:color w:val="auto"/>
          <w:vertAlign w:val="superscript"/>
        </w:rPr>
      </w:pPr>
      <w:r>
        <w:rPr>
          <w:rFonts w:ascii="Arial" w:cs="Arial" w:eastAsia="Arial" w:hAnsi="Arial"/>
          <w:sz w:val="18"/>
          <w:szCs w:val="18"/>
          <w:color w:val="auto"/>
        </w:rPr>
        <w:t>Debt refinancing and extinguishment costs in 2023 primarily included cash charges for premiums paid in connection with the early repayment of debt. See Note 3 for further information.</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70"/>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and other investments, net principally included net unrealized gains and losses associated with certain equity investments and certain other investments. See Note 7 for further information related to American’s equity investments.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on American’s consolidated balance sheets consisted of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2013 Term Loan Facility, variable interest rate of 8.60%, installments through February 2028 </w:t>
            </w:r>
            <w:r>
              <w:rPr>
                <w:rFonts w:ascii="Arial" w:cs="Arial" w:eastAsia="Arial" w:hAnsi="Arial"/>
                <w:sz w:val="23"/>
                <w:szCs w:val="23"/>
                <w:color w:val="auto"/>
                <w:vertAlign w:val="superscript"/>
              </w:rPr>
              <w:t>(a)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2014 Term Loan Facility, variable interest rate of 7.32%, installments through January 2027 </w:t>
            </w:r>
            <w:r>
              <w:rPr>
                <w:rFonts w:ascii="Arial" w:cs="Arial" w:eastAsia="Arial" w:hAnsi="Arial"/>
                <w:sz w:val="23"/>
                <w:szCs w:val="23"/>
                <w:color w:val="auto"/>
                <w:vertAlign w:val="superscript"/>
              </w:rPr>
              <w:t>(a)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175"/>
        </w:trPr>
        <w:tc>
          <w:tcPr>
            <w:tcW w:w="8240" w:type="dxa"/>
            <w:vAlign w:val="bottom"/>
          </w:tcPr>
          <w:p>
            <w:pPr>
              <w:ind w:left="240"/>
              <w:spacing w:after="0" w:line="176" w:lineRule="exact"/>
              <w:rPr>
                <w:sz w:val="20"/>
                <w:szCs w:val="20"/>
                <w:color w:val="auto"/>
              </w:rPr>
            </w:pPr>
            <w:r>
              <w:rPr>
                <w:rFonts w:ascii="Arial" w:cs="Arial" w:eastAsia="Arial" w:hAnsi="Arial"/>
                <w:sz w:val="18"/>
                <w:szCs w:val="18"/>
                <w:color w:val="auto"/>
              </w:rPr>
              <w:t>2023 Term Loan Facility, variable interest rate of 8.87%, installments beginning in December 2024</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400"/>
              <w:spacing w:after="0" w:line="243" w:lineRule="exact"/>
              <w:rPr>
                <w:sz w:val="20"/>
                <w:szCs w:val="20"/>
                <w:color w:val="auto"/>
              </w:rPr>
            </w:pPr>
            <w:r>
              <w:rPr>
                <w:rFonts w:ascii="Arial" w:cs="Arial" w:eastAsia="Arial" w:hAnsi="Arial"/>
                <w:sz w:val="18"/>
                <w:szCs w:val="18"/>
                <w:color w:val="auto"/>
              </w:rPr>
              <w:t xml:space="preserve">through June 2029 </w:t>
            </w:r>
            <w:r>
              <w:rPr>
                <w:rFonts w:ascii="Arial" w:cs="Arial" w:eastAsia="Arial" w:hAnsi="Arial"/>
                <w:sz w:val="23"/>
                <w:szCs w:val="23"/>
                <w:color w:val="auto"/>
                <w:vertAlign w:val="superscript"/>
              </w:rPr>
              <w:t>(a)</w:t>
            </w: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11.75% senior secured notes, interest only payments until due in July 2025 </w:t>
            </w:r>
            <w:r>
              <w:rPr>
                <w:rFonts w:ascii="Arial" w:cs="Arial" w:eastAsia="Arial" w:hAnsi="Arial"/>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10.75% senior secured IP notes, interest only payments until due in February 2026 </w:t>
            </w:r>
            <w:r>
              <w:rPr>
                <w:rFonts w:ascii="Arial" w:cs="Arial" w:eastAsia="Arial" w:hAnsi="Arial"/>
                <w:sz w:val="23"/>
                <w:szCs w:val="23"/>
                <w:color w:val="auto"/>
                <w:vertAlign w:val="superscript"/>
              </w:rPr>
              <w:t>(b)</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10.75% senior secured LGA/DCA notes, interest only payments until due in February 2026 </w:t>
            </w:r>
            <w:r>
              <w:rPr>
                <w:rFonts w:ascii="Arial" w:cs="Arial" w:eastAsia="Arial" w:hAnsi="Arial"/>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7.25% senior secured notes, interest only payments until due in February 2028 </w:t>
            </w:r>
            <w:r>
              <w:rPr>
                <w:rFonts w:ascii="Arial" w:cs="Arial" w:eastAsia="Arial" w:hAnsi="Arial"/>
                <w:sz w:val="23"/>
                <w:szCs w:val="23"/>
                <w:color w:val="auto"/>
                <w:vertAlign w:val="superscript"/>
              </w:rPr>
              <w:t>(b)</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8.50% senior secured notes, interest only payments until due in May 2029 </w:t>
            </w:r>
            <w:r>
              <w:rPr>
                <w:rFonts w:ascii="Arial" w:cs="Arial" w:eastAsia="Arial" w:hAnsi="Arial"/>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5.50% senior secured notes, installments through April 2026 </w:t>
            </w:r>
            <w:r>
              <w:rPr>
                <w:rFonts w:ascii="Arial" w:cs="Arial" w:eastAsia="Arial" w:hAnsi="Arial"/>
                <w:sz w:val="23"/>
                <w:szCs w:val="23"/>
                <w:color w:val="auto"/>
                <w:vertAlign w:val="superscript"/>
              </w:rPr>
              <w:t>(c)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5.75% senior secured notes, installments beginning in July 2026 until due in April 2029 </w:t>
            </w:r>
            <w:r>
              <w:rPr>
                <w:rFonts w:ascii="Arial" w:cs="Arial" w:eastAsia="Arial" w:hAnsi="Arial"/>
                <w:sz w:val="23"/>
                <w:szCs w:val="23"/>
                <w:color w:val="auto"/>
                <w:vertAlign w:val="superscript"/>
              </w:rPr>
              <w:t>(c)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82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AAdvantage Term Loan Facility, variable interest rate of 10.43%, installments through April 2028 </w:t>
            </w:r>
            <w:r>
              <w:rPr>
                <w:rFonts w:ascii="Arial" w:cs="Arial" w:eastAsia="Arial" w:hAnsi="Arial"/>
                <w:sz w:val="23"/>
                <w:szCs w:val="23"/>
                <w:color w:val="auto"/>
                <w:vertAlign w:val="superscript"/>
              </w:rPr>
              <w:t>(c)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Enhanced equipment trust certificates (EETCs), fixed interest rates ranging from 2.88% to 5.90%,</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averaging 3.60%, maturing from 2024 to 2034</w:t>
            </w: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40"/>
              <w:spacing w:after="0" w:line="176" w:lineRule="exact"/>
              <w:rPr>
                <w:sz w:val="20"/>
                <w:szCs w:val="20"/>
                <w:color w:val="auto"/>
              </w:rPr>
            </w:pPr>
            <w:r>
              <w:rPr>
                <w:rFonts w:ascii="Arial" w:cs="Arial" w:eastAsia="Arial" w:hAnsi="Arial"/>
                <w:sz w:val="18"/>
                <w:szCs w:val="18"/>
                <w:color w:val="auto"/>
              </w:rPr>
              <w:t>Equipment loans and other notes payable, fixed and variable interest rates ranging from 2.55% to</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3,612</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43"/>
        </w:trPr>
        <w:tc>
          <w:tcPr>
            <w:tcW w:w="8240" w:type="dxa"/>
            <w:vAlign w:val="bottom"/>
          </w:tcPr>
          <w:p>
            <w:pPr>
              <w:ind w:left="400"/>
              <w:spacing w:after="0" w:line="243" w:lineRule="exact"/>
              <w:rPr>
                <w:sz w:val="20"/>
                <w:szCs w:val="20"/>
                <w:color w:val="auto"/>
              </w:rPr>
            </w:pPr>
            <w:r>
              <w:rPr>
                <w:rFonts w:ascii="Arial" w:cs="Arial" w:eastAsia="Arial" w:hAnsi="Arial"/>
                <w:sz w:val="18"/>
                <w:szCs w:val="18"/>
                <w:color w:val="auto"/>
              </w:rPr>
              <w:t xml:space="preserve">8.90%, averaging 6.98%, maturing from 2024 to 2035 </w:t>
            </w:r>
            <w:r>
              <w:rPr>
                <w:rFonts w:ascii="Arial" w:cs="Arial" w:eastAsia="Arial" w:hAnsi="Arial"/>
                <w:sz w:val="23"/>
                <w:szCs w:val="23"/>
                <w:color w:val="auto"/>
                <w:vertAlign w:val="superscript"/>
              </w:rPr>
              <w:t>(d)</w:t>
            </w: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9"/>
              </w:rPr>
              <w:t>Special facility revenue bonds, fixed interest rates ranging from 2.25% to 5.38%, maturing from 2026</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 2036</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long-term debt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Total unamortized debt discount, premium and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Current maturities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Long-term debt, net of current maturities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2023, the maximum availability under American’s revolving credit and other facilities is as follows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6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1,631</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2016 Revolving Facility</w:t>
            </w:r>
          </w:p>
        </w:tc>
        <w:tc>
          <w:tcPr>
            <w:tcW w:w="6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short-term facility</w:t>
            </w: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48"/>
        </w:trPr>
        <w:tc>
          <w:tcPr>
            <w:tcW w:w="9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December 31, 2023, American had $49 million of available borrowing base under a cargo receivables facility that is set to expire in December 2024. As a result of the below amendments to the 2013, 2014 and April 2016 Revolving Facilities, the aggregate commitments under these facilities will be $2.8 billion through October 11, 2024, and thereafter through October 13, 2026, such aggregate commitments will decrease to $2.2 billion.</w:t>
      </w:r>
    </w:p>
    <w:p>
      <w:pPr>
        <w:spacing w:after="0" w:line="12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Secured financings, including revolving credit and other facilities, are collateralized by assets, consisting primarily of aircraft, engines, simulators, aircraft spare parts, airport gate leasehold rights, route authorities, airport slots, certain receivables, certain intellectual property and certain loyalty program assets.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460" w:type="dxa"/>
            <w:vAlign w:val="bottom"/>
          </w:tcPr>
          <w:p>
            <w:pPr>
              <w:ind w:left="1960"/>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828"/>
        </w:trPr>
        <w:tc>
          <w:tcPr>
            <w:tcW w:w="9460" w:type="dxa"/>
            <w:vAlign w:val="bottom"/>
          </w:tcPr>
          <w:p>
            <w:pPr>
              <w:ind w:left="260"/>
              <w:spacing w:after="0"/>
              <w:rPr>
                <w:sz w:val="20"/>
                <w:szCs w:val="20"/>
                <w:color w:val="auto"/>
              </w:rPr>
            </w:pPr>
            <w:r>
              <w:rPr>
                <w:rFonts w:ascii="Arial" w:cs="Arial" w:eastAsia="Arial" w:hAnsi="Arial"/>
                <w:sz w:val="18"/>
                <w:szCs w:val="18"/>
                <w:color w:val="auto"/>
              </w:rPr>
              <w:t>At December 31, 2023, the maturities of long-term debt are as follows (in millions):</w:t>
            </w: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5"/>
        </w:trPr>
        <w:tc>
          <w:tcPr>
            <w:tcW w:w="9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2025</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3,702</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2027</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4,618</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r>
      <w:tr>
        <w:trPr>
          <w:trHeight w:val="229"/>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2029 and thereafter</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6,063</w:t>
            </w:r>
          </w:p>
        </w:tc>
      </w:tr>
      <w:tr>
        <w:trPr>
          <w:trHeight w:val="248"/>
        </w:trPr>
        <w:tc>
          <w:tcPr>
            <w:tcW w:w="9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27,526</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260" w:right="3120" w:hanging="9"/>
        <w:spacing w:after="0" w:line="342" w:lineRule="auto"/>
        <w:tabs>
          <w:tab w:leader="none" w:pos="53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2013 and 2014 Credit Facilities, April 2016 Revolving Facility and 2023 Term Loan Facility </w:t>
      </w:r>
      <w:r>
        <w:rPr>
          <w:rFonts w:ascii="Arial" w:cs="Arial" w:eastAsia="Arial" w:hAnsi="Arial"/>
          <w:sz w:val="18"/>
          <w:szCs w:val="18"/>
          <w:i w:val="1"/>
          <w:iCs w:val="1"/>
          <w:u w:val="single" w:color="auto"/>
          <w:color w:val="auto"/>
        </w:rPr>
        <w:t>2013 Credit Facilities</w:t>
      </w:r>
    </w:p>
    <w:p>
      <w:pPr>
        <w:spacing w:after="0" w:line="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Amended and Restated Credit and Guaranty Agreement dated as of May 21, 2015, as amended (the 2013 Credit Agreement), includes a revolving credit facility (the 2013 Revolving Facility) and term loan (the 2013 Term Loan Facility), collectively referred to as the 2013 Credit Facilities. In February 2023, American and AAG refinanced approximately $1.8 billion in aggregate principal amount of term loans outstanding under the 2013 Term Loan Facility (the 2013 Term Loan Facility Refinancing) through the combination of (i) the issuance of $750 million in aggregate principal amount of 7.25% senior secured notes due 2028 and (ii) the entry into the Seventh Amendment to the 2013 Credit Agreement, pursuant to which the maturity of $1.0 billion in term loans under the 2013 Term Loan Facility was extended to February 2028 from June 2025. The Seventh Amendment also amended certain other terms of the 2013 Credit Agreement, including the interest rate and amortization schedule for the 2013 Term Loan Facility, the requirements for delivery of appraisals and certain covenants relating to dispositions of collateral. Additionally, the Seventh Amendment transitioned the benchmark interest rate from the London Interbank Offered Rate (LIBOR) to the Secured Overnight Financing Rate (SOFR). As a result, the 2013 Term Loan Facility bears interest at a base rate (subject to a floor of 1.00%) plus an applicable margin of 1.75% or, at American’s option, the SOFR rate for a tenor of one, three or six months, depending on the interest period selected by American, plus the SOFR adjustment applicable to such interest period (with such SOFR rate plus SOFR adjustment being subject to a floor of 0.00%) and an applicable margin of 2.75%. As of December 31, 2023, the margin elected was 2.75%.</w:t>
      </w:r>
    </w:p>
    <w:p>
      <w:pPr>
        <w:spacing w:after="0" w:line="14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March 2023, American and AAG entered into the Eighth Amendment to the 2013 Credit Agreement, pursuant to which American extended the maturity of certain commitments under the 2013 Revolving Facility. The Eighth Amendment also amended certain other terms of the 2013 Credit Agreement, including certain covenants and transitioned the benchmark interest rate from LIBOR to SOFR. The 2013 Revolving Facility bears interest at a base rate (subject to a floor of 1.00%) plus an applicable margin of 2.25%, 2.50% or 2.75%, depending on AAG’s public corporate rating, or, at American’s option, the SOFR rate for a tenor of one, three or six months, depending on the interest period selected by American, plus the SOFR adjustment applicable to such interest period (with such SOFR rate plus SOFR adjustment being subject to a floor of 0.00%) plus an applicable margin of 3.25%, 3.50% or 3.75%, depending on AAG’s public corporate rating. Additionally, as a result of the Eighth Amendment, through October 11, 2024, the aggregate commitments under the 2013 Revolving Facility will be $736 million, and thereafter through October 13, 2026, such aggregate commitments will decrease to $563 million. As of December 31, 2023, there were no borrowings or letters of credit outstanding under the 2013 Revolving Facility.</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2014 Credit Facilities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Amended and Restated Credit and Guaranty Agreement, dated as of April 20, 2015, as amended (the 2014 Credit Agreement), includes a revolving credit facility (the 2014 Revolving Facility) and term loan (the 2014 Term Loan Facility), collectively referred to as the 2014 Credit Facilities. In March 2023, American and AAG entered into the Ninth Amendment to the 2014 Credit Agreement, pursuant to which American extended the maturity of certain commitments under the 2014 Revolving Facility. The Ninth Amendment also amended certain other terms of the 2014 Credit Agreement including the requirements for delivery of appraisals and certain other covenants and transitioned the benchmark interest rate for the 2014 Revolving Facility and the 2014 Term Loan Facility from LIBOR to SOFR. The 2014 Revolving Facility bears interest at the same base rate and applicable margin as the 2013 Revolving Facility, as noted above in “2013 Credit Facilities.” The 2014 Term Loan Facility bears interest at a base rate (subject to a floor of 1.00%) plus an applicable margin of 0.75% or, at American’s option, the SOFR rate for a tenor of one, three or six months, depending on the interest period selected by American, plus the SOFR adjustment applicable to such interest period (with such SOFR rate plus SOFR adjustment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being subject to a floor of 0.00%) plus an applicable margin of 1.75%. As of December 31, 2023, the margin elected was 1.75%. Additionally, as a result of the Ninth Amendment, through October 11, 2024, the aggregate commitments under the 2014 Revolving Facility will be $1.6 billion, and thereafter through October 13, 2026, such aggregate commitments will decrease to $1.2 billion. As of December 31, 2023, there were no borrowings or letters of credit outstanding under the 2014 Revolving Facility.</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April 2016 Revolving Facility</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March 2023, American and AAG entered into the Sixth Amendment to the Credit and Guaranty Agreement, dated as of April 29, 2016 (the April 2016 Credit Agreement), which includes a revolving credit facility (the April 2016 Revolving Facility). Pursuant to the Sixth Amendment, American extended the maturity of certain commitments under the April 2016 Revolving Facility. The Sixth Amendment also amended certain other terms under the April 2016 Credit Agreement including the requirements for delivery of appraisals and certain other covenants and transitioned the benchmark interest rate for the April 2016 Revolving Facility from LIBOR to SOFR. The April 2016 Revolving Facility bears interest at the same base rate and applicable margin as the 2013 Revolving Facility, as noted above in “2013 Credit Facilities.” Additionally, as a result of the Sixth Amendment, through October 11, 2024, the aggregate commitments under the April 2016 Revolving Facility will be $446 million, and thereafter through October 13, 2026, such aggregate commitments will decrease to $342 million. As of December 31, 2023, there were no borrowings outstanding under the April 2016 Revolving Facility.</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2023 Term Loan Facility</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December 2023, American and AAG entered into a credit and guaranty agreement (the 2023 Credit Agreement) that provided for a term loan facility (the 2023 Term Loan Facility) in an aggregate principal amount of $1.1 billion, maturing in June 2029. Loans made under the 2023 Term Loan Facility bear interest at a base rate (subject to a floor of 1.00%) plus an applicable margin of 2.50% or, at American’s option, the SOFR rate for a tenor of one, three or six months (or if agreed by the relevant lenders, any other tenor), depending on the interest period selected by American (subject to a floor of 0.00%), plus an applicable margin of 3.50%. As of December 31, 2023, the margin elected was 3.50%. The net proceeds from the 2023 Term Loan Facility, together with the net proceeds from the private offering of the 8.50% Senior Secured Notes (as defined below) and cash on hand, were used to redeem all of the outstanding 11.75% Senior Secured Notes in December 2023.</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Other Terms of the 2013 and 2014 Credit Facilities, April 2016 Revolving Facility and 2023 Term Loan Facility</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term loans under the 2013 Credit Facilities and 2014 Credit Facilities (collectively referred to as the Credit Facilities) and the 2023 Term Loan Facility are repayable in annual installments, in an amount equal to 1.00% of the aggregate principal amount issued, with any unpaid balance due on the respective maturity dates. Voluntary prepayments may be made by American at any time.</w:t>
      </w:r>
    </w:p>
    <w:p>
      <w:pPr>
        <w:spacing w:after="0" w:line="11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2013 Revolving Facility, 2014 Revolving Facility and April 2016 Revolving Facility provide that American may from time to time borrow, repay and reborrow loans thereunder. The 2013 Revolving Facility and 2014 Revolving Facility have the ability to issue letters of credit thereunder in an aggregate amount outstanding at any time up to $150 million and $300 million, respectively. The 2013 Revolving Facility, 2014 Revolving Facility and April 2016 Revolving Facility are each subject to an undrawn annual fee of 0.750%.</w:t>
      </w:r>
    </w:p>
    <w:p>
      <w:pPr>
        <w:spacing w:after="0" w:line="12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Subject to certain limitations and exceptions, the Credit Facilities, April 2016 Revolving Facility and 2023 Term Loan Facility are secured by collateral, including certain spare parts, slots, route authorities, simulators and leasehold rights. American has the ability to make future modifications to the collateral pledged, subject to certain restrictions. American’s obligations under the Credit Facilities, April 2016 Revolving Facility and 2023 Term Loan Facility are guaranteed by AAG, and such guarantee is AAG’s senior unsecured obligations (all of the collateral is owned by American, and AAG has not granted a security interest in any assets to secure any of the foregoing obligations). The Credit Facilities, April 2016 Revolving Facility and 2023 Term Loan Facility contain events of default customary for similar financings, including cross default and cross-acceleration to other material indebtedness.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40" w:hanging="289"/>
        <w:spacing w:after="0"/>
        <w:tabs>
          <w:tab w:leader="none" w:pos="540"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Secured Notes</w:t>
      </w:r>
    </w:p>
    <w:p>
      <w:pPr>
        <w:spacing w:after="0" w:line="89" w:lineRule="exact"/>
        <w:rPr>
          <w:rFonts w:ascii="Arial" w:cs="Arial" w:eastAsia="Arial" w:hAnsi="Arial"/>
          <w:sz w:val="18"/>
          <w:szCs w:val="18"/>
          <w:b w:val="1"/>
          <w:bCs w:val="1"/>
          <w:i w:val="1"/>
          <w:iCs w:val="1"/>
          <w:color w:val="auto"/>
        </w:rPr>
      </w:pPr>
    </w:p>
    <w:p>
      <w:pPr>
        <w:ind w:left="260"/>
        <w:spacing w:after="0"/>
        <w:rPr>
          <w:rFonts w:ascii="Arial" w:cs="Arial" w:eastAsia="Arial" w:hAnsi="Arial"/>
          <w:sz w:val="18"/>
          <w:szCs w:val="18"/>
          <w:b w:val="1"/>
          <w:bCs w:val="1"/>
          <w:i w:val="1"/>
          <w:iCs w:val="1"/>
          <w:color w:val="auto"/>
        </w:rPr>
      </w:pPr>
      <w:r>
        <w:rPr>
          <w:rFonts w:ascii="Arial" w:cs="Arial" w:eastAsia="Arial" w:hAnsi="Arial"/>
          <w:sz w:val="18"/>
          <w:szCs w:val="18"/>
          <w:i w:val="1"/>
          <w:iCs w:val="1"/>
          <w:u w:val="single" w:color="auto"/>
          <w:color w:val="auto"/>
        </w:rPr>
        <w:t>11.75% Senior Secured Notes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June 2020, American issued $2.5 billion aggregate principal amount of 11.75% senior secured notes due 2025 (the 11.75% Senior Secured Notes) at a price equal to 99% of their aggregate principal amount. In December 2023, American redeemed all of its outstanding 11.75% Senior Secured Notes using net proceeds from the offering of the 8.50% Senior Secured Notes (as defined below), together with net proceeds from borrowings under the 2023 Term Loan Facility and cash on hand. In connection with the early redemption of the 11.75% Senior Secured Notes, in the fourth quarter of 2023, American recorded a $186 million cash special charge for the make-whole premium paid and a $19 million non-cash special charge to write off unamortized debt issuance costs and debt discount.</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10.75% Senior Secured Notes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September 25, 2020 (the 10.75% Senior Secured Notes Closing Date), American issued $ 1.0 billion in initial principal amount of senior secured IP notes (the IP Notes) and $200 million in initial principal amount of senior secured LGA/DCA notes (the LGA/DCA Notes and together with the IP Notes, the 10.75% Senior Secured Notes). The obligations of American under the 10.75% Senior Secured Notes are fully and unconditionally guaranteed (the 10.75% Senior Secured Notes Guarantees) on a senior unsecured basis by AAG. The 10.75% Senior Secured Notes bear interest at a rate of 10.75% per annum in cash. Interest on the 10.75% Senior Secured Notes is payable semiannually in arrears on September 1 and March 1 of each year, which began on March 1, 2021. The 10.75% Senior Secured Notes will mature on February 15, 2026.</w:t>
      </w:r>
    </w:p>
    <w:p>
      <w:pPr>
        <w:spacing w:after="0" w:line="1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IP Notes are secured by a first lien security interest on certain intellectual property of American, including the “American Airlines” trademark and the “aa.com” domain name in the United States and certain foreign jurisdictions (the IP Collateral), and a second lien on certain slots related to American’s operations at New York LaGuardia and Ronald Reagan Washington National airports and certain other assets (the LGA/DCA Collateral and together with the IP Collateral, the 10.75% Senior Secured Notes Collateral). LGA/DCA Notes are secured by a first lien security interest in the LGA/DCA Collateral.</w:t>
      </w:r>
    </w:p>
    <w:p>
      <w:pPr>
        <w:spacing w:after="0" w:line="1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or prior to the fourth anniversary of the 10.75% Senior Secured Notes Closing Date, American may redeem all or any part of the 10.75% Senior Secured Notes, at its option, at a redemption price equal to 100% of the principal amount of the 10.75% Senior Secured Notes redeemed plus a “make-whole” premium, together with accrued and unpaid interest thereon, if any. After the fourth anniversary of the 10.75% Senior Secured Notes Closing Date and on or prior to the fifth anniversary of the 10.75% Senior Secured Notes Closing Date, American may redeem all or any part of the 10.75% Senior Secured Notes, at its option, at a redemption price equal to 105.375% of the principal amount of the 10.75% Senior Secured Notes redeemed, together with accrued and unpaid interest thereon, if any. After the fifth anniversary of the 10.75% Senior Secured Notes Closing Date, American may redeem all or any part of the 10.75% Senior Secured Notes, at its option, at par, together with accrued and unpaid interest thereon, if any.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7.25% Senior Secured Notes</w:t>
      </w:r>
    </w:p>
    <w:p>
      <w:pPr>
        <w:spacing w:after="0" w:line="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February 15, 2023, as part of the 2013 Term Loan Facility Refinancing, American issued $ 750 million aggregate principal amount of 7.25% senior secured notes due 2028 (the 7.25% Senior Secured Notes) in a private offering. The 7.25% Senior Secured Notes were issued at par and bear interest at a rate of 7.25% per annum (subject to increase if the collateral coverage ratio described below is not met). Interest on the 7.25% Senior Secured Notes is payable semiannually in arrears on February 15 and August 15 of each year, which began on August 15, 2023. The 7.25% Senior Secured Notes will mature on February 15, 2028. The obligations of American under the 7.25% Senior Secured Notes are fully and unconditionally guaranteed on a senior unsecured basis by AAG. American used the proceeds from the offering of the 7.25% Senior Secured Notes, together with cash on hand, to repay a portion of the term loans then outstanding under the 2013 Term Loan Facility and to pay related fees and expenses.</w:t>
      </w:r>
    </w:p>
    <w:p>
      <w:pPr>
        <w:spacing w:after="0" w:line="12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7.25% Senior Secured Notes were issued pursuant to an indenture, dated as of February 15, 2023 (the 7.25% Senior Secured Notes Indenture), by and among American, AAG and Wilmington Trust, National Association, as trustee and collateral agent. The 7.25% Senior Secured Notes are American’s senior secured obligations and are secured on a first lien basis by security interests in certain assets, rights and properties that American uses to provide non-stop scheduled air carrier services between (a) certain airports in the United States and (b) airports in certain countries in South America and New Zealand (collectively, the 7.25% Senior Secured Notes Collateral). The 7.25% Senior Secured Notes Collateral also secures, on a first lien, pari passu basis with the 7.25% Senior Secured Notes, the 2013 Credit Facilities under the 2013 Credit 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American may redeem the 7.25% Senior Secured Notes, in whole at any time or in part from time to time prior to February 15, 2025, at a redemption price equal to 100% of the principal amount of the 7.25% Senior Secured Notes to be redeemed, plus a “make-whole” premium, plus any accrued and unpaid interest thereon to but excluding the date of redemption. At any time on or after February 15, 2025, American may redeem all or any of the 7.25% Senior Secured Notes in whole at any time, or in part from time to time, at the redemption prices described in the 7.25% Senior Secured Notes Indenture, plus any accrued and unpaid interest thereon to but excluding the date of redemption. In addition, at any time prior to February 15, 2025, American may redeem up to 40% of the original aggregate principal amount of the 7.25% Senior Secured Notes (calculated after giving effect to any issuance of additional notes) with the net cash proceeds of certain equity offerings, at a redemption price equal to 107.250% of the aggregate principal amount of the 7.25% Senior Secured Notes to be redeemed, plus any accrued and unpaid interest thereon to but excluding the date of redemption.</w:t>
      </w:r>
    </w:p>
    <w:p>
      <w:pPr>
        <w:spacing w:after="0" w:line="1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Twice per year, American is required to deliver an appraisal of the 7.25% Senior Secured Notes Collateral and an officer’s certificate demonstrating the calculation of a collateral coverage ratio in relation to the 7.25% Senior Secured Notes Collateral (the 7.25% Senior Secured Notes Collateral Coverage Ratio) as of the date of delivery of the appraisal for the applicable period. If the 7.25% Senior Secured Notes Collateral Coverage Ratio is less than 1.6 to 1.0 as of the date of delivery of the appraisal for the applicable period, then, subject to a cure period in which additional collateral can be provided or debt repaid such that American meets the required 7.25% Senior Secured Notes Collateral Coverage Ratio, American will be required to pay special interest in an additional amount equal to 2.0% per annum of the principal amount of the 7.25% Senior Secured Notes until the 7.25% Senior Secured Notes Collateral Coverage Ratio is established to be at least 1.6 to 1.0.</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8.50% Senior Secured Notes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December 4, 2023, American issued $1.0 billion aggregate principal amount of 8.50% senior secured notes due 2029 (the 8.50% Senior Secured Notes) in a private offering. The 8.50% Senior Secured Notes were issued at par and bear interest at a rate of 8.50% per annum (subject to increase if the collateral coverage ratio described below is not met). Interest on the 8.50% Senior Secured Notes is payable semiannually in arrears on May 15 and November 15 of each year, beginning on May 15, 2024. The 8.50% Senior Secured Notes will mature on May 15, 2029. The obligations of American under the 8.50% Senior Secured Notes are fully and unconditionally guaranteed on a senior unsecured basis by AAG. The net proceeds from the 8.50% Senior Secured Notes, together with borrowings under the 2023 Term Loan Facility and cash on hand, were used to redeem all of the outstanding 11.75% Senior Secured Notes in December 2023.</w:t>
      </w:r>
    </w:p>
    <w:p>
      <w:pPr>
        <w:spacing w:after="0" w:line="12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8.50% Senior Secured Notes were issued pursuant to an indenture, dated as of December 4, 2023 (the 8.50% Senior Secured Notes Indenture), by and among American, AAG and Wilmington Trust, National Association, as trustee and collateral agent. The 8.50% Senior Secured Notes are American’s senior secured obligations and are secured on a first lien basis by security interests in certain assets, rights and properties that American uses to provide non-stop scheduled air carrier services between (a) certain airports in the United States and (b) certain airports in Australia, Canada, the Caribbean, Central America, China, Hong Kong, Japan, Mexico, South Korea and Switzerland (collectively, the 8.50% Senior Secured Notes Collateral). The 8.50% Senior Secured Notes Collateral also secures, on a first lien, pari passu basis with the 8.50% Senior Secured Notes, the 2023 Term Loan Facility.</w:t>
      </w:r>
    </w:p>
    <w:p>
      <w:pPr>
        <w:spacing w:after="0" w:line="12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 may redeem the 8.50% Senior Secured Notes, in whole at any time or in part from time to time prior to November 15, 2025, at a redemption price equal to 100% of the principal amount of the 8.50% Senior Secured Notes to be redeemed, plus a “make-whole” premium, plus any accrued and unpaid interest thereon to but excluding the date of redemption. At any time on or after November 15, 2025, American may redeem all or any of the 8.50% Senior Secured Notes in whole at any time, or in part from time to time, at the redemption prices described in the 8.50% Senior Secured Notes Indenture, plus any accrued and unpaid interest thereon to but excluding the date of redemption. In addition, at any time prior to November 15, 2025, American may redeem up to 40% of the original aggregate principal amount of the 8.50% Senior Secured Notes (calculated after giving effect to any issuance of additional notes) with the net cash proceeds of certain equity offerings, at a redemption price equal to 108.50% of the aggregate principal amount of the 8.50% Senior Secured Notes to be redeemed, plus any accrued and unpaid interest thereon to but excluding the date of redemption. In addition, during each twelve-month period beginning on December 4, 2023 and ending on or prior to November 15, 2025, American may redeem up to 10% of the original aggregate principal amount of the 8.50% Senior Secured Notes at a redemption price of 103% of the principal amount thereof, plus any accrued and unpaid interest thereon to, but excluding, the applicable date of redemption.</w:t>
      </w:r>
    </w:p>
    <w:p>
      <w:pPr>
        <w:spacing w:after="0" w:line="132" w:lineRule="exact"/>
        <w:rPr>
          <w:sz w:val="20"/>
          <w:szCs w:val="20"/>
          <w:color w:val="auto"/>
        </w:rPr>
      </w:pPr>
    </w:p>
    <w:p>
      <w:pPr>
        <w:jc w:val="both"/>
        <w:ind w:right="20" w:firstLine="243"/>
        <w:spacing w:after="0" w:line="268" w:lineRule="auto"/>
        <w:rPr>
          <w:sz w:val="20"/>
          <w:szCs w:val="20"/>
          <w:color w:val="auto"/>
        </w:rPr>
      </w:pPr>
      <w:r>
        <w:rPr>
          <w:rFonts w:ascii="Arial" w:cs="Arial" w:eastAsia="Arial" w:hAnsi="Arial"/>
          <w:sz w:val="18"/>
          <w:szCs w:val="18"/>
          <w:color w:val="auto"/>
        </w:rPr>
        <w:t>Twice per year, American is required to deliver an appraisal of the 8.50% Senior Secured Notes Collateral and an officer’s certificate demonstrating the calculation of a collateral coverage ratio in relation to the 8.50% Senior Secured Notes Collateral (the 8.50% Senior Secured Notes Collateral Coverage Ratio) as of the date of delivery of the appraisal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applicable period. If the 8.50% Senior Secured Notes Collateral Coverage Ratio is less than 1.6 to 1.0 as of the date of delivery of the appraisal for the applicable period, then, subject to a cure period in which additional collateral can be provided or debt repaid such that American meets the required 8.50% Senior Secured Notes Collateral Coverage Ratio, American will be required to pay special interest in an additional amount equal to 2.0% per annum of the principal amount of the 8.50% Senior Secured Notes until the 8.50% Senior Secured Notes Collateral Coverage Ratio is established to be at least 1.6 to 1.0.</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 AAdvantage Financing</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March 24, 2021 (the AAdvantage Financing Closing Date), American and AAdvantage Loyalty IP Ltd., a Cayman Islands exempted company incorporated with limited liability and an indirect wholly-owned subsidiary of American (Loyalty Issuer and, together with American, the AAdvantage Issuers), completed the offering of $3.5 billion aggregate principal amount of 5.50% Senior Secured Notes due 2026 (the 2026 Notes) and $3.0 billion aggregate principal amount of 5.75% Senior Secured Notes due 2029 (the 2029 Notes, and together with the 2026 Notes, the AAdvantage Notes). The AAdvantage Notes are fully and unconditionally guaranteed by the SPV Guarantors and AAG.</w:t>
      </w:r>
    </w:p>
    <w:p>
      <w:pPr>
        <w:spacing w:after="0" w:line="1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Concurrent with the issuance of the AAdvantage Notes, the AAdvantage Issuers, as co-borrowers, entered into a term loan credit and guaranty agreement, dated March 24, 2021, providing for a $3.5 billion term loan facility (the AAdvantage Term Loan Facility and collectively with the AAdvantage Notes, the AAdvantage Financing) and pursuant to which the full $3.5 billion of term loans (the AAdvantage Loans) were drawn on the AAdvantage Financing Closing Date. The AAdvantage Loans are fully and unconditionally guaranteed (together with the AAdvantage Note Guarantees, the AAdvantage Guarantees) by the SPV Guarantors and AAG.</w:t>
      </w:r>
    </w:p>
    <w:p>
      <w:pPr>
        <w:spacing w:after="0" w:line="1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Subject to certain permitted liens and other exceptions, the AAdvantage Notes, AAdvantage Loans and AAdvantage Guarantees provided by the SPV Guarantors are secured by a first-priority security interest in, and pledge of, various agreements with respect to the AAdvantage program (the AAdvantage Agreements) (including all payments thereunder) and certain intellectual property licenses, certain deposit accounts that will receive cash under the AAdvantage Agreements, certain reserve accounts, the equity of each of Loyalty Issuer and the SPV Guarantors and substantially all other assets of Loyalty Issuer and the SPV Guarantors including American’s rights to certain data and other intellectual property used in the AAdvantage program (subject to certain exceptions) (collectively, the AAdvantage Collateral).</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Payment Terms of the AAdvantage Notes and AAdvantage Loans under the AAdvantage Term Loan Facility</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Interest on the AAdvantage Notes is payable in cash, quarterly in arrears on the 20th day of each January, April, July and October (each, an AAdvantage Payment Date), which began on July 20, 2021. The 2026 Notes will mature on April 20, 2026, and the 2029 Notes will mature on April 20, 2029. The outstanding principal on the 2026 Notes will be repaid in quarterly installments of $292 million on each AAdvantage Payment Date, which began in July 2023. The outstanding principal on the 2029 Notes will be repaid in quarterly installments of $250 million on each AAdvantage Payment Date, beginning on July 20, 2026.</w:t>
      </w:r>
    </w:p>
    <w:p>
      <w:pPr>
        <w:spacing w:after="0" w:line="1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AAdvantage Issuers may redeem the AAdvantage Notes, at their option, in whole at any time or in part from time to time, at a redemption price equal to 100% of the principal amount of the AAdvantage Notes redeemed plus a “make-whole” premium, together with accrued and unpaid interest to the date of redemption.</w:t>
      </w:r>
    </w:p>
    <w:p>
      <w:pPr>
        <w:spacing w:after="0" w:line="11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scheduled maturity date of the AAdvantage Loans under the AAdvantage Term Loan Facility is April 20, 2028. The outstanding principal on the AAdvantage Loans will be repaid in quarterly installments of $175 million, on each AAdvantage Payment Date, which began in July 2023. These amortization payments (as well as those for the AAdvantage Notes) will be subject to the occurrence of certain early amortization events, including the failure to satisfy a minimum debt service coverage ratio at specified determination dates.</w:t>
      </w:r>
    </w:p>
    <w:p>
      <w:pPr>
        <w:spacing w:after="0" w:line="1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Prepayment of some or all of the AAdvantage Loans outstanding under the AAdvantage Term Loan Facility is permitted, although payment of an applicable premium is required as specified in the AAdvantage Term Loan Facility.</w:t>
      </w:r>
    </w:p>
    <w:p>
      <w:pPr>
        <w:spacing w:after="0" w:line="10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AAdvantage Indenture and the AAdvantage Term Loan Facility contain mandatory prepayment provisions triggered upon (i) the issuance or incurrence by Loyalty Issuer or the SPV Guarantors of certain indebtedness or (ii) the receipt by American or its subsidiaries of net proceeds from pre-paid frequent flyer (i.e., AAdvantage) mile sales exceeding $505 million. Each of these prepayments would also require payment of an applicable premium. Certain other events, including the occurrence of a change of control with respect to AAG and certain AAdvantage Collateral sales exceeding a specified threshold, will also trigger mandatory repurchase or mandatory prepayment provisions under the AAdvantage Indenture and the AAdvantage Term Loan Facility, respectively.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June 2023, American and AAdvantage Loyalty IP Ltd. entered into the First Amendment to the AAdvantage Term Loan Facility pursuant to which the benchmark interest rate transitioned from LIBOR to SOFR, effective July 1, 2023. As a result, the AAdvantage Term Loan Facility bears interest at a base rate (subject to a floor of 0.00%) plus an applicable margin of 3.75% or, at American’s option, the SOFR rate for a tenor of three months, plus a 0.26161% credit spread adjustment (with such SOFR rate plus SOFR adjustment being subject to a floor of 0.75%) and an applicable margin of 4.75%. As of December 31, 2023, the margin elected was 4.75%. Other than the foregoing, the terms of the AAdvantage Term Loan Facility remain substantially unchanged.</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 Equipment Loans and Other Notes Payable Issued in 2023</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2023, American entered into agreements under which it borrowed $1.1 billion in connection with the financing of certain aircraft. Debt incurred under these agreements matures in 2032 through 2035 and bears interest at fixed and variable rates (comprised of SOFR plus an applicable margin) averaging 7.15% as of December 31, 2023.</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Financing Activities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year ended December 31, 2023, American repurchased $539 million of secured notes in the open market. In connection with the repurchase of these secured notes in the open market, American recorded $57 million of cash special charges for premiums paid and $6 million of non-cash special charges to write off unamortized debt issuance costs and debt discounts.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Guarantees</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December 31, 2023, American had issued guarantees covering AAG’s $1.8 billion aggregate principal amount of the PSP1 Promissory Note due April 2030, $1.0 billion aggregate principal amount of the PSP2 Promissory Note due January 2031, $959 million aggregate principal amount of the PSP3 Promissory Note due April 2031, $1.0 billion aggregate principal amount of 6.50% convertible senior notes due July 2025 and $487 million of 3.75% senior notes due March 2025.</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8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American’s debt agreements contain customary terms and conditions as well as various affirmative, negative and financial covenants that, among other things, may restrict the ability of American to incur additional indebtedness. American’s debt agreements also contain customary change of control provisions, which may require it to repay or redeem such indebtedness upon certain events constituting a change of control under the relevant agreement, in certain cases at a premium. Certain of American’s debt financing agreements (including its secured notes, term loans, revolving credit facilities and spare engine EETCs) contain loan to value (LTV), collateral coverage or peak debt service coverage ratio covenants and certain agreements require American to appraise the related collateral annually or semiannually. Pursuant to such agreements, if the applicable LTV, collateral coverage or peak debt service coverage ratio exceeds or falls below a specified threshold, as the case may be, American will be required, as applicable, to pledge additional qualifying collateral (which in some cases may include cash or investment securities), withhold additional cash in certain accounts, or pay down such financing, in whole or in part, or the interest rate for the relevant financing will be increased. Additionally, a significant portion of American’s debt financing agreements contain covenants requiring it to maintain an aggregate of at least $2.0 billion of unrestricted cash and cash equivalents and amounts available to be drawn under revolving credit facilities, and its AAdvantage Financing contains a peak debt service coverage ratio, pursuant to which failure to comply with a certain threshold may result in early repayment, in whole or in part, of the AAdvantage Financing.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Specifically, American is required to meet certain collateral coverage tests for its Credit Facilities, April 2016 Revolving Facility, 2023 Term Loan Facility, 7.25% Senior Secured Notes, 8.50% Senior Secured Notes and 10.75% Senior Secured Notes, as described below:</w:t>
      </w:r>
    </w:p>
    <w:p>
      <w:pPr>
        <w:spacing w:after="0" w:line="312" w:lineRule="exact"/>
        <w:rPr>
          <w:sz w:val="20"/>
          <w:szCs w:val="20"/>
          <w:color w:val="auto"/>
        </w:rPr>
      </w:pPr>
    </w:p>
    <w:p>
      <w:pPr>
        <w:ind w:left="1680"/>
        <w:spacing w:after="0"/>
        <w:tabs>
          <w:tab w:leader="none" w:pos="3020" w:val="left"/>
          <w:tab w:leader="none" w:pos="4480" w:val="left"/>
          <w:tab w:leader="none" w:pos="5940" w:val="left"/>
          <w:tab w:leader="none" w:pos="7160" w:val="left"/>
          <w:tab w:leader="none" w:pos="8680" w:val="left"/>
          <w:tab w:leader="none" w:pos="10060" w:val="left"/>
        </w:tabs>
        <w:rPr>
          <w:sz w:val="20"/>
          <w:szCs w:val="20"/>
          <w:color w:val="auto"/>
        </w:rPr>
      </w:pPr>
      <w:r>
        <w:rPr>
          <w:rFonts w:ascii="Arial" w:cs="Arial" w:eastAsia="Arial" w:hAnsi="Arial"/>
          <w:sz w:val="14"/>
          <w:szCs w:val="14"/>
          <w:b w:val="1"/>
          <w:bCs w:val="1"/>
          <w:color w:val="auto"/>
        </w:rPr>
        <w:t>2013 Credit</w:t>
      </w:r>
      <w:r>
        <w:rPr>
          <w:sz w:val="20"/>
          <w:szCs w:val="20"/>
          <w:color w:val="auto"/>
        </w:rPr>
        <w:tab/>
      </w:r>
      <w:r>
        <w:rPr>
          <w:rFonts w:ascii="Arial" w:cs="Arial" w:eastAsia="Arial" w:hAnsi="Arial"/>
          <w:sz w:val="14"/>
          <w:szCs w:val="14"/>
          <w:b w:val="1"/>
          <w:bCs w:val="1"/>
          <w:color w:val="auto"/>
        </w:rPr>
        <w:t>7.25% Senior</w:t>
      </w:r>
      <w:r>
        <w:rPr>
          <w:sz w:val="20"/>
          <w:szCs w:val="20"/>
          <w:color w:val="auto"/>
        </w:rPr>
        <w:tab/>
      </w:r>
      <w:r>
        <w:rPr>
          <w:rFonts w:ascii="Arial" w:cs="Arial" w:eastAsia="Arial" w:hAnsi="Arial"/>
          <w:sz w:val="14"/>
          <w:szCs w:val="14"/>
          <w:b w:val="1"/>
          <w:bCs w:val="1"/>
          <w:color w:val="auto"/>
        </w:rPr>
        <w:t>2014 Credit</w:t>
      </w:r>
      <w:r>
        <w:rPr>
          <w:sz w:val="20"/>
          <w:szCs w:val="20"/>
          <w:color w:val="auto"/>
        </w:rPr>
        <w:tab/>
      </w:r>
      <w:r>
        <w:rPr>
          <w:rFonts w:ascii="Arial" w:cs="Arial" w:eastAsia="Arial" w:hAnsi="Arial"/>
          <w:sz w:val="14"/>
          <w:szCs w:val="14"/>
          <w:b w:val="1"/>
          <w:bCs w:val="1"/>
          <w:color w:val="auto"/>
        </w:rPr>
        <w:t>April 2016</w:t>
      </w:r>
      <w:r>
        <w:rPr>
          <w:sz w:val="20"/>
          <w:szCs w:val="20"/>
          <w:color w:val="auto"/>
        </w:rPr>
        <w:tab/>
      </w:r>
      <w:r>
        <w:rPr>
          <w:rFonts w:ascii="Arial" w:cs="Arial" w:eastAsia="Arial" w:hAnsi="Arial"/>
          <w:sz w:val="14"/>
          <w:szCs w:val="14"/>
          <w:b w:val="1"/>
          <w:bCs w:val="1"/>
          <w:color w:val="auto"/>
        </w:rPr>
        <w:t>2023 Term Loan</w:t>
      </w:r>
      <w:r>
        <w:rPr>
          <w:sz w:val="20"/>
          <w:szCs w:val="20"/>
          <w:color w:val="auto"/>
        </w:rPr>
        <w:tab/>
      </w:r>
      <w:r>
        <w:rPr>
          <w:rFonts w:ascii="Arial" w:cs="Arial" w:eastAsia="Arial" w:hAnsi="Arial"/>
          <w:sz w:val="14"/>
          <w:szCs w:val="14"/>
          <w:b w:val="1"/>
          <w:bCs w:val="1"/>
          <w:color w:val="auto"/>
        </w:rPr>
        <w:t>8.50% Senior</w:t>
      </w:r>
      <w:r>
        <w:rPr>
          <w:sz w:val="20"/>
          <w:szCs w:val="20"/>
          <w:color w:val="auto"/>
        </w:rPr>
        <w:tab/>
      </w:r>
      <w:r>
        <w:rPr>
          <w:rFonts w:ascii="Arial" w:cs="Arial" w:eastAsia="Arial" w:hAnsi="Arial"/>
          <w:sz w:val="14"/>
          <w:szCs w:val="14"/>
          <w:b w:val="1"/>
          <w:bCs w:val="1"/>
          <w:color w:val="auto"/>
        </w:rPr>
        <w:t>10.75% Senior</w:t>
      </w:r>
    </w:p>
    <w:p>
      <w:pPr>
        <w:spacing w:after="0" w:line="1" w:lineRule="exact"/>
        <w:rPr>
          <w:sz w:val="20"/>
          <w:szCs w:val="20"/>
          <w:color w:val="auto"/>
        </w:rPr>
      </w:pPr>
    </w:p>
    <w:p>
      <w:pPr>
        <w:ind w:left="1760"/>
        <w:spacing w:after="0"/>
        <w:tabs>
          <w:tab w:leader="none" w:pos="2960" w:val="left"/>
          <w:tab w:leader="none" w:pos="4560" w:val="left"/>
          <w:tab w:leader="none" w:pos="5680" w:val="left"/>
          <w:tab w:leader="none" w:pos="7460" w:val="left"/>
          <w:tab w:leader="none" w:pos="8620" w:val="left"/>
          <w:tab w:leader="none" w:pos="10040" w:val="left"/>
        </w:tabs>
        <w:rPr>
          <w:sz w:val="20"/>
          <w:szCs w:val="20"/>
          <w:color w:val="auto"/>
        </w:rPr>
      </w:pPr>
      <w:r>
        <w:rPr>
          <w:rFonts w:ascii="Arial" w:cs="Arial" w:eastAsia="Arial" w:hAnsi="Arial"/>
          <w:sz w:val="14"/>
          <w:szCs w:val="14"/>
          <w:b w:val="1"/>
          <w:bCs w:val="1"/>
          <w:color w:val="auto"/>
        </w:rPr>
        <w:t>Facilities</w:t>
      </w:r>
      <w:r>
        <w:rPr>
          <w:sz w:val="20"/>
          <w:szCs w:val="20"/>
          <w:color w:val="auto"/>
        </w:rPr>
        <w:tab/>
      </w:r>
      <w:r>
        <w:rPr>
          <w:rFonts w:ascii="Arial" w:cs="Arial" w:eastAsia="Arial" w:hAnsi="Arial"/>
          <w:sz w:val="14"/>
          <w:szCs w:val="14"/>
          <w:b w:val="1"/>
          <w:bCs w:val="1"/>
          <w:color w:val="auto"/>
        </w:rPr>
        <w:t>Secured Notes</w:t>
      </w:r>
      <w:r>
        <w:rPr>
          <w:sz w:val="20"/>
          <w:szCs w:val="20"/>
          <w:color w:val="auto"/>
        </w:rPr>
        <w:tab/>
      </w:r>
      <w:r>
        <w:rPr>
          <w:rFonts w:ascii="Arial" w:cs="Arial" w:eastAsia="Arial" w:hAnsi="Arial"/>
          <w:sz w:val="14"/>
          <w:szCs w:val="14"/>
          <w:b w:val="1"/>
          <w:bCs w:val="1"/>
          <w:color w:val="auto"/>
        </w:rPr>
        <w:t>Facilities</w:t>
      </w:r>
      <w:r>
        <w:rPr>
          <w:sz w:val="20"/>
          <w:szCs w:val="20"/>
          <w:color w:val="auto"/>
        </w:rPr>
        <w:tab/>
      </w:r>
      <w:r>
        <w:rPr>
          <w:rFonts w:ascii="Arial" w:cs="Arial" w:eastAsia="Arial" w:hAnsi="Arial"/>
          <w:sz w:val="14"/>
          <w:szCs w:val="14"/>
          <w:b w:val="1"/>
          <w:bCs w:val="1"/>
          <w:color w:val="auto"/>
        </w:rPr>
        <w:t>Revolving Facility</w:t>
      </w:r>
      <w:r>
        <w:rPr>
          <w:sz w:val="20"/>
          <w:szCs w:val="20"/>
          <w:color w:val="auto"/>
        </w:rPr>
        <w:tab/>
      </w:r>
      <w:r>
        <w:rPr>
          <w:rFonts w:ascii="Arial" w:cs="Arial" w:eastAsia="Arial" w:hAnsi="Arial"/>
          <w:sz w:val="14"/>
          <w:szCs w:val="14"/>
          <w:b w:val="1"/>
          <w:bCs w:val="1"/>
          <w:color w:val="auto"/>
        </w:rPr>
        <w:t>Facility</w:t>
      </w:r>
      <w:r>
        <w:rPr>
          <w:sz w:val="20"/>
          <w:szCs w:val="20"/>
          <w:color w:val="auto"/>
        </w:rPr>
        <w:tab/>
      </w:r>
      <w:r>
        <w:rPr>
          <w:rFonts w:ascii="Arial" w:cs="Arial" w:eastAsia="Arial" w:hAnsi="Arial"/>
          <w:sz w:val="14"/>
          <w:szCs w:val="14"/>
          <w:b w:val="1"/>
          <w:bCs w:val="1"/>
          <w:color w:val="auto"/>
        </w:rPr>
        <w:t>Secured Notes</w:t>
      </w:r>
      <w:r>
        <w:rPr>
          <w:sz w:val="20"/>
          <w:szCs w:val="20"/>
          <w:color w:val="auto"/>
        </w:rPr>
        <w:tab/>
      </w:r>
      <w:r>
        <w:rPr>
          <w:rFonts w:ascii="Arial" w:cs="Arial" w:eastAsia="Arial" w:hAnsi="Arial"/>
          <w:sz w:val="14"/>
          <w:szCs w:val="14"/>
          <w:b w:val="1"/>
          <w:bCs w:val="1"/>
          <w:color w:val="auto"/>
        </w:rPr>
        <w:t>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380" w:type="dxa"/>
            <w:vAlign w:val="bottom"/>
          </w:tcPr>
          <w:p>
            <w:pPr>
              <w:spacing w:after="0"/>
              <w:rPr>
                <w:sz w:val="20"/>
                <w:szCs w:val="20"/>
                <w:color w:val="auto"/>
              </w:rPr>
            </w:pPr>
            <w:r>
              <w:rPr>
                <w:rFonts w:ascii="Arial" w:cs="Arial" w:eastAsia="Arial" w:hAnsi="Arial"/>
                <w:sz w:val="14"/>
                <w:szCs w:val="14"/>
                <w:color w:val="auto"/>
              </w:rPr>
              <w:t>LTV Requirement</w:t>
            </w: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380" w:type="dxa"/>
            <w:vAlign w:val="bottom"/>
          </w:tcPr>
          <w:p>
            <w:pPr>
              <w:spacing w:after="0"/>
              <w:rPr>
                <w:sz w:val="20"/>
                <w:szCs w:val="20"/>
                <w:color w:val="auto"/>
              </w:rPr>
            </w:pPr>
            <w:r>
              <w:rPr>
                <w:rFonts w:ascii="Arial" w:cs="Arial" w:eastAsia="Arial" w:hAnsi="Arial"/>
                <w:sz w:val="14"/>
                <w:szCs w:val="14"/>
                <w:color w:val="auto"/>
              </w:rPr>
              <w:t>LTV as of Last</w:t>
            </w:r>
          </w:p>
        </w:tc>
        <w:tc>
          <w:tcPr>
            <w:tcW w:w="2680" w:type="dxa"/>
            <w:vAlign w:val="bottom"/>
            <w:vMerge w:val="restart"/>
          </w:tcPr>
          <w:p>
            <w:pPr>
              <w:jc w:val="center"/>
              <w:ind w:left="8"/>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09"/>
        </w:trPr>
        <w:tc>
          <w:tcPr>
            <w:tcW w:w="1380" w:type="dxa"/>
            <w:vAlign w:val="bottom"/>
            <w:vMerge w:val="restart"/>
          </w:tcPr>
          <w:p>
            <w:pPr>
              <w:ind w:left="80"/>
              <w:spacing w:after="0"/>
              <w:rPr>
                <w:sz w:val="20"/>
                <w:szCs w:val="20"/>
                <w:color w:val="auto"/>
              </w:rPr>
            </w:pPr>
            <w:r>
              <w:rPr>
                <w:rFonts w:ascii="Arial" w:cs="Arial" w:eastAsia="Arial" w:hAnsi="Arial"/>
                <w:sz w:val="14"/>
                <w:szCs w:val="14"/>
                <w:color w:val="auto"/>
              </w:rPr>
              <w:t>Measurement Date</w:t>
            </w: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380" w:type="dxa"/>
            <w:vAlign w:val="bottom"/>
            <w:vMerge w:val="continue"/>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line="149" w:lineRule="exact"/>
              <w:rPr>
                <w:sz w:val="20"/>
                <w:szCs w:val="20"/>
                <w:color w:val="auto"/>
              </w:rPr>
            </w:pPr>
            <w:r>
              <w:rPr>
                <w:rFonts w:ascii="Arial" w:cs="Arial" w:eastAsia="Arial" w:hAnsi="Arial"/>
                <w:sz w:val="14"/>
                <w:szCs w:val="14"/>
                <w:color w:val="auto"/>
              </w:rPr>
              <w:t>Frequency of</w:t>
            </w: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80" w:type="dxa"/>
            <w:vAlign w:val="bottom"/>
          </w:tcPr>
          <w:p>
            <w:pPr>
              <w:ind w:left="80"/>
              <w:spacing w:after="0" w:line="144" w:lineRule="exact"/>
              <w:rPr>
                <w:sz w:val="20"/>
                <w:szCs w:val="20"/>
                <w:color w:val="auto"/>
              </w:rPr>
            </w:pPr>
            <w:r>
              <w:rPr>
                <w:rFonts w:ascii="Arial" w:cs="Arial" w:eastAsia="Arial" w:hAnsi="Arial"/>
                <w:sz w:val="14"/>
                <w:szCs w:val="14"/>
                <w:color w:val="auto"/>
              </w:rPr>
              <w:t>Appraisals of</w:t>
            </w: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80" w:type="dxa"/>
            <w:vAlign w:val="bottom"/>
          </w:tcPr>
          <w:p>
            <w:pPr>
              <w:ind w:left="80"/>
              <w:spacing w:after="0" w:line="139" w:lineRule="exact"/>
              <w:rPr>
                <w:sz w:val="20"/>
                <w:szCs w:val="20"/>
                <w:color w:val="auto"/>
              </w:rPr>
            </w:pPr>
            <w:r>
              <w:rPr>
                <w:rFonts w:ascii="Arial" w:cs="Arial" w:eastAsia="Arial" w:hAnsi="Arial"/>
                <w:sz w:val="14"/>
                <w:szCs w:val="14"/>
                <w:color w:val="auto"/>
              </w:rPr>
              <w:t>Appraised</w:t>
            </w: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80" w:type="dxa"/>
            <w:vAlign w:val="bottom"/>
          </w:tcPr>
          <w:p>
            <w:pPr>
              <w:ind w:left="80"/>
              <w:spacing w:after="0"/>
              <w:rPr>
                <w:sz w:val="20"/>
                <w:szCs w:val="20"/>
                <w:color w:val="auto"/>
              </w:rPr>
            </w:pPr>
            <w:r>
              <w:rPr>
                <w:rFonts w:ascii="Arial" w:cs="Arial" w:eastAsia="Arial" w:hAnsi="Arial"/>
                <w:sz w:val="14"/>
                <w:szCs w:val="14"/>
                <w:color w:val="auto"/>
              </w:rPr>
              <w:t>Collateral</w:t>
            </w: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9"/>
        </w:trPr>
        <w:tc>
          <w:tcPr>
            <w:tcW w:w="1380" w:type="dxa"/>
            <w:vAlign w:val="bottom"/>
          </w:tcPr>
          <w:p>
            <w:pPr>
              <w:spacing w:after="0"/>
              <w:rPr>
                <w:sz w:val="24"/>
                <w:szCs w:val="24"/>
                <w:color w:val="auto"/>
              </w:rPr>
            </w:pPr>
          </w:p>
        </w:tc>
        <w:tc>
          <w:tcPr>
            <w:tcW w:w="2680" w:type="dxa"/>
            <w:vAlign w:val="bottom"/>
          </w:tcPr>
          <w:p>
            <w:pPr>
              <w:jc w:val="center"/>
              <w:ind w:left="8"/>
              <w:spacing w:after="0"/>
              <w:rPr>
                <w:sz w:val="20"/>
                <w:szCs w:val="20"/>
                <w:color w:val="auto"/>
              </w:rPr>
            </w:pPr>
            <w:r>
              <w:rPr>
                <w:rFonts w:ascii="Arial" w:cs="Arial" w:eastAsia="Arial" w:hAnsi="Arial"/>
                <w:sz w:val="14"/>
                <w:szCs w:val="14"/>
                <w:color w:val="auto"/>
              </w:rPr>
              <w:t>Generally, certain slots, route authorities</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2680" w:type="dxa"/>
            <w:vAlign w:val="bottom"/>
          </w:tcPr>
          <w:p>
            <w:pPr>
              <w:jc w:val="center"/>
              <w:ind w:left="8"/>
              <w:spacing w:after="0" w:line="149" w:lineRule="exact"/>
              <w:rPr>
                <w:sz w:val="20"/>
                <w:szCs w:val="20"/>
                <w:color w:val="auto"/>
              </w:rPr>
            </w:pPr>
            <w:r>
              <w:rPr>
                <w:rFonts w:ascii="Arial" w:cs="Arial" w:eastAsia="Arial" w:hAnsi="Arial"/>
                <w:sz w:val="14"/>
                <w:szCs w:val="14"/>
                <w:color w:val="auto"/>
              </w:rPr>
              <w:t>and airport gate leasehold rights used by</w:t>
            </w:r>
          </w:p>
        </w:tc>
        <w:tc>
          <w:tcPr>
            <w:tcW w:w="0" w:type="dxa"/>
            <w:vAlign w:val="bottom"/>
          </w:tcPr>
          <w:p>
            <w:pPr>
              <w:spacing w:after="0"/>
              <w:rPr>
                <w:sz w:val="1"/>
                <w:szCs w:val="1"/>
                <w:color w:val="auto"/>
              </w:rPr>
            </w:pPr>
          </w:p>
        </w:tc>
      </w:tr>
    </w:tbl>
    <w:p>
      <w:pPr>
        <w:jc w:val="both"/>
        <w:ind w:left="1460" w:hanging="1430"/>
        <w:spacing w:after="0" w:line="221" w:lineRule="auto"/>
        <w:tabs>
          <w:tab w:leader="none" w:pos="1440" w:val="left"/>
        </w:tabs>
        <w:rPr>
          <w:sz w:val="20"/>
          <w:szCs w:val="20"/>
          <w:color w:val="auto"/>
        </w:rPr>
      </w:pPr>
      <w:r>
        <w:rPr>
          <w:rFonts w:ascii="Arial" w:cs="Arial" w:eastAsia="Arial" w:hAnsi="Arial"/>
          <w:sz w:val="14"/>
          <w:szCs w:val="14"/>
          <w:color w:val="auto"/>
        </w:rPr>
        <w:t>Collateral Description</w:t>
        <w:tab/>
        <w:t>American to operate certain services between the U.S. and South America and</w:t>
      </w:r>
    </w:p>
    <w:p>
      <w:pPr>
        <w:ind w:left="2360"/>
        <w:spacing w:after="0"/>
        <w:rPr>
          <w:sz w:val="20"/>
          <w:szCs w:val="20"/>
          <w:color w:val="auto"/>
        </w:rPr>
      </w:pPr>
      <w:r>
        <w:rPr>
          <w:rFonts w:ascii="Arial" w:cs="Arial" w:eastAsia="Arial" w:hAnsi="Arial"/>
          <w:sz w:val="14"/>
          <w:szCs w:val="14"/>
          <w:color w:val="auto"/>
        </w:rPr>
        <w:t>New Zealand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1.6x Collateral valuation to amount of debt outstanding (62.5% LTV)</w:t>
      </w:r>
    </w:p>
    <w:p>
      <w:pPr>
        <w:spacing w:after="0" w:line="109"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1300" w:type="dxa"/>
            <w:vAlign w:val="bottom"/>
          </w:tcPr>
          <w:p>
            <w:pPr>
              <w:jc w:val="center"/>
              <w:ind w:right="68"/>
              <w:spacing w:after="0"/>
              <w:rPr>
                <w:sz w:val="20"/>
                <w:szCs w:val="20"/>
                <w:color w:val="auto"/>
              </w:rPr>
            </w:pPr>
            <w:r>
              <w:rPr>
                <w:rFonts w:ascii="Arial" w:cs="Arial" w:eastAsia="Arial" w:hAnsi="Arial"/>
                <w:sz w:val="14"/>
                <w:szCs w:val="14"/>
                <w:color w:val="auto"/>
              </w:rPr>
              <w:t>16.4%</w:t>
            </w:r>
          </w:p>
        </w:tc>
        <w:tc>
          <w:tcPr>
            <w:tcW w:w="1380" w:type="dxa"/>
            <w:vAlign w:val="bottom"/>
          </w:tcPr>
          <w:p>
            <w:pPr>
              <w:jc w:val="center"/>
              <w:spacing w:after="0"/>
              <w:rPr>
                <w:sz w:val="20"/>
                <w:szCs w:val="20"/>
                <w:color w:val="auto"/>
              </w:rPr>
            </w:pPr>
            <w:r>
              <w:rPr>
                <w:rFonts w:ascii="Arial" w:cs="Arial" w:eastAsia="Arial" w:hAnsi="Arial"/>
                <w:sz w:val="14"/>
                <w:szCs w:val="14"/>
                <w:color w:val="auto"/>
              </w:rPr>
              <w:t>Not Applicable</w:t>
            </w:r>
          </w:p>
        </w:tc>
        <w:tc>
          <w:tcPr>
            <w:tcW w:w="2740" w:type="dxa"/>
            <w:vAlign w:val="bottom"/>
          </w:tcPr>
          <w:p>
            <w:pPr>
              <w:jc w:val="center"/>
              <w:ind w:left="71"/>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485"/>
        </w:trPr>
        <w:tc>
          <w:tcPr>
            <w:tcW w:w="2680" w:type="dxa"/>
            <w:vAlign w:val="bottom"/>
            <w:gridSpan w:val="2"/>
          </w:tcPr>
          <w:p>
            <w:pPr>
              <w:ind w:left="880"/>
              <w:spacing w:after="0"/>
              <w:rPr>
                <w:sz w:val="20"/>
                <w:szCs w:val="20"/>
                <w:color w:val="auto"/>
              </w:rPr>
            </w:pPr>
            <w:r>
              <w:rPr>
                <w:rFonts w:ascii="Arial" w:cs="Arial" w:eastAsia="Arial" w:hAnsi="Arial"/>
                <w:sz w:val="14"/>
                <w:szCs w:val="14"/>
                <w:color w:val="auto"/>
              </w:rPr>
              <w:t>Semi-Annual</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1300" w:type="dxa"/>
            <w:vAlign w:val="bottom"/>
          </w:tcPr>
          <w:p>
            <w:pPr>
              <w:jc w:val="center"/>
              <w:ind w:right="68"/>
              <w:spacing w:after="0"/>
              <w:rPr>
                <w:sz w:val="20"/>
                <w:szCs w:val="20"/>
                <w:color w:val="auto"/>
              </w:rPr>
            </w:pPr>
            <w:r>
              <w:rPr>
                <w:rFonts w:ascii="Arial" w:cs="Arial" w:eastAsia="Arial" w:hAnsi="Arial"/>
                <w:sz w:val="14"/>
                <w:szCs w:val="14"/>
                <w:color w:val="auto"/>
              </w:rPr>
              <w:t>Generally, certain</w:t>
            </w:r>
          </w:p>
        </w:tc>
        <w:tc>
          <w:tcPr>
            <w:tcW w:w="13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300" w:type="dxa"/>
            <w:vAlign w:val="bottom"/>
          </w:tcPr>
          <w:p>
            <w:pPr>
              <w:jc w:val="center"/>
              <w:ind w:right="88"/>
              <w:spacing w:after="0" w:line="144" w:lineRule="exact"/>
              <w:rPr>
                <w:sz w:val="20"/>
                <w:szCs w:val="20"/>
                <w:color w:val="auto"/>
              </w:rPr>
            </w:pPr>
            <w:r>
              <w:rPr>
                <w:rFonts w:ascii="Arial" w:cs="Arial" w:eastAsia="Arial" w:hAnsi="Arial"/>
                <w:sz w:val="14"/>
                <w:szCs w:val="14"/>
                <w:color w:val="auto"/>
              </w:rPr>
              <w:t>slots, route</w:t>
            </w:r>
          </w:p>
        </w:tc>
        <w:tc>
          <w:tcPr>
            <w:tcW w:w="1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jc w:val="center"/>
              <w:ind w:right="88"/>
              <w:spacing w:after="0" w:line="139" w:lineRule="exact"/>
              <w:rPr>
                <w:sz w:val="20"/>
                <w:szCs w:val="20"/>
                <w:color w:val="auto"/>
              </w:rPr>
            </w:pPr>
            <w:r>
              <w:rPr>
                <w:rFonts w:ascii="Arial" w:cs="Arial" w:eastAsia="Arial" w:hAnsi="Arial"/>
                <w:sz w:val="14"/>
                <w:szCs w:val="14"/>
                <w:color w:val="auto"/>
              </w:rPr>
              <w:t>authorities and</w:t>
            </w:r>
          </w:p>
        </w:tc>
        <w:tc>
          <w:tcPr>
            <w:tcW w:w="1380" w:type="dxa"/>
            <w:vAlign w:val="bottom"/>
          </w:tcPr>
          <w:p>
            <w:pPr>
              <w:spacing w:after="0"/>
              <w:rPr>
                <w:sz w:val="12"/>
                <w:szCs w:val="12"/>
                <w:color w:val="auto"/>
              </w:rPr>
            </w:pPr>
          </w:p>
        </w:tc>
        <w:tc>
          <w:tcPr>
            <w:tcW w:w="2740" w:type="dxa"/>
            <w:vAlign w:val="bottom"/>
            <w:vMerge w:val="restart"/>
          </w:tcPr>
          <w:p>
            <w:pPr>
              <w:jc w:val="center"/>
              <w:ind w:left="71"/>
              <w:spacing w:after="0"/>
              <w:rPr>
                <w:sz w:val="20"/>
                <w:szCs w:val="20"/>
                <w:color w:val="auto"/>
              </w:rPr>
            </w:pPr>
            <w:r>
              <w:rPr>
                <w:rFonts w:ascii="Arial" w:cs="Arial" w:eastAsia="Arial" w:hAnsi="Arial"/>
                <w:sz w:val="14"/>
                <w:szCs w:val="14"/>
                <w:color w:val="auto"/>
              </w:rPr>
              <w:t>Generally, certain slots, route authorities</w:t>
            </w:r>
          </w:p>
        </w:tc>
        <w:tc>
          <w:tcPr>
            <w:tcW w:w="0" w:type="dxa"/>
            <w:vAlign w:val="bottom"/>
          </w:tcPr>
          <w:p>
            <w:pPr>
              <w:spacing w:after="0"/>
              <w:rPr>
                <w:sz w:val="1"/>
                <w:szCs w:val="1"/>
                <w:color w:val="auto"/>
              </w:rPr>
            </w:pPr>
          </w:p>
        </w:tc>
      </w:tr>
      <w:tr>
        <w:trPr>
          <w:trHeight w:val="67"/>
        </w:trPr>
        <w:tc>
          <w:tcPr>
            <w:tcW w:w="1300" w:type="dxa"/>
            <w:vAlign w:val="bottom"/>
            <w:vMerge w:val="restart"/>
          </w:tcPr>
          <w:p>
            <w:pPr>
              <w:jc w:val="center"/>
              <w:ind w:right="68"/>
              <w:spacing w:after="0" w:line="149" w:lineRule="exact"/>
              <w:rPr>
                <w:sz w:val="20"/>
                <w:szCs w:val="20"/>
                <w:color w:val="auto"/>
              </w:rPr>
            </w:pPr>
            <w:r>
              <w:rPr>
                <w:rFonts w:ascii="Arial" w:cs="Arial" w:eastAsia="Arial" w:hAnsi="Arial"/>
                <w:sz w:val="14"/>
                <w:szCs w:val="14"/>
                <w:color w:val="auto"/>
              </w:rPr>
              <w:t>airport gate</w:t>
            </w:r>
          </w:p>
        </w:tc>
        <w:tc>
          <w:tcPr>
            <w:tcW w:w="138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0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2740" w:type="dxa"/>
            <w:vAlign w:val="bottom"/>
            <w:vMerge w:val="restart"/>
          </w:tcPr>
          <w:p>
            <w:pPr>
              <w:jc w:val="center"/>
              <w:ind w:left="71"/>
              <w:spacing w:after="0" w:line="144" w:lineRule="exact"/>
              <w:rPr>
                <w:sz w:val="20"/>
                <w:szCs w:val="20"/>
                <w:color w:val="auto"/>
              </w:rPr>
            </w:pPr>
            <w:r>
              <w:rPr>
                <w:rFonts w:ascii="Arial" w:cs="Arial" w:eastAsia="Arial" w:hAnsi="Arial"/>
                <w:sz w:val="14"/>
                <w:szCs w:val="14"/>
                <w:color w:val="auto"/>
              </w:rPr>
              <w:t>and airport gate leasehold rights used by</w:t>
            </w:r>
          </w:p>
        </w:tc>
        <w:tc>
          <w:tcPr>
            <w:tcW w:w="0" w:type="dxa"/>
            <w:vAlign w:val="bottom"/>
          </w:tcPr>
          <w:p>
            <w:pPr>
              <w:spacing w:after="0"/>
              <w:rPr>
                <w:sz w:val="1"/>
                <w:szCs w:val="1"/>
                <w:color w:val="auto"/>
              </w:rPr>
            </w:pPr>
          </w:p>
        </w:tc>
      </w:tr>
      <w:tr>
        <w:trPr>
          <w:trHeight w:val="63"/>
        </w:trPr>
        <w:tc>
          <w:tcPr>
            <w:tcW w:w="1300" w:type="dxa"/>
            <w:vAlign w:val="bottom"/>
            <w:vMerge w:val="restart"/>
          </w:tcPr>
          <w:p>
            <w:pPr>
              <w:jc w:val="center"/>
              <w:ind w:right="68"/>
              <w:spacing w:after="0" w:line="144" w:lineRule="exact"/>
              <w:rPr>
                <w:sz w:val="20"/>
                <w:szCs w:val="20"/>
                <w:color w:val="auto"/>
              </w:rPr>
            </w:pPr>
            <w:r>
              <w:rPr>
                <w:rFonts w:ascii="Arial" w:cs="Arial" w:eastAsia="Arial" w:hAnsi="Arial"/>
                <w:sz w:val="14"/>
                <w:szCs w:val="14"/>
                <w:color w:val="auto"/>
              </w:rPr>
              <w:t>leasehold rights</w:t>
            </w:r>
          </w:p>
        </w:tc>
        <w:tc>
          <w:tcPr>
            <w:tcW w:w="138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0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2740" w:type="dxa"/>
            <w:vAlign w:val="bottom"/>
            <w:vMerge w:val="restart"/>
          </w:tcPr>
          <w:p>
            <w:pPr>
              <w:jc w:val="center"/>
              <w:ind w:left="51"/>
              <w:spacing w:after="0" w:line="139" w:lineRule="exact"/>
              <w:rPr>
                <w:sz w:val="20"/>
                <w:szCs w:val="20"/>
                <w:color w:val="auto"/>
              </w:rPr>
            </w:pPr>
            <w:r>
              <w:rPr>
                <w:rFonts w:ascii="Arial" w:cs="Arial" w:eastAsia="Arial" w:hAnsi="Arial"/>
                <w:sz w:val="14"/>
                <w:szCs w:val="14"/>
                <w:color w:val="auto"/>
              </w:rPr>
              <w:t>American to operate certain services</w:t>
            </w:r>
          </w:p>
        </w:tc>
        <w:tc>
          <w:tcPr>
            <w:tcW w:w="0" w:type="dxa"/>
            <w:vAlign w:val="bottom"/>
          </w:tcPr>
          <w:p>
            <w:pPr>
              <w:spacing w:after="0"/>
              <w:rPr>
                <w:sz w:val="1"/>
                <w:szCs w:val="1"/>
                <w:color w:val="auto"/>
              </w:rPr>
            </w:pPr>
          </w:p>
        </w:tc>
      </w:tr>
      <w:tr>
        <w:trPr>
          <w:trHeight w:val="58"/>
        </w:trPr>
        <w:tc>
          <w:tcPr>
            <w:tcW w:w="1300" w:type="dxa"/>
            <w:vAlign w:val="bottom"/>
            <w:vMerge w:val="restart"/>
          </w:tcPr>
          <w:p>
            <w:pPr>
              <w:jc w:val="center"/>
              <w:ind w:right="68"/>
              <w:spacing w:after="0" w:line="139" w:lineRule="exact"/>
              <w:rPr>
                <w:sz w:val="20"/>
                <w:szCs w:val="20"/>
                <w:color w:val="auto"/>
              </w:rPr>
            </w:pPr>
            <w:r>
              <w:rPr>
                <w:rFonts w:ascii="Arial" w:cs="Arial" w:eastAsia="Arial" w:hAnsi="Arial"/>
                <w:sz w:val="14"/>
                <w:szCs w:val="14"/>
                <w:color w:val="auto"/>
              </w:rPr>
              <w:t>used by American</w:t>
            </w:r>
          </w:p>
        </w:tc>
        <w:tc>
          <w:tcPr>
            <w:tcW w:w="1380" w:type="dxa"/>
            <w:vAlign w:val="bottom"/>
            <w:vMerge w:val="restart"/>
          </w:tcPr>
          <w:p>
            <w:pPr>
              <w:jc w:val="center"/>
              <w:spacing w:after="0" w:line="139" w:lineRule="exact"/>
              <w:rPr>
                <w:sz w:val="20"/>
                <w:szCs w:val="20"/>
                <w:color w:val="auto"/>
              </w:rPr>
            </w:pPr>
            <w:r>
              <w:rPr>
                <w:rFonts w:ascii="Arial" w:cs="Arial" w:eastAsia="Arial" w:hAnsi="Arial"/>
                <w:sz w:val="14"/>
                <w:szCs w:val="14"/>
                <w:color w:val="auto"/>
              </w:rPr>
              <w:t>Generally, certain</w:t>
            </w:r>
          </w:p>
        </w:tc>
        <w:tc>
          <w:tcPr>
            <w:tcW w:w="2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0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2740" w:type="dxa"/>
            <w:vAlign w:val="bottom"/>
            <w:vMerge w:val="restart"/>
          </w:tcPr>
          <w:p>
            <w:pPr>
              <w:jc w:val="center"/>
              <w:ind w:left="71"/>
              <w:spacing w:after="0" w:line="149" w:lineRule="exact"/>
              <w:rPr>
                <w:sz w:val="20"/>
                <w:szCs w:val="20"/>
                <w:color w:val="auto"/>
              </w:rPr>
            </w:pPr>
            <w:r>
              <w:rPr>
                <w:rFonts w:ascii="Arial" w:cs="Arial" w:eastAsia="Arial" w:hAnsi="Arial"/>
                <w:sz w:val="14"/>
                <w:szCs w:val="14"/>
                <w:color w:val="auto"/>
              </w:rPr>
              <w:t>between the U.S. and Australia, Canada,</w:t>
            </w:r>
          </w:p>
        </w:tc>
        <w:tc>
          <w:tcPr>
            <w:tcW w:w="0" w:type="dxa"/>
            <w:vAlign w:val="bottom"/>
          </w:tcPr>
          <w:p>
            <w:pPr>
              <w:spacing w:after="0"/>
              <w:rPr>
                <w:sz w:val="1"/>
                <w:szCs w:val="1"/>
                <w:color w:val="auto"/>
              </w:rPr>
            </w:pPr>
          </w:p>
        </w:tc>
      </w:tr>
      <w:tr>
        <w:trPr>
          <w:trHeight w:val="67"/>
        </w:trPr>
        <w:tc>
          <w:tcPr>
            <w:tcW w:w="1300" w:type="dxa"/>
            <w:vAlign w:val="bottom"/>
            <w:vMerge w:val="restart"/>
          </w:tcPr>
          <w:p>
            <w:pPr>
              <w:jc w:val="center"/>
              <w:ind w:right="68"/>
              <w:spacing w:after="0"/>
              <w:rPr>
                <w:sz w:val="20"/>
                <w:szCs w:val="20"/>
                <w:color w:val="auto"/>
              </w:rPr>
            </w:pPr>
            <w:r>
              <w:rPr>
                <w:rFonts w:ascii="Arial" w:cs="Arial" w:eastAsia="Arial" w:hAnsi="Arial"/>
                <w:sz w:val="14"/>
                <w:szCs w:val="14"/>
                <w:color w:val="auto"/>
              </w:rPr>
              <w:t>to operate certain</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spare parts</w:t>
            </w:r>
          </w:p>
        </w:tc>
        <w:tc>
          <w:tcPr>
            <w:tcW w:w="2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2740" w:type="dxa"/>
            <w:vAlign w:val="bottom"/>
          </w:tcPr>
          <w:p>
            <w:pPr>
              <w:jc w:val="center"/>
              <w:ind w:left="51"/>
              <w:spacing w:after="0" w:line="95" w:lineRule="exact"/>
              <w:rPr>
                <w:sz w:val="20"/>
                <w:szCs w:val="20"/>
                <w:color w:val="auto"/>
              </w:rPr>
            </w:pPr>
            <w:r>
              <w:rPr>
                <w:rFonts w:ascii="Arial" w:cs="Arial" w:eastAsia="Arial" w:hAnsi="Arial"/>
                <w:sz w:val="11"/>
                <w:szCs w:val="11"/>
                <w:color w:val="auto"/>
              </w:rPr>
              <w:t>the Caribbean, Central America, China,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-1073150</wp:posOffset>
            </wp:positionV>
            <wp:extent cx="7132320" cy="402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tbl>
      <w:tblPr>
        <w:tblLayout w:type="fixed"/>
        <w:tblInd w:w="160" w:type="dxa"/>
        <w:tblCellMar>
          <w:top w:w="0" w:type="dxa"/>
          <w:left w:w="0" w:type="dxa"/>
          <w:bottom w:w="0" w:type="dxa"/>
          <w:right w:w="0" w:type="dxa"/>
        </w:tblCellMar>
      </w:tblPr>
      <w:tr>
        <w:trPr>
          <w:trHeight w:val="130"/>
        </w:trPr>
        <w:tc>
          <w:tcPr>
            <w:tcW w:w="1980" w:type="dxa"/>
            <w:vAlign w:val="bottom"/>
          </w:tcPr>
          <w:p>
            <w:pPr>
              <w:jc w:val="center"/>
              <w:ind w:right="748"/>
              <w:spacing w:after="0" w:line="130" w:lineRule="exact"/>
              <w:rPr>
                <w:sz w:val="20"/>
                <w:szCs w:val="20"/>
                <w:color w:val="auto"/>
              </w:rPr>
            </w:pPr>
            <w:r>
              <w:rPr>
                <w:rFonts w:ascii="Arial" w:cs="Arial" w:eastAsia="Arial" w:hAnsi="Arial"/>
                <w:sz w:val="14"/>
                <w:szCs w:val="14"/>
                <w:color w:val="auto"/>
              </w:rPr>
              <w:t>services between</w:t>
            </w:r>
          </w:p>
        </w:tc>
        <w:tc>
          <w:tcPr>
            <w:tcW w:w="3440" w:type="dxa"/>
            <w:vAlign w:val="bottom"/>
            <w:vMerge w:val="restart"/>
          </w:tcPr>
          <w:p>
            <w:pPr>
              <w:jc w:val="center"/>
              <w:ind w:left="768"/>
              <w:spacing w:after="0"/>
              <w:rPr>
                <w:sz w:val="20"/>
                <w:szCs w:val="20"/>
                <w:color w:val="auto"/>
              </w:rPr>
            </w:pPr>
            <w:r>
              <w:rPr>
                <w:rFonts w:ascii="Arial" w:cs="Arial" w:eastAsia="Arial" w:hAnsi="Arial"/>
                <w:sz w:val="14"/>
                <w:szCs w:val="14"/>
                <w:color w:val="auto"/>
              </w:rPr>
              <w:t>Hong Kong, Japan, Mexico, South Korea</w:t>
            </w:r>
          </w:p>
        </w:tc>
        <w:tc>
          <w:tcPr>
            <w:tcW w:w="0" w:type="dxa"/>
            <w:vAlign w:val="bottom"/>
          </w:tcPr>
          <w:p>
            <w:pPr>
              <w:spacing w:after="0"/>
              <w:rPr>
                <w:sz w:val="1"/>
                <w:szCs w:val="1"/>
                <w:color w:val="auto"/>
              </w:rPr>
            </w:pPr>
          </w:p>
        </w:tc>
      </w:tr>
      <w:tr>
        <w:trPr>
          <w:trHeight w:val="58"/>
        </w:trPr>
        <w:tc>
          <w:tcPr>
            <w:tcW w:w="1980" w:type="dxa"/>
            <w:vAlign w:val="bottom"/>
            <w:vMerge w:val="restart"/>
          </w:tcPr>
          <w:p>
            <w:pPr>
              <w:jc w:val="center"/>
              <w:ind w:right="748"/>
              <w:spacing w:after="0" w:line="139" w:lineRule="exact"/>
              <w:rPr>
                <w:sz w:val="20"/>
                <w:szCs w:val="20"/>
                <w:color w:val="auto"/>
              </w:rPr>
            </w:pPr>
            <w:r>
              <w:rPr>
                <w:rFonts w:ascii="Arial" w:cs="Arial" w:eastAsia="Arial" w:hAnsi="Arial"/>
                <w:sz w:val="14"/>
                <w:szCs w:val="14"/>
                <w:color w:val="auto"/>
              </w:rPr>
              <w:t>the U.S. and</w:t>
            </w: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980" w:type="dxa"/>
            <w:vAlign w:val="bottom"/>
            <w:vMerge w:val="continue"/>
          </w:tcPr>
          <w:p>
            <w:pPr>
              <w:spacing w:after="0"/>
              <w:rPr>
                <w:sz w:val="7"/>
                <w:szCs w:val="7"/>
                <w:color w:val="auto"/>
              </w:rPr>
            </w:pPr>
          </w:p>
        </w:tc>
        <w:tc>
          <w:tcPr>
            <w:tcW w:w="3440" w:type="dxa"/>
            <w:vAlign w:val="bottom"/>
            <w:vMerge w:val="restart"/>
          </w:tcPr>
          <w:p>
            <w:pPr>
              <w:jc w:val="center"/>
              <w:ind w:left="748"/>
              <w:spacing w:after="0"/>
              <w:rPr>
                <w:sz w:val="20"/>
                <w:szCs w:val="20"/>
                <w:color w:val="auto"/>
              </w:rPr>
            </w:pPr>
            <w:r>
              <w:rPr>
                <w:rFonts w:ascii="Arial" w:cs="Arial" w:eastAsia="Arial" w:hAnsi="Arial"/>
                <w:sz w:val="14"/>
                <w:szCs w:val="14"/>
                <w:color w:val="auto"/>
              </w:rPr>
              <w:t>and Switzerland</w:t>
            </w:r>
          </w:p>
        </w:tc>
        <w:tc>
          <w:tcPr>
            <w:tcW w:w="0" w:type="dxa"/>
            <w:vAlign w:val="bottom"/>
          </w:tcPr>
          <w:p>
            <w:pPr>
              <w:spacing w:after="0"/>
              <w:rPr>
                <w:sz w:val="1"/>
                <w:szCs w:val="1"/>
                <w:color w:val="auto"/>
              </w:rPr>
            </w:pPr>
          </w:p>
        </w:tc>
      </w:tr>
      <w:tr>
        <w:trPr>
          <w:trHeight w:val="109"/>
        </w:trPr>
        <w:tc>
          <w:tcPr>
            <w:tcW w:w="1980" w:type="dxa"/>
            <w:vAlign w:val="bottom"/>
            <w:vMerge w:val="restart"/>
          </w:tcPr>
          <w:p>
            <w:pPr>
              <w:jc w:val="center"/>
              <w:ind w:right="748"/>
              <w:spacing w:after="0" w:line="149" w:lineRule="exact"/>
              <w:rPr>
                <w:sz w:val="20"/>
                <w:szCs w:val="20"/>
                <w:color w:val="auto"/>
              </w:rPr>
            </w:pPr>
            <w:r>
              <w:rPr>
                <w:rFonts w:ascii="Arial" w:cs="Arial" w:eastAsia="Arial" w:hAnsi="Arial"/>
                <w:sz w:val="14"/>
                <w:szCs w:val="14"/>
                <w:color w:val="auto"/>
              </w:rPr>
              <w:t>European Union</w:t>
            </w:r>
          </w:p>
        </w:tc>
        <w:tc>
          <w:tcPr>
            <w:tcW w:w="3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980" w:type="dxa"/>
            <w:vAlign w:val="bottom"/>
            <w:vMerge w:val="continue"/>
          </w:tcPr>
          <w:p>
            <w:pPr>
              <w:spacing w:after="0"/>
              <w:rPr>
                <w:sz w:val="3"/>
                <w:szCs w:val="3"/>
                <w:color w:val="auto"/>
              </w:rPr>
            </w:pPr>
          </w:p>
        </w:tc>
        <w:tc>
          <w:tcPr>
            <w:tcW w:w="3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1980" w:type="dxa"/>
            <w:vAlign w:val="bottom"/>
          </w:tcPr>
          <w:p>
            <w:pPr>
              <w:jc w:val="center"/>
              <w:ind w:right="768"/>
              <w:spacing w:after="0" w:line="144" w:lineRule="exact"/>
              <w:rPr>
                <w:sz w:val="20"/>
                <w:szCs w:val="20"/>
                <w:color w:val="auto"/>
              </w:rPr>
            </w:pPr>
            <w:r>
              <w:rPr>
                <w:rFonts w:ascii="Arial" w:cs="Arial" w:eastAsia="Arial" w:hAnsi="Arial"/>
                <w:sz w:val="14"/>
                <w:szCs w:val="14"/>
                <w:color w:val="auto"/>
              </w:rPr>
              <w:t>(including London</w:t>
            </w: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980" w:type="dxa"/>
            <w:vAlign w:val="bottom"/>
          </w:tcPr>
          <w:p>
            <w:pPr>
              <w:jc w:val="center"/>
              <w:ind w:right="768"/>
              <w:spacing w:after="0"/>
              <w:rPr>
                <w:sz w:val="20"/>
                <w:szCs w:val="20"/>
                <w:color w:val="auto"/>
              </w:rPr>
            </w:pPr>
            <w:r>
              <w:rPr>
                <w:rFonts w:ascii="Arial" w:cs="Arial" w:eastAsia="Arial" w:hAnsi="Arial"/>
                <w:sz w:val="14"/>
                <w:szCs w:val="14"/>
                <w:color w:val="auto"/>
              </w:rPr>
              <w:t>Heathrow)</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6.9%</w:t>
      </w:r>
    </w:p>
    <w:p>
      <w:pPr>
        <w:spacing w:after="0" w:line="32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Annual</w:t>
      </w:r>
    </w:p>
    <w:p>
      <w:pPr>
        <w:spacing w:after="0" w:line="392" w:lineRule="exact"/>
        <w:rPr>
          <w:sz w:val="20"/>
          <w:szCs w:val="20"/>
          <w:color w:val="auto"/>
        </w:rPr>
      </w:pPr>
    </w:p>
    <w:p>
      <w:pPr>
        <w:ind w:left="60"/>
        <w:spacing w:after="0"/>
        <w:rPr>
          <w:sz w:val="20"/>
          <w:szCs w:val="20"/>
          <w:color w:val="auto"/>
        </w:rPr>
      </w:pPr>
      <w:r>
        <w:rPr>
          <w:rFonts w:ascii="Arial" w:cs="Arial" w:eastAsia="Arial" w:hAnsi="Arial"/>
          <w:sz w:val="14"/>
          <w:szCs w:val="14"/>
          <w:color w:val="auto"/>
        </w:rPr>
        <w:t>Generally, certain</w:t>
      </w:r>
    </w:p>
    <w:p>
      <w:pPr>
        <w:spacing w:after="0" w:line="1" w:lineRule="exact"/>
        <w:rPr>
          <w:sz w:val="20"/>
          <w:szCs w:val="20"/>
          <w:color w:val="auto"/>
        </w:rPr>
      </w:pPr>
    </w:p>
    <w:p>
      <w:pPr>
        <w:ind w:left="60" w:right="100" w:hanging="7"/>
        <w:spacing w:after="0" w:line="211" w:lineRule="auto"/>
        <w:rPr>
          <w:sz w:val="20"/>
          <w:szCs w:val="20"/>
          <w:color w:val="auto"/>
        </w:rPr>
      </w:pPr>
      <w:r>
        <w:rPr>
          <w:rFonts w:ascii="Arial" w:cs="Arial" w:eastAsia="Arial" w:hAnsi="Arial"/>
          <w:sz w:val="14"/>
          <w:szCs w:val="14"/>
          <w:color w:val="auto"/>
        </w:rPr>
        <w:t>DCA slots, certain LGA slots, certain</w:t>
      </w:r>
    </w:p>
    <w:p>
      <w:pPr>
        <w:jc w:val="center"/>
        <w:ind w:right="60"/>
        <w:spacing w:after="0" w:line="221" w:lineRule="auto"/>
        <w:rPr>
          <w:sz w:val="20"/>
          <w:szCs w:val="20"/>
          <w:color w:val="auto"/>
        </w:rPr>
      </w:pPr>
      <w:r>
        <w:rPr>
          <w:rFonts w:ascii="Arial" w:cs="Arial" w:eastAsia="Arial" w:hAnsi="Arial"/>
          <w:sz w:val="14"/>
          <w:szCs w:val="14"/>
          <w:color w:val="auto"/>
        </w:rPr>
        <w:t>simulators and</w:t>
      </w:r>
    </w:p>
    <w:p>
      <w:pPr>
        <w:ind w:left="100" w:right="140" w:hanging="11"/>
        <w:spacing w:after="0" w:line="211" w:lineRule="auto"/>
        <w:rPr>
          <w:sz w:val="20"/>
          <w:szCs w:val="20"/>
          <w:color w:val="auto"/>
        </w:rPr>
      </w:pPr>
      <w:r>
        <w:rPr>
          <w:rFonts w:ascii="Arial" w:cs="Arial" w:eastAsia="Arial" w:hAnsi="Arial"/>
          <w:sz w:val="14"/>
          <w:szCs w:val="14"/>
          <w:color w:val="auto"/>
        </w:rPr>
        <w:t>certain leasehold rights and, in the</w:t>
      </w:r>
    </w:p>
    <w:p>
      <w:pPr>
        <w:ind w:left="180"/>
        <w:spacing w:after="0" w:line="221" w:lineRule="auto"/>
        <w:rPr>
          <w:sz w:val="20"/>
          <w:szCs w:val="20"/>
          <w:color w:val="auto"/>
        </w:rPr>
      </w:pPr>
      <w:r>
        <w:rPr>
          <w:rFonts w:ascii="Arial" w:cs="Arial" w:eastAsia="Arial" w:hAnsi="Arial"/>
          <w:sz w:val="14"/>
          <w:szCs w:val="14"/>
          <w:color w:val="auto"/>
        </w:rPr>
        <w:t>case of the IP</w:t>
      </w:r>
    </w:p>
    <w:p>
      <w:pPr>
        <w:ind w:left="180"/>
        <w:spacing w:after="0" w:line="201" w:lineRule="auto"/>
        <w:rPr>
          <w:sz w:val="20"/>
          <w:szCs w:val="20"/>
          <w:color w:val="auto"/>
        </w:rPr>
      </w:pPr>
      <w:r>
        <w:rPr>
          <w:rFonts w:ascii="Arial" w:cs="Arial" w:eastAsia="Arial" w:hAnsi="Arial"/>
          <w:sz w:val="14"/>
          <w:szCs w:val="14"/>
          <w:color w:val="auto"/>
        </w:rPr>
        <w:t>Notes, certain</w:t>
      </w:r>
    </w:p>
    <w:p>
      <w:pPr>
        <w:jc w:val="center"/>
        <w:ind w:right="60"/>
        <w:spacing w:after="0" w:line="243" w:lineRule="auto"/>
        <w:rPr>
          <w:sz w:val="20"/>
          <w:szCs w:val="20"/>
          <w:color w:val="auto"/>
        </w:rPr>
      </w:pPr>
      <w:r>
        <w:rPr>
          <w:rFonts w:ascii="Arial" w:cs="Arial" w:eastAsia="Arial" w:hAnsi="Arial"/>
          <w:sz w:val="14"/>
          <w:szCs w:val="14"/>
          <w:color w:val="auto"/>
        </w:rPr>
        <w:t>intellectual property of American</w:t>
      </w:r>
    </w:p>
    <w:p>
      <w:pPr>
        <w:spacing w:after="0" w:line="355" w:lineRule="exact"/>
        <w:rPr>
          <w:sz w:val="20"/>
          <w:szCs w:val="20"/>
          <w:color w:val="auto"/>
        </w:rPr>
      </w:pPr>
    </w:p>
    <w:p>
      <w:pPr>
        <w:sectPr>
          <w:pgSz w:w="11900" w:h="16838" w:orient="portrait"/>
          <w:cols w:equalWidth="0" w:num="3">
            <w:col w:w="4100" w:space="60"/>
            <w:col w:w="5580" w:space="200"/>
            <w:col w:w="1300"/>
          </w:cols>
          <w:pgMar w:left="320" w:top="121" w:right="339" w:bottom="1440" w:gutter="0" w:footer="0" w:header="0"/>
          <w:type w:val="continuous"/>
        </w:sectPr>
      </w:pPr>
    </w:p>
    <w:p>
      <w:pPr>
        <w:spacing w:after="0" w:line="3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At December 31, 2023, American was in compliance with the applicable collateral coverage tests as of the most recent measurement 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 leases certain aircraft and engines, including aircraft under capacity purchase agreements. As of December 31, 2023, American operated 737 leased aircraft, including seven aircraft in temporary storage and 237 aircraft leased under capacity purchase agreements, with remaining terms ranging from less than one year to 10 years.</w:t>
      </w:r>
    </w:p>
    <w:p>
      <w:pPr>
        <w:spacing w:after="0" w:line="11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At each airport where American conducts flight operations, American has agreements, generally with a governmental unit or authority, for the use of passenger, operations and baggage handling space as well as runways and taxiways. These agreements, particularly in the U.S., often contain provisions for periodic adjustments to rates and charges applicable under such agreements. These rates and charges also vary with American’s level of operations and the operations of the airport. Because of the variable nature of these rates, these leases are not recorded on American’s consolidated balance sheets as a ROU asset or a lease liability. Additionally, at American’s hub locations and in certain other cities it serves, American leases administrative offices, catering, cargo, training, maintenance and other facilities.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2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assets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Total net lease cost</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4,858</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w:t>
            </w:r>
          </w:p>
        </w:tc>
      </w:tr>
      <w:tr>
        <w:trPr>
          <w:trHeight w:val="20"/>
        </w:trPr>
        <w:tc>
          <w:tcPr>
            <w:tcW w:w="6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Included in the table above is $274 million, $242 million and $190 million of operating lease cost under American’s capacity purchase agreement with Republic for the years ended December 31, 2023, 2022 and 2021, respectively. American holds a 25% equity interest in Republic Holdings, the parent company of Republic.</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balance sheet information related to leases was as follows (in millions, except lease term and discount rate):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40" w:type="dxa"/>
            <w:vAlign w:val="bottom"/>
            <w:vMerge w:val="restart"/>
          </w:tcPr>
          <w:p>
            <w:pPr>
              <w:ind w:left="20"/>
              <w:spacing w:after="0"/>
              <w:rPr>
                <w:sz w:val="20"/>
                <w:szCs w:val="20"/>
                <w:color w:val="auto"/>
              </w:rPr>
            </w:pPr>
            <w:r>
              <w:rPr>
                <w:rFonts w:ascii="Arial" w:cs="Arial" w:eastAsia="Arial" w:hAnsi="Arial"/>
                <w:sz w:val="18"/>
                <w:szCs w:val="18"/>
                <w:color w:val="auto"/>
              </w:rPr>
              <w:t>Operating leases:</w:t>
            </w:r>
          </w:p>
        </w:tc>
        <w:tc>
          <w:tcPr>
            <w:tcW w:w="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ROU assets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7,886</w:t>
            </w:r>
          </w:p>
        </w:tc>
        <w:tc>
          <w:tcPr>
            <w:tcW w:w="5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8,033</w:t>
            </w:r>
          </w:p>
        </w:tc>
        <w:tc>
          <w:tcPr>
            <w:tcW w:w="0" w:type="dxa"/>
            <w:vAlign w:val="bottom"/>
          </w:tcPr>
          <w:p>
            <w:pPr>
              <w:spacing w:after="0"/>
              <w:rPr>
                <w:sz w:val="1"/>
                <w:szCs w:val="1"/>
                <w:color w:val="auto"/>
              </w:rPr>
            </w:pPr>
          </w:p>
        </w:tc>
      </w:tr>
      <w:tr>
        <w:trPr>
          <w:trHeight w:val="270"/>
        </w:trPr>
        <w:tc>
          <w:tcPr>
            <w:tcW w:w="6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operating lease liabilities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1,292</w:t>
            </w:r>
          </w:p>
        </w:tc>
        <w:tc>
          <w:tcPr>
            <w:tcW w:w="5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29"/>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7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6,416</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6,512</w:t>
            </w:r>
          </w:p>
        </w:tc>
        <w:tc>
          <w:tcPr>
            <w:tcW w:w="0" w:type="dxa"/>
            <w:vAlign w:val="bottom"/>
          </w:tcPr>
          <w:p>
            <w:pPr>
              <w:spacing w:after="0"/>
              <w:rPr>
                <w:sz w:val="1"/>
                <w:szCs w:val="1"/>
                <w:color w:val="auto"/>
              </w:rPr>
            </w:pPr>
          </w:p>
        </w:tc>
      </w:tr>
      <w:tr>
        <w:trPr>
          <w:trHeight w:val="248"/>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lease liabilities</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7,708</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Property and equipment, at cost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00" w:type="dxa"/>
            <w:vAlign w:val="bottom"/>
            <w:gridSpan w:val="3"/>
          </w:tcPr>
          <w:p>
            <w:pPr>
              <w:jc w:val="right"/>
              <w:ind w:right="8"/>
              <w:spacing w:after="0"/>
              <w:rPr>
                <w:sz w:val="20"/>
                <w:szCs w:val="20"/>
                <w:color w:val="auto"/>
              </w:rPr>
            </w:pPr>
            <w:r>
              <w:rPr>
                <w:rFonts w:ascii="Arial" w:cs="Arial" w:eastAsia="Arial" w:hAnsi="Arial"/>
                <w:sz w:val="18"/>
                <w:szCs w:val="18"/>
                <w:color w:val="auto"/>
              </w:rPr>
              <w:t>1,352</w:t>
            </w:r>
          </w:p>
        </w:tc>
        <w:tc>
          <w:tcPr>
            <w:tcW w:w="5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amortization</w:t>
            </w:r>
          </w:p>
        </w:tc>
        <w:tc>
          <w:tcPr>
            <w:tcW w:w="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7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482</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Current finance lease liabilities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00" w:type="dxa"/>
            <w:vAlign w:val="bottom"/>
            <w:gridSpan w:val="3"/>
          </w:tcPr>
          <w:p>
            <w:pPr>
              <w:jc w:val="right"/>
              <w:ind w:right="8"/>
              <w:spacing w:after="0"/>
              <w:rPr>
                <w:sz w:val="20"/>
                <w:szCs w:val="20"/>
                <w:color w:val="auto"/>
              </w:rPr>
            </w:pPr>
            <w:r>
              <w:rPr>
                <w:rFonts w:ascii="Arial" w:cs="Arial" w:eastAsia="Arial" w:hAnsi="Arial"/>
                <w:sz w:val="18"/>
                <w:szCs w:val="18"/>
                <w:color w:val="auto"/>
              </w:rPr>
              <w:t>124</w:t>
            </w:r>
          </w:p>
        </w:tc>
        <w:tc>
          <w:tcPr>
            <w:tcW w:w="5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finance lease liabilities</w:t>
            </w:r>
          </w:p>
        </w:tc>
        <w:tc>
          <w:tcPr>
            <w:tcW w:w="7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374</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3"/>
        </w:trPr>
        <w:tc>
          <w:tcPr>
            <w:tcW w:w="654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7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498</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39"/>
        </w:trPr>
        <w:tc>
          <w:tcPr>
            <w:tcW w:w="65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453"/>
        </w:trPr>
        <w:tc>
          <w:tcPr>
            <w:tcW w:w="7500" w:type="dxa"/>
            <w:vAlign w:val="bottom"/>
            <w:gridSpan w:val="3"/>
          </w:tcPr>
          <w:p>
            <w:pPr>
              <w:ind w:left="260"/>
              <w:spacing w:after="0"/>
              <w:rPr>
                <w:sz w:val="20"/>
                <w:szCs w:val="20"/>
                <w:color w:val="auto"/>
              </w:rPr>
            </w:pPr>
            <w:r>
              <w:rPr>
                <w:rFonts w:ascii="Arial" w:cs="Arial" w:eastAsia="Arial" w:hAnsi="Arial"/>
                <w:sz w:val="18"/>
                <w:szCs w:val="18"/>
                <w:color w:val="auto"/>
                <w:w w:val="99"/>
              </w:rPr>
              <w:t>Supplemental cash flow and other information related to leases was as follows (in millions):</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5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540" w:type="dxa"/>
            <w:vAlign w:val="bottom"/>
            <w:vMerge w:val="restart"/>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78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2,011</w:t>
            </w:r>
          </w:p>
        </w:tc>
        <w:tc>
          <w:tcPr>
            <w:tcW w:w="1100" w:type="dxa"/>
            <w:vAlign w:val="bottom"/>
            <w:gridSpan w:val="3"/>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29"/>
        </w:trPr>
        <w:tc>
          <w:tcPr>
            <w:tcW w:w="6540" w:type="dxa"/>
            <w:vAlign w:val="bottom"/>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3"/>
          </w:tcPr>
          <w:p>
            <w:pPr>
              <w:ind w:left="28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0"/>
        </w:trPr>
        <w:tc>
          <w:tcPr>
            <w:tcW w:w="6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leaseback transactions, net</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746"/>
        </w:trPr>
        <w:tc>
          <w:tcPr>
            <w:tcW w:w="6540" w:type="dxa"/>
            <w:vAlign w:val="bottom"/>
          </w:tcPr>
          <w:p>
            <w:pPr>
              <w:ind w:left="5480"/>
              <w:spacing w:after="0"/>
              <w:rPr>
                <w:sz w:val="20"/>
                <w:szCs w:val="20"/>
                <w:color w:val="auto"/>
              </w:rPr>
            </w:pPr>
            <w:r>
              <w:rPr>
                <w:rFonts w:ascii="Arial" w:cs="Arial" w:eastAsia="Arial" w:hAnsi="Arial"/>
                <w:sz w:val="18"/>
                <w:szCs w:val="18"/>
                <w:color w:val="auto"/>
              </w:rPr>
              <w:t>151</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5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Maturities of lease liabilities were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ind w:left="980"/>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7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tcPr>
          <w:p>
            <w:pPr>
              <w:spacing w:after="0"/>
              <w:rPr>
                <w:sz w:val="17"/>
                <w:szCs w:val="17"/>
                <w:color w:val="auto"/>
              </w:rPr>
            </w:pPr>
          </w:p>
        </w:tc>
        <w:tc>
          <w:tcPr>
            <w:tcW w:w="1540" w:type="dxa"/>
            <w:vAlign w:val="bottom"/>
          </w:tcPr>
          <w:p>
            <w:pPr>
              <w:jc w:val="right"/>
              <w:ind w:right="252"/>
              <w:spacing w:after="0"/>
              <w:rPr>
                <w:sz w:val="20"/>
                <w:szCs w:val="20"/>
                <w:color w:val="auto"/>
              </w:rPr>
            </w:pPr>
            <w:r>
              <w:rPr>
                <w:rFonts w:ascii="Arial" w:cs="Arial" w:eastAsia="Arial" w:hAnsi="Arial"/>
                <w:sz w:val="14"/>
                <w:szCs w:val="14"/>
                <w:b w:val="1"/>
                <w:bCs w:val="1"/>
                <w:color w:val="auto"/>
              </w:rPr>
              <w:t>Finance Leases</w:t>
            </w:r>
          </w:p>
        </w:tc>
      </w:tr>
      <w:tr>
        <w:trPr>
          <w:trHeight w:val="224"/>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2029 and thereafter</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(2,641)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obligations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obligations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Long-term lease 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As of December 31, 2023, American had additional operating lease commitments that have not yet commenced of approximately $669 million for five Boeing 787 Family aircraft scheduled to be delivered in 2024 with lease terms of 10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significant components of the income tax provision (benefit) were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benefit:</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State, local and foreign</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provision (benefit):</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Federal</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and local</w:t>
            </w: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6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income tax provision (benefit)</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provision (benefit)</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income tax provision (benefit) differed from amounts computed at the statutory federal income tax rate as follows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income tax provision (benefit)</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State, local and foreign income tax provision (benefit), net of federal tax effect</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expenses not deductible for tax purposes</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460" w:type="dxa"/>
            <w:vAlign w:val="bottom"/>
          </w:tcPr>
          <w:p>
            <w:pPr>
              <w:ind w:left="340"/>
              <w:spacing w:after="0"/>
              <w:rPr>
                <w:sz w:val="20"/>
                <w:szCs w:val="20"/>
                <w:color w:val="auto"/>
              </w:rPr>
            </w:pPr>
            <w:r>
              <w:rPr>
                <w:rFonts w:ascii="Arial" w:cs="Arial" w:eastAsia="Arial" w:hAnsi="Arial"/>
                <w:sz w:val="18"/>
                <w:szCs w:val="18"/>
                <w:color w:val="auto"/>
              </w:rPr>
              <w:t>Income tax provision (benefit)</w:t>
            </w: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5480"/>
              <w:spacing w:after="0"/>
              <w:rPr>
                <w:sz w:val="20"/>
                <w:szCs w:val="20"/>
                <w:color w:val="auto"/>
              </w:rPr>
            </w:pPr>
            <w:r>
              <w:rPr>
                <w:rFonts w:ascii="Arial" w:cs="Arial" w:eastAsia="Arial" w:hAnsi="Arial"/>
                <w:sz w:val="18"/>
                <w:szCs w:val="18"/>
                <w:color w:val="auto"/>
              </w:rPr>
              <w:t>152</w:t>
            </w: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9"/>
        </w:trPr>
        <w:tc>
          <w:tcPr>
            <w:tcW w:w="64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4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American’s deferred tax assets and liabilities were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Net operating loss and other carryforwards</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3,960</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4,492</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Loyalty program liability</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Leases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1,804</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benefits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Postretirement benefits other than pension benefits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Rent expense</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r>
      <w:tr>
        <w:trPr>
          <w:trHeight w:val="223"/>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w:t>
            </w:r>
          </w:p>
        </w:tc>
      </w:tr>
      <w:tr>
        <w:trPr>
          <w:trHeight w:val="229"/>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Valuation allowance</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deferred tax assets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9,561</w:t>
            </w:r>
          </w:p>
        </w:tc>
      </w:tr>
      <w:tr>
        <w:trPr>
          <w:trHeight w:val="209"/>
        </w:trPr>
        <w:tc>
          <w:tcPr>
            <w:tcW w:w="75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Accelerated depreciation and amortization</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r>
      <w:tr>
        <w:trPr>
          <w:trHeight w:val="229"/>
        </w:trPr>
        <w:tc>
          <w:tcPr>
            <w:tcW w:w="7580" w:type="dxa"/>
            <w:vAlign w:val="bottom"/>
          </w:tcPr>
          <w:p>
            <w:pPr>
              <w:ind w:left="140"/>
              <w:spacing w:after="0"/>
              <w:rPr>
                <w:sz w:val="20"/>
                <w:szCs w:val="20"/>
                <w:color w:val="auto"/>
              </w:rPr>
            </w:pPr>
            <w:r>
              <w:rPr>
                <w:rFonts w:ascii="Arial" w:cs="Arial" w:eastAsia="Arial" w:hAnsi="Arial"/>
                <w:sz w:val="18"/>
                <w:szCs w:val="18"/>
                <w:color w:val="auto"/>
              </w:rPr>
              <w:t>Leases</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(1,817)</w:t>
            </w:r>
          </w:p>
        </w:tc>
      </w:tr>
      <w:tr>
        <w:trPr>
          <w:trHeight w:val="229"/>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23"/>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 tax liabilities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w:t>
            </w: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At December 31, 2023, American had approximately $13.7 billion of gross federal net operating losses (NOLs) and $3.6 billion of other carryforwards available to reduce future federal taxable income, of which $3.8 billion will expire beginning in 2033 if unused and $13.5 billion can be carried forward indefinitely. American is a member of AAG’s consolidated federal and certain state income tax returns. American also had approximately $5.3 billion of NOL carryforwards to reduce future state taxable income at December 31, 2023, which will expire in taxable years 2023 through 2043 if unused.</w:t>
      </w:r>
    </w:p>
    <w:p>
      <w:pPr>
        <w:spacing w:after="0" w:line="1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American’s ability to use its NOLs and other carryforwards depends on the amount of taxable income generated in future periods. American provides a valuation allowance for its deferred tax assets, which include the NOLs, when it is more likely than not that some portion, or all of its deferred tax assets, will not be realized.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has determined that positive factors outweigh negative factors in the determination of the realizability of its deferred tax assets. There can be no assurance that an additional valuation allowance on American’s net deferred tax assets will not be required. Such valuation allowance could be material.</w:t>
      </w:r>
    </w:p>
    <w:p>
      <w:pPr>
        <w:spacing w:after="0" w:line="12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American’s ability to deduct its NOL carryforwards and to utilize certain other available tax attributes can be substantially constrained under the general annual limitation rules of Section 382 where an “ownership change” has occurred. Substantially all of American’s remaining federal NOL carryforwards attributable to US Airways Group are subject to limitation under Section 382; however, American’s ability to utilize such NOL carryforwards is not anticipated to be effectively constrained as a result of such limitation. Similar limitations may apply for state income tax purposes. American’s ability to utilize any new NOL carryforwards arising after the ownership changes is not affected by the annual limitation rules imposed by Section 382 unless another ownership change occurs. Under the Section 382 limitation, cumulative stock ownership changes among material stockholders exceeding 50% during a rolling three-year period can potentially limit American’s future use of NOLs and tax credits.</w:t>
      </w:r>
    </w:p>
    <w:p>
      <w:pPr>
        <w:spacing w:after="0" w:line="128"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In 2023, American recorded an income tax provision of $394 million, with an effective rate of approximately 25%, which was substantially non-cash. Substantially all of American’s income before income taxes is attributable to the United States.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files its tax returns as prescribed by the tax laws of the jurisdictions in which it operates. American’s 2020 through 2022 tax years are still subject to examination by the Internal Revenue Service. Various state and foreign jurisdiction tax years remain open to examination, and American is under examination, in administrative appeals or engaged in tax litigation in certain jurisdictions. American believes that the effect of any assessments will not be material to its consolidated financial statements.</w:t>
      </w:r>
    </w:p>
    <w:p>
      <w:pPr>
        <w:spacing w:after="0" w:line="1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amount of, and changes to, American’s uncertain tax positions were not material in any of the years presented. American accrues interest and penalties related to unrecognized tax benefits in interest expense and operating expense,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Assets Measured at Fair Value on a Recurring Basis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Fair value is defined as the price that would be received from the sale of an asset or paid to transfer a liability (i.e., an exit price) on the measurement date in an orderly transaction between market participants in the principal or most advantageous market for the asset or liability. Accounting standards include disclosure requirements around fair values used for certain financial instruments and establish a fair value hierarchy. The hierarchy prioritizes valuation inputs into three levels based on the extent to which inputs used in measuring fair value are observable in the market. Each fair value measurement is reported in one of three levels:</w:t>
      </w:r>
    </w:p>
    <w:p>
      <w:pPr>
        <w:spacing w:after="0" w:line="70" w:lineRule="exact"/>
        <w:rPr>
          <w:sz w:val="20"/>
          <w:szCs w:val="20"/>
          <w:color w:val="auto"/>
        </w:rPr>
      </w:pPr>
    </w:p>
    <w:p>
      <w:pPr>
        <w:ind w:left="1300" w:hanging="645"/>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w:t>
      </w:r>
    </w:p>
    <w:p>
      <w:pPr>
        <w:spacing w:after="0" w:line="116" w:lineRule="exact"/>
        <w:rPr>
          <w:rFonts w:ascii="Arial" w:cs="Arial" w:eastAsia="Arial" w:hAnsi="Arial"/>
          <w:sz w:val="18"/>
          <w:szCs w:val="18"/>
          <w:color w:val="auto"/>
        </w:rPr>
      </w:pPr>
    </w:p>
    <w:p>
      <w:pPr>
        <w:ind w:left="1300" w:hanging="645"/>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2 – Inputs, other than quoted prices in active markets, that are observable either directly or indirectly; and</w:t>
      </w:r>
    </w:p>
    <w:p>
      <w:pPr>
        <w:spacing w:after="0" w:line="116" w:lineRule="exact"/>
        <w:rPr>
          <w:rFonts w:ascii="Arial" w:cs="Arial" w:eastAsia="Arial" w:hAnsi="Arial"/>
          <w:sz w:val="18"/>
          <w:szCs w:val="18"/>
          <w:color w:val="auto"/>
        </w:rPr>
      </w:pPr>
    </w:p>
    <w:p>
      <w:pPr>
        <w:ind w:left="1300" w:hanging="645"/>
        <w:spacing w:after="0" w:line="286" w:lineRule="auto"/>
        <w:tabs>
          <w:tab w:leader="none" w:pos="12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3 – Unobservable inputs in which there is little or no market data, which require the reporting entity to develop its own assumptions.</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When available, American uses quoted market prices to determine the fair value of its financial assets. If quoted market prices are not available, American measures fair value using valuation techniques that use, when possible, current market-based or independently-sourced market parameters, such as interest rates and currency rates.</w:t>
      </w:r>
    </w:p>
    <w:p>
      <w:pPr>
        <w:spacing w:after="0" w:line="116"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7"/>
          <w:szCs w:val="17"/>
          <w:color w:val="auto"/>
        </w:rPr>
        <w:t>American utilizes the market approach to measure the fair value of its financial assets. The market approach uses prices and other relevant information generated by market transactions involving identical or comparable assets. American’s short-term investments, restricted cash and restricted short-term investments classified as Level 2 utilize significant observable inputs, other than quoted prices in active markets, for valuation of these securities. No changes in valuation techniques or inputs occurred during the year ended December 31, 2023.</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Fair Value Measurements as of December 31, 2023</w:t>
            </w:r>
          </w:p>
        </w:tc>
        <w:tc>
          <w:tcPr>
            <w:tcW w:w="1140" w:type="dxa"/>
            <w:vAlign w:val="bottom"/>
            <w:tcBorders>
              <w:bottom w:val="single" w:sz="8" w:color="auto"/>
            </w:tcBorders>
          </w:tcPr>
          <w:p>
            <w:pPr>
              <w:spacing w:after="0"/>
              <w:rPr>
                <w:sz w:val="17"/>
                <w:szCs w:val="17"/>
                <w:color w:val="auto"/>
              </w:rPr>
            </w:pPr>
          </w:p>
        </w:tc>
      </w:tr>
      <w:tr>
        <w:trPr>
          <w:trHeight w:val="196"/>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14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20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U.S. government and agency obligations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26"/>
        </w:trPr>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753"/>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1"/>
        </w:trPr>
        <w:tc>
          <w:tcPr>
            <w:tcW w:w="5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Fair Value Measurements as of December 31, 2022</w:t>
            </w:r>
          </w:p>
        </w:tc>
        <w:tc>
          <w:tcPr>
            <w:tcW w:w="114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14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5200" w:type="dxa"/>
            <w:vAlign w:val="bottom"/>
            <w:tcBorders>
              <w:top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gridSpan w:val="2"/>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23"/>
        </w:trPr>
        <w:tc>
          <w:tcPr>
            <w:tcW w:w="20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8,523</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7,792</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r>
    </w:tbl>
    <w:p>
      <w:pPr>
        <w:spacing w:after="0" w:line="76" w:lineRule="exact"/>
        <w:rPr>
          <w:sz w:val="20"/>
          <w:szCs w:val="20"/>
          <w:color w:val="auto"/>
        </w:rPr>
      </w:pPr>
    </w:p>
    <w:p>
      <w:pPr>
        <w:ind w:left="340" w:right="20" w:hanging="332"/>
        <w:spacing w:after="0" w:line="231" w:lineRule="auto"/>
        <w:tabs>
          <w:tab w:leader="none" w:pos="334" w:val="left"/>
        </w:tabs>
        <w:numPr>
          <w:ilvl w:val="0"/>
          <w:numId w:val="74"/>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74"/>
        </w:numPr>
        <w:rPr>
          <w:rFonts w:ascii="Arial" w:cs="Arial" w:eastAsia="Arial" w:hAnsi="Arial"/>
          <w:sz w:val="23"/>
          <w:szCs w:val="23"/>
          <w:color w:val="auto"/>
          <w:vertAlign w:val="superscript"/>
        </w:rPr>
      </w:pPr>
      <w:r>
        <w:rPr>
          <w:rFonts w:ascii="Arial" w:cs="Arial" w:eastAsia="Arial" w:hAnsi="Arial"/>
          <w:sz w:val="18"/>
          <w:szCs w:val="18"/>
          <w:color w:val="auto"/>
        </w:rPr>
        <w:t>American’s short-term investments as of December 31, 2023 mature in one year or less.</w:t>
      </w:r>
    </w:p>
    <w:p>
      <w:pPr>
        <w:spacing w:after="0" w:line="138" w:lineRule="exact"/>
        <w:rPr>
          <w:rFonts w:ascii="Arial" w:cs="Arial" w:eastAsia="Arial" w:hAnsi="Arial"/>
          <w:sz w:val="23"/>
          <w:szCs w:val="23"/>
          <w:color w:val="auto"/>
          <w:vertAlign w:val="superscript"/>
        </w:rPr>
      </w:pPr>
    </w:p>
    <w:p>
      <w:pPr>
        <w:jc w:val="both"/>
        <w:ind w:left="340" w:hanging="332"/>
        <w:spacing w:after="0" w:line="237" w:lineRule="auto"/>
        <w:tabs>
          <w:tab w:leader="none" w:pos="334" w:val="left"/>
        </w:tabs>
        <w:numPr>
          <w:ilvl w:val="0"/>
          <w:numId w:val="74"/>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held to support workers' compensation obligations and collateral associated with the payment of interest for the AAdvantage Financing. Restricted short-term investments mature in one year or less except for $218 million as of December 31, 2023.</w:t>
      </w:r>
    </w:p>
    <w:p>
      <w:pPr>
        <w:spacing w:after="0" w:line="139" w:lineRule="exact"/>
        <w:rPr>
          <w:rFonts w:ascii="Arial" w:cs="Arial" w:eastAsia="Arial" w:hAnsi="Arial"/>
          <w:sz w:val="23"/>
          <w:szCs w:val="23"/>
          <w:color w:val="auto"/>
          <w:vertAlign w:val="superscript"/>
        </w:rPr>
      </w:pPr>
    </w:p>
    <w:p>
      <w:pPr>
        <w:ind w:left="340" w:hanging="332"/>
        <w:spacing w:after="0" w:line="215" w:lineRule="auto"/>
        <w:tabs>
          <w:tab w:leader="none" w:pos="335" w:val="left"/>
        </w:tabs>
        <w:numPr>
          <w:ilvl w:val="0"/>
          <w:numId w:val="74"/>
        </w:numPr>
        <w:rPr>
          <w:rFonts w:ascii="Arial" w:cs="Arial" w:eastAsia="Arial" w:hAnsi="Arial"/>
          <w:sz w:val="26"/>
          <w:szCs w:val="26"/>
          <w:color w:val="auto"/>
          <w:vertAlign w:val="superscript"/>
        </w:rPr>
      </w:pPr>
      <w:r>
        <w:rPr>
          <w:rFonts w:ascii="Arial" w:cs="Arial" w:eastAsia="Arial" w:hAnsi="Arial"/>
          <w:sz w:val="18"/>
          <w:szCs w:val="18"/>
          <w:color w:val="auto"/>
        </w:rPr>
        <w:t>Long-term investments include American's equity investments in China Southern Airlines Company Limited (China Southern Airlines), GOL and Vertical Aerospace Ltd. (Vertical). See Note 7 for further information on American’s equity investments.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4"/>
                <w:szCs w:val="14"/>
                <w:b w:val="1"/>
                <w:bCs w:val="1"/>
                <w:color w:val="auto"/>
              </w:rPr>
              <w:t>December 31, 2023</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742"/>
              <w:spacing w:after="0"/>
              <w:rPr>
                <w:sz w:val="20"/>
                <w:szCs w:val="20"/>
                <w:color w:val="auto"/>
              </w:rPr>
            </w:pPr>
            <w:r>
              <w:rPr>
                <w:rFonts w:ascii="Arial" w:cs="Arial" w:eastAsia="Arial" w:hAnsi="Arial"/>
                <w:sz w:val="14"/>
                <w:szCs w:val="14"/>
                <w:b w:val="1"/>
                <w:bCs w:val="1"/>
                <w:color w:val="auto"/>
              </w:rPr>
              <w:t>December 31, 2022</w:t>
            </w:r>
          </w:p>
        </w:tc>
      </w:tr>
      <w:tr>
        <w:trPr>
          <w:trHeight w:val="143"/>
        </w:trPr>
        <w:tc>
          <w:tcPr>
            <w:tcW w:w="5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20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100" w:type="dxa"/>
            <w:vAlign w:val="bottom"/>
          </w:tcPr>
          <w:p>
            <w:pPr>
              <w:jc w:val="center"/>
              <w:ind w:right="242"/>
              <w:spacing w:after="0" w:line="143" w:lineRule="exact"/>
              <w:rPr>
                <w:sz w:val="20"/>
                <w:szCs w:val="20"/>
                <w:color w:val="auto"/>
              </w:rPr>
            </w:pPr>
            <w:r>
              <w:rPr>
                <w:rFonts w:ascii="Arial" w:cs="Arial" w:eastAsia="Arial" w:hAnsi="Arial"/>
                <w:sz w:val="14"/>
                <w:szCs w:val="14"/>
                <w:b w:val="1"/>
                <w:bCs w:val="1"/>
                <w:color w:val="auto"/>
              </w:rPr>
              <w:t>Fair</w:t>
            </w:r>
          </w:p>
        </w:tc>
      </w:tr>
      <w:tr>
        <w:trPr>
          <w:trHeight w:val="189"/>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6"/>
                <w:szCs w:val="16"/>
                <w:color w:val="auto"/>
              </w:rPr>
            </w:pPr>
          </w:p>
        </w:tc>
        <w:tc>
          <w:tcPr>
            <w:tcW w:w="110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48"/>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including current maturities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27,177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27,008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29,679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28,453</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To help expand American’s network and as part of its ongoing commitment to sustainability, American enters into various commercial relationships or other strategic partnerships, including equity investments, with other airlines and companies. American’s equity investments are reflected in other assets on its consolidated balance sheets. American’s share of equity method investees’ financial results and changes in fair value are recorded in nonoperating other income (expense), net on the consolidated statements of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American’s equity investments ownership interest and carrying value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bottom w:val="single" w:sz="8" w:color="auto"/>
            </w:tcBorders>
            <w:gridSpan w:val="3"/>
          </w:tcPr>
          <w:p>
            <w:pPr>
              <w:jc w:val="center"/>
              <w:ind w:left="881"/>
              <w:spacing w:after="0"/>
              <w:rPr>
                <w:sz w:val="20"/>
                <w:szCs w:val="20"/>
                <w:color w:val="auto"/>
              </w:rPr>
            </w:pPr>
            <w:r>
              <w:rPr>
                <w:rFonts w:ascii="Arial" w:cs="Arial" w:eastAsia="Arial" w:hAnsi="Arial"/>
                <w:sz w:val="14"/>
                <w:szCs w:val="14"/>
                <w:b w:val="1"/>
                <w:bCs w:val="1"/>
                <w:color w:val="auto"/>
              </w:rPr>
              <w:t>Ownership Interest</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Carrying Value (in millions)</w:t>
            </w:r>
          </w:p>
        </w:tc>
      </w:tr>
      <w:tr>
        <w:trPr>
          <w:trHeight w:val="200"/>
        </w:trPr>
        <w:tc>
          <w:tcPr>
            <w:tcW w:w="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bottom w:val="single" w:sz="8" w:color="auto"/>
            </w:tcBorders>
            <w:gridSpan w:val="3"/>
          </w:tcPr>
          <w:p>
            <w:pPr>
              <w:jc w:val="center"/>
              <w:ind w:left="881"/>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Accounting Treatment</w:t>
            </w:r>
          </w:p>
        </w:tc>
        <w:tc>
          <w:tcPr>
            <w:tcW w:w="1560" w:type="dxa"/>
            <w:vAlign w:val="bottom"/>
          </w:tcPr>
          <w:p>
            <w:pPr>
              <w:jc w:val="right"/>
              <w:ind w:right="54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ind w:right="556"/>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r>
      <w:tr>
        <w:trPr>
          <w:trHeight w:val="224"/>
        </w:trPr>
        <w:tc>
          <w:tcPr>
            <w:tcW w:w="24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Republic Holdings</w:t>
            </w: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Equity Method</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2460" w:type="dxa"/>
            <w:vAlign w:val="bottom"/>
            <w:gridSpan w:val="3"/>
          </w:tcPr>
          <w:p>
            <w:pPr>
              <w:ind w:left="20"/>
              <w:spacing w:after="0"/>
              <w:rPr>
                <w:sz w:val="20"/>
                <w:szCs w:val="20"/>
                <w:color w:val="auto"/>
              </w:rPr>
            </w:pPr>
            <w:r>
              <w:rPr>
                <w:rFonts w:ascii="Arial" w:cs="Arial" w:eastAsia="Arial" w:hAnsi="Arial"/>
                <w:sz w:val="18"/>
                <w:szCs w:val="18"/>
                <w:color w:val="auto"/>
              </w:rPr>
              <w:t>China Southern Airlines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Fair Value</w:t>
            </w:r>
          </w:p>
        </w:tc>
        <w:tc>
          <w:tcPr>
            <w:tcW w:w="15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246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(1)</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Various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3"/>
        </w:trPr>
        <w:tc>
          <w:tcPr>
            <w:tcW w:w="246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r>
      <w:tr>
        <w:trPr>
          <w:trHeight w:val="20"/>
        </w:trPr>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9"/>
        </w:trPr>
        <w:tc>
          <w:tcPr>
            <w:tcW w:w="340" w:type="dxa"/>
            <w:vAlign w:val="bottom"/>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62" w:lineRule="exact"/>
        <w:rPr>
          <w:sz w:val="20"/>
          <w:szCs w:val="20"/>
          <w:color w:val="auto"/>
        </w:rPr>
      </w:pPr>
    </w:p>
    <w:p>
      <w:pPr>
        <w:ind w:left="340" w:right="20" w:hanging="332"/>
        <w:spacing w:after="0" w:line="231" w:lineRule="auto"/>
        <w:tabs>
          <w:tab w:leader="none" w:pos="334" w:val="left"/>
        </w:tabs>
        <w:numPr>
          <w:ilvl w:val="0"/>
          <w:numId w:val="75"/>
        </w:numPr>
        <w:rPr>
          <w:rFonts w:ascii="Arial" w:cs="Arial" w:eastAsia="Arial" w:hAnsi="Arial"/>
          <w:sz w:val="23"/>
          <w:szCs w:val="23"/>
          <w:color w:val="auto"/>
          <w:vertAlign w:val="superscript"/>
        </w:rPr>
      </w:pPr>
      <w:r>
        <w:rPr>
          <w:rFonts w:ascii="Arial" w:cs="Arial" w:eastAsia="Arial" w:hAnsi="Arial"/>
          <w:sz w:val="18"/>
          <w:szCs w:val="18"/>
          <w:color w:val="auto"/>
        </w:rPr>
        <w:t>Primarily includes American’s investment in JetSMART Holdings Limited, which is accounted for under the equity method, and American’s investments in GOL and Vertical, which are each accounted for at fair value.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American sponsors defined benefit and defined contribution pension plans for eligible employees. The defined benefit pension plans provide benefits for participating employees based on years of service and average compensation for a specified period of time before retirement. Effective November 1, 2012, substantially all of American’s defined benefit pension plans were frozen and American began providing enhanced benefits under its defined contribution pension plans for certain employee groups. American uses a December 31 measurement date for all of its defined benefit pension plans. American also provides certain retiree medical and other postretirement benefits, including health care and life insurance benefits, to retired employees.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Obligations, Fair Value of Plan Assets and Funded Status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following tables provide a reconciliation of the changes in the pension and retiree medical and other postretirement benefits obligations, fair value of plan assets and funded status as of December 31, 2023 and 2022:</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20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 obligation at 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13,948</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Service cost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Actuarial loss (gain) </w:t>
            </w:r>
            <w:r>
              <w:rPr>
                <w:rFonts w:ascii="Arial" w:cs="Arial" w:eastAsia="Arial" w:hAnsi="Arial"/>
                <w:sz w:val="23"/>
                <w:szCs w:val="23"/>
                <w:color w:val="auto"/>
                <w:vertAlign w:val="superscript"/>
              </w:rPr>
              <w:t>(1), (2)</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Plan amendments </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Benefit payments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Benefit obligation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14,314</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of plan assets at 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Actual return (loss) on plan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Employer contributions </w:t>
            </w:r>
            <w:r>
              <w:rPr>
                <w:rFonts w:ascii="Arial" w:cs="Arial" w:eastAsia="Arial" w:hAnsi="Arial"/>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Benefit payments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Fair value of plan assets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Funded status at end of period</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(1,956)</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(2,127)</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80" w:type="dxa"/>
            <w:vAlign w:val="bottom"/>
            <w:tcBorders>
              <w:bottom w:val="single" w:sz="8" w:color="auto"/>
            </w:tcBorders>
          </w:tcPr>
          <w:p>
            <w:pPr>
              <w:spacing w:after="0"/>
              <w:rPr>
                <w:sz w:val="13"/>
                <w:szCs w:val="13"/>
                <w:color w:val="auto"/>
              </w:rPr>
            </w:pPr>
          </w:p>
        </w:tc>
        <w:tc>
          <w:tcPr>
            <w:tcW w:w="3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76"/>
        </w:numPr>
        <w:rPr>
          <w:rFonts w:ascii="Arial" w:cs="Arial" w:eastAsia="Arial" w:hAnsi="Arial"/>
          <w:sz w:val="23"/>
          <w:szCs w:val="23"/>
          <w:color w:val="auto"/>
          <w:vertAlign w:val="superscript"/>
        </w:rPr>
      </w:pPr>
      <w:r>
        <w:rPr>
          <w:rFonts w:ascii="Arial" w:cs="Arial" w:eastAsia="Arial" w:hAnsi="Arial"/>
          <w:sz w:val="18"/>
          <w:szCs w:val="18"/>
          <w:color w:val="auto"/>
        </w:rPr>
        <w:t>The 2023 and 2022 pension actuarial loss (gain) primarily relates to the change in American’s weighted average discount rate assumption.</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76"/>
        </w:numPr>
        <w:rPr>
          <w:rFonts w:ascii="Arial" w:cs="Arial" w:eastAsia="Arial" w:hAnsi="Arial"/>
          <w:sz w:val="23"/>
          <w:szCs w:val="23"/>
          <w:color w:val="auto"/>
          <w:vertAlign w:val="superscript"/>
        </w:rPr>
      </w:pPr>
      <w:r>
        <w:rPr>
          <w:rFonts w:ascii="Arial" w:cs="Arial" w:eastAsia="Arial" w:hAnsi="Arial"/>
          <w:sz w:val="18"/>
          <w:szCs w:val="18"/>
          <w:color w:val="auto"/>
        </w:rPr>
        <w:t>The 2023 and 2022 retiree medical and other postretirement benefits actuarial loss (gain) primarily relates to the change in American’s weighted average discount rate assumption and, in 2023, the change in health care cost assumptions.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340" w:hanging="332"/>
        <w:spacing w:after="0"/>
        <w:tabs>
          <w:tab w:leader="none" w:pos="334" w:val="left"/>
        </w:tabs>
        <w:numPr>
          <w:ilvl w:val="0"/>
          <w:numId w:val="77"/>
        </w:numPr>
        <w:rPr>
          <w:rFonts w:ascii="Arial" w:cs="Arial" w:eastAsia="Arial" w:hAnsi="Arial"/>
          <w:sz w:val="23"/>
          <w:szCs w:val="23"/>
          <w:color w:val="auto"/>
          <w:vertAlign w:val="superscript"/>
        </w:rPr>
      </w:pPr>
      <w:r>
        <w:rPr>
          <w:rFonts w:ascii="Arial" w:cs="Arial" w:eastAsia="Arial" w:hAnsi="Arial"/>
          <w:sz w:val="18"/>
          <w:szCs w:val="18"/>
          <w:color w:val="auto"/>
        </w:rPr>
        <w:t>As of September 30, 2023, American remeasured its retiree medical and other postretirement benefits to account for enhanced retirement benefits provided to its mainline pilots pursuant to the new collective bargaining agreement ratified in August 2023. As a result, American increased its postretirement benefits obligation by $339 million, which was included as a component of prior service cost in accumulated other comprehensive loss.</w:t>
      </w:r>
    </w:p>
    <w:p>
      <w:pPr>
        <w:spacing w:after="0" w:line="11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77"/>
        </w:numPr>
        <w:rPr>
          <w:rFonts w:ascii="Arial" w:cs="Arial" w:eastAsia="Arial" w:hAnsi="Arial"/>
          <w:sz w:val="23"/>
          <w:szCs w:val="23"/>
          <w:color w:val="auto"/>
          <w:vertAlign w:val="superscript"/>
        </w:rPr>
      </w:pPr>
      <w:r>
        <w:rPr>
          <w:rFonts w:ascii="Arial" w:cs="Arial" w:eastAsia="Arial" w:hAnsi="Arial"/>
          <w:sz w:val="18"/>
          <w:szCs w:val="18"/>
          <w:color w:val="auto"/>
        </w:rPr>
        <w:t>In 2023, American made required contributions of $67 million to its defined benefit pension plans.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Balance Sheet Position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10"/>
            <w:vMerge w:val="restart"/>
          </w:tcPr>
          <w:p>
            <w:pPr>
              <w:ind w:left="740"/>
              <w:spacing w:after="0"/>
              <w:rPr>
                <w:sz w:val="20"/>
                <w:szCs w:val="20"/>
                <w:color w:val="auto"/>
              </w:rPr>
            </w:pPr>
            <w:r>
              <w:rPr>
                <w:rFonts w:ascii="Arial" w:cs="Arial" w:eastAsia="Arial" w:hAnsi="Arial"/>
                <w:sz w:val="14"/>
                <w:szCs w:val="14"/>
                <w:b w:val="1"/>
                <w:bCs w:val="1"/>
                <w:color w:val="auto"/>
              </w:rPr>
              <w:t>Pension Benefits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40" w:type="dxa"/>
            <w:vAlign w:val="bottom"/>
            <w:gridSpan w:val="12"/>
          </w:tcPr>
          <w:p>
            <w:pPr>
              <w:ind w:left="400"/>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10"/>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12"/>
          </w:tcPr>
          <w:p>
            <w:pPr>
              <w:ind w:left="60"/>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404"/>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line="190" w:lineRule="exact"/>
              <w:rPr>
                <w:sz w:val="20"/>
                <w:szCs w:val="20"/>
                <w:color w:val="auto"/>
              </w:rPr>
            </w:pPr>
            <w:r>
              <w:rPr>
                <w:rFonts w:ascii="Arial" w:cs="Arial" w:eastAsia="Arial" w:hAnsi="Arial"/>
                <w:sz w:val="18"/>
                <w:szCs w:val="18"/>
                <w:color w:val="auto"/>
                <w:w w:val="99"/>
              </w:rPr>
              <w:t>As of December 31,</w:t>
            </w:r>
          </w:p>
        </w:tc>
        <w:tc>
          <w:tcPr>
            <w:tcW w:w="3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Current liability</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600" w:type="dxa"/>
            <w:vAlign w:val="bottom"/>
            <w:gridSpan w:val="4"/>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48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liability</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1,070</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1,956</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2,127</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1,192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6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540" w:type="dxa"/>
            <w:vAlign w:val="bottom"/>
            <w:gridSpan w:val="12"/>
          </w:tcPr>
          <w:p>
            <w:pPr>
              <w:ind w:left="340"/>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7"/>
            <w:vMerge w:val="continue"/>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40" w:type="dxa"/>
            <w:vAlign w:val="bottom"/>
            <w:gridSpan w:val="12"/>
          </w:tcPr>
          <w:p>
            <w:pPr>
              <w:ind w:left="20"/>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actuarial loss (gain)</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gridSpan w:val="4"/>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3,609</w:t>
            </w:r>
          </w:p>
        </w:tc>
        <w:tc>
          <w:tcPr>
            <w:tcW w:w="60" w:type="dxa"/>
            <w:vAlign w:val="bottom"/>
            <w:shd w:val="clear" w:color="auto" w:fill="CCEEFF"/>
          </w:tcPr>
          <w:p>
            <w:pPr>
              <w:spacing w:after="0"/>
              <w:rPr>
                <w:sz w:val="20"/>
                <w:szCs w:val="20"/>
                <w:color w:val="auto"/>
              </w:rPr>
            </w:pPr>
          </w:p>
        </w:tc>
        <w:tc>
          <w:tcPr>
            <w:tcW w:w="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center"/>
              <w:ind w:left="441"/>
              <w:spacing w:after="0"/>
              <w:rPr>
                <w:sz w:val="20"/>
                <w:szCs w:val="20"/>
                <w:color w:val="auto"/>
              </w:rPr>
            </w:pPr>
            <w:r>
              <w:rPr>
                <w:rFonts w:ascii="Arial" w:cs="Arial" w:eastAsia="Arial" w:hAnsi="Arial"/>
                <w:sz w:val="18"/>
                <w:szCs w:val="18"/>
                <w:color w:val="auto"/>
                <w:w w:val="99"/>
              </w:rPr>
              <w:t>(382)</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Prior service cost (benefit)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gridSpan w:val="2"/>
          </w:tcPr>
          <w:p>
            <w:pPr>
              <w:jc w:val="right"/>
              <w:ind w:right="4"/>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197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accumulated other comprehensive loss (income), pre-tax</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3,627</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4"/>
            <w:shd w:val="clear" w:color="auto" w:fill="CCEEFF"/>
          </w:tcPr>
          <w:p>
            <w:pPr>
              <w:jc w:val="center"/>
              <w:ind w:left="441"/>
              <w:spacing w:after="0"/>
              <w:rPr>
                <w:sz w:val="20"/>
                <w:szCs w:val="20"/>
                <w:color w:val="auto"/>
              </w:rPr>
            </w:pPr>
            <w:r>
              <w:rPr>
                <w:rFonts w:ascii="Arial" w:cs="Arial" w:eastAsia="Arial" w:hAnsi="Arial"/>
                <w:sz w:val="18"/>
                <w:szCs w:val="18"/>
                <w:color w:val="auto"/>
                <w:w w:val="99"/>
              </w:rPr>
              <w:t>(185)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gridSpan w:val="3"/>
          </w:tcPr>
          <w:p>
            <w:pPr>
              <w:spacing w:after="0" w:line="20" w:lineRule="exact"/>
              <w:rPr>
                <w:sz w:val="1"/>
                <w:szCs w:val="1"/>
                <w:color w:val="auto"/>
              </w:rPr>
            </w:pPr>
          </w:p>
        </w:tc>
        <w:tc>
          <w:tcPr>
            <w:tcW w:w="136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20" w:type="dxa"/>
            <w:vAlign w:val="bottom"/>
          </w:tcPr>
          <w:p>
            <w:pPr>
              <w:spacing w:after="0"/>
              <w:rPr>
                <w:sz w:val="24"/>
                <w:szCs w:val="24"/>
                <w:color w:val="auto"/>
              </w:rPr>
            </w:pPr>
          </w:p>
        </w:tc>
        <w:tc>
          <w:tcPr>
            <w:tcW w:w="7280" w:type="dxa"/>
            <w:vAlign w:val="bottom"/>
            <w:gridSpan w:val="12"/>
          </w:tcPr>
          <w:p>
            <w:pPr>
              <w:ind w:left="240"/>
              <w:spacing w:after="0"/>
              <w:rPr>
                <w:sz w:val="20"/>
                <w:szCs w:val="20"/>
                <w:color w:val="auto"/>
              </w:rPr>
            </w:pPr>
            <w:r>
              <w:rPr>
                <w:rFonts w:ascii="Arial" w:cs="Arial" w:eastAsia="Arial" w:hAnsi="Arial"/>
                <w:sz w:val="18"/>
                <w:szCs w:val="18"/>
                <w:b w:val="1"/>
                <w:bCs w:val="1"/>
                <w:i w:val="1"/>
                <w:iCs w:val="1"/>
                <w:color w:val="auto"/>
              </w:rPr>
              <w:t>Plans with Projected Benefit Obligations Exceeding Fair Value of Plan Assets</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10"/>
          </w:tcPr>
          <w:p>
            <w:pPr>
              <w:ind w:left="120"/>
              <w:spacing w:after="0"/>
              <w:rPr>
                <w:sz w:val="20"/>
                <w:szCs w:val="20"/>
                <w:color w:val="auto"/>
              </w:rPr>
            </w:pPr>
            <w:r>
              <w:rPr>
                <w:rFonts w:ascii="Arial" w:cs="Arial" w:eastAsia="Arial" w:hAnsi="Arial"/>
                <w:sz w:val="14"/>
                <w:szCs w:val="14"/>
                <w:b w:val="1"/>
                <w:bCs w:val="1"/>
                <w:color w:val="auto"/>
              </w:rPr>
              <w:t>Pension Benefits</w:t>
            </w: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8"/>
          </w:tcPr>
          <w:p>
            <w:pPr>
              <w:ind w:left="30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14,314</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Fair value of plan assets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rPr>
              <w:t>12,358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7280" w:type="dxa"/>
            <w:vAlign w:val="bottom"/>
            <w:gridSpan w:val="12"/>
          </w:tcPr>
          <w:p>
            <w:pPr>
              <w:ind w:left="240"/>
              <w:spacing w:after="0"/>
              <w:rPr>
                <w:sz w:val="20"/>
                <w:szCs w:val="20"/>
                <w:color w:val="auto"/>
              </w:rPr>
            </w:pPr>
            <w:r>
              <w:rPr>
                <w:rFonts w:ascii="Arial" w:cs="Arial" w:eastAsia="Arial" w:hAnsi="Arial"/>
                <w:sz w:val="18"/>
                <w:szCs w:val="18"/>
                <w:b w:val="1"/>
                <w:bCs w:val="1"/>
                <w:i w:val="1"/>
                <w:iCs w:val="1"/>
                <w:color w:val="auto"/>
              </w:rPr>
              <w:t>Plans with Accumulated Benefit Obligations Exceeding Fair Value of Plan Assets</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6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540" w:type="dxa"/>
            <w:vAlign w:val="bottom"/>
            <w:gridSpan w:val="12"/>
          </w:tcPr>
          <w:p>
            <w:pPr>
              <w:ind w:left="380"/>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7"/>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12"/>
          </w:tcPr>
          <w:p>
            <w:pPr>
              <w:ind w:left="40"/>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2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14,307</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gridSpan w:val="4"/>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13,941</w:t>
            </w:r>
          </w:p>
        </w:tc>
        <w:tc>
          <w:tcPr>
            <w:tcW w:w="60" w:type="dxa"/>
            <w:vAlign w:val="bottom"/>
            <w:shd w:val="clear" w:color="auto" w:fill="CCEEFF"/>
          </w:tcPr>
          <w:p>
            <w:pPr>
              <w:spacing w:after="0"/>
              <w:rPr>
                <w:sz w:val="20"/>
                <w:szCs w:val="20"/>
                <w:color w:val="auto"/>
              </w:rPr>
            </w:pPr>
          </w:p>
        </w:tc>
        <w:tc>
          <w:tcPr>
            <w:tcW w:w="4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Accumulated postretirement benefit obligation</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1,325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11,821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133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46"/>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ind w:right="757"/>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Periodic Benefit Cost (Income)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Pension Benefits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Retiree Medical and</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Other Postretirement Benefits</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6"/>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plans:</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780" w:type="dxa"/>
            <w:vAlign w:val="bottom"/>
          </w:tcPr>
          <w:p>
            <w:pPr>
              <w:jc w:val="right"/>
              <w:ind w:right="57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3860" w:type="dxa"/>
            <w:vAlign w:val="bottom"/>
          </w:tcPr>
          <w:p>
            <w:pPr>
              <w:ind w:left="220"/>
              <w:spacing w:after="0"/>
              <w:rPr>
                <w:sz w:val="20"/>
                <w:szCs w:val="20"/>
                <w:color w:val="auto"/>
              </w:rPr>
            </w:pPr>
            <w:r>
              <w:rPr>
                <w:rFonts w:ascii="Arial" w:cs="Arial" w:eastAsia="Arial" w:hAnsi="Arial"/>
                <w:sz w:val="18"/>
                <w:szCs w:val="18"/>
                <w:color w:val="auto"/>
              </w:rPr>
              <w:t>Expected return on assets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Special termination benefits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Amortization of:</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service cost (benefit)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Unrecognized net loss (gain)</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service cost component of net periodic benefit cost (income) is included in operating expenses, the cost for the special termination benefits is included in special items, net and the other components of net periodic benefit cost (income) are included in nonoperating other income (expense), net on American’s consolidated statements of operations.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Assumptions</w:t>
      </w:r>
    </w:p>
    <w:p>
      <w:pPr>
        <w:spacing w:after="0" w:line="88"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The following actuarial assumptions were used to determine American’s benefit obligations and net periodic benefit cost (income) for the periods presented: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8"/>
            <w:vMerge w:val="restart"/>
          </w:tcPr>
          <w:p>
            <w:pPr>
              <w:ind w:left="280"/>
              <w:spacing w:after="0"/>
              <w:rPr>
                <w:sz w:val="20"/>
                <w:szCs w:val="20"/>
                <w:color w:val="auto"/>
              </w:rPr>
            </w:pPr>
            <w:r>
              <w:rPr>
                <w:rFonts w:ascii="Arial" w:cs="Arial" w:eastAsia="Arial" w:hAnsi="Arial"/>
                <w:sz w:val="14"/>
                <w:szCs w:val="14"/>
                <w:b w:val="1"/>
                <w:bCs w:val="1"/>
                <w:color w:val="auto"/>
              </w:rPr>
              <w:t>Pension Benefits</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7"/>
          </w:tcPr>
          <w:p>
            <w:pPr>
              <w:jc w:val="center"/>
              <w:ind w:right="656"/>
              <w:spacing w:after="0"/>
              <w:rPr>
                <w:sz w:val="20"/>
                <w:szCs w:val="20"/>
                <w:color w:val="auto"/>
              </w:rPr>
            </w:pPr>
            <w:r>
              <w:rPr>
                <w:rFonts w:ascii="Arial" w:cs="Arial" w:eastAsia="Arial" w:hAnsi="Arial"/>
                <w:sz w:val="14"/>
                <w:szCs w:val="14"/>
                <w:b w:val="1"/>
                <w:bCs w:val="1"/>
                <w:color w:val="auto"/>
              </w:rPr>
              <w:t>Retiree Medical and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8"/>
            <w:vMerge w:val="continue"/>
          </w:tcPr>
          <w:p>
            <w:pPr>
              <w:spacing w:after="0"/>
              <w:rPr>
                <w:sz w:val="16"/>
                <w:szCs w:val="16"/>
                <w:color w:val="auto"/>
              </w:rPr>
            </w:pPr>
          </w:p>
        </w:tc>
        <w:tc>
          <w:tcPr>
            <w:tcW w:w="460" w:type="dxa"/>
            <w:vAlign w:val="bottom"/>
          </w:tcPr>
          <w:p>
            <w:pPr>
              <w:spacing w:after="0"/>
              <w:rPr>
                <w:sz w:val="16"/>
                <w:szCs w:val="16"/>
                <w:color w:val="auto"/>
              </w:rPr>
            </w:pPr>
          </w:p>
        </w:tc>
        <w:tc>
          <w:tcPr>
            <w:tcW w:w="2500" w:type="dxa"/>
            <w:vAlign w:val="bottom"/>
            <w:gridSpan w:val="8"/>
          </w:tcPr>
          <w:p>
            <w:pPr>
              <w:jc w:val="center"/>
              <w:ind w:right="376"/>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200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74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Benefit obligations:</w:t>
            </w:r>
          </w:p>
        </w:tc>
        <w:tc>
          <w:tcPr>
            <w:tcW w:w="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Weighted average discount rate</w:t>
            </w: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gridSpan w:val="3"/>
          </w:tcPr>
          <w:p>
            <w:pPr>
              <w:jc w:val="right"/>
              <w:ind w:right="419"/>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76"/>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416"/>
              <w:spacing w:after="0"/>
              <w:rPr>
                <w:sz w:val="20"/>
                <w:szCs w:val="20"/>
                <w:color w:val="auto"/>
              </w:rPr>
            </w:pPr>
            <w:r>
              <w:rPr>
                <w:rFonts w:ascii="Arial" w:cs="Arial" w:eastAsia="Arial" w:hAnsi="Arial"/>
                <w:sz w:val="18"/>
                <w:szCs w:val="18"/>
                <w:color w:val="auto"/>
                <w:w w:val="97"/>
              </w:rPr>
              <w:t>5.7%</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Pension Benefits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gridSpan w:val="7"/>
          </w:tcPr>
          <w:p>
            <w:pPr>
              <w:jc w:val="center"/>
              <w:ind w:left="139"/>
              <w:spacing w:after="0"/>
              <w:rPr>
                <w:sz w:val="20"/>
                <w:szCs w:val="20"/>
                <w:color w:val="auto"/>
              </w:rPr>
            </w:pPr>
            <w:r>
              <w:rPr>
                <w:rFonts w:ascii="Arial" w:cs="Arial" w:eastAsia="Arial" w:hAnsi="Arial"/>
                <w:sz w:val="14"/>
                <w:szCs w:val="14"/>
                <w:b w:val="1"/>
                <w:bCs w:val="1"/>
                <w:color w:val="auto"/>
              </w:rPr>
              <w:t>Retiree Medical and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9"/>
          </w:tcPr>
          <w:p>
            <w:pPr>
              <w:jc w:val="center"/>
              <w:ind w:right="156"/>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4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rPr>
              <w:t>2023</w:t>
            </w:r>
          </w:p>
        </w:tc>
        <w:tc>
          <w:tcPr>
            <w:tcW w:w="1040" w:type="dxa"/>
            <w:vAlign w:val="bottom"/>
            <w:gridSpan w:val="3"/>
          </w:tcPr>
          <w:p>
            <w:pPr>
              <w:jc w:val="center"/>
              <w:ind w:left="3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6"/>
              </w:rPr>
              <w:t>2023</w:t>
            </w:r>
          </w:p>
        </w:tc>
        <w:tc>
          <w:tcPr>
            <w:tcW w:w="1080" w:type="dxa"/>
            <w:vAlign w:val="bottom"/>
            <w:gridSpan w:val="4"/>
          </w:tcPr>
          <w:p>
            <w:pPr>
              <w:jc w:val="center"/>
              <w:ind w:left="639"/>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740" w:type="dxa"/>
            <w:vAlign w:val="bottom"/>
            <w:tcBorders>
              <w:top w:val="single" w:sz="8" w:color="CCEEFF"/>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99"/>
              </w:rPr>
              <w:t>Net periodic benefit cost (income):</w:t>
            </w:r>
          </w:p>
        </w:tc>
        <w:tc>
          <w:tcPr>
            <w:tcW w:w="200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Weighted average discount rate</w:t>
            </w:r>
          </w:p>
        </w:tc>
        <w:tc>
          <w:tcPr>
            <w:tcW w:w="840" w:type="dxa"/>
            <w:vAlign w:val="bottom"/>
            <w:gridSpan w:val="2"/>
          </w:tcPr>
          <w:p>
            <w:pPr>
              <w:jc w:val="center"/>
              <w:ind w:left="55"/>
              <w:spacing w:after="0"/>
              <w:rPr>
                <w:sz w:val="20"/>
                <w:szCs w:val="20"/>
                <w:color w:val="auto"/>
              </w:rPr>
            </w:pPr>
            <w:r>
              <w:rPr>
                <w:rFonts w:ascii="Arial" w:cs="Arial" w:eastAsia="Arial" w:hAnsi="Arial"/>
                <w:sz w:val="18"/>
                <w:szCs w:val="18"/>
                <w:color w:val="auto"/>
              </w:rPr>
              <w:t>5.6%</w:t>
            </w:r>
          </w:p>
        </w:tc>
        <w:tc>
          <w:tcPr>
            <w:tcW w:w="1040" w:type="dxa"/>
            <w:vAlign w:val="bottom"/>
            <w:gridSpan w:val="3"/>
          </w:tcPr>
          <w:p>
            <w:pPr>
              <w:jc w:val="center"/>
              <w:ind w:left="357"/>
              <w:spacing w:after="0"/>
              <w:rPr>
                <w:sz w:val="20"/>
                <w:szCs w:val="20"/>
                <w:color w:val="auto"/>
              </w:rPr>
            </w:pPr>
            <w:r>
              <w:rPr>
                <w:rFonts w:ascii="Arial" w:cs="Arial" w:eastAsia="Arial" w:hAnsi="Arial"/>
                <w:sz w:val="18"/>
                <w:szCs w:val="18"/>
                <w:color w:val="auto"/>
                <w:w w:val="97"/>
              </w:rPr>
              <w:t>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rPr>
              <w:t>5.7%</w:t>
            </w:r>
          </w:p>
        </w:tc>
        <w:tc>
          <w:tcPr>
            <w:tcW w:w="1400" w:type="dxa"/>
            <w:vAlign w:val="bottom"/>
            <w:gridSpan w:val="5"/>
          </w:tcPr>
          <w:p>
            <w:pPr>
              <w:jc w:val="center"/>
              <w:ind w:left="319"/>
              <w:spacing w:after="0"/>
              <w:rPr>
                <w:sz w:val="20"/>
                <w:szCs w:val="20"/>
                <w:color w:val="auto"/>
              </w:rPr>
            </w:pPr>
            <w:r>
              <w:rPr>
                <w:rFonts w:ascii="Arial" w:cs="Arial" w:eastAsia="Arial" w:hAnsi="Arial"/>
                <w:sz w:val="18"/>
                <w:szCs w:val="18"/>
                <w:color w:val="auto"/>
                <w:w w:val="97"/>
              </w:rPr>
              <w:t>2.8%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expected rate of return on plan assets</w:t>
            </w:r>
          </w:p>
        </w:tc>
        <w:tc>
          <w:tcPr>
            <w:tcW w:w="840" w:type="dxa"/>
            <w:vAlign w:val="bottom"/>
            <w:gridSpan w:val="2"/>
            <w:shd w:val="clear" w:color="auto" w:fill="CCEEFF"/>
          </w:tcPr>
          <w:p>
            <w:pPr>
              <w:jc w:val="center"/>
              <w:ind w:left="55"/>
              <w:spacing w:after="0"/>
              <w:rPr>
                <w:sz w:val="20"/>
                <w:szCs w:val="20"/>
                <w:color w:val="auto"/>
              </w:rPr>
            </w:pPr>
            <w:r>
              <w:rPr>
                <w:rFonts w:ascii="Arial" w:cs="Arial" w:eastAsia="Arial" w:hAnsi="Arial"/>
                <w:sz w:val="18"/>
                <w:szCs w:val="18"/>
                <w:color w:val="auto"/>
              </w:rPr>
              <w:t>8.0%</w:t>
            </w:r>
          </w:p>
        </w:tc>
        <w:tc>
          <w:tcPr>
            <w:tcW w:w="1040" w:type="dxa"/>
            <w:vAlign w:val="bottom"/>
            <w:gridSpan w:val="3"/>
            <w:shd w:val="clear" w:color="auto" w:fill="CCEEFF"/>
          </w:tcPr>
          <w:p>
            <w:pPr>
              <w:jc w:val="center"/>
              <w:ind w:left="357"/>
              <w:spacing w:after="0"/>
              <w:rPr>
                <w:sz w:val="20"/>
                <w:szCs w:val="20"/>
                <w:color w:val="auto"/>
              </w:rPr>
            </w:pPr>
            <w:r>
              <w:rPr>
                <w:rFonts w:ascii="Arial" w:cs="Arial" w:eastAsia="Arial" w:hAnsi="Arial"/>
                <w:sz w:val="18"/>
                <w:szCs w:val="18"/>
                <w:color w:val="auto"/>
                <w:w w:val="97"/>
              </w:rPr>
              <w:t>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w:t>
            </w:r>
          </w:p>
        </w:tc>
        <w:tc>
          <w:tcPr>
            <w:tcW w:w="1400" w:type="dxa"/>
            <w:vAlign w:val="bottom"/>
            <w:gridSpan w:val="5"/>
            <w:shd w:val="clear" w:color="auto" w:fill="CCEEFF"/>
          </w:tcPr>
          <w:p>
            <w:pPr>
              <w:jc w:val="center"/>
              <w:ind w:left="319"/>
              <w:spacing w:after="0"/>
              <w:rPr>
                <w:sz w:val="20"/>
                <w:szCs w:val="20"/>
                <w:color w:val="auto"/>
              </w:rPr>
            </w:pPr>
            <w:r>
              <w:rPr>
                <w:rFonts w:ascii="Arial" w:cs="Arial" w:eastAsia="Arial" w:hAnsi="Arial"/>
                <w:sz w:val="18"/>
                <w:szCs w:val="18"/>
                <w:color w:val="auto"/>
                <w:w w:val="97"/>
              </w:rPr>
              <w:t>8.0%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8.0%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40" w:type="dxa"/>
            <w:vAlign w:val="bottom"/>
            <w:gridSpan w:val="3"/>
          </w:tcPr>
          <w:p>
            <w:pPr>
              <w:spacing w:after="0" w:line="181" w:lineRule="exact"/>
              <w:rPr>
                <w:sz w:val="20"/>
                <w:szCs w:val="20"/>
                <w:color w:val="auto"/>
              </w:rPr>
            </w:pPr>
            <w:r>
              <w:rPr>
                <w:rFonts w:ascii="Arial" w:cs="Arial" w:eastAsia="Arial" w:hAnsi="Arial"/>
                <w:sz w:val="18"/>
                <w:szCs w:val="18"/>
                <w:color w:val="auto"/>
              </w:rPr>
              <w:t>Weighted average health care cost trend rate assumed for</w:t>
            </w:r>
          </w:p>
        </w:tc>
        <w:tc>
          <w:tcPr>
            <w:tcW w:w="840" w:type="dxa"/>
            <w:vAlign w:val="bottom"/>
            <w:gridSpan w:val="2"/>
            <w:vMerge w:val="restart"/>
          </w:tcPr>
          <w:p>
            <w:pPr>
              <w:ind w:left="34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vMerge w:val="restart"/>
          </w:tcPr>
          <w:p>
            <w:pPr>
              <w:jc w:val="center"/>
              <w:ind w:right="120"/>
              <w:spacing w:after="0"/>
              <w:rPr>
                <w:sz w:val="20"/>
                <w:szCs w:val="20"/>
                <w:color w:val="auto"/>
              </w:rPr>
            </w:pPr>
            <w:r>
              <w:rPr>
                <w:rFonts w:ascii="Arial" w:cs="Arial" w:eastAsia="Arial" w:hAnsi="Arial"/>
                <w:sz w:val="18"/>
                <w:szCs w:val="18"/>
                <w:color w:val="auto"/>
                <w:w w:val="99"/>
              </w:rPr>
              <w:t>N/A</w:t>
            </w:r>
          </w:p>
        </w:tc>
        <w:tc>
          <w:tcPr>
            <w:tcW w:w="1340" w:type="dxa"/>
            <w:vAlign w:val="bottom"/>
            <w:gridSpan w:val="4"/>
            <w:vMerge w:val="restart"/>
          </w:tcPr>
          <w:p>
            <w:pPr>
              <w:ind w:left="340"/>
              <w:spacing w:after="0"/>
              <w:rPr>
                <w:sz w:val="20"/>
                <w:szCs w:val="20"/>
                <w:color w:val="auto"/>
              </w:rPr>
            </w:pPr>
            <w:r>
              <w:rPr>
                <w:rFonts w:ascii="Arial" w:cs="Arial" w:eastAsia="Arial" w:hAnsi="Arial"/>
                <w:sz w:val="18"/>
                <w:szCs w:val="18"/>
                <w:color w:val="auto"/>
              </w:rPr>
              <w:t>N/A</w:t>
            </w: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rPr>
              <w:t>6.5%</w:t>
            </w:r>
          </w:p>
        </w:tc>
        <w:tc>
          <w:tcPr>
            <w:tcW w:w="1400" w:type="dxa"/>
            <w:vAlign w:val="bottom"/>
            <w:gridSpan w:val="5"/>
            <w:vMerge w:val="restart"/>
          </w:tcPr>
          <w:p>
            <w:pPr>
              <w:jc w:val="center"/>
              <w:ind w:left="319"/>
              <w:spacing w:after="0"/>
              <w:rPr>
                <w:sz w:val="20"/>
                <w:szCs w:val="20"/>
                <w:color w:val="auto"/>
              </w:rPr>
            </w:pPr>
            <w:r>
              <w:rPr>
                <w:rFonts w:ascii="Arial" w:cs="Arial" w:eastAsia="Arial" w:hAnsi="Arial"/>
                <w:sz w:val="18"/>
                <w:szCs w:val="18"/>
                <w:color w:val="auto"/>
                <w:w w:val="97"/>
              </w:rPr>
              <w:t>5.8%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4.8%</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740" w:type="dxa"/>
            <w:vAlign w:val="bottom"/>
            <w:gridSpan w:val="3"/>
          </w:tcPr>
          <w:p>
            <w:pPr>
              <w:ind w:left="160"/>
              <w:spacing w:after="0"/>
              <w:rPr>
                <w:sz w:val="20"/>
                <w:szCs w:val="20"/>
                <w:color w:val="auto"/>
              </w:rPr>
            </w:pPr>
            <w:r>
              <w:rPr>
                <w:rFonts w:ascii="Arial" w:cs="Arial" w:eastAsia="Arial" w:hAnsi="Arial"/>
                <w:sz w:val="18"/>
                <w:szCs w:val="18"/>
                <w:color w:val="auto"/>
              </w:rPr>
              <w:t xml:space="preserve">next year </w:t>
            </w:r>
            <w:r>
              <w:rPr>
                <w:rFonts w:ascii="Arial" w:cs="Arial" w:eastAsia="Arial" w:hAnsi="Arial"/>
                <w:sz w:val="23"/>
                <w:szCs w:val="23"/>
                <w:color w:val="auto"/>
                <w:vertAlign w:val="superscript"/>
              </w:rPr>
              <w:t>(1)</w:t>
            </w:r>
          </w:p>
        </w:tc>
        <w:tc>
          <w:tcPr>
            <w:tcW w:w="8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vMerge w:val="continue"/>
          </w:tcPr>
          <w:p>
            <w:pPr>
              <w:spacing w:after="0"/>
              <w:rPr>
                <w:sz w:val="24"/>
                <w:szCs w:val="24"/>
                <w:color w:val="auto"/>
              </w:rPr>
            </w:pPr>
          </w:p>
        </w:tc>
        <w:tc>
          <w:tcPr>
            <w:tcW w:w="1340" w:type="dxa"/>
            <w:vAlign w:val="bottom"/>
            <w:gridSpan w:val="4"/>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140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3100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171" w:lineRule="exact"/>
        <w:rPr>
          <w:sz w:val="20"/>
          <w:szCs w:val="20"/>
          <w:color w:val="auto"/>
        </w:rPr>
      </w:pPr>
    </w:p>
    <w:p>
      <w:pPr>
        <w:ind w:left="340" w:hanging="332"/>
        <w:spacing w:after="0" w:line="231" w:lineRule="auto"/>
        <w:tabs>
          <w:tab w:leader="none" w:pos="334" w:val="left"/>
        </w:tabs>
        <w:numPr>
          <w:ilvl w:val="0"/>
          <w:numId w:val="78"/>
        </w:numPr>
        <w:rPr>
          <w:rFonts w:ascii="Arial" w:cs="Arial" w:eastAsia="Arial" w:hAnsi="Arial"/>
          <w:sz w:val="23"/>
          <w:szCs w:val="23"/>
          <w:color w:val="auto"/>
          <w:vertAlign w:val="superscript"/>
        </w:rPr>
      </w:pPr>
      <w:r>
        <w:rPr>
          <w:rFonts w:ascii="Arial" w:cs="Arial" w:eastAsia="Arial" w:hAnsi="Arial"/>
          <w:sz w:val="18"/>
          <w:szCs w:val="18"/>
          <w:color w:val="auto"/>
        </w:rPr>
        <w:t>The weighted average health care cost trend rate at December 31, 2023 is assumed to decline gradually to 4.5% by 2033 and remain level thereafter.</w:t>
      </w:r>
    </w:p>
    <w:p>
      <w:pPr>
        <w:spacing w:after="0" w:line="14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December 31, 2023, American’s estimate of the long-term rate of return on plan assets was 8.0% based on the target asset allocation. Expected returns on long duration bonds are based on yields to maturity of the bonds held at year-end. Expected returns on other assets are based on a combination of long-term historical returns, actual returns on plan assets achieved over the last 10 years, current and expected market conditions, and expected value to be generated through active management and securities lending programs.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Minimum Contributions</w:t>
      </w:r>
    </w:p>
    <w:p>
      <w:pPr>
        <w:spacing w:after="0" w:line="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American is required to make minimum contributions to its defined benefit pension plans under the minimum funding requirements of the Employee Retirement Income Security Act of 1974 (ERISA) and various other laws for U.S. based plans as well as underfunding rules specific to countries where American maintains defined benefit pension plans. Based on current funding assumptions, American has minimum required contributions of $280 million for 2024. American’s future funding obligations will depend on the performance of American’s investments held in a trust by the pension plans, interest rates for determining funding targets, the amount of and timing of any supplemental contributions and American’s actuarial experience.</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Payments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(approximately,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2029-2033</w:t>
            </w:r>
          </w:p>
        </w:tc>
      </w:tr>
      <w:tr>
        <w:trPr>
          <w:trHeight w:val="224"/>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benefits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w:t>
            </w:r>
          </w:p>
        </w:tc>
      </w:tr>
      <w:tr>
        <w:trPr>
          <w:trHeight w:val="239"/>
        </w:trPr>
        <w:tc>
          <w:tcPr>
            <w:tcW w:w="5260" w:type="dxa"/>
            <w:vAlign w:val="bottom"/>
          </w:tcPr>
          <w:p>
            <w:pPr>
              <w:ind w:left="20"/>
              <w:spacing w:after="0"/>
              <w:rPr>
                <w:sz w:val="20"/>
                <w:szCs w:val="20"/>
                <w:color w:val="auto"/>
              </w:rPr>
            </w:pPr>
            <w:r>
              <w:rPr>
                <w:rFonts w:ascii="Arial" w:cs="Arial" w:eastAsia="Arial" w:hAnsi="Arial"/>
                <w:sz w:val="18"/>
                <w:szCs w:val="18"/>
                <w:color w:val="auto"/>
              </w:rPr>
              <w:t>Retiree medical and other postretirement benefits</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674</w:t>
            </w:r>
          </w:p>
        </w:tc>
      </w:tr>
    </w:tbl>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Plan Assets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objectives of American’s investment policies are to: maintain sufficient income and liquidity to pay retirement benefits; produce a long-term rate of return that meets or exceeds the assumed rate of return for plan assets; limit the volatility of asset performance and funded status; and diversify assets among asset classes and investment managers.</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Based on these investment objectives, a long-term strategic asset allocation has been established. This strategic allocation seeks to balance the potential benefit of improving the funded position with the potential risk that the funded position would decline. The current strategic target asset allocation with the corresponding allowed range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gridSpan w:val="2"/>
          </w:tcPr>
          <w:p>
            <w:pPr>
              <w:spacing w:after="0"/>
              <w:rPr>
                <w:sz w:val="20"/>
                <w:szCs w:val="20"/>
                <w:color w:val="auto"/>
              </w:rPr>
            </w:pPr>
            <w:r>
              <w:rPr>
                <w:rFonts w:ascii="Arial" w:cs="Arial" w:eastAsia="Arial" w:hAnsi="Arial"/>
                <w:sz w:val="14"/>
                <w:szCs w:val="14"/>
                <w:b w:val="1"/>
                <w:bCs w:val="1"/>
                <w:color w:val="auto"/>
              </w:rPr>
              <w:t>Asset Class/Sub-Class</w:t>
            </w:r>
          </w:p>
        </w:tc>
        <w:tc>
          <w:tcPr>
            <w:tcW w:w="2200" w:type="dxa"/>
            <w:vAlign w:val="bottom"/>
            <w:gridSpan w:val="2"/>
          </w:tcPr>
          <w:p>
            <w:pPr>
              <w:ind w:left="460"/>
              <w:spacing w:after="0"/>
              <w:rPr>
                <w:sz w:val="20"/>
                <w:szCs w:val="20"/>
                <w:color w:val="auto"/>
              </w:rPr>
            </w:pPr>
            <w:r>
              <w:rPr>
                <w:rFonts w:ascii="Arial" w:cs="Arial" w:eastAsia="Arial" w:hAnsi="Arial"/>
                <w:sz w:val="14"/>
                <w:szCs w:val="14"/>
                <w:b w:val="1"/>
                <w:bCs w:val="1"/>
                <w:color w:val="auto"/>
              </w:rPr>
              <w:t>Target Allocation</w:t>
            </w:r>
          </w:p>
        </w:tc>
        <w:tc>
          <w:tcPr>
            <w:tcW w:w="19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Allowed Range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- 85%</w:t>
            </w:r>
          </w:p>
        </w:tc>
      </w:tr>
      <w:tr>
        <w:trPr>
          <w:trHeight w:val="229"/>
        </w:trPr>
        <w:tc>
          <w:tcPr>
            <w:tcW w:w="20" w:type="dxa"/>
            <w:vAlign w:val="bottom"/>
          </w:tcPr>
          <w:p>
            <w:pPr>
              <w:spacing w:after="0"/>
              <w:rPr>
                <w:sz w:val="19"/>
                <w:szCs w:val="19"/>
                <w:color w:val="auto"/>
              </w:rPr>
            </w:pP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Public:</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Large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w:t>
            </w:r>
          </w:p>
        </w:tc>
      </w:tr>
      <w:tr>
        <w:trPr>
          <w:trHeight w:val="229"/>
        </w:trPr>
        <w:tc>
          <w:tcPr>
            <w:tcW w:w="20" w:type="dxa"/>
            <w:vAlign w:val="bottom"/>
          </w:tcPr>
          <w:p>
            <w:pPr>
              <w:spacing w:after="0"/>
              <w:rPr>
                <w:sz w:val="19"/>
                <w:szCs w:val="19"/>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U.S. Small/Mid</w:t>
            </w:r>
          </w:p>
        </w:tc>
        <w:tc>
          <w:tcPr>
            <w:tcW w:w="208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International Large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- 25%</w:t>
            </w:r>
          </w:p>
        </w:tc>
      </w:tr>
      <w:tr>
        <w:trPr>
          <w:trHeight w:val="229"/>
        </w:trPr>
        <w:tc>
          <w:tcPr>
            <w:tcW w:w="20" w:type="dxa"/>
            <w:vAlign w:val="bottom"/>
          </w:tcPr>
          <w:p>
            <w:pPr>
              <w:spacing w:after="0"/>
              <w:rPr>
                <w:sz w:val="19"/>
                <w:szCs w:val="19"/>
                <w:color w:val="auto"/>
              </w:rPr>
            </w:pPr>
          </w:p>
        </w:tc>
        <w:tc>
          <w:tcPr>
            <w:tcW w:w="7100" w:type="dxa"/>
            <w:vAlign w:val="bottom"/>
            <w:gridSpan w:val="2"/>
          </w:tcPr>
          <w:p>
            <w:pPr>
              <w:ind w:left="200"/>
              <w:spacing w:after="0"/>
              <w:rPr>
                <w:sz w:val="20"/>
                <w:szCs w:val="20"/>
                <w:color w:val="auto"/>
              </w:rPr>
            </w:pPr>
            <w:r>
              <w:rPr>
                <w:rFonts w:ascii="Arial" w:cs="Arial" w:eastAsia="Arial" w:hAnsi="Arial"/>
                <w:sz w:val="18"/>
                <w:szCs w:val="18"/>
                <w:color w:val="auto"/>
              </w:rPr>
              <w:t>International Small/Mid</w:t>
            </w:r>
          </w:p>
        </w:tc>
        <w:tc>
          <w:tcPr>
            <w:tcW w:w="208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Emerging Markets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w:t>
            </w:r>
          </w:p>
        </w:tc>
      </w:tr>
      <w:tr>
        <w:trPr>
          <w:trHeight w:val="229"/>
        </w:trPr>
        <w:tc>
          <w:tcPr>
            <w:tcW w:w="20" w:type="dxa"/>
            <w:vAlign w:val="bottom"/>
          </w:tcPr>
          <w:p>
            <w:pPr>
              <w:spacing w:after="0"/>
              <w:rPr>
                <w:sz w:val="19"/>
                <w:szCs w:val="19"/>
                <w:color w:val="auto"/>
              </w:rPr>
            </w:pP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Private Equity</w:t>
            </w:r>
          </w:p>
        </w:tc>
        <w:tc>
          <w:tcPr>
            <w:tcW w:w="208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jc w:val="right"/>
              <w:spacing w:after="0"/>
              <w:rPr>
                <w:sz w:val="20"/>
                <w:szCs w:val="20"/>
                <w:color w:val="auto"/>
              </w:rPr>
            </w:pPr>
            <w:r>
              <w:rPr>
                <w:rFonts w:ascii="Arial" w:cs="Arial" w:eastAsia="Arial" w:hAnsi="Arial"/>
                <w:sz w:val="18"/>
                <w:szCs w:val="18"/>
                <w:color w:val="auto"/>
              </w:rPr>
              <w:t>- 30%</w:t>
            </w:r>
          </w:p>
        </w:tc>
      </w:tr>
      <w:tr>
        <w:trPr>
          <w:trHeight w:val="270"/>
        </w:trPr>
        <w:tc>
          <w:tcPr>
            <w:tcW w:w="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554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2080" w:type="dxa"/>
            <w:vAlign w:val="bottom"/>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jc w:val="right"/>
              <w:spacing w:after="0"/>
              <w:rPr>
                <w:sz w:val="20"/>
                <w:szCs w:val="20"/>
                <w:color w:val="auto"/>
              </w:rPr>
            </w:pPr>
            <w:r>
              <w:rPr>
                <w:rFonts w:ascii="Arial" w:cs="Arial" w:eastAsia="Arial" w:hAnsi="Arial"/>
                <w:sz w:val="18"/>
                <w:szCs w:val="18"/>
                <w:color w:val="auto"/>
              </w:rPr>
              <w:t>- 70%</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Public U.S. Fixed Income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- 60%</w:t>
            </w:r>
          </w:p>
        </w:tc>
      </w:tr>
      <w:tr>
        <w:trPr>
          <w:trHeight w:val="229"/>
        </w:trPr>
        <w:tc>
          <w:tcPr>
            <w:tcW w:w="20" w:type="dxa"/>
            <w:vAlign w:val="bottom"/>
          </w:tcPr>
          <w:p>
            <w:pPr>
              <w:spacing w:after="0"/>
              <w:rPr>
                <w:sz w:val="19"/>
                <w:szCs w:val="19"/>
                <w:color w:val="auto"/>
              </w:rPr>
            </w:pPr>
          </w:p>
        </w:tc>
        <w:tc>
          <w:tcPr>
            <w:tcW w:w="7100" w:type="dxa"/>
            <w:vAlign w:val="bottom"/>
            <w:gridSpan w:val="2"/>
          </w:tcPr>
          <w:p>
            <w:pPr>
              <w:ind w:left="120"/>
              <w:spacing w:after="0"/>
              <w:rPr>
                <w:sz w:val="20"/>
                <w:szCs w:val="20"/>
                <w:color w:val="auto"/>
              </w:rPr>
            </w:pPr>
            <w:r>
              <w:rPr>
                <w:rFonts w:ascii="Arial" w:cs="Arial" w:eastAsia="Arial" w:hAnsi="Arial"/>
                <w:sz w:val="18"/>
                <w:szCs w:val="18"/>
                <w:color w:val="auto"/>
              </w:rPr>
              <w:t>Private Income</w:t>
            </w:r>
          </w:p>
        </w:tc>
        <w:tc>
          <w:tcPr>
            <w:tcW w:w="208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- 20%</w:t>
            </w:r>
          </w:p>
        </w:tc>
      </w:tr>
      <w:tr>
        <w:trPr>
          <w:trHeight w:val="270"/>
        </w:trPr>
        <w:tc>
          <w:tcPr>
            <w:tcW w:w="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554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0% - 5%</w:t>
            </w:r>
          </w:p>
        </w:tc>
      </w:tr>
      <w:tr>
        <w:trPr>
          <w:trHeight w:val="229"/>
        </w:trPr>
        <w:tc>
          <w:tcPr>
            <w:tcW w:w="20" w:type="dxa"/>
            <w:vAlign w:val="bottom"/>
            <w:shd w:val="clear" w:color="auto" w:fill="CCEEFF"/>
          </w:tcPr>
          <w:p>
            <w:pPr>
              <w:spacing w:after="0"/>
              <w:rPr>
                <w:sz w:val="19"/>
                <w:szCs w:val="19"/>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w:t>
            </w:r>
          </w:p>
        </w:tc>
      </w:tr>
    </w:tbl>
    <w:p>
      <w:pPr>
        <w:spacing w:after="0" w:line="23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Public equity investments are intended to provide a real return over a full market cycle and, therefore, to contribute to the pension plan’s long-term objective. Public fixed income investments are intended to provide income to the plan and offer the potential for long term capital appreciation. Private investments, such as private equity and private income, are used to provide higher expected returns than public markets over the long-term by assuming reduced levels of liquidity and higher levels of risk. The pension plan’s master trust participates in securities lending programs to generate additional income by loaning plan assets to borrowers on a fully collateralized basis. The pension plan’s master trust will also engage in derivative instruments to equitize residual levels of cash as well as hedge the pension plan’s exposure to interest rates. Such programs are subject to market risk and counterparty risk.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Investments in securities traded on recognized securities exchanges are valued at the last reported sales price on the last business day of the year. Securities traded in the over-the-counter market are valued at the last bid price. Investments in limited partnerships are carried at estimated net asset value (NAV) as determined by and reported by the general partners of the partnerships and represent the proportionate share of the estimated fair value of the underlying assets of the limited partnerships. Mutual funds are valued once daily through a NAV calculation provided at the end of each trade day. Common/collective trusts are valued at NAV based on the fair values of the underlying investments of the trusts as determined by the sponsor of the trusts. No changes in valuation techniques or inputs occurred during the year.</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Plan Assets Measured at Fair Value on a Recurring Basis</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The fair value of American’s pension plan assets at December 31, 2023 and 2022, by asset category, were as follows (in millions)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December 31, 2023</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6"/>
        </w:trPr>
        <w:tc>
          <w:tcPr>
            <w:tcW w:w="2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224"/>
        </w:trPr>
        <w:tc>
          <w:tcPr>
            <w:tcW w:w="282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Equity </w:t>
            </w:r>
            <w:r>
              <w:rPr>
                <w:rFonts w:ascii="Arial" w:cs="Arial" w:eastAsia="Arial" w:hAnsi="Arial"/>
                <w:sz w:val="23"/>
                <w:szCs w:val="23"/>
                <w:color w:val="auto"/>
                <w:vertAlign w:val="superscript"/>
              </w:rPr>
              <w:t>(2)</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r>
      <w:tr>
        <w:trPr>
          <w:trHeight w:val="229"/>
        </w:trPr>
        <w:tc>
          <w:tcPr>
            <w:tcW w:w="28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Fixed income </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3,123</w:t>
            </w:r>
          </w:p>
        </w:tc>
      </w:tr>
      <w:tr>
        <w:trPr>
          <w:trHeight w:val="229"/>
        </w:trPr>
        <w:tc>
          <w:tcPr>
            <w:tcW w:w="28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net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29"/>
        </w:trPr>
        <w:tc>
          <w:tcPr>
            <w:tcW w:w="28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Measured at NAV </w:t>
            </w:r>
            <w:r>
              <w:rPr>
                <w:rFonts w:ascii="Arial" w:cs="Arial" w:eastAsia="Arial" w:hAnsi="Arial"/>
                <w:sz w:val="23"/>
                <w:szCs w:val="23"/>
                <w:color w:val="auto"/>
                <w:vertAlign w:val="superscript"/>
              </w:rPr>
              <w:t>(5)</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282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Common collective trusts </w:t>
            </w:r>
            <w:r>
              <w:rPr>
                <w:rFonts w:ascii="Arial" w:cs="Arial" w:eastAsia="Arial" w:hAnsi="Arial"/>
                <w:sz w:val="23"/>
                <w:szCs w:val="23"/>
                <w:color w:val="auto"/>
                <w:vertAlign w:val="superscript"/>
              </w:rPr>
              <w:t>(6)</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r>
      <w:tr>
        <w:trPr>
          <w:trHeight w:val="229"/>
        </w:trPr>
        <w:tc>
          <w:tcPr>
            <w:tcW w:w="282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Private investments </w:t>
            </w:r>
            <w:r>
              <w:rPr>
                <w:rFonts w:ascii="Arial" w:cs="Arial" w:eastAsia="Arial" w:hAnsi="Arial"/>
                <w:sz w:val="23"/>
                <w:szCs w:val="23"/>
                <w:color w:val="auto"/>
                <w:vertAlign w:val="superscript"/>
              </w:rPr>
              <w:t>(7)</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3,522</w:t>
            </w:r>
          </w:p>
        </w:tc>
      </w:tr>
      <w:tr>
        <w:trPr>
          <w:trHeight w:val="248"/>
        </w:trPr>
        <w:tc>
          <w:tcPr>
            <w:tcW w:w="282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plan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11,821</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73"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rPr>
          <w:sz w:val="20"/>
          <w:szCs w:val="20"/>
          <w:color w:val="auto"/>
        </w:rPr>
      </w:pPr>
      <w:r>
        <w:rPr>
          <w:rFonts w:ascii="Arial" w:cs="Arial" w:eastAsia="Arial" w:hAnsi="Arial"/>
          <w:sz w:val="12"/>
          <w:szCs w:val="12"/>
          <w:color w:val="auto"/>
        </w:rPr>
        <w:t>(1)</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See Note 6 for a description of the levels within the fair value hierarchy.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Equity investments include domestic and international common stock and preferred stock.</w:t>
      </w:r>
    </w:p>
    <w:p>
      <w:pPr>
        <w:spacing w:after="0" w:line="182" w:lineRule="exact"/>
        <w:rPr>
          <w:sz w:val="20"/>
          <w:szCs w:val="20"/>
          <w:color w:val="auto"/>
        </w:rPr>
      </w:pPr>
    </w:p>
    <w:p>
      <w:pPr>
        <w:sectPr>
          <w:pgSz w:w="11900" w:h="16838" w:orient="portrait"/>
          <w:cols w:equalWidth="0" w:num="2">
            <w:col w:w="160" w:space="160"/>
            <w:col w:w="10920"/>
          </w:cols>
          <w:pgMar w:left="320" w:top="122" w:right="339" w:bottom="1440" w:gutter="0" w:footer="0" w:header="0"/>
          <w:type w:val="continuous"/>
        </w:sectPr>
      </w:pPr>
    </w:p>
    <w:p>
      <w:pPr>
        <w:ind w:left="340" w:hanging="332"/>
        <w:spacing w:after="0" w:line="231" w:lineRule="auto"/>
        <w:tabs>
          <w:tab w:leader="none" w:pos="334" w:val="left"/>
        </w:tabs>
        <w:numPr>
          <w:ilvl w:val="0"/>
          <w:numId w:val="79"/>
        </w:numPr>
        <w:rPr>
          <w:rFonts w:ascii="Arial" w:cs="Arial" w:eastAsia="Arial" w:hAnsi="Arial"/>
          <w:sz w:val="23"/>
          <w:szCs w:val="23"/>
          <w:color w:val="auto"/>
          <w:vertAlign w:val="superscript"/>
        </w:rPr>
      </w:pPr>
      <w:r>
        <w:rPr>
          <w:rFonts w:ascii="Arial" w:cs="Arial" w:eastAsia="Arial" w:hAnsi="Arial"/>
          <w:sz w:val="18"/>
          <w:szCs w:val="18"/>
          <w:color w:val="auto"/>
        </w:rPr>
        <w:t>Fixed income investments include corporate, government and U.S. municipal bonds, as well as mutual funds invested in fixed income securities.</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79"/>
        </w:numPr>
        <w:rPr>
          <w:rFonts w:ascii="Arial" w:cs="Arial" w:eastAsia="Arial" w:hAnsi="Arial"/>
          <w:sz w:val="23"/>
          <w:szCs w:val="23"/>
          <w:color w:val="auto"/>
          <w:vertAlign w:val="superscript"/>
        </w:rPr>
      </w:pPr>
      <w:r>
        <w:rPr>
          <w:rFonts w:ascii="Arial" w:cs="Arial" w:eastAsia="Arial" w:hAnsi="Arial"/>
          <w:sz w:val="18"/>
          <w:szCs w:val="18"/>
          <w:color w:val="auto"/>
        </w:rPr>
        <w:t>Other primarily includes a short-term investment fund, net receivables and payables of the master trust for dividends, interest and amounts due to or from the sale and purchase of securities and cash and cash equivalents.</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79"/>
        </w:numPr>
        <w:rPr>
          <w:rFonts w:ascii="Arial" w:cs="Arial" w:eastAsia="Arial" w:hAnsi="Arial"/>
          <w:sz w:val="23"/>
          <w:szCs w:val="23"/>
          <w:color w:val="auto"/>
          <w:vertAlign w:val="superscript"/>
        </w:rPr>
      </w:pPr>
      <w:r>
        <w:rPr>
          <w:rFonts w:ascii="Arial" w:cs="Arial" w:eastAsia="Arial" w:hAnsi="Arial"/>
          <w:sz w:val="18"/>
          <w:szCs w:val="18"/>
          <w:color w:val="auto"/>
        </w:rPr>
        <w:t>Includes investments that were measured at NAV per share (or its equivalent) as a practical expedient that have not been classified in the fair value hierarchy.</w:t>
      </w:r>
    </w:p>
    <w:p>
      <w:pPr>
        <w:spacing w:after="0" w:line="139" w:lineRule="exact"/>
        <w:rPr>
          <w:rFonts w:ascii="Arial" w:cs="Arial" w:eastAsia="Arial" w:hAnsi="Arial"/>
          <w:sz w:val="23"/>
          <w:szCs w:val="23"/>
          <w:color w:val="auto"/>
          <w:vertAlign w:val="superscript"/>
        </w:rPr>
      </w:pPr>
    </w:p>
    <w:p>
      <w:pPr>
        <w:ind w:left="340" w:right="20" w:hanging="332"/>
        <w:spacing w:after="0" w:line="231" w:lineRule="auto"/>
        <w:tabs>
          <w:tab w:leader="none" w:pos="334" w:val="left"/>
        </w:tabs>
        <w:numPr>
          <w:ilvl w:val="0"/>
          <w:numId w:val="79"/>
        </w:numPr>
        <w:rPr>
          <w:rFonts w:ascii="Arial" w:cs="Arial" w:eastAsia="Arial" w:hAnsi="Arial"/>
          <w:sz w:val="23"/>
          <w:szCs w:val="23"/>
          <w:color w:val="auto"/>
          <w:vertAlign w:val="superscript"/>
        </w:rPr>
      </w:pPr>
      <w:r>
        <w:rPr>
          <w:rFonts w:ascii="Arial" w:cs="Arial" w:eastAsia="Arial" w:hAnsi="Arial"/>
          <w:sz w:val="18"/>
          <w:szCs w:val="18"/>
          <w:color w:val="auto"/>
        </w:rPr>
        <w:t>Common collective trusts include commingled funds primarily invested in equity securities. For some trusts, requests for withdrawals must meet specific requirements with advance notice of redemption preferred.</w:t>
      </w:r>
    </w:p>
    <w:p>
      <w:pPr>
        <w:spacing w:after="0" w:line="139" w:lineRule="exact"/>
        <w:rPr>
          <w:rFonts w:ascii="Arial" w:cs="Arial" w:eastAsia="Arial" w:hAnsi="Arial"/>
          <w:sz w:val="23"/>
          <w:szCs w:val="23"/>
          <w:color w:val="auto"/>
          <w:vertAlign w:val="superscript"/>
        </w:rPr>
      </w:pPr>
    </w:p>
    <w:p>
      <w:pPr>
        <w:jc w:val="both"/>
        <w:ind w:left="340" w:hanging="332"/>
        <w:spacing w:after="0" w:line="242" w:lineRule="auto"/>
        <w:tabs>
          <w:tab w:leader="none" w:pos="334" w:val="left"/>
        </w:tabs>
        <w:numPr>
          <w:ilvl w:val="0"/>
          <w:numId w:val="79"/>
        </w:numPr>
        <w:rPr>
          <w:rFonts w:ascii="Arial" w:cs="Arial" w:eastAsia="Arial" w:hAnsi="Arial"/>
          <w:sz w:val="23"/>
          <w:szCs w:val="23"/>
          <w:color w:val="auto"/>
          <w:vertAlign w:val="superscript"/>
        </w:rPr>
      </w:pPr>
      <w:r>
        <w:rPr>
          <w:rFonts w:ascii="Arial" w:cs="Arial" w:eastAsia="Arial" w:hAnsi="Arial"/>
          <w:sz w:val="18"/>
          <w:szCs w:val="18"/>
          <w:color w:val="auto"/>
        </w:rPr>
        <w:t>Private investments include limited partnerships that invest primarily in domestic private equity and private income opportunities. The pension plan’s master trust does not have the right to redeem its limited partnership investment at its NAV, but rather receives distributions as the underlying assets are liquidated. It is estimated that the underlying assets of these funds will be gradually liquidated over the next 10 years. As of December 31, 2023, the pension plan’s master trust has future funding commitments to these limited partnerships of approximately $1.3 billion, most of which are expected to be called over the next five years.</w:t>
      </w:r>
    </w:p>
    <w:p>
      <w:pPr>
        <w:spacing w:after="0" w:line="139" w:lineRule="exact"/>
        <w:rPr>
          <w:sz w:val="20"/>
          <w:szCs w:val="20"/>
          <w:color w:val="auto"/>
        </w:rPr>
      </w:pPr>
    </w:p>
    <w:p>
      <w:pPr>
        <w:ind w:firstLine="220"/>
        <w:spacing w:after="0" w:line="286" w:lineRule="auto"/>
        <w:rPr>
          <w:sz w:val="20"/>
          <w:szCs w:val="20"/>
          <w:color w:val="auto"/>
        </w:rPr>
      </w:pPr>
      <w:r>
        <w:rPr>
          <w:rFonts w:ascii="Arial" w:cs="Arial" w:eastAsia="Arial" w:hAnsi="Arial"/>
          <w:sz w:val="18"/>
          <w:szCs w:val="18"/>
          <w:color w:val="auto"/>
        </w:rPr>
        <w:t>Changes in fair value measurements of Level 3 investments during the years ended December 31, 2023 and 2022, were as follows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44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3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Actual gain (loss) on plan assets:</w:t>
            </w:r>
          </w:p>
        </w:tc>
        <w:tc>
          <w:tcPr>
            <w:tcW w:w="3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Relating to assets still held at the reporting date</w:t>
            </w:r>
          </w:p>
        </w:tc>
        <w:tc>
          <w:tcPr>
            <w:tcW w:w="3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Purchases</w:t>
            </w:r>
          </w:p>
        </w:tc>
        <w:tc>
          <w:tcPr>
            <w:tcW w:w="3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Transfers out</w:t>
            </w:r>
          </w:p>
        </w:tc>
        <w:tc>
          <w:tcPr>
            <w:tcW w:w="3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336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jc w:val="right"/>
              <w:ind w:right="2199"/>
              <w:spacing w:after="0"/>
              <w:rPr>
                <w:sz w:val="20"/>
                <w:szCs w:val="20"/>
                <w:color w:val="auto"/>
              </w:rPr>
            </w:pPr>
            <w:r>
              <w:rPr>
                <w:rFonts w:ascii="Arial" w:cs="Arial" w:eastAsia="Arial" w:hAnsi="Arial"/>
                <w:sz w:val="18"/>
                <w:szCs w:val="18"/>
                <w:color w:val="auto"/>
              </w:rPr>
              <w:t>160</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470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700" w:type="dxa"/>
            <w:vAlign w:val="bottom"/>
            <w:tcBorders>
              <w:bottom w:val="single" w:sz="8" w:color="9A9A9A"/>
            </w:tcBorders>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Plan assets in the retiree medical and other postretirement benefits plans are primarily Level 2 mutual funds valued by quoted prices on the active market, which is fair value, and represents the NAV of the shares of such funds as of the close of business at the end of the period. NAV is based on the fair market value of the funds’ underlying assets and liabilities at the date of determination.</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Defined Contribution and Multiemployer Plans</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costs associated with American’s defined contribution plans were $1.1 billion, $916 million and $893 million for the years ended December 31, 2023, 2022 and 2021, respectively.</w:t>
      </w:r>
    </w:p>
    <w:p>
      <w:pPr>
        <w:spacing w:after="0" w:line="10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participates in the International Association of Machinists &amp; Aerospace Workers (IAM) National Pension Fund, Employer Identification No. 51-6031295 and Plan No. 002 (the IAM Pension Fund). American’s contributions to the IAM Pension Fund were $52 million, $46 million and $43 million for the years ended December 31, 2023, 2022 and 2021, respectively. The IAM Pension Fund reported $533 million in employers’ contributions for the year ended December 31, 2022, which is the most recent year for which such information is available. For 2022, American’s contributions represented more than 5% of total contributions to the IAM Pension Fund.</w:t>
      </w:r>
    </w:p>
    <w:p>
      <w:pPr>
        <w:spacing w:after="0" w:line="12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March 29, 2019, the actuary for the IAM Pension Fund certified that the fund was in “endangered” status despite reporting a funded status of over 80%. Additionally, the IAM Pension Fund’s Board voluntarily elected to enter into “critical” status on April 17, 2019. Upon entry into critical status, the IAM Pension Fund was required by law to adopt a rehabilitation plan aimed at restoring the financial health of the pension plan and did so on April 17, 2019 (the Rehabilitation Plan). Under the Rehabilitation Plan, American was subject to an immaterial contribution surcharge, which ceased to apply June 14, 2019 upon American’s mandatory adoption of a contribution schedule under the Rehabilitation Plan. The contribution schedule requires 2.5% annual increases to its contribution rate. This contribution schedule will remain in effect through the earlier of December 31, 2031 or the date the IAM Pension Fund emerges from critical status.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Profit Sharing Program</w:t>
      </w:r>
    </w:p>
    <w:p>
      <w:pPr>
        <w:spacing w:after="0" w:line="8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American accrues a percentage of its pre-tax income excluding net special items for its profit sharing program. For the year ended December 31, 2023, American accrued $261 million for this program, which will be distributed to employees in the first quarter of 2024.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AOCI are as follows (in millions):</w:t>
      </w:r>
    </w:p>
    <w:p>
      <w:pPr>
        <w:spacing w:after="0" w:line="141" w:lineRule="exact"/>
        <w:rPr>
          <w:sz w:val="20"/>
          <w:szCs w:val="20"/>
          <w:color w:val="auto"/>
        </w:rPr>
      </w:pPr>
    </w:p>
    <w:p>
      <w:pPr>
        <w:jc w:val="center"/>
        <w:ind w:left="1400"/>
        <w:spacing w:after="0"/>
        <w:rPr>
          <w:sz w:val="20"/>
          <w:szCs w:val="20"/>
          <w:color w:val="auto"/>
        </w:rPr>
      </w:pPr>
      <w:r>
        <w:rPr>
          <w:rFonts w:ascii="Arial" w:cs="Arial" w:eastAsia="Arial" w:hAnsi="Arial"/>
          <w:sz w:val="14"/>
          <w:szCs w:val="14"/>
          <w:b w:val="1"/>
          <w:bCs w:val="1"/>
          <w:color w:val="auto"/>
        </w:rPr>
        <w:t>Pension,</w:t>
      </w:r>
    </w:p>
    <w:p>
      <w:pPr>
        <w:jc w:val="center"/>
        <w:ind w:left="1400"/>
        <w:spacing w:after="0" w:line="221" w:lineRule="auto"/>
        <w:rPr>
          <w:sz w:val="20"/>
          <w:szCs w:val="20"/>
          <w:color w:val="auto"/>
        </w:rPr>
      </w:pPr>
      <w:r>
        <w:rPr>
          <w:rFonts w:ascii="Arial" w:cs="Arial" w:eastAsia="Arial" w:hAnsi="Arial"/>
          <w:sz w:val="14"/>
          <w:szCs w:val="14"/>
          <w:b w:val="1"/>
          <w:bCs w:val="1"/>
          <w:color w:val="auto"/>
        </w:rPr>
        <w:t>Retiree</w:t>
      </w:r>
    </w:p>
    <w:tbl>
      <w:tblPr>
        <w:tblLayout w:type="fixed"/>
        <w:tblInd w:w="0" w:type="dxa"/>
        <w:tblCellMar>
          <w:top w:w="0" w:type="dxa"/>
          <w:left w:w="0" w:type="dxa"/>
          <w:bottom w:w="0" w:type="dxa"/>
          <w:right w:w="0" w:type="dxa"/>
        </w:tblCellMar>
      </w:tblPr>
      <w:tr>
        <w:trPr>
          <w:trHeight w:val="134"/>
        </w:trPr>
        <w:tc>
          <w:tcPr>
            <w:tcW w:w="20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Medical and</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1"/>
                <w:szCs w:val="11"/>
                <w:color w:val="auto"/>
              </w:rPr>
            </w:pPr>
          </w:p>
        </w:tc>
        <w:tc>
          <w:tcPr>
            <w:tcW w:w="114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rPr>
              <w:t>Other</w:t>
            </w:r>
          </w:p>
        </w:tc>
        <w:tc>
          <w:tcPr>
            <w:tcW w:w="14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7" w:lineRule="exact"/>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rPr>
              <w:t>(Loss) on</w:t>
            </w:r>
          </w:p>
        </w:tc>
        <w:tc>
          <w:tcPr>
            <w:tcW w:w="160" w:type="dxa"/>
            <w:vAlign w:val="bottom"/>
          </w:tcPr>
          <w:p>
            <w:pPr>
              <w:spacing w:after="0"/>
              <w:rPr>
                <w:sz w:val="11"/>
                <w:szCs w:val="11"/>
                <w:color w:val="auto"/>
              </w:rPr>
            </w:pPr>
          </w:p>
        </w:tc>
        <w:tc>
          <w:tcPr>
            <w:tcW w:w="1140" w:type="dxa"/>
            <w:vAlign w:val="bottom"/>
          </w:tcPr>
          <w:p>
            <w:pPr>
              <w:jc w:val="center"/>
              <w:ind w:right="95"/>
              <w:spacing w:after="0" w:line="137"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0"/>
        </w:trPr>
        <w:tc>
          <w:tcPr>
            <w:tcW w:w="20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7"/>
                <w:szCs w:val="17"/>
                <w:color w:val="auto"/>
              </w:rPr>
            </w:pPr>
          </w:p>
        </w:tc>
        <w:tc>
          <w:tcPr>
            <w:tcW w:w="1140" w:type="dxa"/>
            <w:vAlign w:val="bottom"/>
          </w:tcPr>
          <w:p>
            <w:pPr>
              <w:jc w:val="center"/>
              <w:ind w:right="95"/>
              <w:spacing w:after="0" w:line="201" w:lineRule="exact"/>
              <w:rPr>
                <w:sz w:val="20"/>
                <w:szCs w:val="20"/>
                <w:color w:val="auto"/>
              </w:rPr>
            </w:pPr>
            <w:r>
              <w:rPr>
                <w:rFonts w:ascii="Arial" w:cs="Arial" w:eastAsia="Arial" w:hAnsi="Arial"/>
                <w:sz w:val="14"/>
                <w:szCs w:val="14"/>
                <w:b w:val="1"/>
                <w:bCs w:val="1"/>
                <w:color w:val="auto"/>
                <w:w w:val="95"/>
              </w:rPr>
              <w:t xml:space="preserve">(Provision) </w:t>
            </w:r>
            <w:r>
              <w:rPr>
                <w:rFonts w:ascii="Arial" w:cs="Arial" w:eastAsia="Arial" w:hAnsi="Arial"/>
                <w:sz w:val="18"/>
                <w:szCs w:val="18"/>
                <w:b w:val="1"/>
                <w:bCs w:val="1"/>
                <w:color w:val="auto"/>
                <w:w w:val="95"/>
                <w:vertAlign w:val="superscript"/>
              </w:rPr>
              <w:t>(1)</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3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29"/>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29"/>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w w:val="95"/>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3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2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29"/>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9"/>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w w:val="95"/>
              </w:rPr>
              <w:t>(2)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80" w:type="dxa"/>
            <w:vAlign w:val="bottom"/>
            <w:tcBorders>
              <w:bottom w:val="single" w:sz="8" w:color="auto"/>
            </w:tcBorders>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31" w:lineRule="auto"/>
        <w:tabs>
          <w:tab w:leader="none" w:pos="334" w:val="left"/>
        </w:tabs>
        <w:numPr>
          <w:ilvl w:val="0"/>
          <w:numId w:val="80"/>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(loss) until the obligations are fully extinguished.</w:t>
      </w:r>
    </w:p>
    <w:p>
      <w:pPr>
        <w:spacing w:after="0" w:line="139" w:lineRule="exact"/>
        <w:rPr>
          <w:rFonts w:ascii="Arial" w:cs="Arial" w:eastAsia="Arial" w:hAnsi="Arial"/>
          <w:sz w:val="23"/>
          <w:szCs w:val="23"/>
          <w:color w:val="auto"/>
          <w:vertAlign w:val="superscript"/>
        </w:rPr>
      </w:pPr>
    </w:p>
    <w:p>
      <w:pPr>
        <w:ind w:left="340" w:hanging="332"/>
        <w:spacing w:after="0" w:line="231" w:lineRule="auto"/>
        <w:tabs>
          <w:tab w:leader="none" w:pos="334" w:val="left"/>
        </w:tabs>
        <w:numPr>
          <w:ilvl w:val="0"/>
          <w:numId w:val="80"/>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(benefit) on American’s consolidated statements of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for the years ended December 31, 2023 and 2022 are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7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Amounts reclassified from AOCI</w:t>
            </w:r>
          </w:p>
        </w:tc>
        <w:tc>
          <w:tcPr>
            <w:tcW w:w="10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rPr>
              <w:t>Affected line items on the</w:t>
            </w:r>
          </w:p>
        </w:tc>
      </w:tr>
      <w:tr>
        <w:trPr>
          <w:trHeight w:val="157"/>
        </w:trPr>
        <w:tc>
          <w:tcPr>
            <w:tcW w:w="20" w:type="dxa"/>
            <w:vAlign w:val="bottom"/>
          </w:tcPr>
          <w:p>
            <w:pPr>
              <w:spacing w:after="0"/>
              <w:rPr>
                <w:sz w:val="13"/>
                <w:szCs w:val="13"/>
                <w:color w:val="auto"/>
              </w:rPr>
            </w:pPr>
          </w:p>
        </w:tc>
        <w:tc>
          <w:tcPr>
            <w:tcW w:w="434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AOCI Components</w:t>
            </w:r>
          </w:p>
        </w:tc>
        <w:tc>
          <w:tcPr>
            <w:tcW w:w="940" w:type="dxa"/>
            <w:vAlign w:val="bottom"/>
          </w:tcPr>
          <w:p>
            <w:pPr>
              <w:jc w:val="right"/>
              <w:ind w:right="21"/>
              <w:spacing w:after="0" w:line="157" w:lineRule="exact"/>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consolidated statements of operations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34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Amortization of pension, retiree medical and other</w:t>
            </w:r>
          </w:p>
        </w:tc>
        <w:tc>
          <w:tcPr>
            <w:tcW w:w="9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0" w:type="dxa"/>
            <w:vAlign w:val="bottom"/>
            <w:shd w:val="clear" w:color="auto" w:fill="CCEEFF"/>
          </w:tcPr>
          <w:p>
            <w:pPr>
              <w:spacing w:after="0"/>
              <w:rPr>
                <w:sz w:val="13"/>
                <w:szCs w:val="13"/>
                <w:color w:val="auto"/>
              </w:rPr>
            </w:pPr>
          </w:p>
        </w:tc>
      </w:tr>
      <w:tr>
        <w:trPr>
          <w:trHeight w:val="243"/>
        </w:trPr>
        <w:tc>
          <w:tcPr>
            <w:tcW w:w="20" w:type="dxa"/>
            <w:vAlign w:val="bottom"/>
            <w:shd w:val="clear" w:color="auto" w:fill="CCEEFF"/>
          </w:tcPr>
          <w:p>
            <w:pPr>
              <w:spacing w:after="0"/>
              <w:rPr>
                <w:sz w:val="21"/>
                <w:szCs w:val="21"/>
                <w:color w:val="auto"/>
              </w:rPr>
            </w:pPr>
          </w:p>
        </w:tc>
        <w:tc>
          <w:tcPr>
            <w:tcW w:w="4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postretirement benefits:</w:t>
            </w:r>
          </w:p>
        </w:tc>
        <w:tc>
          <w:tcPr>
            <w:tcW w:w="9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Prior service cost</w:t>
            </w:r>
          </w:p>
        </w:tc>
        <w:tc>
          <w:tcPr>
            <w:tcW w:w="940" w:type="dxa"/>
            <w:vAlign w:val="bottom"/>
          </w:tcPr>
          <w:p>
            <w:pPr>
              <w:jc w:val="right"/>
              <w:ind w:right="74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Nonoperating other income (expense), net</w:t>
            </w: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Actuarial loss</w:t>
            </w:r>
          </w:p>
        </w:tc>
        <w:tc>
          <w:tcPr>
            <w:tcW w:w="9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other income (expense), net</w:t>
            </w: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 net of tax</w:t>
            </w:r>
          </w:p>
        </w:tc>
        <w:tc>
          <w:tcPr>
            <w:tcW w:w="940" w:type="dxa"/>
            <w:vAlign w:val="bottom"/>
            <w:tcBorders>
              <w:bottom w:val="single" w:sz="8" w:color="auto"/>
            </w:tcBorders>
          </w:tcPr>
          <w:p>
            <w:pPr>
              <w:jc w:val="right"/>
              <w:ind w:right="74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bl>
    <w:p>
      <w:pPr>
        <w:spacing w:after="0" w:line="305" w:lineRule="exact"/>
        <w:rPr>
          <w:sz w:val="20"/>
          <w:szCs w:val="20"/>
          <w:color w:val="auto"/>
        </w:rPr>
      </w:pPr>
    </w:p>
    <w:p>
      <w:pPr>
        <w:ind w:left="300" w:hanging="292"/>
        <w:spacing w:after="0"/>
        <w:tabs>
          <w:tab w:leader="none" w:pos="3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91" w:lineRule="exact"/>
        <w:rPr>
          <w:rFonts w:ascii="Arial" w:cs="Arial" w:eastAsia="Arial" w:hAnsi="Arial"/>
          <w:sz w:val="18"/>
          <w:szCs w:val="18"/>
          <w:b w:val="1"/>
          <w:bCs w:val="1"/>
          <w:color w:val="auto"/>
        </w:rPr>
      </w:pPr>
    </w:p>
    <w:p>
      <w:pPr>
        <w:ind w:left="520" w:hanging="269"/>
        <w:spacing w:after="0"/>
        <w:tabs>
          <w:tab w:leader="none" w:pos="520" w:val="left"/>
        </w:tabs>
        <w:numPr>
          <w:ilvl w:val="1"/>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Aircraft, Engine and Other Purchase Commitments</w:t>
      </w:r>
    </w:p>
    <w:p>
      <w:pPr>
        <w:spacing w:after="0" w:line="88"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Under all of American’s aircraft and engine purchase agreements, its total future commitments as of December 31, 2023 are expected to be as follows (approximately,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2029 and</w:t>
            </w:r>
          </w:p>
        </w:tc>
        <w:tc>
          <w:tcPr>
            <w:tcW w:w="96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Thereafter</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90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Payments for aircraft and engine commitments</w:t>
            </w: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645</w:t>
            </w:r>
          </w:p>
        </w:tc>
        <w:tc>
          <w:tcPr>
            <w:tcW w:w="1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12,307</w:t>
            </w:r>
          </w:p>
        </w:tc>
        <w:tc>
          <w:tcPr>
            <w:tcW w:w="0" w:type="dxa"/>
            <w:vAlign w:val="bottom"/>
          </w:tcPr>
          <w:p>
            <w:pPr>
              <w:spacing w:after="0"/>
              <w:rPr>
                <w:sz w:val="1"/>
                <w:szCs w:val="1"/>
                <w:color w:val="auto"/>
              </w:rPr>
            </w:pPr>
          </w:p>
        </w:tc>
      </w:tr>
      <w:tr>
        <w:trPr>
          <w:trHeight w:val="67"/>
        </w:trPr>
        <w:tc>
          <w:tcPr>
            <w:tcW w:w="2080" w:type="dxa"/>
            <w:vAlign w:val="bottom"/>
            <w:vMerge w:val="restart"/>
            <w:shd w:val="clear" w:color="auto" w:fill="CCEEFF"/>
          </w:tcPr>
          <w:p>
            <w:pPr>
              <w:jc w:val="right"/>
              <w:ind w:right="1666"/>
              <w:spacing w:after="0"/>
              <w:rPr>
                <w:sz w:val="20"/>
                <w:szCs w:val="20"/>
                <w:color w:val="auto"/>
              </w:rPr>
            </w:pPr>
            <w:r>
              <w:rPr>
                <w:rFonts w:ascii="Arial" w:cs="Arial" w:eastAsia="Arial" w:hAnsi="Arial"/>
                <w:sz w:val="12"/>
                <w:szCs w:val="12"/>
                <w:color w:val="auto"/>
              </w:rPr>
              <w:t>(1)</w:t>
            </w:r>
          </w:p>
        </w:tc>
        <w:tc>
          <w:tcPr>
            <w:tcW w:w="18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80" w:type="dxa"/>
            <w:vAlign w:val="bottom"/>
            <w:tcBorders>
              <w:bottom w:val="single" w:sz="8" w:color="CCEEFF"/>
            </w:tcBorders>
            <w:vMerge w:val="continue"/>
            <w:shd w:val="clear" w:color="auto" w:fill="CCEEFF"/>
          </w:tcPr>
          <w:p>
            <w:pPr>
              <w:spacing w:after="0"/>
              <w:rPr>
                <w:sz w:val="7"/>
                <w:szCs w:val="7"/>
                <w:color w:val="auto"/>
              </w:rPr>
            </w:pPr>
          </w:p>
        </w:tc>
        <w:tc>
          <w:tcPr>
            <w:tcW w:w="182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8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80" w:type="dxa"/>
            <w:vAlign w:val="bottom"/>
            <w:tcBorders>
              <w:bottom w:val="single" w:sz="8" w:color="auto"/>
            </w:tcBorders>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82"/>
        </w:numPr>
        <w:rPr>
          <w:rFonts w:ascii="Arial" w:cs="Arial" w:eastAsia="Arial" w:hAnsi="Arial"/>
          <w:sz w:val="23"/>
          <w:szCs w:val="23"/>
          <w:color w:val="auto"/>
          <w:vertAlign w:val="superscript"/>
        </w:rPr>
      </w:pPr>
      <w:r>
        <w:rPr>
          <w:rFonts w:ascii="Arial" w:cs="Arial" w:eastAsia="Arial" w:hAnsi="Arial"/>
          <w:sz w:val="18"/>
          <w:szCs w:val="18"/>
          <w:color w:val="auto"/>
        </w:rPr>
        <w:t>These amounts are net of purchase deposits currently held by the manufacturers. American’s purchase deposits held by all manufacturers totaled $760 million and $613 million as of December 31, 2023 and 2022, respectively.</w:t>
      </w:r>
    </w:p>
    <w:p>
      <w:pPr>
        <w:spacing w:after="0" w:line="139" w:lineRule="exact"/>
        <w:rPr>
          <w:rFonts w:ascii="Arial" w:cs="Arial" w:eastAsia="Arial" w:hAnsi="Arial"/>
          <w:sz w:val="23"/>
          <w:szCs w:val="23"/>
          <w:color w:val="auto"/>
          <w:vertAlign w:val="superscript"/>
        </w:rPr>
      </w:pPr>
    </w:p>
    <w:p>
      <w:pPr>
        <w:jc w:val="both"/>
        <w:ind w:left="340"/>
        <w:spacing w:after="0" w:line="262" w:lineRule="auto"/>
        <w:rPr>
          <w:rFonts w:ascii="Arial" w:cs="Arial" w:eastAsia="Arial" w:hAnsi="Arial"/>
          <w:sz w:val="23"/>
          <w:szCs w:val="23"/>
          <w:color w:val="auto"/>
          <w:vertAlign w:val="superscript"/>
        </w:rPr>
      </w:pPr>
      <w:r>
        <w:rPr>
          <w:rFonts w:ascii="Arial" w:cs="Arial" w:eastAsia="Arial" w:hAnsi="Arial"/>
          <w:sz w:val="18"/>
          <w:szCs w:val="18"/>
          <w:color w:val="auto"/>
        </w:rPr>
        <w:t>Due to uncertainty surrounding the timing of delivery of certain aircraft, the amounts in the table represent American’s most current estimate based on contractual delivery schedules adjusted for updates and revisions to such schedules communicated to management by the applicable equipment manufacturer. However, the actual delivery schedule may differ, potentially materially, based on various potential factors including production delays by the manufacturer and regulatory concerns.</w:t>
      </w:r>
    </w:p>
    <w:p>
      <w:pPr>
        <w:spacing w:after="0" w:line="121" w:lineRule="exact"/>
        <w:rPr>
          <w:sz w:val="20"/>
          <w:szCs w:val="20"/>
          <w:color w:val="auto"/>
        </w:rPr>
      </w:pPr>
    </w:p>
    <w:p>
      <w:pPr>
        <w:ind w:left="340"/>
        <w:spacing w:after="0" w:line="286" w:lineRule="auto"/>
        <w:rPr>
          <w:sz w:val="20"/>
          <w:szCs w:val="20"/>
          <w:color w:val="auto"/>
        </w:rPr>
      </w:pPr>
      <w:r>
        <w:rPr>
          <w:rFonts w:ascii="Arial" w:cs="Arial" w:eastAsia="Arial" w:hAnsi="Arial"/>
          <w:sz w:val="18"/>
          <w:szCs w:val="18"/>
          <w:color w:val="auto"/>
        </w:rPr>
        <w:t>Additionally, the amounts in the table exclude five Boeing 787 Family aircraft scheduled to be delivered in 2024, for which American has obtained committed lease financing. See Note 4 for information regarding this operating lease commitment.</w:t>
      </w:r>
    </w:p>
    <w:p>
      <w:pPr>
        <w:spacing w:after="0" w:line="10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Additionally, American has other purchase commitments primarily related to aircraft fuel, flight equipment maintenance and information technology support as follows (approximately): $4.7 billion in 2024, $2.0 billion in 2025, $1.4 billion in 2026, $150 million in 2027, $124 million in 2028 and $843 million in 2029 and thereafter. These amounts exclude obligations under certain fuel offtake agreements or other agreements for which the timing of the related expenditure is uncertain, or which are subject to material contingencies, such as the construction of a production facility.</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 Capacity Purchase Agreements with Third-Party Regional Carriers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has capacity purchase agreements with third-party regional carriers. The capacity purchase agreements provide that all revenues, including passenger, in-flight, ancillary, mail and freight revenues, go to American. American controls marketing, scheduling, ticketing, pricing and seat inventories. In return, American agrees to pay predetermined fees to these airlines for operating an agreed-upon number of aircraft, without regard to the number of passengers on board. In addition, these agreements provide that American either reimburses or pays 100% of certain variable costs, such as airport landing fees, fuel and passenger liability insurance.</w:t>
      </w:r>
    </w:p>
    <w:p>
      <w:pPr>
        <w:spacing w:after="0" w:line="124"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As of December 31, 2023, American’s capacity purchase agreements with third-party regional carriers had expiration dates ranging from 2024 to 2032, with rights of American to extend the respective terms of certain agreements.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As of December 31, 2023, American’s minimum obligations under its capacity purchase agreements with third-party regional carriers are expected to be as follows (approximately,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8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2029 and</w:t>
            </w:r>
          </w:p>
        </w:tc>
        <w:tc>
          <w:tcPr>
            <w:tcW w:w="8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Thereafter</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4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Minimum obligations under capacity purchase</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2,038</w:t>
            </w: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1,992</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8"/>
                <w:szCs w:val="18"/>
                <w:color w:val="auto"/>
              </w:rPr>
              <w:t>1,332</w:t>
            </w: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9,230</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 xml:space="preserve">agreements with third-party regional carriers </w:t>
            </w:r>
            <w:r>
              <w:rPr>
                <w:rFonts w:ascii="Arial" w:cs="Arial" w:eastAsia="Arial" w:hAnsi="Arial"/>
                <w:sz w:val="23"/>
                <w:szCs w:val="23"/>
                <w:color w:val="auto"/>
                <w:vertAlign w:val="superscript"/>
              </w:rPr>
              <w:t>(1)</w:t>
            </w: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100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31" w:lineRule="exact"/>
        <w:rPr>
          <w:sz w:val="20"/>
          <w:szCs w:val="20"/>
          <w:color w:val="auto"/>
        </w:rPr>
      </w:pPr>
    </w:p>
    <w:p>
      <w:pPr>
        <w:jc w:val="both"/>
        <w:ind w:left="340" w:hanging="332"/>
        <w:spacing w:after="0"/>
        <w:tabs>
          <w:tab w:leader="none" w:pos="334" w:val="left"/>
        </w:tabs>
        <w:numPr>
          <w:ilvl w:val="0"/>
          <w:numId w:val="83"/>
        </w:numPr>
        <w:rPr>
          <w:rFonts w:ascii="Arial" w:cs="Arial" w:eastAsia="Arial" w:hAnsi="Arial"/>
          <w:sz w:val="23"/>
          <w:szCs w:val="23"/>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American’s actual payments could differ materially. Rental payments under operating leases for certain aircraft flown under these capacity purchase agreements are reflected in the operating lease commitments in Note 4.</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 Airport Redevelopment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Los Angeles International Airport (LAX)</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From time to time, airports engage in construction projects, often substantial, that result in new or improved facilities that are ultimately funded through increases in the rent and other occupancy costs payable by airlines operating at the airport. Unlike this construction and funding model, American is managing a project at LAX where it has legal title to the assets during construction. In 2018, American executed a lease agreement with Los Angeles World Airports (LAWA), which owns and operates LAX, in connection with a $1.6 billion modernization project related to LAX Terminals 4 and 5. Construction, which started in October 2018 and is expected to be completed in 2028, will occur in a phased approach. The modernization project will include a unified departure hall to the entranceway of Terminals 4 and 5, reconfigured ticket counter and check-in areas with seamless access to security screening areas, 10 new security screening lanes with automated technology in addition to the existing Terminal 5 lanes, and a new Terminal 4 South concourse with more open and upgraded amenities at gate areas. The project will also include renovated break rooms, multi-use meeting rooms and team gathering spaces throughout the terminals to support American’s team members at LAX.</w:t>
      </w:r>
    </w:p>
    <w:p>
      <w:pPr>
        <w:spacing w:after="0" w:line="12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As each phase is completed and ready for use, the assets will be sold and transferred to LAWA, including the site improvements and other non-proprietary improvements. As American controls the assets during construction, they are recognized on its consolidated balance sheets within operating property and equipment until the assets are sold and transferred to LAWA. As of December 31, 2023, American has incurred $862 million in costs relating to the LAX modernization project, of which $283 million were incurred in 2023. Cash paid for non-proprietary improvements are included within other investing activities on American’s consolidated statements of cash flows. In addition, as of December 31, 2023, American has sold and transferred $346 million of non-proprietary improvements to LAWA, of which $170 million occurred during 2023. For non-proprietary improvements which are not yet ready for use, any cash payments received from LAWA will be reflected as a financial liability included within noncurrent other liabilities on American’s consolidated balance sheets and reflected as other financing activities on its consolidated statements of cash flows. As of December 31, 2023, $53 million of cash proceeds received for non-proprietary improvements were not yet ready for use, and therefore have not been sold and transferred back to LAWA.</w:t>
      </w:r>
    </w:p>
    <w:p>
      <w:pPr>
        <w:spacing w:after="0" w:line="212" w:lineRule="exact"/>
        <w:rPr>
          <w:sz w:val="20"/>
          <w:szCs w:val="20"/>
          <w:color w:val="auto"/>
        </w:rPr>
      </w:pPr>
    </w:p>
    <w:p>
      <w:pPr>
        <w:ind w:left="260" w:right="7900" w:hanging="9"/>
        <w:spacing w:after="0" w:line="342" w:lineRule="auto"/>
        <w:tabs>
          <w:tab w:leader="none" w:pos="539"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i w:val="1"/>
          <w:iCs w:val="1"/>
          <w:u w:val="single" w:color="auto"/>
          <w:color w:val="auto"/>
        </w:rPr>
        <w:t>Pass-Through Trusts</w:t>
      </w:r>
    </w:p>
    <w:p>
      <w:pPr>
        <w:spacing w:after="0" w:line="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 currently has 308 owned aircraft and 60 owned spare aircraft engines, which in each case were financed with EETCs issued by pass-through trusts. These trusts are off-balance sheet entities, the primary purpose of which is to finance the acquisition of flight equipment or to permit issuance of debt backed by existing flight equipment. In the case of aircraft EETCs, rather than finance each aircraft separately when such aircraft is purchased, delivered or refinanced, these trusts allow American to raise the financing for a number of aircraft at one time and, if applicable, place such funds in escrow pending a future purchase, delivery or refinancing of the relevant aircraft. Similarly, in the case of the spare engine EETCs, the trusts allow American to use its existing pool of spare engines to raise financing under a single facility. The trusts have also been structured to provide for certain credit enhancements, such as liquidity facilities to cover certain interest payments, that reduce the risks to the purchasers of the trust certificates and, as a result, reduce the cost of aircraft financing to American.</w:t>
      </w:r>
    </w:p>
    <w:p>
      <w:pPr>
        <w:spacing w:after="0" w:line="12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Each trust covers a set number of aircraft or spare engines scheduled to be delivered, financed or refinanced upon the issuance of the EETC or within a specific period of time thereafter. At the time of each covered aircraft or spare engine financing, the relevant trust used the proceeds from the issuance of the EETC (which may have been available at the time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issuance thereof or held in escrow until financing of the applicable aircraft following its delivery) to purchase equipment notes relating to the financed aircraft or engines. The equipment notes are issued, at American’s election, in connection with a mortgage financing of the aircraft or spare engines. The equipment notes are secured by a security interest in the aircraft or engines, as applicable. The pass-through trust certificates are not direct obligations of, nor are they guaranteed by, AAG or American. However, the equipment notes issued to the trusts are direct obligations of American and, in certain instances, have been guaranteed by AAG. As of December 31, 2023, $7.7 billion associated with these mortgage financings is reflected as debt in the accompanying consolidated balance sheet.</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Letters of Credit and Other</w:t>
      </w:r>
    </w:p>
    <w:p>
      <w:pPr>
        <w:spacing w:after="0" w:line="8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American provides financial assurance, such as letters of credit and surety bonds, primarily to support projected workers’ compensation obligations and airport commitments. As of December 31, 2023, American had $318 million of letters of credit and surety bonds securing various obligations, of which $94 million is collateralized with American’s restricted cash. The letters of credit and surety bonds that are subject to expiration will expire on various dates through 2028.</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 Legal Proceedings</w:t>
      </w:r>
    </w:p>
    <w:p>
      <w:pPr>
        <w:spacing w:after="0" w:line="169"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joined</w:t>
      </w:r>
      <w:r>
        <w:rPr>
          <w:rFonts w:ascii="Arial" w:cs="Arial" w:eastAsia="Arial" w:hAnsi="Arial"/>
          <w:sz w:val="18"/>
          <w:szCs w:val="18"/>
          <w:i w:val="1"/>
          <w:iCs w:val="1"/>
          <w:color w:val="auto"/>
        </w:rPr>
        <w:t xml:space="preserve"> </w:t>
      </w:r>
      <w:r>
        <w:rPr>
          <w:rFonts w:ascii="Arial" w:cs="Arial" w:eastAsia="Arial" w:hAnsi="Arial"/>
          <w:sz w:val="18"/>
          <w:szCs w:val="18"/>
          <w:color w:val="auto"/>
        </w:rPr>
        <w:t>by Attorneys General from six states and the District of Columbia, filed an antitrust complaint against American and JetBlue Airways Corporation (JetBlue) in the U.S. District Court for the District of Massachusetts alleging that American and JetBlue violated U.S. antitrust law in connection with the previously disclosed Northeast Alliance arrangement (NEA).</w:t>
      </w:r>
    </w:p>
    <w:p>
      <w:pPr>
        <w:spacing w:after="0" w:line="12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May 19, 2023, the U.S. District Court for the District of Massachusetts issued an order permanently enjoining American and JetBlue from continuing and further implementing the NEA. In June 2023, JetBlue delivered a notice of termination of the NEA, effective July 29, 2023, and the carriers have commenced wind-down activities to accommodate mutual customers. Following written submissions by the parties and a hearing on July 26, 2023, the U.S. District Court for the District of Massachusetts entered a Final Judgment and Order Entering Permanent Injunction on July 28, 2023. The parties are complying with the terms of the Final Judgment and Order Entering Permanent Injunction, including winding down activities related to the NEA. American filed a notice of appeal to the U.S. Court of Appeals for the First Circuit on September 25, 2023, and American’s opening brief was filed on December 6, 2023.</w:t>
      </w:r>
    </w:p>
    <w:p>
      <w:pPr>
        <w:spacing w:after="0" w:line="12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i w:val="1"/>
          <w:iCs w:val="1"/>
          <w:color w:val="auto"/>
        </w:rPr>
        <w:t xml:space="preserve">Private Party Antitrust Actions Related to the Northeast Alliance. </w:t>
      </w:r>
      <w:r>
        <w:rPr>
          <w:rFonts w:ascii="Arial" w:cs="Arial" w:eastAsia="Arial" w:hAnsi="Arial"/>
          <w:sz w:val="18"/>
          <w:szCs w:val="18"/>
          <w:color w:val="auto"/>
        </w:rPr>
        <w:t>On December 5, 2022 and December 7, 2022, two private party plaintiffs</w:t>
      </w:r>
      <w:r>
        <w:rPr>
          <w:rFonts w:ascii="Arial" w:cs="Arial" w:eastAsia="Arial" w:hAnsi="Arial"/>
          <w:sz w:val="18"/>
          <w:szCs w:val="18"/>
          <w:i w:val="1"/>
          <w:iCs w:val="1"/>
          <w:color w:val="auto"/>
        </w:rPr>
        <w:t xml:space="preserve"> </w:t>
      </w:r>
      <w:r>
        <w:rPr>
          <w:rFonts w:ascii="Arial" w:cs="Arial" w:eastAsia="Arial" w:hAnsi="Arial"/>
          <w:sz w:val="18"/>
          <w:szCs w:val="18"/>
          <w:color w:val="auto"/>
        </w:rPr>
        <w:t>filed putative class action antitrust complaints against American and JetBlue in the U.S. District Court for the Eastern District of New York alleging that American and JetBlue violated U.S. antitrust law in connection with the previously disclosed NEA. These actions were consolidated on January 10, 2023. The private party plaintiffs filed an amended consolidated complaint on February 3, 2023. On February 2, 2023 and February 15, 2023, private party plaintiffs filed two additional putative class action antitrust complaints against American and JetBlue in the U.S. District Court for the District of Massachusetts and the U.S. District Court for the Eastern District of New York, respectively. In March 2023, American filed a motion in the U.S. District Court for the District of Massachusetts case asking to transfer the case to the U.S. District Court for the Eastern District of New York and consolidate it with the cases pending in that venue. The U.S. District Court for the District of Massachusetts granted that motion. The remaining cases were consolidated with the other actions in the Eastern District of New York. In June 2023, the private party plaintiffs filed a second amended consolidated complaint, followed by a third amended complaint filed in August 2023. In September 2023, American, together with JetBlue, filed a motion to dismiss the third amended complaint, and that motion remains pending. American believes these lawsuits are without merit and is defending against them vigorously.</w:t>
      </w:r>
    </w:p>
    <w:p>
      <w:pPr>
        <w:spacing w:after="0" w:line="1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 Guarantees and Indemnifications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American is a party to many routine contracts in which it provides general indemnities in the normal course of business to third parties for various risks. American is not able to estimate the potential amount of any liability resulting from the indemnities. These indemnities are discussed in the following paragraphs.</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its aircraft financing agreements, American generally indemnifies the financing parties, trustees acting on their behalf and other relevant parties against liabilities (including certain taxes) resulting from the financing, manufacture, design, ownership, operation and maintenance of the aircraft regardless of whether these liabilities (including certain taxes) relate to the negligence of the indemnified parties.</w:t>
      </w:r>
    </w:p>
    <w:p>
      <w:pPr>
        <w:spacing w:after="0" w:line="116" w:lineRule="exact"/>
        <w:rPr>
          <w:sz w:val="20"/>
          <w:szCs w:val="20"/>
          <w:color w:val="auto"/>
        </w:rPr>
      </w:pPr>
    </w:p>
    <w:p>
      <w:pPr>
        <w:jc w:val="both"/>
        <w:ind w:right="20" w:firstLine="243"/>
        <w:spacing w:after="0" w:line="257" w:lineRule="auto"/>
        <w:rPr>
          <w:sz w:val="20"/>
          <w:szCs w:val="20"/>
          <w:color w:val="auto"/>
        </w:rPr>
      </w:pPr>
      <w:r>
        <w:rPr>
          <w:rFonts w:ascii="Arial" w:cs="Arial" w:eastAsia="Arial" w:hAnsi="Arial"/>
          <w:sz w:val="18"/>
          <w:szCs w:val="18"/>
          <w:color w:val="auto"/>
        </w:rPr>
        <w:t>American’s loan agreements and certain other financing transactions may obligate American to reimburse the applicable lender for incremental costs due to a change in law that imposes (i) any reserve or special deposit requirement against assets of, deposits with or credit extended by such lender related to the loan, (ii) any tax, duty or other charge with respect to the loan (except standard income tax) or</w:t>
      </w:r>
    </w:p>
    <w:p>
      <w:pPr>
        <w:jc w:val="both"/>
        <w:ind w:firstLine="8"/>
        <w:spacing w:after="0" w:line="258" w:lineRule="auto"/>
        <w:tabs>
          <w:tab w:leader="none" w:pos="291" w:val="left"/>
        </w:tabs>
        <w:numPr>
          <w:ilvl w:val="0"/>
          <w:numId w:val="85"/>
        </w:numPr>
        <w:rPr>
          <w:rFonts w:ascii="Arial" w:cs="Arial" w:eastAsia="Arial" w:hAnsi="Arial"/>
          <w:sz w:val="18"/>
          <w:szCs w:val="18"/>
          <w:color w:val="auto"/>
        </w:rPr>
      </w:pPr>
      <w:r>
        <w:rPr>
          <w:rFonts w:ascii="Arial" w:cs="Arial" w:eastAsia="Arial" w:hAnsi="Arial"/>
          <w:sz w:val="18"/>
          <w:szCs w:val="18"/>
          <w:color w:val="auto"/>
        </w:rPr>
        <w:t>capital adequacy requirements. In addition, American’s loan agreements and other financing arrangements typically contain a withholding tax provision that requires American to pay additional amounts to the applicable lender or other financing party, generally if withholding taxes are imposed on such lender or other financing party as a result of a change in the applicable tax law.</w:t>
      </w:r>
    </w:p>
    <w:p>
      <w:pPr>
        <w:spacing w:after="0" w:line="1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In certain transactions, including certain aircraft financing leases and loans, the lessors, lenders and/or other parties have rights to terminate the transaction based on changes in foreign tax law, illegality or certain other events or circumstances. In such a case, American may be required to make a lump sum payment to terminate the relevant transaction.</w:t>
      </w:r>
    </w:p>
    <w:p>
      <w:pPr>
        <w:spacing w:after="0" w:line="11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has general indemnity clauses in many of its airport and other real estate leases where American as lessee indemnifies the lessor (and related parties) against liabilities related to American’s use of the leased property. Generally, these indemnifications cover liabilities resulting from the negligence of the indemnified parties, but not liabilities resulting from the gross negligence or willful misconduct of the indemnified parties. In addition, American provides environmental indemnities in many of these leases for contamination related to American’s use of the leased property.</w:t>
      </w:r>
    </w:p>
    <w:p>
      <w:pPr>
        <w:spacing w:after="0" w:line="1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Under certain contracts with third parties, American indemnifies the third-party against legal liability arising out of an action by the third-party, or certain other parties. The terms of these contracts vary and the potential exposure under these indemnities cannot be determined. American has liability insurance protecting American from some of the obligations it has undertaken under these indemnities.</w:t>
      </w:r>
    </w:p>
    <w:p>
      <w:pPr>
        <w:spacing w:after="0" w:line="11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American is required to make principal and interest payments for certain special facility revenue bonds issued by municipalities primarily to build or improve airport facilities and purchase equipment, which are leased to American. The payment of principal and interest of certain special facility revenue bonds is guaranteed by American. As of December 31, 2023, the remaining lease payments through 2035 guaranteeing the principal and interest on these bonds are $520 million and the current carrying amount of the associated operating lease liability in the accompanying consolidated balance sheet is $321 million.</w:t>
      </w:r>
    </w:p>
    <w:p>
      <w:pPr>
        <w:spacing w:after="0" w:line="124"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December 31, 2023, American had issued guarantees covering AAG’s $1.8 billion aggregate principal amount of the PSP1 Promissory Note due April 2030, $1.0 billion aggregate principal amount of the PSP2 Promissory Note due January 2031, $959 million aggregate principal amount of the PSP3 Promissory Note due April 2031, $1.0 billion aggregate principal amount of 6.50% convertible senior notes due July 2025 and $487 million of 3.75% senior notes due March 2025.</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 Credit Card Processing Agreements</w:t>
      </w:r>
    </w:p>
    <w:p>
      <w:pPr>
        <w:spacing w:after="0" w:line="8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 has agreements with companies that process customer credit card transactions for the sale of air travel and other services. American’s agreements allow these credit card processing companies, under certain conditions, to hold an amount of its cash (referred to as a holdback) equal to all or a portion of advance ticket sales that have been processed by that company, but for which American has not yet provided the air transportation. These holdback requirements can be implemented at the discretion of the credit card processing companies upon the occurrence of specific events, including material adverse changes in American’s financial condition or the triggering of a liquidity covenant. These credit card processing companies are not currently entitled to maintain any holdbacks. The imposition of holdback requirements would reduce American’s liquidity.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 Labor Contracts</w:t>
      </w:r>
    </w:p>
    <w:p>
      <w:pPr>
        <w:spacing w:after="0" w:line="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May 2023, American and the Allied Pilots Association, the union representing American’s mainline pilots, reached an agreement in principle on a new collective bargaining agreement (CBA), which was ratified in August 2023. This four-year agreement provides wage rate increases, including an initial wage rate increase of 21% effective as of January 1, 2023, quality-of-life benefits and other benefit-related items. The additional compensation for the 2023 period prior to contract ratification as a result of the higher wage rates was recorded within salaries, wages and benefits in the consolidated statements of operations in the second and third quarters of 2023. The agreement also included a provision for a one-time payment upon ratification. In 2023, one-time charges resulting from the ratification of this new agreement were recorded as mainline operating special items, net in the consolidated statement of operations, including the one-time payment of $754 million as well as adjustments to other benefit-related items of $235 million. The one-time payment and the additional compensation were principally paid in 2023, with remaining payments expected to be paid in the first quarter of 2024.</w:t>
      </w:r>
    </w:p>
    <w:p>
      <w:pPr>
        <w:spacing w:after="0" w:line="13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As of December 31, 2023, American employed approximately 103,200 active full-time equivalent (FTE) employees. Of the total active FTE employees, 87% are covered by CBAs with various labor unions and 38% are covered by CBAs that are currently amendable or that will become amendable within one year. In January 2024, mainline passenger service employees represented by the CWA-IBT ratified a new five-year agreement. The CBA covering American’s flight attendants is now amendable.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Supplemental Cash Flow Information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disclosure of cash flow information and non-cash investing and financing activities are as follows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ROU assets acquired through operating leases</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1,172</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1,381</w:t>
            </w: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acquired through debt, finance leases and other</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Finance leases converted to operating leases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 converted to finance leases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Settlement of bankruptcy obligations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investments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paid, net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r>
      <w:tr>
        <w:trPr>
          <w:trHeight w:val="239"/>
        </w:trPr>
        <w:tc>
          <w:tcPr>
            <w:tcW w:w="6460" w:type="dxa"/>
            <w:vAlign w:val="bottom"/>
          </w:tcPr>
          <w:p>
            <w:pPr>
              <w:ind w:left="220"/>
              <w:spacing w:after="0"/>
              <w:rPr>
                <w:sz w:val="20"/>
                <w:szCs w:val="20"/>
                <w:color w:val="auto"/>
              </w:rPr>
            </w:pPr>
            <w:r>
              <w:rPr>
                <w:rFonts w:ascii="Arial" w:cs="Arial" w:eastAsia="Arial" w:hAnsi="Arial"/>
                <w:sz w:val="18"/>
                <w:szCs w:val="18"/>
                <w:color w:val="auto"/>
              </w:rPr>
              <w:t>Income taxes paid</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Operating Segments and Related Disclosures</w:t>
      </w:r>
    </w:p>
    <w:p>
      <w:pPr>
        <w:spacing w:after="0" w:line="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American is managed as a single business unit that provides air transportation for passengers and cargo. This allows it to benefit from an integrated revenue pricing and route network that includes American and AAG’s wholly-owned and third-party regional carriers that fly under capacity purchase agreements operating as American Eagle. The flight equipment of all these carriers is combined to form one fleet that is deployed through a single route scheduling system. Financial information and annual operational plans and forecasts are prepared and reviewed by the chief operating decision maker at the consolidated level. When making operational decisions, the chief operating decision maker evaluates flight profitability data, which considers aircraft type and route economics, but is indifferent to the results of the individual regional carriers. The objective in making operational decisions is to maximize consolidated financial results, not the individual results of American or American Eagle.</w:t>
      </w:r>
    </w:p>
    <w:p>
      <w:pPr>
        <w:spacing w:after="0" w:line="12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See Note 1(m) for American’s passenger revenue by geographic region. American’s tangible assets consist primarily of flight equipment, which are mobile across geographic markets and, therefore, have not been allocated.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9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May 2023, the stockholders of AAG approved the 2023 Incentive Award Plan (the 2023 Plan). The 2023 Plan replaces and supersedes AAG’s 2013 Incentive Award Plan (the 2013 Plan). No further awards will be granted under the 2013 Plan; however, the terms and conditions of the 2013 Plan will continue to govern any outstanding awards granted thereunder. The 2023 Plan provides that an award may be in the form of a stock option, including an incentive stock option and nonqualified stock option, stock appreciation right, restricted stock, restricted stock unit, performance bonus award, performance stock unit, other stock or cash-based award and dividend equivalent to eligible individuals.</w:t>
      </w:r>
    </w:p>
    <w:p>
      <w:pPr>
        <w:spacing w:after="0" w:line="126"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2023 Plan authorizes the grant of awards for the issuance of 17.2 million shares less any shares granted under the 2013 Plan after March 22, 2023, the date the Board of Directors of AAG approved the 2023 Plan. Any shares underlying awards granted under the 2023 Plan or 2013 Plan that are forfeited, terminate or are settled in cash (in whole or in part) without the delivery of shares will again be available for grant under the 2023 Plan.</w:t>
      </w:r>
    </w:p>
    <w:p>
      <w:pPr>
        <w:spacing w:after="0" w:line="1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For the years ended December 31, 2023, 2022 and 2021, American recorded $97 million, $75 million and $95 million, respectively, of share-based compensation costs principally in salaries, wages and benefits expense on its consolidated statements of operations.</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2023, 2022 and 2021, AAG withheld approximately 1.5 million, 1.2 million and 1.0 million shares of AAG common stock, respectively, and paid approximately $23 million, $21 million and $18 million, respectively, in satisfaction of certain tax withholding obligations associated with employee equity awards.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 Awards (RSUs)</w:t>
      </w:r>
    </w:p>
    <w:p>
      <w:pPr>
        <w:spacing w:after="0" w:line="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AAG has granted RSUs with service conditions (time vested primarily over three years) and performance conditions. The grant-date fair value of these RSUs is equal to the market price of the underlying shares of AAG common stock on the date of grant. For time vested awards, the expense is recognized on a straight-line basis over the vesting period for the entire award. For awards with performance conditions, the expense is recognized based on the expected achievement at each reporting period. RSUs are classified as equity awards as the vesting results in the issuance of shares of AAG common stock.</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RSU award activity for all plans for the years ended December 31, 2023, 2022 and 2021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 Grant Date</w:t>
            </w:r>
          </w:p>
        </w:tc>
        <w:tc>
          <w:tcPr>
            <w:tcW w:w="0" w:type="dxa"/>
            <w:vAlign w:val="bottom"/>
          </w:tcPr>
          <w:p>
            <w:pPr>
              <w:spacing w:after="0"/>
              <w:rPr>
                <w:sz w:val="1"/>
                <w:szCs w:val="1"/>
                <w:color w:val="auto"/>
              </w:rPr>
            </w:pPr>
          </w:p>
        </w:tc>
      </w:tr>
      <w:tr>
        <w:trPr>
          <w:trHeight w:val="189"/>
        </w:trPr>
        <w:tc>
          <w:tcPr>
            <w:tcW w:w="7020" w:type="dxa"/>
            <w:vAlign w:val="bottom"/>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16"/>
                <w:szCs w:val="16"/>
                <w:color w:val="auto"/>
              </w:rPr>
            </w:pPr>
          </w:p>
        </w:tc>
        <w:tc>
          <w:tcPr>
            <w:tcW w:w="2040" w:type="dxa"/>
            <w:vAlign w:val="bottom"/>
          </w:tcPr>
          <w:p>
            <w:pPr>
              <w:jc w:val="right"/>
              <w:ind w:right="433"/>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5,525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5,882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9,834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 and released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2023</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14,235</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As of December 31, 2023, there was $120 million of unrecognized compensation cost related to RSUs. These costs are expected to be recognized over a weighted average period of one year. The total fair value of RSUs vested during the years ended December 31, 2023, 2022 and 2021 was $78 million, $70 million and $62 million, respectively.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OF AMERICAN AIRLINES, INC.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Valuation and Qualifying Accounts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at Beginning</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Additions Charged to</w:t>
            </w:r>
          </w:p>
        </w:tc>
        <w:tc>
          <w:tcPr>
            <w:tcW w:w="240" w:type="dxa"/>
            <w:vAlign w:val="bottom"/>
          </w:tcPr>
          <w:p>
            <w:pPr>
              <w:spacing w:after="0"/>
              <w:rPr>
                <w:sz w:val="14"/>
                <w:szCs w:val="14"/>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Deductions</w:t>
            </w:r>
          </w:p>
        </w:tc>
        <w:tc>
          <w:tcPr>
            <w:tcW w:w="260" w:type="dxa"/>
            <w:vAlign w:val="bottom"/>
          </w:tcPr>
          <w:p>
            <w:pPr>
              <w:spacing w:after="0"/>
              <w:rPr>
                <w:sz w:val="14"/>
                <w:szCs w:val="14"/>
                <w:color w:val="auto"/>
              </w:rPr>
            </w:pPr>
          </w:p>
        </w:tc>
        <w:tc>
          <w:tcPr>
            <w:tcW w:w="130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Statement of</w:t>
            </w: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of Year</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Operations Accounts</w:t>
            </w: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6"/>
                <w:szCs w:val="16"/>
                <w:color w:val="auto"/>
              </w:rPr>
            </w:pPr>
          </w:p>
        </w:tc>
        <w:tc>
          <w:tcPr>
            <w:tcW w:w="1300" w:type="dxa"/>
            <w:vAlign w:val="bottom"/>
          </w:tcPr>
          <w:p>
            <w:pPr>
              <w:jc w:val="right"/>
              <w:ind w:right="297"/>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obsolescence of spare parts</w:t>
            </w: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Year ended December 31, 2023</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220" w:type="dxa"/>
            <w:vAlign w:val="bottom"/>
          </w:tcPr>
          <w:p>
            <w:pPr>
              <w:jc w:val="right"/>
              <w:ind w:right="4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Year ended December 31, 2022</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9"/>
        </w:trPr>
        <w:tc>
          <w:tcPr>
            <w:tcW w:w="4680" w:type="dxa"/>
            <w:vAlign w:val="bottom"/>
          </w:tcPr>
          <w:p>
            <w:pPr>
              <w:ind w:left="140"/>
              <w:spacing w:after="0"/>
              <w:rPr>
                <w:sz w:val="20"/>
                <w:szCs w:val="20"/>
                <w:color w:val="auto"/>
              </w:rPr>
            </w:pPr>
            <w:r>
              <w:rPr>
                <w:rFonts w:ascii="Arial" w:cs="Arial" w:eastAsia="Arial" w:hAnsi="Arial"/>
                <w:sz w:val="18"/>
                <w:szCs w:val="18"/>
                <w:color w:val="auto"/>
              </w:rPr>
              <w:t>Year ended December 31, 2021</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Transactions with Related Parties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net receivables (payables) from or to related parties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8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2080" w:type="dxa"/>
            <w:vAlign w:val="bottom"/>
            <w:tcBorders>
              <w:bottom w:val="single" w:sz="8" w:color="CCEEFF"/>
            </w:tcBorders>
          </w:tcPr>
          <w:p>
            <w:pPr>
              <w:spacing w:after="0"/>
              <w:rPr>
                <w:sz w:val="17"/>
                <w:szCs w:val="17"/>
                <w:color w:val="auto"/>
              </w:rPr>
            </w:pPr>
          </w:p>
        </w:tc>
        <w:tc>
          <w:tcPr>
            <w:tcW w:w="55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2022</w:t>
            </w:r>
          </w:p>
        </w:tc>
      </w:tr>
      <w:tr>
        <w:trPr>
          <w:trHeight w:val="224"/>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AAG</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9,144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97"/>
              </w:rPr>
              <w:t>8,692</w:t>
            </w:r>
          </w:p>
        </w:tc>
      </w:tr>
      <w:tr>
        <w:trPr>
          <w:trHeight w:val="229"/>
        </w:trPr>
        <w:tc>
          <w:tcPr>
            <w:tcW w:w="758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3"/>
                <w:szCs w:val="23"/>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(2,074)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95"/>
              <w:spacing w:after="0"/>
              <w:rPr>
                <w:sz w:val="20"/>
                <w:szCs w:val="20"/>
                <w:color w:val="auto"/>
              </w:rPr>
            </w:pPr>
            <w:r>
              <w:rPr>
                <w:rFonts w:ascii="Arial" w:cs="Arial" w:eastAsia="Arial" w:hAnsi="Arial"/>
                <w:sz w:val="18"/>
                <w:szCs w:val="18"/>
                <w:color w:val="auto"/>
              </w:rPr>
              <w:t>(2,104)</w:t>
            </w:r>
          </w:p>
        </w:tc>
      </w:tr>
      <w:tr>
        <w:trPr>
          <w:trHeight w:val="248"/>
        </w:trPr>
        <w:tc>
          <w:tcPr>
            <w:tcW w:w="75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7,070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97"/>
              </w:rPr>
              <w:t>6,588</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80" w:type="dxa"/>
            <w:vAlign w:val="bottom"/>
            <w:tcBorders>
              <w:bottom w:val="single" w:sz="8" w:color="auto"/>
            </w:tcBorders>
          </w:tcPr>
          <w:p>
            <w:pPr>
              <w:spacing w:after="0"/>
              <w:rPr>
                <w:sz w:val="12"/>
                <w:szCs w:val="12"/>
                <w:color w:val="auto"/>
              </w:rPr>
            </w:pPr>
          </w:p>
        </w:tc>
        <w:tc>
          <w:tcPr>
            <w:tcW w:w="5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r>
    </w:tbl>
    <w:p>
      <w:pPr>
        <w:spacing w:after="0" w:line="62" w:lineRule="exact"/>
        <w:rPr>
          <w:sz w:val="20"/>
          <w:szCs w:val="20"/>
          <w:color w:val="auto"/>
        </w:rPr>
      </w:pPr>
    </w:p>
    <w:p>
      <w:pPr>
        <w:ind w:left="340" w:hanging="332"/>
        <w:spacing w:after="0" w:line="231" w:lineRule="auto"/>
        <w:tabs>
          <w:tab w:leader="none" w:pos="334" w:val="left"/>
        </w:tabs>
        <w:numPr>
          <w:ilvl w:val="0"/>
          <w:numId w:val="86"/>
        </w:numPr>
        <w:rPr>
          <w:rFonts w:ascii="Arial" w:cs="Arial" w:eastAsia="Arial" w:hAnsi="Arial"/>
          <w:sz w:val="23"/>
          <w:szCs w:val="23"/>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140" w:lineRule="exact"/>
        <w:rPr>
          <w:sz w:val="20"/>
          <w:szCs w:val="20"/>
          <w:color w:val="auto"/>
        </w:rPr>
      </w:pPr>
    </w:p>
    <w:p>
      <w:pPr>
        <w:jc w:val="both"/>
        <w:ind w:right="20" w:firstLine="243"/>
        <w:spacing w:after="0" w:line="262" w:lineRule="auto"/>
        <w:rPr>
          <w:sz w:val="20"/>
          <w:szCs w:val="20"/>
          <w:color w:val="auto"/>
        </w:rPr>
      </w:pPr>
      <w:r>
        <w:rPr>
          <w:rFonts w:ascii="Arial" w:cs="Arial" w:eastAsia="Arial" w:hAnsi="Arial"/>
          <w:sz w:val="18"/>
          <w:szCs w:val="18"/>
          <w:color w:val="auto"/>
        </w:rPr>
        <w:t>Pursuant to a capacity purchase agreement between American and AAG’s wholly-owned regional airlines operating as American Eagle, American purchases all of the capacity from these carriers and recognizes passenger revenue from flights operated by American Eagle. In 2023, 2022 and 2021, American recognized expense of approximately $2.7 billion, $2.5 billion and $2.1 billion, respectively, related to wholly-owned regional airline capacity purchase agreements.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9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the company’s management, including the principal executive and principal financial officers, or persons performing similar functions, as appropriate to allow timely decisions regarding required disclosure. An evaluation of the effectiveness of AAG’s and American’s disclosure controls and procedures as of December 31, 2023 was performed under the supervision and with the participation of AAG’s and American’s management, including AAG’s and American’s principal executive officer, the Chief Executive Officer (CEO), and principal financial officer, the Chief Financial Officer (CFO). Based on that evaluation, AAG’s and American’s management, including AAG’s and American’s CEO and CFO, concluded that AAG’s and American’s disclosure controls and procedures were effective as of December 31, 2023 at the reasonable assurance level.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quarter ended December 31, 2023, there have been no changes in AAG’s or American’s internal control over financial reporting that has materially affected, or is reasonably likely to materially affect, AAG’s and American’s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December 31, 2023.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Management of AAG and American is responsible for establishing and maintaining adequate internal control over financial reporting as defined in Rules 13a-15(f) and 15d-15(f) under the Exchange Act. AAG’s and American’s internal control over financial reporting is designed to provide reasonable assurance regarding the reliability of financial reporting and the preparation of financial statements for external purposes in accordance with GAAP. AAG’s and American’s internal control over financial reporting includes policies and procedures that:</w:t>
      </w:r>
    </w:p>
    <w:p>
      <w:pPr>
        <w:spacing w:after="0" w:line="40" w:lineRule="exact"/>
        <w:rPr>
          <w:sz w:val="20"/>
          <w:szCs w:val="20"/>
          <w:color w:val="auto"/>
        </w:rPr>
      </w:pPr>
    </w:p>
    <w:p>
      <w:pPr>
        <w:ind w:left="660" w:hanging="409"/>
        <w:spacing w:after="0" w:line="286"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AAG or American, respectively;</w:t>
      </w:r>
    </w:p>
    <w:p>
      <w:pPr>
        <w:spacing w:after="0" w:line="19" w:lineRule="exact"/>
        <w:rPr>
          <w:rFonts w:ascii="Arial" w:cs="Arial" w:eastAsia="Arial" w:hAnsi="Arial"/>
          <w:sz w:val="18"/>
          <w:szCs w:val="18"/>
          <w:color w:val="auto"/>
        </w:rPr>
      </w:pPr>
    </w:p>
    <w:p>
      <w:pPr>
        <w:jc w:val="both"/>
        <w:ind w:left="660" w:hanging="409"/>
        <w:spacing w:after="0" w:line="268"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AAG or American are being made only in accordance with authorizations of management and directors of AAG or American, respectively; and</w:t>
      </w:r>
    </w:p>
    <w:p>
      <w:pPr>
        <w:spacing w:after="0" w:line="34" w:lineRule="exact"/>
        <w:rPr>
          <w:rFonts w:ascii="Arial" w:cs="Arial" w:eastAsia="Arial" w:hAnsi="Arial"/>
          <w:sz w:val="18"/>
          <w:szCs w:val="18"/>
          <w:color w:val="auto"/>
        </w:rPr>
      </w:pPr>
    </w:p>
    <w:p>
      <w:pPr>
        <w:ind w:left="660" w:right="20" w:hanging="409"/>
        <w:spacing w:after="0" w:line="286"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AAG’s or American’s assets that could have a material effect on the financial statements.</w:t>
      </w:r>
    </w:p>
    <w:p>
      <w:pPr>
        <w:spacing w:after="0" w:line="10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Management assessed the effectiveness of AAG’s and American’s internal control over financial reporting as of December 31, 2023. In making this assessment, management used the criteria set forth by the Committee of Sponsoring Organizations of the Treadway Commission in its Internal Control – Integrated Framework (2013 Framework).</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Based on our assessment and those criteria, AAG’s and American’s management concludes that AAG and American, respectively, maintained effective internal control over financial reporting as of December 31, 2023.</w:t>
      </w:r>
    </w:p>
    <w:p>
      <w:pPr>
        <w:spacing w:after="0" w:line="100" w:lineRule="exact"/>
        <w:rPr>
          <w:sz w:val="20"/>
          <w:szCs w:val="20"/>
          <w:color w:val="auto"/>
        </w:rPr>
      </w:pPr>
    </w:p>
    <w:p>
      <w:pPr>
        <w:ind w:right="20" w:firstLine="243"/>
        <w:spacing w:after="0" w:line="286" w:lineRule="auto"/>
        <w:rPr>
          <w:sz w:val="20"/>
          <w:szCs w:val="20"/>
          <w:color w:val="auto"/>
        </w:rPr>
      </w:pPr>
      <w:r>
        <w:rPr>
          <w:rFonts w:ascii="Arial" w:cs="Arial" w:eastAsia="Arial" w:hAnsi="Arial"/>
          <w:sz w:val="18"/>
          <w:szCs w:val="18"/>
          <w:color w:val="auto"/>
        </w:rPr>
        <w:t>AAG’s and American’s independent registered public accounting firm has issued an attestation report on the effectiveness of AAG’s and American’s internal control over financial reporting. That report has been included herein.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Group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American Airlines Group Inc. and subsidiaries’ (the Company) internal control over financial reporting as of December 31, 2023,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(loss), cash flows, and stockholders’ equity (deficit) for each of the years in the three-year period ended December 31, 2023, and the related notes (collectively, the consolidated financial statements), and our report dated February 21, 2024 expressed an unqualified opinion on those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9"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/s/</w:t>
        <w:tab/>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American Airlines, Inc. and subsidiaries’ (American) internal control over financial reporting as of December 31, 2023,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In our opinion, American maintained, in all material respects, effective internal control over financial reporting as of December 31, 2023,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American as of December 31, 2023 and 2022, the related consolidated statements of operations, comprehensive income (loss), cash flows, and stockholder’s equity for each of the years in the three-year period ended December 31, 2023, and the related notes (collectively, the consolidated financial statements), and our report dated February 21, 2024 expressed an unqualified opinion on those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American’s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American’s internal control over financial reporting based on our audit. We are a public accounting firm registered with the PCAOB and are required to be independent with respect to American in accordance with the U.S. federal securities laws and the applicable rules and regulations of the Securities and Exchange Commission and the PCAOB.</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9"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/s/</w:t>
        <w:tab/>
        <w:t>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Securities Trading Plans of Directors and Executive Officers</w:t>
      </w:r>
    </w:p>
    <w:p>
      <w:pPr>
        <w:spacing w:after="0" w:line="8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During the quarter ended December 31, 2023, none of our directors or executive officers adopted or terminated any contract, instruction or written plan for the purchase or sale of AAG securities that was intended to satisfy the affirmative defense conditions of Rule 10b5-1(c) or any “non-Rule 10b5-1 trading arrangement.”</w:t>
      </w:r>
    </w:p>
    <w:p>
      <w:pPr>
        <w:spacing w:after="0" w:line="197" w:lineRule="exact"/>
        <w:rPr>
          <w:sz w:val="20"/>
          <w:szCs w:val="20"/>
          <w:color w:val="auto"/>
        </w:rPr>
      </w:pPr>
    </w:p>
    <w:p>
      <w:pPr>
        <w:ind w:right="3060"/>
        <w:spacing w:after="0" w:line="380"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Except as stated below, the information required by this Item will be set forth in the Proxy Statement under the captions “Proposal 1 – Election of Directors,” “Executive Officers,” “Board Composition” and “Information About the Board of Directors and Corporate Governance” and is incorporated by reference into this Annual Report on Form 10-K.</w:t>
      </w:r>
    </w:p>
    <w:p>
      <w:pPr>
        <w:spacing w:after="0" w:line="11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AAG and American have adopted Standards of Business Conduct (the Ethics Standards) within the meaning of Item 406(b) of Regulation S-K. The Ethics Standards apply to all officers and employees of AAG and its subsidiaries, including American. The Ethics Standards are available on our website at </w:t>
      </w:r>
      <w:r>
        <w:rPr>
          <w:rFonts w:ascii="Arial" w:cs="Arial" w:eastAsia="Arial" w:hAnsi="Arial"/>
          <w:sz w:val="18"/>
          <w:szCs w:val="18"/>
          <w:i w:val="1"/>
          <w:iCs w:val="1"/>
          <w:color w:val="auto"/>
        </w:rPr>
        <w:t>www.aa.com</w:t>
      </w:r>
      <w:r>
        <w:rPr>
          <w:rFonts w:ascii="Arial" w:cs="Arial" w:eastAsia="Arial" w:hAnsi="Arial"/>
          <w:sz w:val="18"/>
          <w:szCs w:val="18"/>
          <w:color w:val="auto"/>
        </w:rPr>
        <w:t>. If we make substantive amendments to the Ethics Standards or grant any waiver, including any implicit waiver, to our principal executive officer, principal financial officer, principal accounting officer or controller, or persons performing similar functions, we will disclose the nature of such amendment or waiver on our website or in a Current Report on Form 8-K in accordance with applicable rules and regulations.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0"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color w:val="auto"/>
        </w:rPr>
        <w:t>The information required by this Item will be set forth in the Proxy Statement under the captions “Information About the Board of Directors and Corporate Governance - Risk Assessment with Respect to Compensation Practices,” “Director Compensation,” “Compensation Discussion and Analysis,” “Executive Compensation” and “Compensation Committee Report” and is incorporated by reference into this Annual Report on Form 10-K.</w:t>
      </w:r>
    </w:p>
    <w:p>
      <w:pPr>
        <w:spacing w:after="0" w:line="202" w:lineRule="exact"/>
        <w:rPr>
          <w:sz w:val="20"/>
          <w:szCs w:val="20"/>
          <w:color w:val="auto"/>
        </w:rPr>
      </w:pPr>
    </w:p>
    <w:p>
      <w:pPr>
        <w:ind w:right="660"/>
        <w:spacing w:after="0" w:line="29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information required by this Item will be set forth in the Proxy Statement under the captions “Security Ownership of Certain Beneficial Owners and Management” and “Equity Compensation Plan Information” and is incorporated by reference into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The information required by this Item will be set forth in the Proxy Statement under the captions “Certain Relationships and Related Party Transactions” and “Information About the Board of Directors and Corporate Governance” and is incorporated by reference into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8"/>
          <w:szCs w:val="18"/>
          <w:color w:val="auto"/>
        </w:rPr>
        <w:t>The information required by this Item will be set forth in the Proxy Statement under the caption “Proposal 2 – Ratification of Appointment of Independent Registered Public Accounting Firm” and is incorporated by reference into this Annual Report on Form 10-K.</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90"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The following consolidated financial statements of American Airlines Group Inc. and Independent Auditors’ Report are filed as part of this report:</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60" w:type="dxa"/>
            <w:vAlign w:val="bottom"/>
            <w:tcBorders>
              <w:bottom w:val="single" w:sz="8" w:color="435363"/>
            </w:tcBorders>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184"/>
        </w:trPr>
        <w:tc>
          <w:tcPr>
            <w:tcW w:w="10660" w:type="dxa"/>
            <w:vAlign w:val="bottom"/>
            <w:gridSpan w:val="7"/>
          </w:tcPr>
          <w:p>
            <w:pPr>
              <w:spacing w:after="0" w:line="184"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(KPMG LLP, Dallas, TX, Auditor Firm ID: 185)</w:t>
            </w:r>
          </w:p>
        </w:tc>
        <w:tc>
          <w:tcPr>
            <w:tcW w:w="560" w:type="dxa"/>
            <w:vAlign w:val="bottom"/>
            <w:gridSpan w:val="3"/>
          </w:tcPr>
          <w:p>
            <w:pPr>
              <w:jc w:val="right"/>
              <w:ind w:right="20"/>
              <w:spacing w:after="0" w:line="184" w:lineRule="exact"/>
              <w:rPr>
                <w:sz w:val="20"/>
                <w:szCs w:val="20"/>
                <w:color w:val="auto"/>
              </w:rPr>
            </w:pPr>
            <w:r>
              <w:rPr>
                <w:rFonts w:ascii="Arial" w:cs="Arial" w:eastAsia="Arial" w:hAnsi="Arial"/>
                <w:sz w:val="18"/>
                <w:szCs w:val="18"/>
                <w:color w:val="0000FF"/>
              </w:rPr>
              <w:t>80</w:t>
            </w:r>
          </w:p>
        </w:tc>
      </w:tr>
      <w:tr>
        <w:trPr>
          <w:trHeight w:val="20"/>
        </w:trPr>
        <w:tc>
          <w:tcPr>
            <w:tcW w:w="35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660" w:type="dxa"/>
            <w:vAlign w:val="bottom"/>
            <w:gridSpan w:val="7"/>
          </w:tcPr>
          <w:p>
            <w:pPr>
              <w:spacing w:after="0"/>
              <w:rPr>
                <w:sz w:val="20"/>
                <w:szCs w:val="20"/>
                <w:color w:val="auto"/>
              </w:rPr>
            </w:pPr>
            <w:r>
              <w:rPr>
                <w:rFonts w:ascii="Arial" w:cs="Arial" w:eastAsia="Arial" w:hAnsi="Arial"/>
                <w:sz w:val="18"/>
                <w:szCs w:val="18"/>
                <w:color w:val="0000FF"/>
              </w:rPr>
              <w:t>Consolidated Statements of Operations for the Years Ended December 31, 2023, 2022 and 2021</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0000FF"/>
              </w:rPr>
              <w:t>82</w:t>
            </w:r>
          </w:p>
        </w:tc>
      </w:tr>
      <w:tr>
        <w:trPr>
          <w:trHeight w:val="20"/>
        </w:trPr>
        <w:tc>
          <w:tcPr>
            <w:tcW w:w="35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660" w:type="dxa"/>
            <w:vAlign w:val="bottom"/>
            <w:gridSpan w:val="7"/>
          </w:tcPr>
          <w:p>
            <w:pPr>
              <w:spacing w:after="0"/>
              <w:rPr>
                <w:sz w:val="20"/>
                <w:szCs w:val="20"/>
                <w:color w:val="auto"/>
              </w:rPr>
            </w:pPr>
            <w:r>
              <w:rPr>
                <w:rFonts w:ascii="Arial" w:cs="Arial" w:eastAsia="Arial" w:hAnsi="Arial"/>
                <w:sz w:val="18"/>
                <w:szCs w:val="18"/>
                <w:color w:val="0000FF"/>
              </w:rPr>
              <w:t>Consolidated Statements of Comprehensive Income (Loss) for the Years Ended December 31, 2023, 2022 and 2021</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0000FF"/>
              </w:rPr>
              <w:t>83</w:t>
            </w:r>
          </w:p>
        </w:tc>
      </w:tr>
      <w:tr>
        <w:trPr>
          <w:trHeight w:val="20"/>
        </w:trPr>
        <w:tc>
          <w:tcPr>
            <w:tcW w:w="35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000" w:type="dxa"/>
            <w:vAlign w:val="bottom"/>
            <w:gridSpan w:val="3"/>
          </w:tcPr>
          <w:p>
            <w:pPr>
              <w:spacing w:after="0"/>
              <w:rPr>
                <w:sz w:val="20"/>
                <w:szCs w:val="20"/>
                <w:color w:val="auto"/>
              </w:rPr>
            </w:pPr>
            <w:r>
              <w:rPr>
                <w:rFonts w:ascii="Arial" w:cs="Arial" w:eastAsia="Arial" w:hAnsi="Arial"/>
                <w:sz w:val="18"/>
                <w:szCs w:val="18"/>
                <w:color w:val="0000FF"/>
                <w:w w:val="99"/>
              </w:rPr>
              <w:t>Consolidated Balance Sheets at December 31, 2023 and 2022</w:t>
            </w:r>
          </w:p>
        </w:tc>
        <w:tc>
          <w:tcPr>
            <w:tcW w:w="4260" w:type="dxa"/>
            <w:vAlign w:val="bottom"/>
            <w:gridSpan w:val="3"/>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84</w:t>
            </w:r>
          </w:p>
        </w:tc>
      </w:tr>
      <w:tr>
        <w:trPr>
          <w:trHeight w:val="20"/>
        </w:trPr>
        <w:tc>
          <w:tcPr>
            <w:tcW w:w="35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660" w:type="dxa"/>
            <w:vAlign w:val="bottom"/>
            <w:gridSpan w:val="7"/>
          </w:tcPr>
          <w:p>
            <w:pPr>
              <w:spacing w:after="0"/>
              <w:rPr>
                <w:sz w:val="20"/>
                <w:szCs w:val="20"/>
                <w:color w:val="auto"/>
              </w:rPr>
            </w:pPr>
            <w:r>
              <w:rPr>
                <w:rFonts w:ascii="Arial" w:cs="Arial" w:eastAsia="Arial" w:hAnsi="Arial"/>
                <w:sz w:val="18"/>
                <w:szCs w:val="18"/>
                <w:color w:val="0000FF"/>
              </w:rPr>
              <w:t>Consolidated Statements of Cash Flows for the Years Ended December 31, 2023, 2022 and 2021</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0000FF"/>
              </w:rPr>
              <w:t>85</w:t>
            </w:r>
          </w:p>
        </w:tc>
      </w:tr>
      <w:tr>
        <w:trPr>
          <w:trHeight w:val="20"/>
        </w:trPr>
        <w:tc>
          <w:tcPr>
            <w:tcW w:w="35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120" w:type="dxa"/>
            <w:vAlign w:val="bottom"/>
            <w:gridSpan w:val="5"/>
          </w:tcPr>
          <w:p>
            <w:pPr>
              <w:spacing w:after="0"/>
              <w:rPr>
                <w:sz w:val="20"/>
                <w:szCs w:val="20"/>
                <w:color w:val="auto"/>
              </w:rPr>
            </w:pPr>
            <w:r>
              <w:rPr>
                <w:rFonts w:ascii="Arial" w:cs="Arial" w:eastAsia="Arial" w:hAnsi="Arial"/>
                <w:sz w:val="18"/>
                <w:szCs w:val="18"/>
                <w:color w:val="0000FF"/>
                <w:w w:val="99"/>
              </w:rPr>
              <w:t>Consolidated Statements of Stockholders’ Equity (Deficit) for the Years Ended December 31, 2023, 2022 and 2021</w:t>
            </w:r>
          </w:p>
        </w:tc>
        <w:tc>
          <w:tcPr>
            <w:tcW w:w="15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86</w:t>
            </w:r>
          </w:p>
        </w:tc>
      </w:tr>
      <w:tr>
        <w:trPr>
          <w:trHeight w:val="20"/>
        </w:trPr>
        <w:tc>
          <w:tcPr>
            <w:tcW w:w="3500" w:type="dxa"/>
            <w:vAlign w:val="bottom"/>
            <w:shd w:val="clear" w:color="auto" w:fill="0000FF"/>
          </w:tcPr>
          <w:p>
            <w:pPr>
              <w:spacing w:after="0" w:line="20" w:lineRule="exact"/>
              <w:rPr>
                <w:sz w:val="1"/>
                <w:szCs w:val="1"/>
                <w:color w:val="auto"/>
              </w:rPr>
            </w:pPr>
          </w:p>
        </w:tc>
        <w:tc>
          <w:tcPr>
            <w:tcW w:w="5620" w:type="dxa"/>
            <w:vAlign w:val="bottom"/>
            <w:gridSpan w:val="4"/>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120" w:type="dxa"/>
            <w:vAlign w:val="bottom"/>
            <w:gridSpan w:val="5"/>
          </w:tcPr>
          <w:p>
            <w:pPr>
              <w:spacing w:after="0"/>
              <w:rPr>
                <w:sz w:val="20"/>
                <w:szCs w:val="20"/>
                <w:color w:val="auto"/>
              </w:rPr>
            </w:pPr>
            <w:r>
              <w:rPr>
                <w:rFonts w:ascii="Arial" w:cs="Arial" w:eastAsia="Arial" w:hAnsi="Arial"/>
                <w:sz w:val="18"/>
                <w:szCs w:val="18"/>
                <w:color w:val="0000FF"/>
              </w:rPr>
              <w:t>Notes to Consolidated Financial Statements</w:t>
            </w:r>
          </w:p>
        </w:tc>
        <w:tc>
          <w:tcPr>
            <w:tcW w:w="15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87</w:t>
            </w:r>
          </w:p>
        </w:tc>
      </w:tr>
      <w:tr>
        <w:trPr>
          <w:trHeight w:val="20"/>
        </w:trPr>
        <w:tc>
          <w:tcPr>
            <w:tcW w:w="35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consolidated financial statements of American Airlines, Inc. and Independent Auditors’ Report are filed as part of this report:</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60" w:type="dxa"/>
            <w:vAlign w:val="bottom"/>
            <w:tcBorders>
              <w:bottom w:val="single" w:sz="8" w:color="435363"/>
            </w:tcBorders>
            <w:gridSpan w:val="3"/>
          </w:tcPr>
          <w:p>
            <w:pPr>
              <w:ind w:left="100"/>
              <w:spacing w:after="0"/>
              <w:rPr>
                <w:sz w:val="20"/>
                <w:szCs w:val="20"/>
                <w:color w:val="auto"/>
              </w:rPr>
            </w:pPr>
            <w:r>
              <w:rPr>
                <w:rFonts w:ascii="Arial" w:cs="Arial" w:eastAsia="Arial" w:hAnsi="Arial"/>
                <w:sz w:val="14"/>
                <w:szCs w:val="14"/>
                <w:b w:val="1"/>
                <w:bCs w:val="1"/>
                <w:color w:val="auto"/>
              </w:rPr>
              <w:t>Page</w:t>
            </w:r>
          </w:p>
        </w:tc>
      </w:tr>
      <w:tr>
        <w:trPr>
          <w:trHeight w:val="184"/>
        </w:trPr>
        <w:tc>
          <w:tcPr>
            <w:tcW w:w="10660" w:type="dxa"/>
            <w:vAlign w:val="bottom"/>
            <w:gridSpan w:val="8"/>
          </w:tcPr>
          <w:p>
            <w:pPr>
              <w:spacing w:after="0" w:line="184"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(KPMG LLP, Dallas, TX, Auditor Firm ID: 185)</w:t>
            </w:r>
          </w:p>
        </w:tc>
        <w:tc>
          <w:tcPr>
            <w:tcW w:w="540" w:type="dxa"/>
            <w:vAlign w:val="bottom"/>
            <w:gridSpan w:val="2"/>
          </w:tcPr>
          <w:p>
            <w:pPr>
              <w:jc w:val="right"/>
              <w:spacing w:after="0" w:line="184" w:lineRule="exact"/>
              <w:rPr>
                <w:sz w:val="20"/>
                <w:szCs w:val="20"/>
                <w:color w:val="auto"/>
              </w:rPr>
            </w:pPr>
            <w:r>
              <w:rPr>
                <w:rFonts w:ascii="Arial" w:cs="Arial" w:eastAsia="Arial" w:hAnsi="Arial"/>
                <w:sz w:val="18"/>
                <w:szCs w:val="18"/>
                <w:color w:val="0000FF"/>
              </w:rPr>
              <w:t>126</w:t>
            </w:r>
          </w:p>
        </w:tc>
        <w:tc>
          <w:tcPr>
            <w:tcW w:w="20" w:type="dxa"/>
            <w:vAlign w:val="bottom"/>
          </w:tcPr>
          <w:p>
            <w:pPr>
              <w:spacing w:after="0"/>
              <w:rPr>
                <w:sz w:val="16"/>
                <w:szCs w:val="16"/>
                <w:color w:val="auto"/>
              </w:rPr>
            </w:pPr>
          </w:p>
        </w:tc>
      </w:tr>
      <w:tr>
        <w:trPr>
          <w:trHeight w:val="20"/>
        </w:trPr>
        <w:tc>
          <w:tcPr>
            <w:tcW w:w="35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66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 for the Years Ended December 31, 2023, 2022 and 2021</w:t>
            </w:r>
          </w:p>
        </w:tc>
        <w:tc>
          <w:tcPr>
            <w:tcW w:w="540" w:type="dxa"/>
            <w:vAlign w:val="bottom"/>
            <w:gridSpan w:val="2"/>
          </w:tcPr>
          <w:p>
            <w:pPr>
              <w:jc w:val="right"/>
              <w:spacing w:after="0"/>
              <w:rPr>
                <w:sz w:val="20"/>
                <w:szCs w:val="20"/>
                <w:color w:val="auto"/>
              </w:rPr>
            </w:pPr>
            <w:r>
              <w:rPr>
                <w:rFonts w:ascii="Arial" w:cs="Arial" w:eastAsia="Arial" w:hAnsi="Arial"/>
                <w:sz w:val="18"/>
                <w:szCs w:val="18"/>
                <w:color w:val="0000FF"/>
              </w:rPr>
              <w:t>128</w:t>
            </w:r>
          </w:p>
        </w:tc>
        <w:tc>
          <w:tcPr>
            <w:tcW w:w="20" w:type="dxa"/>
            <w:vAlign w:val="bottom"/>
          </w:tcPr>
          <w:p>
            <w:pPr>
              <w:spacing w:after="0"/>
              <w:rPr>
                <w:sz w:val="18"/>
                <w:szCs w:val="18"/>
                <w:color w:val="auto"/>
              </w:rPr>
            </w:pPr>
          </w:p>
        </w:tc>
      </w:tr>
      <w:tr>
        <w:trPr>
          <w:trHeight w:val="20"/>
        </w:trPr>
        <w:tc>
          <w:tcPr>
            <w:tcW w:w="350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660" w:type="dxa"/>
            <w:vAlign w:val="bottom"/>
            <w:gridSpan w:val="8"/>
          </w:tcPr>
          <w:p>
            <w:pPr>
              <w:spacing w:after="0"/>
              <w:rPr>
                <w:sz w:val="20"/>
                <w:szCs w:val="20"/>
                <w:color w:val="auto"/>
              </w:rPr>
            </w:pPr>
            <w:r>
              <w:rPr>
                <w:rFonts w:ascii="Arial" w:cs="Arial" w:eastAsia="Arial" w:hAnsi="Arial"/>
                <w:sz w:val="18"/>
                <w:szCs w:val="18"/>
                <w:color w:val="0000FF"/>
              </w:rPr>
              <w:t>Consolidated Statements of Comprehensive Income (Loss) for the Years Ended December 31, 2023, 2022 and 2021</w:t>
            </w:r>
          </w:p>
        </w:tc>
        <w:tc>
          <w:tcPr>
            <w:tcW w:w="540" w:type="dxa"/>
            <w:vAlign w:val="bottom"/>
            <w:gridSpan w:val="2"/>
          </w:tcPr>
          <w:p>
            <w:pPr>
              <w:jc w:val="right"/>
              <w:spacing w:after="0"/>
              <w:rPr>
                <w:sz w:val="20"/>
                <w:szCs w:val="20"/>
                <w:color w:val="auto"/>
              </w:rPr>
            </w:pPr>
            <w:r>
              <w:rPr>
                <w:rFonts w:ascii="Arial" w:cs="Arial" w:eastAsia="Arial" w:hAnsi="Arial"/>
                <w:sz w:val="18"/>
                <w:szCs w:val="18"/>
                <w:color w:val="0000FF"/>
              </w:rPr>
              <w:t>129</w:t>
            </w:r>
          </w:p>
        </w:tc>
        <w:tc>
          <w:tcPr>
            <w:tcW w:w="20" w:type="dxa"/>
            <w:vAlign w:val="bottom"/>
          </w:tcPr>
          <w:p>
            <w:pPr>
              <w:spacing w:after="0"/>
              <w:rPr>
                <w:sz w:val="18"/>
                <w:szCs w:val="18"/>
                <w:color w:val="auto"/>
              </w:rPr>
            </w:pPr>
          </w:p>
        </w:tc>
      </w:tr>
      <w:tr>
        <w:trPr>
          <w:trHeight w:val="209"/>
        </w:trPr>
        <w:tc>
          <w:tcPr>
            <w:tcW w:w="50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9"/>
              </w:rPr>
              <w:t>Consolidated Balance Sheets at December 31, 2023 and 2022</w:t>
            </w:r>
          </w:p>
        </w:tc>
        <w:tc>
          <w:tcPr>
            <w:tcW w:w="4260" w:type="dxa"/>
            <w:vAlign w:val="bottom"/>
            <w:tcBorders>
              <w:top w:val="single" w:sz="8" w:color="0000FF"/>
            </w:tcBorders>
            <w:gridSpan w:val="4"/>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93"/>
              </w:rPr>
              <w:t>130</w:t>
            </w:r>
          </w:p>
        </w:tc>
        <w:tc>
          <w:tcPr>
            <w:tcW w:w="20" w:type="dxa"/>
            <w:vAlign w:val="bottom"/>
          </w:tcPr>
          <w:p>
            <w:pPr>
              <w:spacing w:after="0"/>
              <w:rPr>
                <w:sz w:val="18"/>
                <w:szCs w:val="18"/>
                <w:color w:val="auto"/>
              </w:rPr>
            </w:pPr>
          </w:p>
        </w:tc>
      </w:tr>
      <w:tr>
        <w:trPr>
          <w:trHeight w:val="209"/>
        </w:trPr>
        <w:tc>
          <w:tcPr>
            <w:tcW w:w="10660" w:type="dxa"/>
            <w:vAlign w:val="bottom"/>
            <w:gridSpan w:val="8"/>
          </w:tcPr>
          <w:p>
            <w:pPr>
              <w:spacing w:after="0"/>
              <w:rPr>
                <w:sz w:val="20"/>
                <w:szCs w:val="20"/>
                <w:color w:val="auto"/>
              </w:rPr>
            </w:pPr>
            <w:r>
              <w:rPr>
                <w:rFonts w:ascii="Arial" w:cs="Arial" w:eastAsia="Arial" w:hAnsi="Arial"/>
                <w:sz w:val="18"/>
                <w:szCs w:val="18"/>
                <w:color w:val="0000FF"/>
              </w:rPr>
              <w:t>Consolidated Statements of Cash Flows for the Years Ended December 31, 2023, 2022 and 2021</w:t>
            </w:r>
          </w:p>
        </w:tc>
        <w:tc>
          <w:tcPr>
            <w:tcW w:w="540" w:type="dxa"/>
            <w:vAlign w:val="bottom"/>
            <w:gridSpan w:val="2"/>
          </w:tcPr>
          <w:p>
            <w:pPr>
              <w:jc w:val="right"/>
              <w:spacing w:after="0"/>
              <w:rPr>
                <w:sz w:val="20"/>
                <w:szCs w:val="20"/>
                <w:color w:val="auto"/>
              </w:rPr>
            </w:pPr>
            <w:r>
              <w:rPr>
                <w:rFonts w:ascii="Arial" w:cs="Arial" w:eastAsia="Arial" w:hAnsi="Arial"/>
                <w:sz w:val="18"/>
                <w:szCs w:val="18"/>
                <w:color w:val="0000FF"/>
              </w:rPr>
              <w:t>131</w:t>
            </w:r>
          </w:p>
        </w:tc>
        <w:tc>
          <w:tcPr>
            <w:tcW w:w="20" w:type="dxa"/>
            <w:vAlign w:val="bottom"/>
          </w:tcPr>
          <w:p>
            <w:pPr>
              <w:spacing w:after="0"/>
              <w:rPr>
                <w:sz w:val="18"/>
                <w:szCs w:val="18"/>
                <w:color w:val="auto"/>
              </w:rPr>
            </w:pPr>
          </w:p>
        </w:tc>
      </w:tr>
      <w:tr>
        <w:trPr>
          <w:trHeight w:val="20"/>
        </w:trPr>
        <w:tc>
          <w:tcPr>
            <w:tcW w:w="3500" w:type="dxa"/>
            <w:vAlign w:val="bottom"/>
            <w:shd w:val="clear" w:color="auto" w:fill="0000FF"/>
          </w:tcPr>
          <w:p>
            <w:pPr>
              <w:spacing w:after="0" w:line="20" w:lineRule="exact"/>
              <w:rPr>
                <w:sz w:val="1"/>
                <w:szCs w:val="1"/>
                <w:color w:val="auto"/>
              </w:rPr>
            </w:pPr>
          </w:p>
        </w:tc>
        <w:tc>
          <w:tcPr>
            <w:tcW w:w="4260" w:type="dxa"/>
            <w:vAlign w:val="bottom"/>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4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Consolidated Statements of Stockholder’s Equity for the Years Ended December 31, 2023, 2022 and 2021</w:t>
            </w:r>
          </w:p>
        </w:tc>
        <w:tc>
          <w:tcPr>
            <w:tcW w:w="2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93"/>
              </w:rPr>
              <w:t>132</w:t>
            </w:r>
          </w:p>
        </w:tc>
        <w:tc>
          <w:tcPr>
            <w:tcW w:w="20" w:type="dxa"/>
            <w:vAlign w:val="bottom"/>
          </w:tcPr>
          <w:p>
            <w:pPr>
              <w:spacing w:after="0"/>
              <w:rPr>
                <w:sz w:val="18"/>
                <w:szCs w:val="18"/>
                <w:color w:val="auto"/>
              </w:rPr>
            </w:pPr>
          </w:p>
        </w:tc>
      </w:tr>
      <w:tr>
        <w:trPr>
          <w:trHeight w:val="209"/>
        </w:trPr>
        <w:tc>
          <w:tcPr>
            <w:tcW w:w="1066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540" w:type="dxa"/>
            <w:vAlign w:val="bottom"/>
            <w:gridSpan w:val="2"/>
          </w:tcPr>
          <w:p>
            <w:pPr>
              <w:jc w:val="right"/>
              <w:spacing w:after="0"/>
              <w:rPr>
                <w:sz w:val="20"/>
                <w:szCs w:val="20"/>
                <w:color w:val="auto"/>
              </w:rPr>
            </w:pPr>
            <w:r>
              <w:rPr>
                <w:rFonts w:ascii="Arial" w:cs="Arial" w:eastAsia="Arial" w:hAnsi="Arial"/>
                <w:sz w:val="18"/>
                <w:szCs w:val="18"/>
                <w:color w:val="0000FF"/>
              </w:rPr>
              <w:t>133</w:t>
            </w:r>
          </w:p>
        </w:tc>
        <w:tc>
          <w:tcPr>
            <w:tcW w:w="20" w:type="dxa"/>
            <w:vAlign w:val="bottom"/>
          </w:tcPr>
          <w:p>
            <w:pPr>
              <w:spacing w:after="0"/>
              <w:rPr>
                <w:sz w:val="18"/>
                <w:szCs w:val="18"/>
                <w:color w:val="auto"/>
              </w:rPr>
            </w:pPr>
          </w:p>
        </w:tc>
      </w:tr>
      <w:tr>
        <w:trPr>
          <w:trHeight w:val="20"/>
        </w:trPr>
        <w:tc>
          <w:tcPr>
            <w:tcW w:w="35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Schedules not included have been omitted because they are not applicable or because the required information is included in the Consolidated Financial Statements or notes thereto.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90"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of our assets, pursuant to paragraph (b)(4) of Item 601 of Regulation S-K, in lieu of filing such as an exhibit, we hereby agree to furnish to the Commission upon request a copy of any agreement with respect to such long-term debt.</w:t>
      </w: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4" w:lineRule="exact"/>
        <w:rPr>
          <w:sz w:val="20"/>
          <w:szCs w:val="20"/>
          <w:color w:val="auto"/>
        </w:rPr>
      </w:pPr>
    </w:p>
    <w:p>
      <w:pPr>
        <w:ind w:left="20"/>
        <w:spacing w:after="0"/>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250">
        <w:r>
          <w:rPr>
            <w:rFonts w:ascii="Arial" w:cs="Arial" w:eastAsia="Arial" w:hAnsi="Arial"/>
            <w:sz w:val="18"/>
            <w:szCs w:val="18"/>
            <w:u w:val="single" w:color="auto"/>
            <w:color w:val="0000FF"/>
          </w:rPr>
          <w:t>Confirmation Order and Plan (incorporated by reference to Exhibit 2.1 to AMR’s Current Report on Form 8-K filed on October 23,</w:t>
        </w:r>
      </w:hyperlink>
    </w:p>
    <w:p>
      <w:pPr>
        <w:ind w:left="920"/>
        <w:spacing w:after="0"/>
        <w:rPr>
          <w:rFonts w:ascii="Arial" w:cs="Arial" w:eastAsia="Arial" w:hAnsi="Arial"/>
          <w:sz w:val="18"/>
          <w:szCs w:val="18"/>
          <w:u w:val="single" w:color="auto"/>
          <w:color w:val="0000FF"/>
        </w:rPr>
      </w:pPr>
      <w:hyperlink r:id="rId250">
        <w:r>
          <w:rPr>
            <w:rFonts w:ascii="Arial" w:cs="Arial" w:eastAsia="Arial" w:hAnsi="Arial"/>
            <w:sz w:val="18"/>
            <w:szCs w:val="18"/>
            <w:u w:val="single" w:color="auto"/>
            <w:color w:val="0000FF"/>
          </w:rPr>
          <w:t>2013 (Commission File No. 1-8400)).</w:t>
        </w:r>
      </w:hyperlink>
    </w:p>
    <w:p>
      <w:pPr>
        <w:spacing w:after="0" w:line="18" w:lineRule="exact"/>
        <w:rPr>
          <w:sz w:val="20"/>
          <w:szCs w:val="20"/>
          <w:color w:val="auto"/>
        </w:rPr>
      </w:pPr>
    </w:p>
    <w:p>
      <w:pPr>
        <w:jc w:val="both"/>
        <w:ind w:left="920" w:right="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2.2</w:t>
      </w:r>
      <w:r>
        <w:rPr>
          <w:sz w:val="20"/>
          <w:szCs w:val="20"/>
          <w:color w:val="auto"/>
        </w:rPr>
        <w:tab/>
      </w:r>
      <w:hyperlink r:id="rId251">
        <w:r>
          <w:rPr>
            <w:rFonts w:ascii="Arial" w:cs="Arial" w:eastAsia="Arial" w:hAnsi="Arial"/>
            <w:sz w:val="18"/>
            <w:szCs w:val="18"/>
            <w:u w:val="single" w:color="auto"/>
            <w:color w:val="0000FF"/>
          </w:rPr>
          <w:t>Agreement and Plan of Merger, dated as of December 28, 2015, between American Airlines, Inc. and US Airways, Inc.</w:t>
        </w:r>
      </w:hyperlink>
      <w:r>
        <w:rPr>
          <w:rFonts w:ascii="Arial" w:cs="Arial" w:eastAsia="Arial" w:hAnsi="Arial"/>
          <w:sz w:val="18"/>
          <w:szCs w:val="18"/>
          <w:u w:val="single" w:color="auto"/>
          <w:color w:val="0000FF"/>
        </w:rPr>
        <w:t xml:space="preserve"> </w:t>
      </w:r>
      <w:hyperlink r:id="rId251">
        <w:r>
          <w:rPr>
            <w:rFonts w:ascii="Arial" w:cs="Arial" w:eastAsia="Arial" w:hAnsi="Arial"/>
            <w:sz w:val="18"/>
            <w:szCs w:val="18"/>
            <w:u w:val="single" w:color="auto"/>
            <w:color w:val="0000FF"/>
          </w:rPr>
          <w:t>(incorporated by reference to Exhibit 2.1 to AAG’s Current Report on Form 8-K filed on December 31, 2015 (Commission File</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251">
        <w:r>
          <w:rPr>
            <w:rFonts w:ascii="Arial" w:cs="Arial" w:eastAsia="Arial" w:hAnsi="Arial"/>
            <w:sz w:val="18"/>
            <w:szCs w:val="18"/>
            <w:u w:val="single" w:color="auto"/>
            <w:color w:val="0000FF"/>
          </w:rPr>
          <w:t>No. 1-8400)).</w:t>
        </w:r>
      </w:hyperlink>
    </w:p>
    <w:p>
      <w:pPr>
        <w:spacing w:after="0" w:line="14" w:lineRule="exact"/>
        <w:rPr>
          <w:sz w:val="20"/>
          <w:szCs w:val="20"/>
          <w:color w:val="auto"/>
        </w:rPr>
      </w:pPr>
    </w:p>
    <w:p>
      <w:pPr>
        <w:jc w:val="both"/>
        <w:ind w:left="920" w:right="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252">
        <w:r>
          <w:rPr>
            <w:rFonts w:ascii="Arial" w:cs="Arial" w:eastAsia="Arial" w:hAnsi="Arial"/>
            <w:sz w:val="18"/>
            <w:szCs w:val="18"/>
            <w:u w:val="single" w:color="auto"/>
            <w:color w:val="0000FF"/>
          </w:rPr>
          <w:t>Restated Certificate of Incorporation of American Airlines Group Inc., including the Certificate of Designations, Powers,</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Preferences and Rights of the American Airlines Group Inc. Series A Convertible Preferred Stock attached as Annex I thereto</w:t>
        </w:r>
      </w:hyperlink>
    </w:p>
    <w:p>
      <w:pPr>
        <w:ind w:left="920" w:right="40"/>
        <w:spacing w:after="0" w:line="229" w:lineRule="auto"/>
        <w:rPr>
          <w:rFonts w:ascii="Arial" w:cs="Arial" w:eastAsia="Arial" w:hAnsi="Arial"/>
          <w:sz w:val="18"/>
          <w:szCs w:val="18"/>
          <w:u w:val="single" w:color="auto"/>
          <w:color w:val="0000FF"/>
        </w:rPr>
      </w:pPr>
      <w:hyperlink r:id="rId252">
        <w:r>
          <w:rPr>
            <w:rFonts w:ascii="Arial" w:cs="Arial" w:eastAsia="Arial" w:hAnsi="Arial"/>
            <w:sz w:val="18"/>
            <w:szCs w:val="18"/>
            <w:u w:val="single" w:color="auto"/>
            <w:color w:val="0000FF"/>
          </w:rPr>
          <w:t>(incorporated by reference to Exhibit 3.1 to AAG’s Current Report on Form 8-K filed on December 9, 2013 (Commission File</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No. 1-8400)).</w:t>
        </w:r>
      </w:hyperlink>
    </w:p>
    <w:p>
      <w:pPr>
        <w:spacing w:after="0" w:line="1" w:lineRule="exact"/>
        <w:rPr>
          <w:sz w:val="20"/>
          <w:szCs w:val="20"/>
          <w:color w:val="auto"/>
        </w:rPr>
      </w:pPr>
    </w:p>
    <w:p>
      <w:pPr>
        <w:jc w:val="both"/>
        <w:ind w:left="920" w:right="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253">
        <w:r>
          <w:rPr>
            <w:rFonts w:ascii="Arial" w:cs="Arial" w:eastAsia="Arial" w:hAnsi="Arial"/>
            <w:sz w:val="18"/>
            <w:szCs w:val="18"/>
            <w:u w:val="single" w:color="auto"/>
            <w:color w:val="0000FF"/>
          </w:rPr>
          <w:t>Certificate of Amendment of Restated Certificate of Incorporation of American Airlines Group Inc. (incorporated by reference to</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Exhibit 3.1 to AAG’s Current Report on Form 8-K filed on June 13, 2018 (Commission File No. 1-8400)).</w:t>
        </w:r>
      </w:hyperlink>
    </w:p>
    <w:p>
      <w:pPr>
        <w:spacing w:after="0" w:line="5" w:lineRule="exact"/>
        <w:rPr>
          <w:sz w:val="20"/>
          <w:szCs w:val="20"/>
          <w:color w:val="auto"/>
        </w:rPr>
      </w:pPr>
    </w:p>
    <w:p>
      <w:pPr>
        <w:jc w:val="both"/>
        <w:ind w:left="920" w:right="4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hyperlink r:id="rId254">
        <w:r>
          <w:rPr>
            <w:rFonts w:ascii="Arial" w:cs="Arial" w:eastAsia="Arial" w:hAnsi="Arial"/>
            <w:sz w:val="18"/>
            <w:szCs w:val="18"/>
            <w:u w:val="single" w:color="auto"/>
            <w:color w:val="0000FF"/>
          </w:rPr>
          <w:t>Third Amended and Restated Bylaws of American Airlines Group Inc. (incorporated by reference to Exhibit 3.3 to AAG’s Annual</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Report on Form 10-K for the year ended December 31, 2022 (Commission File No. 1-8400)).</w:t>
        </w:r>
      </w:hyperlink>
    </w:p>
    <w:p>
      <w:pPr>
        <w:spacing w:after="0" w:line="6" w:lineRule="exact"/>
        <w:rPr>
          <w:sz w:val="20"/>
          <w:szCs w:val="20"/>
          <w:color w:val="auto"/>
        </w:rPr>
      </w:pPr>
    </w:p>
    <w:p>
      <w:pPr>
        <w:jc w:val="both"/>
        <w:ind w:left="920" w:right="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255">
        <w:r>
          <w:rPr>
            <w:rFonts w:ascii="Arial" w:cs="Arial" w:eastAsia="Arial" w:hAnsi="Arial"/>
            <w:sz w:val="18"/>
            <w:szCs w:val="18"/>
            <w:u w:val="single" w:color="auto"/>
            <w:color w:val="0000FF"/>
          </w:rPr>
          <w:t>Amendment to the Third Amended and Restated Bylaws of American Airlines Group Inc. (incorporated by reference to Exhibit 3.1</w:t>
        </w:r>
      </w:hyperlink>
      <w:r>
        <w:rPr>
          <w:rFonts w:ascii="Arial" w:cs="Arial" w:eastAsia="Arial" w:hAnsi="Arial"/>
          <w:sz w:val="18"/>
          <w:szCs w:val="18"/>
          <w:u w:val="single" w:color="auto"/>
          <w:color w:val="0000FF"/>
        </w:rPr>
        <w:t xml:space="preserve"> </w:t>
      </w:r>
      <w:hyperlink r:id="rId255">
        <w:r>
          <w:rPr>
            <w:rFonts w:ascii="Arial" w:cs="Arial" w:eastAsia="Arial" w:hAnsi="Arial"/>
            <w:sz w:val="18"/>
            <w:szCs w:val="18"/>
            <w:u w:val="single" w:color="auto"/>
            <w:color w:val="0000FF"/>
          </w:rPr>
          <w:t>to AAG’s Current Report on Form 8-K filed on February 3, 2023 (Commission File No. 1-8400)).</w:t>
        </w:r>
      </w:hyperlink>
    </w:p>
    <w:p>
      <w:pPr>
        <w:spacing w:after="0" w:line="6" w:lineRule="exact"/>
        <w:rPr>
          <w:sz w:val="20"/>
          <w:szCs w:val="20"/>
          <w:color w:val="auto"/>
        </w:rPr>
      </w:pPr>
    </w:p>
    <w:p>
      <w:pPr>
        <w:jc w:val="both"/>
        <w:ind w:left="920" w:right="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3.5</w:t>
      </w:r>
      <w:r>
        <w:rPr>
          <w:sz w:val="20"/>
          <w:szCs w:val="20"/>
          <w:color w:val="auto"/>
        </w:rPr>
        <w:tab/>
      </w:r>
      <w:hyperlink r:id="rId256">
        <w:r>
          <w:rPr>
            <w:rFonts w:ascii="Arial" w:cs="Arial" w:eastAsia="Arial" w:hAnsi="Arial"/>
            <w:sz w:val="18"/>
            <w:szCs w:val="18"/>
            <w:u w:val="single" w:color="auto"/>
            <w:color w:val="0000FF"/>
          </w:rPr>
          <w:t>Amended and Restated Certificate of Incorporation of American Airlines, Inc. (incorporated by reference to Exhibit 3.3 to AAG’s</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Annual Report on Form 10-K for the year ended December 31, 2013 (Commission File No. 1-8400)).</w:t>
        </w:r>
      </w:hyperlink>
    </w:p>
    <w:p>
      <w:pPr>
        <w:spacing w:after="0" w:line="6" w:lineRule="exact"/>
        <w:rPr>
          <w:sz w:val="20"/>
          <w:szCs w:val="20"/>
          <w:color w:val="auto"/>
        </w:rPr>
      </w:pPr>
    </w:p>
    <w:p>
      <w:pPr>
        <w:jc w:val="both"/>
        <w:ind w:left="920" w:right="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3.6</w:t>
      </w:r>
      <w:r>
        <w:rPr>
          <w:sz w:val="20"/>
          <w:szCs w:val="20"/>
          <w:color w:val="auto"/>
        </w:rPr>
        <w:tab/>
      </w:r>
      <w:hyperlink r:id="rId257">
        <w:r>
          <w:rPr>
            <w:rFonts w:ascii="Arial" w:cs="Arial" w:eastAsia="Arial" w:hAnsi="Arial"/>
            <w:sz w:val="18"/>
            <w:szCs w:val="18"/>
            <w:u w:val="single" w:color="auto"/>
            <w:color w:val="0000FF"/>
          </w:rPr>
          <w:t>Amended and Restated Bylaws of American Airlines, Inc. (incorporated by reference to Exhibit 3.4 to AAG’s Annual Report on</w:t>
        </w:r>
      </w:hyperlink>
      <w:r>
        <w:rPr>
          <w:rFonts w:ascii="Arial" w:cs="Arial" w:eastAsia="Arial" w:hAnsi="Arial"/>
          <w:sz w:val="18"/>
          <w:szCs w:val="18"/>
          <w:u w:val="single" w:color="auto"/>
          <w:color w:val="0000FF"/>
        </w:rPr>
        <w:t xml:space="preserve"> </w:t>
      </w:r>
      <w:hyperlink r:id="rId257">
        <w:r>
          <w:rPr>
            <w:rFonts w:ascii="Arial" w:cs="Arial" w:eastAsia="Arial" w:hAnsi="Arial"/>
            <w:sz w:val="18"/>
            <w:szCs w:val="18"/>
            <w:u w:val="single" w:color="auto"/>
            <w:color w:val="0000FF"/>
          </w:rPr>
          <w:t>Form 10-K for the year ended December 31, 2013 (Commission File No. 1-8400)).</w:t>
        </w:r>
      </w:hyperlink>
    </w:p>
    <w:p>
      <w:pPr>
        <w:spacing w:after="0" w:line="6" w:lineRule="exact"/>
        <w:rPr>
          <w:sz w:val="20"/>
          <w:szCs w:val="20"/>
          <w:color w:val="auto"/>
        </w:rPr>
      </w:pPr>
    </w:p>
    <w:p>
      <w:pPr>
        <w:jc w:val="both"/>
        <w:ind w:left="920" w:right="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3.7</w:t>
      </w:r>
      <w:r>
        <w:rPr>
          <w:sz w:val="20"/>
          <w:szCs w:val="20"/>
          <w:color w:val="auto"/>
        </w:rPr>
        <w:tab/>
      </w:r>
      <w:hyperlink r:id="rId258">
        <w:r>
          <w:rPr>
            <w:rFonts w:ascii="Arial" w:cs="Arial" w:eastAsia="Arial" w:hAnsi="Arial"/>
            <w:sz w:val="18"/>
            <w:szCs w:val="18"/>
            <w:u w:val="single" w:color="auto"/>
            <w:color w:val="0000FF"/>
          </w:rPr>
          <w:t>Certificate of Designations of Series B Junior Participating Preferred Stock of American Airlines Group Inc., filed with the</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Secretary of State of the State of Delaware on December 21, 2021 (incorporated by reference to Exhibit 3.1 to AAG’s Current</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Report on Form 8-K filed on December 22, 2021 (Commission File No. 1-8400)).</w:t>
        </w:r>
      </w:hyperlink>
    </w:p>
    <w:p>
      <w:pPr>
        <w:spacing w:after="0" w:line="9" w:lineRule="exact"/>
        <w:rPr>
          <w:rFonts w:ascii="Arial" w:cs="Arial" w:eastAsia="Arial" w:hAnsi="Arial"/>
          <w:sz w:val="18"/>
          <w:szCs w:val="18"/>
          <w:u w:val="single" w:color="auto"/>
          <w:color w:val="0000FF"/>
        </w:rPr>
      </w:pPr>
    </w:p>
    <w:p>
      <w:pPr>
        <w:jc w:val="both"/>
        <w:ind w:left="920" w:right="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259">
        <w:r>
          <w:rPr>
            <w:rFonts w:ascii="Arial" w:cs="Arial" w:eastAsia="Arial" w:hAnsi="Arial"/>
            <w:sz w:val="18"/>
            <w:szCs w:val="18"/>
            <w:u w:val="single" w:color="auto"/>
            <w:color w:val="0000FF"/>
          </w:rPr>
          <w:t>Description of securities registered under Section 12 of the Exchange Act (incorporated by reference to Exhibit 4.1 to AAG’s</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Annual Report on Form 10-K for the year ended December 31, 2021 (Commission File No. 1-8400)).</w:t>
        </w:r>
      </w:hyperlink>
    </w:p>
    <w:p>
      <w:pPr>
        <w:spacing w:after="0" w:line="6" w:lineRule="exact"/>
        <w:rPr>
          <w:sz w:val="20"/>
          <w:szCs w:val="20"/>
          <w:color w:val="auto"/>
        </w:rPr>
      </w:pPr>
    </w:p>
    <w:p>
      <w:pPr>
        <w:jc w:val="both"/>
        <w:ind w:left="920" w:right="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260">
        <w:r>
          <w:rPr>
            <w:rFonts w:ascii="Arial" w:cs="Arial" w:eastAsia="Arial" w:hAnsi="Arial"/>
            <w:sz w:val="18"/>
            <w:szCs w:val="18"/>
            <w:u w:val="single" w:color="auto"/>
            <w:color w:val="0000FF"/>
          </w:rPr>
          <w:t>Pass Through Trust Agreement, dated as of September 16, 2014, between American Airlines, Inc. and Wilmington Trust</w:t>
        </w:r>
      </w:hyperlink>
      <w:r>
        <w:rPr>
          <w:rFonts w:ascii="Arial" w:cs="Arial" w:eastAsia="Arial" w:hAnsi="Arial"/>
          <w:sz w:val="18"/>
          <w:szCs w:val="18"/>
          <w:u w:val="single" w:color="auto"/>
          <w:color w:val="0000FF"/>
        </w:rPr>
        <w:t xml:space="preserve"> </w:t>
      </w:r>
      <w:hyperlink r:id="rId260">
        <w:r>
          <w:rPr>
            <w:rFonts w:ascii="Arial" w:cs="Arial" w:eastAsia="Arial" w:hAnsi="Arial"/>
            <w:sz w:val="18"/>
            <w:szCs w:val="18"/>
            <w:u w:val="single" w:color="auto"/>
            <w:color w:val="0000FF"/>
          </w:rPr>
          <w:t>Company, as Trustee (incorporated by reference to Exhibit 4.1 to American’s Current Report on Form 8-K filed on September 17,</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260">
        <w:r>
          <w:rPr>
            <w:rFonts w:ascii="Arial" w:cs="Arial" w:eastAsia="Arial" w:hAnsi="Arial"/>
            <w:sz w:val="18"/>
            <w:szCs w:val="18"/>
            <w:u w:val="single" w:color="auto"/>
            <w:color w:val="0000FF"/>
          </w:rPr>
          <w:t>2014 (Commission File No. 1-2691)).</w:t>
        </w:r>
      </w:hyperlink>
    </w:p>
    <w:p>
      <w:pPr>
        <w:spacing w:after="0" w:line="14" w:lineRule="exact"/>
        <w:rPr>
          <w:sz w:val="20"/>
          <w:szCs w:val="20"/>
          <w:color w:val="auto"/>
        </w:rPr>
      </w:pPr>
    </w:p>
    <w:p>
      <w:pPr>
        <w:jc w:val="both"/>
        <w:ind w:left="920" w:right="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261">
        <w:r>
          <w:rPr>
            <w:rFonts w:ascii="Arial" w:cs="Arial" w:eastAsia="Arial" w:hAnsi="Arial"/>
            <w:sz w:val="18"/>
            <w:szCs w:val="18"/>
            <w:u w:val="single" w:color="auto"/>
            <w:color w:val="0000FF"/>
          </w:rPr>
          <w:t>Trust Supplement No. 2014-1A, dated as of September 16, 2014, between American Airlines, Inc. and Wilmington Trust</w:t>
        </w:r>
      </w:hyperlink>
      <w:r>
        <w:rPr>
          <w:rFonts w:ascii="Arial" w:cs="Arial" w:eastAsia="Arial" w:hAnsi="Arial"/>
          <w:sz w:val="18"/>
          <w:szCs w:val="18"/>
          <w:u w:val="single" w:color="auto"/>
          <w:color w:val="0000FF"/>
        </w:rPr>
        <w:t xml:space="preserve"> </w:t>
      </w:r>
      <w:hyperlink r:id="rId261">
        <w:r>
          <w:rPr>
            <w:rFonts w:ascii="Arial" w:cs="Arial" w:eastAsia="Arial" w:hAnsi="Arial"/>
            <w:sz w:val="18"/>
            <w:szCs w:val="18"/>
            <w:u w:val="single" w:color="auto"/>
            <w:color w:val="0000FF"/>
          </w:rPr>
          <w:t>Company, as Trustee, to the Pass Through Trust Agreement, dated as of September 16, 2014 (incorporated by reference to</w:t>
        </w:r>
      </w:hyperlink>
    </w:p>
    <w:p>
      <w:pPr>
        <w:ind w:left="920"/>
        <w:spacing w:after="0"/>
        <w:rPr>
          <w:rFonts w:ascii="Arial" w:cs="Arial" w:eastAsia="Arial" w:hAnsi="Arial"/>
          <w:sz w:val="18"/>
          <w:szCs w:val="18"/>
          <w:u w:val="single" w:color="auto"/>
          <w:color w:val="0000FF"/>
        </w:rPr>
      </w:pPr>
      <w:hyperlink r:id="rId261">
        <w:r>
          <w:rPr>
            <w:rFonts w:ascii="Arial" w:cs="Arial" w:eastAsia="Arial" w:hAnsi="Arial"/>
            <w:sz w:val="18"/>
            <w:szCs w:val="18"/>
            <w:u w:val="single" w:color="auto"/>
            <w:color w:val="0000FF"/>
          </w:rPr>
          <w:t>Exhibit 4.2 to American’s Current Report on Form 8-K filed on September 17, 2014 (Commission File No. 1-2691)).</w:t>
        </w:r>
      </w:hyperlink>
    </w:p>
    <w:p>
      <w:pPr>
        <w:spacing w:after="0" w:line="14" w:lineRule="exact"/>
        <w:rPr>
          <w:sz w:val="20"/>
          <w:szCs w:val="20"/>
          <w:color w:val="auto"/>
        </w:rPr>
      </w:pPr>
    </w:p>
    <w:p>
      <w:pPr>
        <w:jc w:val="both"/>
        <w:ind w:left="920" w:right="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hyperlink r:id="rId262">
        <w:r>
          <w:rPr>
            <w:rFonts w:ascii="Arial" w:cs="Arial" w:eastAsia="Arial" w:hAnsi="Arial"/>
            <w:sz w:val="18"/>
            <w:szCs w:val="18"/>
            <w:u w:val="single" w:color="auto"/>
            <w:color w:val="0000FF"/>
          </w:rPr>
          <w:t>Trust Supplement No. 2014-1B, dated as of September 16, 2014, between American Airlines, Inc. and Wilmington Trust</w:t>
        </w:r>
      </w:hyperlink>
      <w:r>
        <w:rPr>
          <w:rFonts w:ascii="Arial" w:cs="Arial" w:eastAsia="Arial" w:hAnsi="Arial"/>
          <w:sz w:val="18"/>
          <w:szCs w:val="18"/>
          <w:u w:val="single" w:color="auto"/>
          <w:color w:val="0000FF"/>
        </w:rPr>
        <w:t xml:space="preserve"> </w:t>
      </w:r>
      <w:hyperlink r:id="rId262">
        <w:r>
          <w:rPr>
            <w:rFonts w:ascii="Arial" w:cs="Arial" w:eastAsia="Arial" w:hAnsi="Arial"/>
            <w:sz w:val="18"/>
            <w:szCs w:val="18"/>
            <w:u w:val="single" w:color="auto"/>
            <w:color w:val="0000FF"/>
          </w:rPr>
          <w:t>Company, as Trustee, to the Pass Through Trust Agreement, dated as of September 16, 2014 (incorporated by reference to</w:t>
        </w:r>
      </w:hyperlink>
    </w:p>
    <w:p>
      <w:pPr>
        <w:ind w:left="920"/>
        <w:spacing w:after="0"/>
        <w:rPr>
          <w:rFonts w:ascii="Arial" w:cs="Arial" w:eastAsia="Arial" w:hAnsi="Arial"/>
          <w:sz w:val="18"/>
          <w:szCs w:val="18"/>
          <w:u w:val="single" w:color="auto"/>
          <w:color w:val="0000FF"/>
        </w:rPr>
      </w:pPr>
      <w:hyperlink r:id="rId262">
        <w:r>
          <w:rPr>
            <w:rFonts w:ascii="Arial" w:cs="Arial" w:eastAsia="Arial" w:hAnsi="Arial"/>
            <w:sz w:val="18"/>
            <w:szCs w:val="18"/>
            <w:u w:val="single" w:color="auto"/>
            <w:color w:val="0000FF"/>
          </w:rPr>
          <w:t>Exhibit 4.3 to American’s Current Report on Form 8-K filed on September 17, 2014 (Commission File No. 1-2691)).</w:t>
        </w:r>
      </w:hyperlink>
    </w:p>
    <w:p>
      <w:pPr>
        <w:spacing w:after="0" w:line="14" w:lineRule="exact"/>
        <w:rPr>
          <w:sz w:val="20"/>
          <w:szCs w:val="20"/>
          <w:color w:val="auto"/>
        </w:rPr>
      </w:pPr>
    </w:p>
    <w:p>
      <w:pPr>
        <w:jc w:val="both"/>
        <w:ind w:left="920" w:right="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hyperlink r:id="rId263">
        <w:r>
          <w:rPr>
            <w:rFonts w:ascii="Arial" w:cs="Arial" w:eastAsia="Arial" w:hAnsi="Arial"/>
            <w:sz w:val="18"/>
            <w:szCs w:val="18"/>
            <w:u w:val="single" w:color="auto"/>
            <w:color w:val="0000FF"/>
          </w:rPr>
          <w:t>Intercreditor Agreement (2014-1), dated as of September 16, 2014, among Wilmington Trust Company, as Trustee of the</w:t>
        </w:r>
      </w:hyperlink>
      <w:r>
        <w:rPr>
          <w:rFonts w:ascii="Arial" w:cs="Arial" w:eastAsia="Arial" w:hAnsi="Arial"/>
          <w:sz w:val="18"/>
          <w:szCs w:val="18"/>
          <w:u w:val="single" w:color="auto"/>
          <w:color w:val="0000FF"/>
        </w:rPr>
        <w:t xml:space="preserve"> </w:t>
      </w:r>
      <w:hyperlink r:id="rId263">
        <w:r>
          <w:rPr>
            <w:rFonts w:ascii="Arial" w:cs="Arial" w:eastAsia="Arial" w:hAnsi="Arial"/>
            <w:sz w:val="18"/>
            <w:szCs w:val="18"/>
            <w:u w:val="single" w:color="auto"/>
            <w:color w:val="0000FF"/>
          </w:rPr>
          <w:t>American Airlines Pass Through Trust 2014-1A and as Trustee of the American Airlines Pass Through Trust 2014-1B, Crédit</w:t>
        </w:r>
      </w:hyperlink>
    </w:p>
    <w:p>
      <w:pPr>
        <w:jc w:val="both"/>
        <w:ind w:left="920" w:right="20"/>
        <w:spacing w:after="0" w:line="220" w:lineRule="auto"/>
        <w:rPr>
          <w:rFonts w:ascii="Arial" w:cs="Arial" w:eastAsia="Arial" w:hAnsi="Arial"/>
          <w:sz w:val="18"/>
          <w:szCs w:val="18"/>
          <w:u w:val="single" w:color="auto"/>
          <w:color w:val="0000FF"/>
        </w:rPr>
      </w:pPr>
      <w:hyperlink r:id="rId263">
        <w:r>
          <w:rPr>
            <w:rFonts w:ascii="Arial" w:cs="Arial" w:eastAsia="Arial" w:hAnsi="Arial"/>
            <w:sz w:val="18"/>
            <w:szCs w:val="18"/>
            <w:u w:val="single" w:color="auto"/>
            <w:color w:val="0000FF"/>
          </w:rPr>
          <w:t>Agricole Corporate and Investment Bank, acting through its New York Branch, as Class A Liquidity Provider and Class B Liquidity</w:t>
        </w:r>
      </w:hyperlink>
      <w:r>
        <w:rPr>
          <w:rFonts w:ascii="Arial" w:cs="Arial" w:eastAsia="Arial" w:hAnsi="Arial"/>
          <w:sz w:val="18"/>
          <w:szCs w:val="18"/>
          <w:u w:val="single" w:color="auto"/>
          <w:color w:val="0000FF"/>
        </w:rPr>
        <w:t xml:space="preserve"> </w:t>
      </w:r>
      <w:hyperlink r:id="rId263">
        <w:r>
          <w:rPr>
            <w:rFonts w:ascii="Arial" w:cs="Arial" w:eastAsia="Arial" w:hAnsi="Arial"/>
            <w:sz w:val="18"/>
            <w:szCs w:val="18"/>
            <w:u w:val="single" w:color="auto"/>
            <w:color w:val="0000FF"/>
          </w:rPr>
          <w:t>Provider, and Wilmington Trust Company, as Subordination Agent (incorporated by reference to Exhibit 4.4 to American’s Current</w:t>
        </w:r>
      </w:hyperlink>
      <w:r>
        <w:rPr>
          <w:rFonts w:ascii="Arial" w:cs="Arial" w:eastAsia="Arial" w:hAnsi="Arial"/>
          <w:sz w:val="18"/>
          <w:szCs w:val="18"/>
          <w:u w:val="single" w:color="auto"/>
          <w:color w:val="0000FF"/>
        </w:rPr>
        <w:t xml:space="preserve"> </w:t>
      </w:r>
      <w:hyperlink r:id="rId263">
        <w:r>
          <w:rPr>
            <w:rFonts w:ascii="Arial" w:cs="Arial" w:eastAsia="Arial" w:hAnsi="Arial"/>
            <w:sz w:val="18"/>
            <w:szCs w:val="18"/>
            <w:u w:val="single" w:color="auto"/>
            <w:color w:val="0000FF"/>
          </w:rPr>
          <w:t>Report on Form 8-K filed on September 17, 2014 (Commission File No. 1-2691)).</w:t>
        </w:r>
      </w:hyperlink>
    </w:p>
    <w:p>
      <w:pPr>
        <w:spacing w:after="0" w:line="6" w:lineRule="exact"/>
        <w:rPr>
          <w:rFonts w:ascii="Arial" w:cs="Arial" w:eastAsia="Arial" w:hAnsi="Arial"/>
          <w:sz w:val="18"/>
          <w:szCs w:val="18"/>
          <w:u w:val="single" w:color="auto"/>
          <w:color w:val="0000FF"/>
        </w:rPr>
      </w:pPr>
    </w:p>
    <w:p>
      <w:pPr>
        <w:jc w:val="right"/>
        <w:ind w:left="20" w:righ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       </w:t>
      </w:r>
      <w:hyperlink r:id="rId264">
        <w:r>
          <w:rPr>
            <w:rFonts w:ascii="Arial" w:cs="Arial" w:eastAsia="Arial" w:hAnsi="Arial"/>
            <w:sz w:val="18"/>
            <w:szCs w:val="18"/>
            <w:u w:val="single" w:color="auto"/>
            <w:color w:val="0000FF"/>
          </w:rPr>
          <w:t>Amendment No. 1 to Intercreditor Agreement (2014-1), dated as of June 24, 2015, among American Airlines, Inc., Credit Agricole</w:t>
        </w:r>
      </w:hyperlink>
      <w:r>
        <w:rPr>
          <w:rFonts w:ascii="Arial" w:cs="Arial" w:eastAsia="Arial" w:hAnsi="Arial"/>
          <w:sz w:val="18"/>
          <w:szCs w:val="18"/>
          <w:color w:val="auto"/>
        </w:rPr>
        <w:t xml:space="preserve"> </w:t>
      </w:r>
      <w:hyperlink r:id="rId264">
        <w:r>
          <w:rPr>
            <w:rFonts w:ascii="Arial" w:cs="Arial" w:eastAsia="Arial" w:hAnsi="Arial"/>
            <w:sz w:val="18"/>
            <w:szCs w:val="18"/>
            <w:u w:val="single" w:color="auto"/>
            <w:color w:val="0000FF"/>
          </w:rPr>
          <w:t>Corporate and Investment Bank, as Class A and Class B liquidity provider and Wilmington Trust Company, as subordination</w:t>
        </w:r>
      </w:hyperlink>
    </w:p>
    <w:p>
      <w:pPr>
        <w:spacing w:after="0" w:line="1" w:lineRule="exact"/>
        <w:rPr>
          <w:sz w:val="20"/>
          <w:szCs w:val="20"/>
          <w:color w:val="auto"/>
        </w:rPr>
      </w:pPr>
    </w:p>
    <w:p>
      <w:pPr>
        <w:ind w:left="920" w:right="20"/>
        <w:spacing w:after="0" w:line="229" w:lineRule="auto"/>
        <w:rPr>
          <w:rFonts w:ascii="Arial" w:cs="Arial" w:eastAsia="Arial" w:hAnsi="Arial"/>
          <w:sz w:val="18"/>
          <w:szCs w:val="18"/>
          <w:u w:val="single" w:color="auto"/>
          <w:color w:val="0000FF"/>
        </w:rPr>
      </w:pPr>
      <w:hyperlink r:id="rId264">
        <w:r>
          <w:rPr>
            <w:rFonts w:ascii="Arial" w:cs="Arial" w:eastAsia="Arial" w:hAnsi="Arial"/>
            <w:sz w:val="18"/>
            <w:szCs w:val="18"/>
            <w:u w:val="single" w:color="auto"/>
            <w:color w:val="0000FF"/>
          </w:rPr>
          <w:t>agent and trustee (incorporated by reference to Exhibit 10.6 to AAG’s Quarterly Report on Form 10-Q for the quarter ended</w:t>
        </w:r>
      </w:hyperlink>
      <w:r>
        <w:rPr>
          <w:rFonts w:ascii="Arial" w:cs="Arial" w:eastAsia="Arial" w:hAnsi="Arial"/>
          <w:sz w:val="18"/>
          <w:szCs w:val="18"/>
          <w:u w:val="single" w:color="auto"/>
          <w:color w:val="0000FF"/>
        </w:rPr>
        <w:t xml:space="preserve"> </w:t>
      </w:r>
      <w:hyperlink r:id="rId264">
        <w:r>
          <w:rPr>
            <w:rFonts w:ascii="Arial" w:cs="Arial" w:eastAsia="Arial" w:hAnsi="Arial"/>
            <w:sz w:val="18"/>
            <w:szCs w:val="18"/>
            <w:u w:val="single" w:color="auto"/>
            <w:color w:val="0000FF"/>
          </w:rPr>
          <w:t>June 30, 2015 (Commission File No. 1-8400)).</w:t>
        </w:r>
      </w:hyperlink>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       </w:t>
      </w:r>
      <w:hyperlink r:id="rId266">
        <w:r>
          <w:rPr>
            <w:rFonts w:ascii="Arial" w:cs="Arial" w:eastAsia="Arial" w:hAnsi="Arial"/>
            <w:sz w:val="18"/>
            <w:szCs w:val="18"/>
            <w:u w:val="single" w:color="auto"/>
            <w:color w:val="0000FF"/>
          </w:rPr>
          <w:t>Note Purchase Agreement, dated as of September 16, 2014, among American Airlines, Inc., Wilmington Trust Company, as Pass</w:t>
        </w:r>
      </w:hyperlink>
      <w:r>
        <w:rPr>
          <w:rFonts w:ascii="Arial" w:cs="Arial" w:eastAsia="Arial" w:hAnsi="Arial"/>
          <w:sz w:val="18"/>
          <w:szCs w:val="18"/>
          <w:color w:val="auto"/>
        </w:rPr>
        <w:t xml:space="preserve"> </w:t>
      </w:r>
      <w:hyperlink r:id="rId266">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266">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266">
        <w:r>
          <w:rPr>
            <w:rFonts w:ascii="Arial" w:cs="Arial" w:eastAsia="Arial" w:hAnsi="Arial"/>
            <w:sz w:val="18"/>
            <w:szCs w:val="18"/>
            <w:u w:val="single" w:color="auto"/>
            <w:color w:val="0000FF"/>
          </w:rPr>
          <w:t>reference to Exhibit 4.9 to American’s Current Report on Form 8-K filed on September 17, 2014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       </w:t>
      </w:r>
      <w:hyperlink r:id="rId267">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267">
        <w:r>
          <w:rPr>
            <w:rFonts w:ascii="Arial" w:cs="Arial" w:eastAsia="Arial" w:hAnsi="Arial"/>
            <w:sz w:val="18"/>
            <w:szCs w:val="18"/>
            <w:u w:val="single" w:color="auto"/>
            <w:color w:val="0000FF"/>
          </w:rPr>
          <w:t>Through Trustee under each of the Pass Through Trust Agreements, Wilmington Trust Company, as Subordination Agent,</w:t>
        </w:r>
      </w:hyperlink>
    </w:p>
    <w:p>
      <w:pPr>
        <w:jc w:val="both"/>
        <w:ind w:left="920"/>
        <w:spacing w:after="0" w:line="220" w:lineRule="auto"/>
        <w:rPr>
          <w:rFonts w:ascii="Arial" w:cs="Arial" w:eastAsia="Arial" w:hAnsi="Arial"/>
          <w:sz w:val="18"/>
          <w:szCs w:val="18"/>
          <w:u w:val="single" w:color="auto"/>
          <w:color w:val="0000FF"/>
        </w:rPr>
      </w:pPr>
      <w:hyperlink r:id="rId267">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267">
        <w:r>
          <w:rPr>
            <w:rFonts w:ascii="Arial" w:cs="Arial" w:eastAsia="Arial" w:hAnsi="Arial"/>
            <w:sz w:val="18"/>
            <w:szCs w:val="18"/>
            <w:u w:val="single" w:color="auto"/>
            <w:color w:val="0000FF"/>
          </w:rPr>
          <w:t>(Exhibit B to Note Purchase Agreement) (incorporated by reference to Exhibit 4.10 to American’s Current Report on Form 8-K</w:t>
        </w:r>
      </w:hyperlink>
      <w:r>
        <w:rPr>
          <w:rFonts w:ascii="Arial" w:cs="Arial" w:eastAsia="Arial" w:hAnsi="Arial"/>
          <w:sz w:val="18"/>
          <w:szCs w:val="18"/>
          <w:u w:val="single" w:color="auto"/>
          <w:color w:val="0000FF"/>
        </w:rPr>
        <w:t xml:space="preserve"> </w:t>
      </w:r>
      <w:hyperlink r:id="rId267">
        <w:r>
          <w:rPr>
            <w:rFonts w:ascii="Arial" w:cs="Arial" w:eastAsia="Arial" w:hAnsi="Arial"/>
            <w:sz w:val="18"/>
            <w:szCs w:val="18"/>
            <w:u w:val="single" w:color="auto"/>
            <w:color w:val="0000FF"/>
          </w:rPr>
          <w:t>filed on September 17, 2014 (Commission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       </w:t>
      </w:r>
      <w:hyperlink r:id="rId268">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268">
        <w:r>
          <w:rPr>
            <w:rFonts w:ascii="Arial" w:cs="Arial" w:eastAsia="Arial" w:hAnsi="Arial"/>
            <w:sz w:val="18"/>
            <w:szCs w:val="18"/>
            <w:u w:val="single" w:color="auto"/>
            <w:color w:val="0000FF"/>
          </w:rPr>
          <w:t>Trust Company, as Loan Trustee) (Exhibit C to Note Purchase Agreement) (incorporated by reference to Exhibit 4.11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268">
        <w:r>
          <w:rPr>
            <w:rFonts w:ascii="Arial" w:cs="Arial" w:eastAsia="Arial" w:hAnsi="Arial"/>
            <w:sz w:val="18"/>
            <w:szCs w:val="18"/>
            <w:u w:val="single" w:color="auto"/>
            <w:color w:val="0000FF"/>
          </w:rPr>
          <w:t>American’s Current Report on Form 8-K filed on September 17, 2014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      </w:t>
      </w:r>
      <w:hyperlink r:id="rId269">
        <w:r>
          <w:rPr>
            <w:rFonts w:ascii="Arial" w:cs="Arial" w:eastAsia="Arial" w:hAnsi="Arial"/>
            <w:sz w:val="18"/>
            <w:szCs w:val="18"/>
            <w:u w:val="single" w:color="auto"/>
            <w:color w:val="0000FF"/>
          </w:rPr>
          <w:t>Revolving Credit Agreement (2014-1A), dated as of September 16, 2014, between Wilmington Trust Company, as Subordination</w:t>
        </w:r>
      </w:hyperlink>
      <w:r>
        <w:rPr>
          <w:rFonts w:ascii="Arial" w:cs="Arial" w:eastAsia="Arial" w:hAnsi="Arial"/>
          <w:sz w:val="18"/>
          <w:szCs w:val="18"/>
          <w:color w:val="auto"/>
        </w:rPr>
        <w:t xml:space="preserve"> </w:t>
      </w:r>
      <w:hyperlink r:id="rId269">
        <w:r>
          <w:rPr>
            <w:rFonts w:ascii="Arial" w:cs="Arial" w:eastAsia="Arial" w:hAnsi="Arial"/>
            <w:sz w:val="18"/>
            <w:szCs w:val="18"/>
            <w:u w:val="single" w:color="auto"/>
            <w:color w:val="0000FF"/>
          </w:rPr>
          <w:t>Agent, as agent and trustee for the trustee of the American Airlines Pass Through Trust 2014-1A, as Borrower, and Crédit</w:t>
        </w:r>
      </w:hyperlink>
    </w:p>
    <w:p>
      <w:pPr>
        <w:jc w:val="both"/>
        <w:ind w:left="920" w:right="20"/>
        <w:spacing w:after="0" w:line="229" w:lineRule="auto"/>
        <w:rPr>
          <w:rFonts w:ascii="Arial" w:cs="Arial" w:eastAsia="Arial" w:hAnsi="Arial"/>
          <w:sz w:val="18"/>
          <w:szCs w:val="18"/>
          <w:u w:val="single" w:color="auto"/>
          <w:color w:val="0000FF"/>
        </w:rPr>
      </w:pPr>
      <w:hyperlink r:id="rId269">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269">
        <w:r>
          <w:rPr>
            <w:rFonts w:ascii="Arial" w:cs="Arial" w:eastAsia="Arial" w:hAnsi="Arial"/>
            <w:sz w:val="18"/>
            <w:szCs w:val="18"/>
            <w:u w:val="single" w:color="auto"/>
            <w:color w:val="0000FF"/>
          </w:rPr>
          <w:t>Exhibit 4.14 to American’s Current Report on Form 8-K filed on September 17, 2014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      </w:t>
      </w:r>
      <w:hyperlink r:id="rId270">
        <w:r>
          <w:rPr>
            <w:rFonts w:ascii="Arial" w:cs="Arial" w:eastAsia="Arial" w:hAnsi="Arial"/>
            <w:sz w:val="18"/>
            <w:szCs w:val="18"/>
            <w:u w:val="single" w:color="auto"/>
            <w:color w:val="0000FF"/>
          </w:rPr>
          <w:t>Revolving Credit Agreement (2014-1B), dated as of September 16, 2014, between Wilmington Trust Company, as Subordination</w:t>
        </w:r>
      </w:hyperlink>
      <w:r>
        <w:rPr>
          <w:rFonts w:ascii="Arial" w:cs="Arial" w:eastAsia="Arial" w:hAnsi="Arial"/>
          <w:sz w:val="18"/>
          <w:szCs w:val="18"/>
          <w:color w:val="auto"/>
        </w:rPr>
        <w:t xml:space="preserve"> </w:t>
      </w:r>
      <w:hyperlink r:id="rId270">
        <w:r>
          <w:rPr>
            <w:rFonts w:ascii="Arial" w:cs="Arial" w:eastAsia="Arial" w:hAnsi="Arial"/>
            <w:sz w:val="18"/>
            <w:szCs w:val="18"/>
            <w:u w:val="single" w:color="auto"/>
            <w:color w:val="0000FF"/>
          </w:rPr>
          <w:t>Agent, as agent and trustee for the trustee of the American Airlines Pass Through Trust 2014-1B, as Borrower, and Crédit</w:t>
        </w:r>
      </w:hyperlink>
    </w:p>
    <w:p>
      <w:pPr>
        <w:jc w:val="both"/>
        <w:ind w:left="920" w:right="20"/>
        <w:spacing w:after="0" w:line="229" w:lineRule="auto"/>
        <w:rPr>
          <w:rFonts w:ascii="Arial" w:cs="Arial" w:eastAsia="Arial" w:hAnsi="Arial"/>
          <w:sz w:val="18"/>
          <w:szCs w:val="18"/>
          <w:u w:val="single" w:color="auto"/>
          <w:color w:val="0000FF"/>
        </w:rPr>
      </w:pPr>
      <w:hyperlink r:id="rId270">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270">
        <w:r>
          <w:rPr>
            <w:rFonts w:ascii="Arial" w:cs="Arial" w:eastAsia="Arial" w:hAnsi="Arial"/>
            <w:sz w:val="18"/>
            <w:szCs w:val="18"/>
            <w:u w:val="single" w:color="auto"/>
            <w:color w:val="0000FF"/>
          </w:rPr>
          <w:t>Exhibit 4.15 to American’s Current Report on Form 8-K filed on September 17, 2014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      </w:t>
      </w:r>
      <w:hyperlink r:id="rId271">
        <w:r>
          <w:rPr>
            <w:rFonts w:ascii="Arial" w:cs="Arial" w:eastAsia="Arial" w:hAnsi="Arial"/>
            <w:sz w:val="18"/>
            <w:szCs w:val="18"/>
            <w:u w:val="single" w:color="auto"/>
            <w:color w:val="0000FF"/>
          </w:rPr>
          <w:t>First Supplemental Indenture, dated as of December 30, 2015, among American Airlines Group Inc., American Airlines, Inc. and</w:t>
        </w:r>
      </w:hyperlink>
      <w:r>
        <w:rPr>
          <w:rFonts w:ascii="Arial" w:cs="Arial" w:eastAsia="Arial" w:hAnsi="Arial"/>
          <w:sz w:val="18"/>
          <w:szCs w:val="18"/>
          <w:color w:val="auto"/>
        </w:rPr>
        <w:t xml:space="preserve"> </w:t>
      </w:r>
      <w:hyperlink r:id="rId271">
        <w:r>
          <w:rPr>
            <w:rFonts w:ascii="Arial" w:cs="Arial" w:eastAsia="Arial" w:hAnsi="Arial"/>
            <w:sz w:val="18"/>
            <w:szCs w:val="18"/>
            <w:u w:val="single" w:color="auto"/>
            <w:color w:val="0000FF"/>
          </w:rPr>
          <w:t>Wilmington Trust, National Association, as trustee, to the Indenture dated as of March 5, 2015 (incorporated by reference to</w:t>
        </w:r>
      </w:hyperlink>
    </w:p>
    <w:p>
      <w:pPr>
        <w:ind w:left="920"/>
        <w:spacing w:after="0"/>
        <w:rPr>
          <w:rFonts w:ascii="Arial" w:cs="Arial" w:eastAsia="Arial" w:hAnsi="Arial"/>
          <w:sz w:val="18"/>
          <w:szCs w:val="18"/>
          <w:u w:val="single" w:color="auto"/>
          <w:color w:val="0000FF"/>
        </w:rPr>
      </w:pPr>
      <w:hyperlink r:id="rId271">
        <w:r>
          <w:rPr>
            <w:rFonts w:ascii="Arial" w:cs="Arial" w:eastAsia="Arial" w:hAnsi="Arial"/>
            <w:sz w:val="18"/>
            <w:szCs w:val="18"/>
            <w:u w:val="single" w:color="auto"/>
            <w:color w:val="0000FF"/>
          </w:rPr>
          <w:t>Exhibit 4.3 to AAG’s Current Report on Form 8-K filed on December 31, 2015 (Commission File No. 1-8400)).</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      </w:t>
      </w:r>
      <w:hyperlink r:id="rId272">
        <w:r>
          <w:rPr>
            <w:rFonts w:ascii="Arial" w:cs="Arial" w:eastAsia="Arial" w:hAnsi="Arial"/>
            <w:sz w:val="18"/>
            <w:szCs w:val="18"/>
            <w:u w:val="single" w:color="auto"/>
            <w:color w:val="0000FF"/>
          </w:rPr>
          <w:t>Trust Supplement No. 2015-1A, dated as of March 16, 2015, between American Airlines, Inc. and Wilmington Trust Company, as</w:t>
        </w:r>
      </w:hyperlink>
      <w:r>
        <w:rPr>
          <w:rFonts w:ascii="Arial" w:cs="Arial" w:eastAsia="Arial" w:hAnsi="Arial"/>
          <w:sz w:val="18"/>
          <w:szCs w:val="18"/>
          <w:color w:val="auto"/>
        </w:rPr>
        <w:t xml:space="preserve"> </w:t>
      </w:r>
      <w:hyperlink r:id="rId272">
        <w:r>
          <w:rPr>
            <w:rFonts w:ascii="Arial" w:cs="Arial" w:eastAsia="Arial" w:hAnsi="Arial"/>
            <w:sz w:val="18"/>
            <w:szCs w:val="18"/>
            <w:u w:val="single" w:color="auto"/>
            <w:color w:val="0000FF"/>
          </w:rPr>
          <w:t>Trustee, to the Pass Through Trust Agreement, dated as of September 16, 2014 (incorporated by reference to Exhibit 4.2 to</w:t>
        </w:r>
      </w:hyperlink>
    </w:p>
    <w:p>
      <w:pPr>
        <w:ind w:left="920"/>
        <w:spacing w:after="0"/>
        <w:rPr>
          <w:rFonts w:ascii="Arial" w:cs="Arial" w:eastAsia="Arial" w:hAnsi="Arial"/>
          <w:sz w:val="18"/>
          <w:szCs w:val="18"/>
          <w:u w:val="single" w:color="auto"/>
          <w:color w:val="0000FF"/>
        </w:rPr>
      </w:pPr>
      <w:hyperlink r:id="rId272">
        <w:r>
          <w:rPr>
            <w:rFonts w:ascii="Arial" w:cs="Arial" w:eastAsia="Arial" w:hAnsi="Arial"/>
            <w:sz w:val="18"/>
            <w:szCs w:val="18"/>
            <w:u w:val="single" w:color="auto"/>
            <w:color w:val="0000FF"/>
          </w:rPr>
          <w:t>American’s Current Report on Form 8-K filed on March 16, 2015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      </w:t>
      </w:r>
      <w:hyperlink r:id="rId273">
        <w:r>
          <w:rPr>
            <w:rFonts w:ascii="Arial" w:cs="Arial" w:eastAsia="Arial" w:hAnsi="Arial"/>
            <w:sz w:val="18"/>
            <w:szCs w:val="18"/>
            <w:u w:val="single" w:color="auto"/>
            <w:color w:val="0000FF"/>
          </w:rPr>
          <w:t>Trust Supplement No. 2015-1B, dated as of March 16, 2015, between American Airlines, Inc. and Wilmington Trust Company, as</w:t>
        </w:r>
      </w:hyperlink>
      <w:r>
        <w:rPr>
          <w:rFonts w:ascii="Arial" w:cs="Arial" w:eastAsia="Arial" w:hAnsi="Arial"/>
          <w:sz w:val="18"/>
          <w:szCs w:val="18"/>
          <w:color w:val="auto"/>
        </w:rPr>
        <w:t xml:space="preserve"> </w:t>
      </w:r>
      <w:hyperlink r:id="rId273">
        <w:r>
          <w:rPr>
            <w:rFonts w:ascii="Arial" w:cs="Arial" w:eastAsia="Arial" w:hAnsi="Arial"/>
            <w:sz w:val="18"/>
            <w:szCs w:val="18"/>
            <w:u w:val="single" w:color="auto"/>
            <w:color w:val="0000FF"/>
          </w:rPr>
          <w:t>Trustee, to the Pass Through Trust Agreement, dated as of September 16, 2014 (incorporated by reference to Exhibit 4.3 to</w:t>
        </w:r>
      </w:hyperlink>
    </w:p>
    <w:p>
      <w:pPr>
        <w:ind w:left="920"/>
        <w:spacing w:after="0"/>
        <w:rPr>
          <w:rFonts w:ascii="Arial" w:cs="Arial" w:eastAsia="Arial" w:hAnsi="Arial"/>
          <w:sz w:val="18"/>
          <w:szCs w:val="18"/>
          <w:u w:val="single" w:color="auto"/>
          <w:color w:val="0000FF"/>
        </w:rPr>
      </w:pPr>
      <w:hyperlink r:id="rId273">
        <w:r>
          <w:rPr>
            <w:rFonts w:ascii="Arial" w:cs="Arial" w:eastAsia="Arial" w:hAnsi="Arial"/>
            <w:sz w:val="18"/>
            <w:szCs w:val="18"/>
            <w:u w:val="single" w:color="auto"/>
            <w:color w:val="0000FF"/>
          </w:rPr>
          <w:t>American’s Current Report on Form 8-K filed on March 16, 2015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4.15      </w:t>
      </w:r>
      <w:hyperlink r:id="rId274">
        <w:r>
          <w:rPr>
            <w:rFonts w:ascii="Arial" w:cs="Arial" w:eastAsia="Arial" w:hAnsi="Arial"/>
            <w:sz w:val="18"/>
            <w:szCs w:val="18"/>
            <w:u w:val="single" w:color="auto"/>
            <w:color w:val="0000FF"/>
          </w:rPr>
          <w:t>Intercreditor Agreement (2015-1), dated as of March 16, 2015, among Wilmington Trust Company, as Trustee of the American</w:t>
        </w:r>
      </w:hyperlink>
      <w:r>
        <w:rPr>
          <w:rFonts w:ascii="Arial" w:cs="Arial" w:eastAsia="Arial" w:hAnsi="Arial"/>
          <w:sz w:val="18"/>
          <w:szCs w:val="18"/>
          <w:color w:val="auto"/>
        </w:rPr>
        <w:t xml:space="preserve"> </w:t>
      </w:r>
      <w:hyperlink r:id="rId274">
        <w:r>
          <w:rPr>
            <w:rFonts w:ascii="Arial" w:cs="Arial" w:eastAsia="Arial" w:hAnsi="Arial"/>
            <w:sz w:val="18"/>
            <w:szCs w:val="18"/>
            <w:u w:val="single" w:color="auto"/>
            <w:color w:val="0000FF"/>
          </w:rPr>
          <w:t>Airlines Pass Through Trust 2015-1A and as Trustee of the American Airlines Pass Through Trust 2015-1B, Crédit Agricole</w:t>
        </w:r>
      </w:hyperlink>
    </w:p>
    <w:p>
      <w:pPr>
        <w:jc w:val="both"/>
        <w:ind w:left="920"/>
        <w:spacing w:after="0" w:line="220" w:lineRule="auto"/>
        <w:rPr>
          <w:rFonts w:ascii="Arial" w:cs="Arial" w:eastAsia="Arial" w:hAnsi="Arial"/>
          <w:sz w:val="18"/>
          <w:szCs w:val="18"/>
          <w:u w:val="single" w:color="auto"/>
          <w:color w:val="0000FF"/>
        </w:rPr>
      </w:pPr>
      <w:hyperlink r:id="rId274">
        <w:r>
          <w:rPr>
            <w:rFonts w:ascii="Arial" w:cs="Arial" w:eastAsia="Arial" w:hAnsi="Arial"/>
            <w:sz w:val="18"/>
            <w:szCs w:val="18"/>
            <w:u w:val="single" w:color="auto"/>
            <w:color w:val="0000FF"/>
          </w:rPr>
          <w:t>Corporate and Investment Bank, acting through its New York Branch, as Class A Liquidity Provider and Class B Liquidity Provider,</w:t>
        </w:r>
      </w:hyperlink>
      <w:r>
        <w:rPr>
          <w:rFonts w:ascii="Arial" w:cs="Arial" w:eastAsia="Arial" w:hAnsi="Arial"/>
          <w:sz w:val="18"/>
          <w:szCs w:val="18"/>
          <w:u w:val="single" w:color="auto"/>
          <w:color w:val="0000FF"/>
        </w:rPr>
        <w:t xml:space="preserve"> </w:t>
      </w:r>
      <w:hyperlink r:id="rId274">
        <w:r>
          <w:rPr>
            <w:rFonts w:ascii="Arial" w:cs="Arial" w:eastAsia="Arial" w:hAnsi="Arial"/>
            <w:sz w:val="18"/>
            <w:szCs w:val="18"/>
            <w:u w:val="single" w:color="auto"/>
            <w:color w:val="0000FF"/>
          </w:rPr>
          <w:t>and Wilmington Trust Company, as Subordination Agent (incorporated by reference to Exhibit 4.4 to American’s Current Report</w:t>
        </w:r>
      </w:hyperlink>
      <w:r>
        <w:rPr>
          <w:rFonts w:ascii="Arial" w:cs="Arial" w:eastAsia="Arial" w:hAnsi="Arial"/>
          <w:sz w:val="18"/>
          <w:szCs w:val="18"/>
          <w:u w:val="single" w:color="auto"/>
          <w:color w:val="0000FF"/>
        </w:rPr>
        <w:t xml:space="preserve"> </w:t>
      </w:r>
      <w:hyperlink r:id="rId274">
        <w:r>
          <w:rPr>
            <w:rFonts w:ascii="Arial" w:cs="Arial" w:eastAsia="Arial" w:hAnsi="Arial"/>
            <w:sz w:val="18"/>
            <w:szCs w:val="18"/>
            <w:u w:val="single" w:color="auto"/>
            <w:color w:val="0000FF"/>
          </w:rPr>
          <w:t>on Form 8-K filed on March 16, 2015 (Commission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      </w:t>
      </w:r>
      <w:hyperlink r:id="rId275">
        <w:r>
          <w:rPr>
            <w:rFonts w:ascii="Arial" w:cs="Arial" w:eastAsia="Arial" w:hAnsi="Arial"/>
            <w:sz w:val="18"/>
            <w:szCs w:val="18"/>
            <w:u w:val="single" w:color="auto"/>
            <w:color w:val="0000FF"/>
          </w:rPr>
          <w:t>Note Purchase Agreement, dated as of March 16, 2015, among American Airlines, Inc., Wilmington Trust Company, as Pass</w:t>
        </w:r>
      </w:hyperlink>
      <w:r>
        <w:rPr>
          <w:rFonts w:ascii="Arial" w:cs="Arial" w:eastAsia="Arial" w:hAnsi="Arial"/>
          <w:sz w:val="18"/>
          <w:szCs w:val="18"/>
          <w:color w:val="auto"/>
        </w:rPr>
        <w:t xml:space="preserve"> </w:t>
      </w:r>
      <w:hyperlink r:id="rId275">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275">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275">
        <w:r>
          <w:rPr>
            <w:rFonts w:ascii="Arial" w:cs="Arial" w:eastAsia="Arial" w:hAnsi="Arial"/>
            <w:sz w:val="18"/>
            <w:szCs w:val="18"/>
            <w:u w:val="single" w:color="auto"/>
            <w:color w:val="0000FF"/>
          </w:rPr>
          <w:t>reference to Exhibit 4.9 to American’s Current Report on Form 8-K filed on March 16, 2015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4.17      </w:t>
      </w:r>
      <w:hyperlink r:id="rId276">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276">
        <w:r>
          <w:rPr>
            <w:rFonts w:ascii="Arial" w:cs="Arial" w:eastAsia="Arial" w:hAnsi="Arial"/>
            <w:sz w:val="18"/>
            <w:szCs w:val="18"/>
            <w:u w:val="single" w:color="auto"/>
            <w:color w:val="0000FF"/>
          </w:rPr>
          <w:t>Through Trustee under each of the Pass Through Trust Agreements, Wilmington Trust Company, as Subordination Agent,</w:t>
        </w:r>
      </w:hyperlink>
    </w:p>
    <w:p>
      <w:pPr>
        <w:jc w:val="both"/>
        <w:ind w:left="920"/>
        <w:spacing w:after="0" w:line="220" w:lineRule="auto"/>
        <w:rPr>
          <w:rFonts w:ascii="Arial" w:cs="Arial" w:eastAsia="Arial" w:hAnsi="Arial"/>
          <w:sz w:val="18"/>
          <w:szCs w:val="18"/>
          <w:u w:val="single" w:color="auto"/>
          <w:color w:val="0000FF"/>
        </w:rPr>
      </w:pPr>
      <w:hyperlink r:id="rId276">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276">
        <w:r>
          <w:rPr>
            <w:rFonts w:ascii="Arial" w:cs="Arial" w:eastAsia="Arial" w:hAnsi="Arial"/>
            <w:sz w:val="18"/>
            <w:szCs w:val="18"/>
            <w:u w:val="single" w:color="auto"/>
            <w:color w:val="0000FF"/>
          </w:rPr>
          <w:t>(incorporated by reference to Exhibit 4.10 to American’s Current Report on Form 8-K filed on March 16, 2015 (Commission File</w:t>
        </w:r>
      </w:hyperlink>
      <w:r>
        <w:rPr>
          <w:rFonts w:ascii="Arial" w:cs="Arial" w:eastAsia="Arial" w:hAnsi="Arial"/>
          <w:sz w:val="18"/>
          <w:szCs w:val="18"/>
          <w:u w:val="single" w:color="auto"/>
          <w:color w:val="0000FF"/>
        </w:rPr>
        <w:t xml:space="preserve"> </w:t>
      </w:r>
      <w:hyperlink r:id="rId276">
        <w:r>
          <w:rPr>
            <w:rFonts w:ascii="Arial" w:cs="Arial" w:eastAsia="Arial" w:hAnsi="Arial"/>
            <w:sz w:val="18"/>
            <w:szCs w:val="18"/>
            <w:u w:val="single" w:color="auto"/>
            <w:color w:val="0000FF"/>
          </w:rPr>
          <w:t>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4.18      </w:t>
      </w:r>
      <w:hyperlink r:id="rId277">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277">
        <w:r>
          <w:rPr>
            <w:rFonts w:ascii="Arial" w:cs="Arial" w:eastAsia="Arial" w:hAnsi="Arial"/>
            <w:sz w:val="18"/>
            <w:szCs w:val="18"/>
            <w:u w:val="single" w:color="auto"/>
            <w:color w:val="0000FF"/>
          </w:rPr>
          <w:t>Trust Company, as Loan Trustee) (incorporated by reference to Exhibit 4.11 to American’s Current Report on Form 8-K filed on</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277">
        <w:r>
          <w:rPr>
            <w:rFonts w:ascii="Arial" w:cs="Arial" w:eastAsia="Arial" w:hAnsi="Arial"/>
            <w:sz w:val="18"/>
            <w:szCs w:val="18"/>
            <w:u w:val="single" w:color="auto"/>
            <w:color w:val="0000FF"/>
          </w:rPr>
          <w:t>March 16, 2015 (Commission File No. 1-2691)).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w:t>
      </w:r>
      <w:r>
        <w:rPr>
          <w:sz w:val="20"/>
          <w:szCs w:val="20"/>
          <w:color w:val="auto"/>
        </w:rPr>
        <w:tab/>
      </w:r>
      <w:hyperlink r:id="rId272">
        <w:r>
          <w:rPr>
            <w:rFonts w:ascii="Arial" w:cs="Arial" w:eastAsia="Arial" w:hAnsi="Arial"/>
            <w:sz w:val="18"/>
            <w:szCs w:val="18"/>
            <w:u w:val="single" w:color="auto"/>
            <w:color w:val="0000FF"/>
          </w:rPr>
          <w:t>Form of Pass Through Trust Certificate, Series 2015-1A (incorporated by reference to Exhibit A to Exhibit 4.2 to American’s</w:t>
        </w:r>
      </w:hyperlink>
      <w:r>
        <w:rPr>
          <w:rFonts w:ascii="Arial" w:cs="Arial" w:eastAsia="Arial" w:hAnsi="Arial"/>
          <w:sz w:val="18"/>
          <w:szCs w:val="18"/>
          <w:u w:val="single" w:color="auto"/>
          <w:color w:val="0000FF"/>
        </w:rPr>
        <w:t xml:space="preserve"> </w:t>
      </w:r>
      <w:hyperlink r:id="rId272">
        <w:r>
          <w:rPr>
            <w:rFonts w:ascii="Arial" w:cs="Arial" w:eastAsia="Arial" w:hAnsi="Arial"/>
            <w:sz w:val="18"/>
            <w:szCs w:val="18"/>
            <w:u w:val="single" w:color="auto"/>
            <w:color w:val="0000FF"/>
          </w:rPr>
          <w:t>Current Report on Form 8-K filed on March 16, 2015 (Commission File No. 1-2691)).</w:t>
        </w:r>
      </w:hyperlink>
    </w:p>
    <w:p>
      <w:pPr>
        <w:spacing w:after="0" w:line="5"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4.20</w:t>
      </w:r>
      <w:r>
        <w:rPr>
          <w:sz w:val="20"/>
          <w:szCs w:val="20"/>
          <w:color w:val="auto"/>
        </w:rPr>
        <w:tab/>
      </w:r>
      <w:hyperlink r:id="rId273">
        <w:r>
          <w:rPr>
            <w:rFonts w:ascii="Arial" w:cs="Arial" w:eastAsia="Arial" w:hAnsi="Arial"/>
            <w:sz w:val="18"/>
            <w:szCs w:val="18"/>
            <w:u w:val="single" w:color="auto"/>
            <w:color w:val="0000FF"/>
          </w:rPr>
          <w:t>Form of Pass Through Trust Certificate, Series 2015-1B (incorporated by reference to Exhibit A to Exhibit 4.3 to American’s</w:t>
        </w:r>
      </w:hyperlink>
      <w:r>
        <w:rPr>
          <w:rFonts w:ascii="Arial" w:cs="Arial" w:eastAsia="Arial" w:hAnsi="Arial"/>
          <w:sz w:val="18"/>
          <w:szCs w:val="18"/>
          <w:u w:val="single" w:color="auto"/>
          <w:color w:val="0000FF"/>
        </w:rPr>
        <w:t xml:space="preserve"> </w:t>
      </w:r>
      <w:hyperlink r:id="rId273">
        <w:r>
          <w:rPr>
            <w:rFonts w:ascii="Arial" w:cs="Arial" w:eastAsia="Arial" w:hAnsi="Arial"/>
            <w:sz w:val="18"/>
            <w:szCs w:val="18"/>
            <w:u w:val="single" w:color="auto"/>
            <w:color w:val="0000FF"/>
          </w:rPr>
          <w:t>Current Report on Form 8-K filed on March 16, 2015 (Commission File No. 1-2691)).</w:t>
        </w:r>
      </w:hyperlink>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4.21      </w:t>
      </w:r>
      <w:hyperlink r:id="rId279">
        <w:r>
          <w:rPr>
            <w:rFonts w:ascii="Arial" w:cs="Arial" w:eastAsia="Arial" w:hAnsi="Arial"/>
            <w:sz w:val="18"/>
            <w:szCs w:val="18"/>
            <w:u w:val="single" w:color="auto"/>
            <w:color w:val="0000FF"/>
          </w:rPr>
          <w:t>Revolving Credit Agreement (2015-1A), dated as of March 16, 2015, between Wilmington Trust Company, as Subordination</w:t>
        </w:r>
      </w:hyperlink>
      <w:r>
        <w:rPr>
          <w:rFonts w:ascii="Arial" w:cs="Arial" w:eastAsia="Arial" w:hAnsi="Arial"/>
          <w:sz w:val="18"/>
          <w:szCs w:val="18"/>
          <w:color w:val="auto"/>
        </w:rPr>
        <w:t xml:space="preserve"> </w:t>
      </w:r>
      <w:hyperlink r:id="rId279">
        <w:r>
          <w:rPr>
            <w:rFonts w:ascii="Arial" w:cs="Arial" w:eastAsia="Arial" w:hAnsi="Arial"/>
            <w:sz w:val="18"/>
            <w:szCs w:val="18"/>
            <w:u w:val="single" w:color="auto"/>
            <w:color w:val="0000FF"/>
          </w:rPr>
          <w:t>Agent, as agent and trustee for the trustee of the American Airlines Pass Through Trust 2015-1A, as Borrower, and Crédit</w:t>
        </w:r>
      </w:hyperlink>
    </w:p>
    <w:p>
      <w:pPr>
        <w:spacing w:after="0" w:line="1" w:lineRule="exact"/>
        <w:rPr>
          <w:sz w:val="20"/>
          <w:szCs w:val="20"/>
          <w:color w:val="auto"/>
        </w:rPr>
      </w:pPr>
    </w:p>
    <w:p>
      <w:pPr>
        <w:jc w:val="both"/>
        <w:ind w:left="920" w:right="20"/>
        <w:spacing w:after="0" w:line="229" w:lineRule="auto"/>
        <w:rPr>
          <w:rFonts w:ascii="Arial" w:cs="Arial" w:eastAsia="Arial" w:hAnsi="Arial"/>
          <w:sz w:val="18"/>
          <w:szCs w:val="18"/>
          <w:u w:val="single" w:color="auto"/>
          <w:color w:val="0000FF"/>
        </w:rPr>
      </w:pPr>
      <w:hyperlink r:id="rId279">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279">
        <w:r>
          <w:rPr>
            <w:rFonts w:ascii="Arial" w:cs="Arial" w:eastAsia="Arial" w:hAnsi="Arial"/>
            <w:sz w:val="18"/>
            <w:szCs w:val="18"/>
            <w:u w:val="single" w:color="auto"/>
            <w:color w:val="0000FF"/>
          </w:rPr>
          <w:t>Exhibit 4.14 to American’s Current Report on Form 8-K filed on March 16, 2015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4.22      </w:t>
      </w:r>
      <w:hyperlink r:id="rId280">
        <w:r>
          <w:rPr>
            <w:rFonts w:ascii="Arial" w:cs="Arial" w:eastAsia="Arial" w:hAnsi="Arial"/>
            <w:sz w:val="18"/>
            <w:szCs w:val="18"/>
            <w:u w:val="single" w:color="auto"/>
            <w:color w:val="0000FF"/>
          </w:rPr>
          <w:t>Revolving Credit Agreement (2015-1B), dated as of March 16, 2015, between Wilmington Trust Company, as Subordination</w:t>
        </w:r>
      </w:hyperlink>
      <w:r>
        <w:rPr>
          <w:rFonts w:ascii="Arial" w:cs="Arial" w:eastAsia="Arial" w:hAnsi="Arial"/>
          <w:sz w:val="18"/>
          <w:szCs w:val="18"/>
          <w:color w:val="auto"/>
        </w:rPr>
        <w:t xml:space="preserve"> </w:t>
      </w:r>
      <w:hyperlink r:id="rId280">
        <w:r>
          <w:rPr>
            <w:rFonts w:ascii="Arial" w:cs="Arial" w:eastAsia="Arial" w:hAnsi="Arial"/>
            <w:sz w:val="18"/>
            <w:szCs w:val="18"/>
            <w:u w:val="single" w:color="auto"/>
            <w:color w:val="0000FF"/>
          </w:rPr>
          <w:t>Agent, as agent and trustee for the trustee of the American Airlines Pass Through Trust 2015-1B, as Borrower, and Crédit</w:t>
        </w:r>
      </w:hyperlink>
    </w:p>
    <w:p>
      <w:pPr>
        <w:jc w:val="both"/>
        <w:ind w:left="920" w:right="20"/>
        <w:spacing w:after="0" w:line="229" w:lineRule="auto"/>
        <w:rPr>
          <w:rFonts w:ascii="Arial" w:cs="Arial" w:eastAsia="Arial" w:hAnsi="Arial"/>
          <w:sz w:val="18"/>
          <w:szCs w:val="18"/>
          <w:u w:val="single" w:color="auto"/>
          <w:color w:val="0000FF"/>
        </w:rPr>
      </w:pPr>
      <w:hyperlink r:id="rId280">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280">
        <w:r>
          <w:rPr>
            <w:rFonts w:ascii="Arial" w:cs="Arial" w:eastAsia="Arial" w:hAnsi="Arial"/>
            <w:sz w:val="18"/>
            <w:szCs w:val="18"/>
            <w:u w:val="single" w:color="auto"/>
            <w:color w:val="0000FF"/>
          </w:rPr>
          <w:t>Exhibit 4.15 to American’s Current Report on Form 8-K filed on March 16, 2015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4.23      </w:t>
      </w:r>
      <w:hyperlink r:id="rId281">
        <w:r>
          <w:rPr>
            <w:rFonts w:ascii="Arial" w:cs="Arial" w:eastAsia="Arial" w:hAnsi="Arial"/>
            <w:sz w:val="18"/>
            <w:szCs w:val="18"/>
            <w:u w:val="single" w:color="auto"/>
            <w:color w:val="0000FF"/>
          </w:rPr>
          <w:t>Trust Supplement No. 2015-2AA, dated as of September 24, 2015, between American Airlines, Inc. and Wilmington Trust</w:t>
        </w:r>
      </w:hyperlink>
      <w:r>
        <w:rPr>
          <w:rFonts w:ascii="Arial" w:cs="Arial" w:eastAsia="Arial" w:hAnsi="Arial"/>
          <w:sz w:val="18"/>
          <w:szCs w:val="18"/>
          <w:color w:val="auto"/>
        </w:rPr>
        <w:t xml:space="preserve"> </w:t>
      </w:r>
      <w:hyperlink r:id="rId281">
        <w:r>
          <w:rPr>
            <w:rFonts w:ascii="Arial" w:cs="Arial" w:eastAsia="Arial" w:hAnsi="Arial"/>
            <w:sz w:val="18"/>
            <w:szCs w:val="18"/>
            <w:u w:val="single" w:color="auto"/>
            <w:color w:val="0000FF"/>
          </w:rPr>
          <w:t>Company, as Trustee, to the Pass Through Trust Agreement, dated as of September 16, 2014 (incorporated by reference to</w:t>
        </w:r>
      </w:hyperlink>
    </w:p>
    <w:p>
      <w:pPr>
        <w:ind w:left="920"/>
        <w:spacing w:after="0"/>
        <w:rPr>
          <w:rFonts w:ascii="Arial" w:cs="Arial" w:eastAsia="Arial" w:hAnsi="Arial"/>
          <w:sz w:val="18"/>
          <w:szCs w:val="18"/>
          <w:u w:val="single" w:color="auto"/>
          <w:color w:val="0000FF"/>
        </w:rPr>
      </w:pPr>
      <w:hyperlink r:id="rId281">
        <w:r>
          <w:rPr>
            <w:rFonts w:ascii="Arial" w:cs="Arial" w:eastAsia="Arial" w:hAnsi="Arial"/>
            <w:sz w:val="18"/>
            <w:szCs w:val="18"/>
            <w:u w:val="single" w:color="auto"/>
            <w:color w:val="0000FF"/>
          </w:rPr>
          <w:t>Exhibit 4.2 to American’s Current Report on Form 8-K filed on September 24, 2015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4.24      </w:t>
      </w:r>
      <w:hyperlink r:id="rId282">
        <w:r>
          <w:rPr>
            <w:rFonts w:ascii="Arial" w:cs="Arial" w:eastAsia="Arial" w:hAnsi="Arial"/>
            <w:sz w:val="18"/>
            <w:szCs w:val="18"/>
            <w:u w:val="single" w:color="auto"/>
            <w:color w:val="0000FF"/>
          </w:rPr>
          <w:t>Trust Supplement No. 2015-2A, dated as of September 24, 2015, between American Airlines, Inc. and Wilmington Trust</w:t>
        </w:r>
      </w:hyperlink>
      <w:r>
        <w:rPr>
          <w:rFonts w:ascii="Arial" w:cs="Arial" w:eastAsia="Arial" w:hAnsi="Arial"/>
          <w:sz w:val="18"/>
          <w:szCs w:val="18"/>
          <w:color w:val="auto"/>
        </w:rPr>
        <w:t xml:space="preserve"> </w:t>
      </w:r>
      <w:hyperlink r:id="rId282">
        <w:r>
          <w:rPr>
            <w:rFonts w:ascii="Arial" w:cs="Arial" w:eastAsia="Arial" w:hAnsi="Arial"/>
            <w:sz w:val="18"/>
            <w:szCs w:val="18"/>
            <w:u w:val="single" w:color="auto"/>
            <w:color w:val="0000FF"/>
          </w:rPr>
          <w:t>Company, as Trustee, to the Pass Through Trust Agreement, dated as of September 16, 2014 (incorporated by reference to</w:t>
        </w:r>
      </w:hyperlink>
    </w:p>
    <w:p>
      <w:pPr>
        <w:ind w:left="920"/>
        <w:spacing w:after="0"/>
        <w:rPr>
          <w:rFonts w:ascii="Arial" w:cs="Arial" w:eastAsia="Arial" w:hAnsi="Arial"/>
          <w:sz w:val="18"/>
          <w:szCs w:val="18"/>
          <w:u w:val="single" w:color="auto"/>
          <w:color w:val="0000FF"/>
        </w:rPr>
      </w:pPr>
      <w:hyperlink r:id="rId282">
        <w:r>
          <w:rPr>
            <w:rFonts w:ascii="Arial" w:cs="Arial" w:eastAsia="Arial" w:hAnsi="Arial"/>
            <w:sz w:val="18"/>
            <w:szCs w:val="18"/>
            <w:u w:val="single" w:color="auto"/>
            <w:color w:val="0000FF"/>
          </w:rPr>
          <w:t>Exhibit 4.3 to American’s Current Report on Form 8-K filed on September 24, 2015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4.25      </w:t>
      </w:r>
      <w:hyperlink r:id="rId283">
        <w:r>
          <w:rPr>
            <w:rFonts w:ascii="Arial" w:cs="Arial" w:eastAsia="Arial" w:hAnsi="Arial"/>
            <w:sz w:val="18"/>
            <w:szCs w:val="18"/>
            <w:u w:val="single" w:color="auto"/>
            <w:color w:val="0000FF"/>
          </w:rPr>
          <w:t>Trust Supplement No. 2015-2B, dated as of September 24, 2015, between American Airlines, Inc. and Wilmington Trust</w:t>
        </w:r>
      </w:hyperlink>
      <w:r>
        <w:rPr>
          <w:rFonts w:ascii="Arial" w:cs="Arial" w:eastAsia="Arial" w:hAnsi="Arial"/>
          <w:sz w:val="18"/>
          <w:szCs w:val="18"/>
          <w:color w:val="auto"/>
        </w:rPr>
        <w:t xml:space="preserve"> </w:t>
      </w:r>
      <w:hyperlink r:id="rId283">
        <w:r>
          <w:rPr>
            <w:rFonts w:ascii="Arial" w:cs="Arial" w:eastAsia="Arial" w:hAnsi="Arial"/>
            <w:sz w:val="18"/>
            <w:szCs w:val="18"/>
            <w:u w:val="single" w:color="auto"/>
            <w:color w:val="0000FF"/>
          </w:rPr>
          <w:t>Company, as Trustee, to the Pass Through Trust Agreement, dated as of September 16, 2014 (incorporated by reference to</w:t>
        </w:r>
      </w:hyperlink>
    </w:p>
    <w:p>
      <w:pPr>
        <w:ind w:left="920"/>
        <w:spacing w:after="0"/>
        <w:rPr>
          <w:rFonts w:ascii="Arial" w:cs="Arial" w:eastAsia="Arial" w:hAnsi="Arial"/>
          <w:sz w:val="18"/>
          <w:szCs w:val="18"/>
          <w:u w:val="single" w:color="auto"/>
          <w:color w:val="0000FF"/>
        </w:rPr>
      </w:pPr>
      <w:hyperlink r:id="rId283">
        <w:r>
          <w:rPr>
            <w:rFonts w:ascii="Arial" w:cs="Arial" w:eastAsia="Arial" w:hAnsi="Arial"/>
            <w:sz w:val="18"/>
            <w:szCs w:val="18"/>
            <w:u w:val="single" w:color="auto"/>
            <w:color w:val="0000FF"/>
          </w:rPr>
          <w:t>Exhibit 4.4 to American’s Current Report on Form 8-K filed on September 24, 2015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4.26      </w:t>
      </w:r>
      <w:hyperlink r:id="rId284">
        <w:r>
          <w:rPr>
            <w:rFonts w:ascii="Arial" w:cs="Arial" w:eastAsia="Arial" w:hAnsi="Arial"/>
            <w:sz w:val="18"/>
            <w:szCs w:val="18"/>
            <w:u w:val="single" w:color="auto"/>
            <w:color w:val="0000FF"/>
          </w:rPr>
          <w:t>Intercreditor Agreement (2015-2), dated as of September 24, 2015, among Wilmington Trust Company, as Trustee of the</w:t>
        </w:r>
      </w:hyperlink>
      <w:r>
        <w:rPr>
          <w:rFonts w:ascii="Arial" w:cs="Arial" w:eastAsia="Arial" w:hAnsi="Arial"/>
          <w:sz w:val="18"/>
          <w:szCs w:val="18"/>
          <w:color w:val="auto"/>
        </w:rPr>
        <w:t xml:space="preserve"> </w:t>
      </w:r>
      <w:hyperlink r:id="rId284">
        <w:r>
          <w:rPr>
            <w:rFonts w:ascii="Arial" w:cs="Arial" w:eastAsia="Arial" w:hAnsi="Arial"/>
            <w:sz w:val="18"/>
            <w:szCs w:val="18"/>
            <w:u w:val="single" w:color="auto"/>
            <w:color w:val="0000FF"/>
          </w:rPr>
          <w:t>American Airlines Pass Through Trust 2015-2AA, as Trustee of the American Airlines Pass Through Trust 2015-2A and as</w:t>
        </w:r>
      </w:hyperlink>
    </w:p>
    <w:p>
      <w:pPr>
        <w:jc w:val="both"/>
        <w:ind w:left="920"/>
        <w:spacing w:after="0" w:line="208" w:lineRule="auto"/>
        <w:rPr>
          <w:rFonts w:ascii="Arial" w:cs="Arial" w:eastAsia="Arial" w:hAnsi="Arial"/>
          <w:sz w:val="18"/>
          <w:szCs w:val="18"/>
          <w:u w:val="single" w:color="auto"/>
          <w:color w:val="0000FF"/>
        </w:rPr>
      </w:pPr>
      <w:hyperlink r:id="rId284">
        <w:r>
          <w:rPr>
            <w:rFonts w:ascii="Arial" w:cs="Arial" w:eastAsia="Arial" w:hAnsi="Arial"/>
            <w:sz w:val="18"/>
            <w:szCs w:val="18"/>
            <w:u w:val="single" w:color="auto"/>
            <w:color w:val="0000FF"/>
          </w:rPr>
          <w:t>Trustee of the American Airlines Pass Through Trust 2015-2B, Commonwealth Bank of Australia, New York Branch, as Class AA</w:t>
        </w:r>
      </w:hyperlink>
      <w:r>
        <w:rPr>
          <w:rFonts w:ascii="Arial" w:cs="Arial" w:eastAsia="Arial" w:hAnsi="Arial"/>
          <w:sz w:val="18"/>
          <w:szCs w:val="18"/>
          <w:u w:val="single" w:color="auto"/>
          <w:color w:val="0000FF"/>
        </w:rPr>
        <w:t xml:space="preserve"> </w:t>
      </w:r>
      <w:hyperlink r:id="rId284">
        <w:r>
          <w:rPr>
            <w:rFonts w:ascii="Arial" w:cs="Arial" w:eastAsia="Arial" w:hAnsi="Arial"/>
            <w:sz w:val="18"/>
            <w:szCs w:val="18"/>
            <w:u w:val="single" w:color="auto"/>
            <w:color w:val="0000FF"/>
          </w:rPr>
          <w:t>Liquidity Provider, Crédit Agricole Corporate and Investment Bank, acting through its New York Branch, as Class A Liquidity</w:t>
        </w:r>
      </w:hyperlink>
      <w:r>
        <w:rPr>
          <w:rFonts w:ascii="Arial" w:cs="Arial" w:eastAsia="Arial" w:hAnsi="Arial"/>
          <w:sz w:val="18"/>
          <w:szCs w:val="18"/>
          <w:u w:val="single" w:color="auto"/>
          <w:color w:val="0000FF"/>
        </w:rPr>
        <w:t xml:space="preserve"> </w:t>
      </w:r>
      <w:hyperlink r:id="rId284">
        <w:r>
          <w:rPr>
            <w:rFonts w:ascii="Arial" w:cs="Arial" w:eastAsia="Arial" w:hAnsi="Arial"/>
            <w:sz w:val="18"/>
            <w:szCs w:val="18"/>
            <w:u w:val="single" w:color="auto"/>
            <w:color w:val="0000FF"/>
          </w:rPr>
          <w:t>Provider and Class B Liquidity Provider, and Wilmington Trust Company, as Subordination Agent (incorporated by reference to</w:t>
        </w:r>
      </w:hyperlink>
    </w:p>
    <w:p>
      <w:pPr>
        <w:spacing w:after="0" w:line="1"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284">
        <w:r>
          <w:rPr>
            <w:rFonts w:ascii="Arial" w:cs="Arial" w:eastAsia="Arial" w:hAnsi="Arial"/>
            <w:sz w:val="18"/>
            <w:szCs w:val="18"/>
            <w:u w:val="single" w:color="auto"/>
            <w:color w:val="0000FF"/>
          </w:rPr>
          <w:t>Exhibit 4.5 to American’s Current Report on Form 8-K filed on September 24, 2015 (Commission File No. 1-2691)).</w:t>
        </w:r>
      </w:hyperlink>
    </w:p>
    <w:p>
      <w:pPr>
        <w:spacing w:after="0" w:line="14" w:lineRule="exact"/>
        <w:rPr>
          <w:rFonts w:ascii="Arial" w:cs="Arial" w:eastAsia="Arial" w:hAnsi="Arial"/>
          <w:sz w:val="18"/>
          <w:szCs w:val="18"/>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4.27      </w:t>
      </w:r>
      <w:hyperlink r:id="rId285">
        <w:r>
          <w:rPr>
            <w:rFonts w:ascii="Arial" w:cs="Arial" w:eastAsia="Arial" w:hAnsi="Arial"/>
            <w:sz w:val="18"/>
            <w:szCs w:val="18"/>
            <w:u w:val="single" w:color="auto"/>
            <w:color w:val="0000FF"/>
          </w:rPr>
          <w:t>Note Purchase Agreement, dated as of September 24, 2015, among American Airlines, Inc., Wilmington Trust Company, as Pass</w:t>
        </w:r>
      </w:hyperlink>
      <w:r>
        <w:rPr>
          <w:rFonts w:ascii="Arial" w:cs="Arial" w:eastAsia="Arial" w:hAnsi="Arial"/>
          <w:sz w:val="18"/>
          <w:szCs w:val="18"/>
          <w:color w:val="auto"/>
        </w:rPr>
        <w:t xml:space="preserve"> </w:t>
      </w:r>
      <w:hyperlink r:id="rId285">
        <w:r>
          <w:rPr>
            <w:rFonts w:ascii="Arial" w:cs="Arial" w:eastAsia="Arial" w:hAnsi="Arial"/>
            <w:sz w:val="18"/>
            <w:szCs w:val="18"/>
            <w:u w:val="single" w:color="auto"/>
            <w:color w:val="0000FF"/>
          </w:rPr>
          <w:t>Through Trustee under each of the Pass Through Trust Agreements and Wilmington Trust Company, as Subordination Agent</w:t>
        </w:r>
      </w:hyperlink>
    </w:p>
    <w:p>
      <w:pPr>
        <w:jc w:val="both"/>
        <w:ind w:left="920"/>
        <w:spacing w:after="0" w:line="229" w:lineRule="auto"/>
        <w:rPr>
          <w:rFonts w:ascii="Arial" w:cs="Arial" w:eastAsia="Arial" w:hAnsi="Arial"/>
          <w:sz w:val="18"/>
          <w:szCs w:val="18"/>
          <w:u w:val="single" w:color="auto"/>
          <w:color w:val="0000FF"/>
        </w:rPr>
      </w:pPr>
      <w:hyperlink r:id="rId285">
        <w:r>
          <w:rPr>
            <w:rFonts w:ascii="Arial" w:cs="Arial" w:eastAsia="Arial" w:hAnsi="Arial"/>
            <w:sz w:val="18"/>
            <w:szCs w:val="18"/>
            <w:u w:val="single" w:color="auto"/>
            <w:color w:val="0000FF"/>
          </w:rPr>
          <w:t>(incorporated by reference to Exhibit 4.6 to American’s Current Report on Form 8-K filed on September 24, 2015 (Commission</w:t>
        </w:r>
      </w:hyperlink>
      <w:r>
        <w:rPr>
          <w:rFonts w:ascii="Arial" w:cs="Arial" w:eastAsia="Arial" w:hAnsi="Arial"/>
          <w:sz w:val="18"/>
          <w:szCs w:val="18"/>
          <w:u w:val="single" w:color="auto"/>
          <w:color w:val="0000FF"/>
        </w:rPr>
        <w:t xml:space="preserve"> </w:t>
      </w:r>
      <w:hyperlink r:id="rId285">
        <w:r>
          <w:rPr>
            <w:rFonts w:ascii="Arial" w:cs="Arial" w:eastAsia="Arial" w:hAnsi="Arial"/>
            <w:sz w:val="18"/>
            <w:szCs w:val="18"/>
            <w:u w:val="single" w:color="auto"/>
            <w:color w:val="0000FF"/>
          </w:rPr>
          <w:t>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4.28      </w:t>
      </w:r>
      <w:hyperlink r:id="rId285">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285">
        <w:r>
          <w:rPr>
            <w:rFonts w:ascii="Arial" w:cs="Arial" w:eastAsia="Arial" w:hAnsi="Arial"/>
            <w:sz w:val="18"/>
            <w:szCs w:val="18"/>
            <w:u w:val="single" w:color="auto"/>
            <w:color w:val="0000FF"/>
          </w:rPr>
          <w:t>Through Trustee under each of the Pass Through Trust Agreements, Wilmington Trust Company, as Subordination Agent,</w:t>
        </w:r>
      </w:hyperlink>
    </w:p>
    <w:p>
      <w:pPr>
        <w:jc w:val="both"/>
        <w:ind w:left="920"/>
        <w:spacing w:after="0" w:line="220" w:lineRule="auto"/>
        <w:rPr>
          <w:rFonts w:ascii="Arial" w:cs="Arial" w:eastAsia="Arial" w:hAnsi="Arial"/>
          <w:sz w:val="18"/>
          <w:szCs w:val="18"/>
          <w:u w:val="single" w:color="auto"/>
          <w:color w:val="0000FF"/>
        </w:rPr>
      </w:pPr>
      <w:hyperlink r:id="rId285">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285">
        <w:r>
          <w:rPr>
            <w:rFonts w:ascii="Arial" w:cs="Arial" w:eastAsia="Arial" w:hAnsi="Arial"/>
            <w:sz w:val="18"/>
            <w:szCs w:val="18"/>
            <w:u w:val="single" w:color="auto"/>
            <w:color w:val="0000FF"/>
          </w:rPr>
          <w:t>(incorporated by reference to Exhibit B to Exhibit 4.6 to American’s Current Report on Form 8-K filed on September 24, 2015</w:t>
        </w:r>
      </w:hyperlink>
      <w:r>
        <w:rPr>
          <w:rFonts w:ascii="Arial" w:cs="Arial" w:eastAsia="Arial" w:hAnsi="Arial"/>
          <w:sz w:val="18"/>
          <w:szCs w:val="18"/>
          <w:u w:val="single" w:color="auto"/>
          <w:color w:val="0000FF"/>
        </w:rPr>
        <w:t xml:space="preserve"> </w:t>
      </w:r>
      <w:hyperlink r:id="rId285">
        <w:r>
          <w:rPr>
            <w:rFonts w:ascii="Arial" w:cs="Arial" w:eastAsia="Arial" w:hAnsi="Arial"/>
            <w:sz w:val="18"/>
            <w:szCs w:val="18"/>
            <w:u w:val="single" w:color="auto"/>
            <w:color w:val="0000FF"/>
          </w:rPr>
          <w:t>(Commission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4.29      </w:t>
      </w:r>
      <w:hyperlink r:id="rId285">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285">
        <w:r>
          <w:rPr>
            <w:rFonts w:ascii="Arial" w:cs="Arial" w:eastAsia="Arial" w:hAnsi="Arial"/>
            <w:sz w:val="18"/>
            <w:szCs w:val="18"/>
            <w:u w:val="single" w:color="auto"/>
            <w:color w:val="0000FF"/>
          </w:rPr>
          <w:t>Trust Company, as Loan Trustee) (incorporated by reference to Exhibit C to Exhibit 4.6 to American’s Current Report on Form 8-K</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285">
        <w:r>
          <w:rPr>
            <w:rFonts w:ascii="Arial" w:cs="Arial" w:eastAsia="Arial" w:hAnsi="Arial"/>
            <w:sz w:val="18"/>
            <w:szCs w:val="18"/>
            <w:u w:val="single" w:color="auto"/>
            <w:color w:val="0000FF"/>
          </w:rPr>
          <w:t>filed on September 24, 2015 (Commission File No. 1-2691)).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4.30</w:t>
      </w:r>
      <w:r>
        <w:rPr>
          <w:sz w:val="20"/>
          <w:szCs w:val="20"/>
          <w:color w:val="auto"/>
        </w:rPr>
        <w:tab/>
      </w:r>
      <w:hyperlink r:id="rId281">
        <w:r>
          <w:rPr>
            <w:rFonts w:ascii="Arial" w:cs="Arial" w:eastAsia="Arial" w:hAnsi="Arial"/>
            <w:sz w:val="18"/>
            <w:szCs w:val="18"/>
            <w:u w:val="single" w:color="auto"/>
            <w:color w:val="0000FF"/>
          </w:rPr>
          <w:t>Form of Pass Through Trust Certificate, Series 2015-2AA (incorporated by reference to Exhibit A to Exhibit 4.2 to American’s</w:t>
        </w:r>
      </w:hyperlink>
      <w:r>
        <w:rPr>
          <w:rFonts w:ascii="Arial" w:cs="Arial" w:eastAsia="Arial" w:hAnsi="Arial"/>
          <w:sz w:val="18"/>
          <w:szCs w:val="18"/>
          <w:u w:val="single" w:color="auto"/>
          <w:color w:val="0000FF"/>
        </w:rPr>
        <w:t xml:space="preserve"> </w:t>
      </w:r>
      <w:hyperlink r:id="rId281">
        <w:r>
          <w:rPr>
            <w:rFonts w:ascii="Arial" w:cs="Arial" w:eastAsia="Arial" w:hAnsi="Arial"/>
            <w:sz w:val="18"/>
            <w:szCs w:val="18"/>
            <w:u w:val="single" w:color="auto"/>
            <w:color w:val="0000FF"/>
          </w:rPr>
          <w:t>Current Report on Form 8-K filed on September 24, 2015 (Commission File No. 1-2691)).</w:t>
        </w:r>
      </w:hyperlink>
    </w:p>
    <w:p>
      <w:pPr>
        <w:spacing w:after="0" w:line="5"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4.31</w:t>
      </w:r>
      <w:r>
        <w:rPr>
          <w:sz w:val="20"/>
          <w:szCs w:val="20"/>
          <w:color w:val="auto"/>
        </w:rPr>
        <w:tab/>
      </w:r>
      <w:hyperlink r:id="rId282">
        <w:r>
          <w:rPr>
            <w:rFonts w:ascii="Arial" w:cs="Arial" w:eastAsia="Arial" w:hAnsi="Arial"/>
            <w:sz w:val="18"/>
            <w:szCs w:val="18"/>
            <w:u w:val="single" w:color="auto"/>
            <w:color w:val="0000FF"/>
          </w:rPr>
          <w:t>Form of Pass Through Trust Certificate, Series 2015-2A (incorporated by reference to Exhibit A to Exhibit 4.3 to American’s</w:t>
        </w:r>
      </w:hyperlink>
      <w:r>
        <w:rPr>
          <w:rFonts w:ascii="Arial" w:cs="Arial" w:eastAsia="Arial" w:hAnsi="Arial"/>
          <w:sz w:val="18"/>
          <w:szCs w:val="18"/>
          <w:u w:val="single" w:color="auto"/>
          <w:color w:val="0000FF"/>
        </w:rPr>
        <w:t xml:space="preserve"> </w:t>
      </w:r>
      <w:hyperlink r:id="rId282">
        <w:r>
          <w:rPr>
            <w:rFonts w:ascii="Arial" w:cs="Arial" w:eastAsia="Arial" w:hAnsi="Arial"/>
            <w:sz w:val="18"/>
            <w:szCs w:val="18"/>
            <w:u w:val="single" w:color="auto"/>
            <w:color w:val="0000FF"/>
          </w:rPr>
          <w:t>Current Report on Form 8-K filed on September 24, 2015 (Commission File No. 1-2691)).</w:t>
        </w:r>
      </w:hyperlink>
    </w:p>
    <w:p>
      <w:pPr>
        <w:spacing w:after="0" w:line="6"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4.32</w:t>
      </w:r>
      <w:r>
        <w:rPr>
          <w:sz w:val="20"/>
          <w:szCs w:val="20"/>
          <w:color w:val="auto"/>
        </w:rPr>
        <w:tab/>
      </w:r>
      <w:hyperlink r:id="rId283">
        <w:r>
          <w:rPr>
            <w:rFonts w:ascii="Arial" w:cs="Arial" w:eastAsia="Arial" w:hAnsi="Arial"/>
            <w:sz w:val="18"/>
            <w:szCs w:val="18"/>
            <w:u w:val="single" w:color="auto"/>
            <w:color w:val="0000FF"/>
          </w:rPr>
          <w:t>Form of Pass Through Trust Certificate, Series 2015-2B (incorporated by reference to Exhibit A to Exhibit 4.4 to American’s</w:t>
        </w:r>
      </w:hyperlink>
      <w:r>
        <w:rPr>
          <w:rFonts w:ascii="Arial" w:cs="Arial" w:eastAsia="Arial" w:hAnsi="Arial"/>
          <w:sz w:val="18"/>
          <w:szCs w:val="18"/>
          <w:u w:val="single" w:color="auto"/>
          <w:color w:val="0000FF"/>
        </w:rPr>
        <w:t xml:space="preserve"> </w:t>
      </w:r>
      <w:hyperlink r:id="rId283">
        <w:r>
          <w:rPr>
            <w:rFonts w:ascii="Arial" w:cs="Arial" w:eastAsia="Arial" w:hAnsi="Arial"/>
            <w:sz w:val="18"/>
            <w:szCs w:val="18"/>
            <w:u w:val="single" w:color="auto"/>
            <w:color w:val="0000FF"/>
          </w:rPr>
          <w:t>Current Report on Form 8-K filed on September 24, 2015 (Commission File No. 1-2691)).</w:t>
        </w:r>
      </w:hyperlink>
    </w:p>
    <w:p>
      <w:pPr>
        <w:spacing w:after="0" w:line="6"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4.33      </w:t>
      </w:r>
      <w:hyperlink r:id="rId286">
        <w:r>
          <w:rPr>
            <w:rFonts w:ascii="Arial" w:cs="Arial" w:eastAsia="Arial" w:hAnsi="Arial"/>
            <w:sz w:val="18"/>
            <w:szCs w:val="18"/>
            <w:u w:val="single" w:color="auto"/>
            <w:color w:val="0000FF"/>
          </w:rPr>
          <w:t>Revolving  Credit  Agreement  (2015-2AA),  dated  as  of  September  24,  2015,  between  Wilmington  Trust  Company,  as</w:t>
        </w:r>
      </w:hyperlink>
      <w:r>
        <w:rPr>
          <w:rFonts w:ascii="Arial" w:cs="Arial" w:eastAsia="Arial" w:hAnsi="Arial"/>
          <w:sz w:val="18"/>
          <w:szCs w:val="18"/>
          <w:color w:val="auto"/>
        </w:rPr>
        <w:t xml:space="preserve"> </w:t>
      </w:r>
      <w:hyperlink r:id="rId286">
        <w:r>
          <w:rPr>
            <w:rFonts w:ascii="Arial" w:cs="Arial" w:eastAsia="Arial" w:hAnsi="Arial"/>
            <w:sz w:val="18"/>
            <w:szCs w:val="18"/>
            <w:u w:val="single" w:color="auto"/>
            <w:color w:val="0000FF"/>
          </w:rPr>
          <w:t>Subordination Agent, as agent and trustee for the trustee of the American Airlines Pass Through Trust 2015-2AA, as Borrower,</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286">
        <w:r>
          <w:rPr>
            <w:rFonts w:ascii="Arial" w:cs="Arial" w:eastAsia="Arial" w:hAnsi="Arial"/>
            <w:sz w:val="18"/>
            <w:szCs w:val="18"/>
            <w:u w:val="single" w:color="auto"/>
            <w:color w:val="0000FF"/>
          </w:rPr>
          <w:t>and Commonwealth Bank of Australia, New York Branch, as Liquidity Provider (incorporated by reference to Exhibit 4.12 to</w:t>
        </w:r>
      </w:hyperlink>
      <w:r>
        <w:rPr>
          <w:rFonts w:ascii="Arial" w:cs="Arial" w:eastAsia="Arial" w:hAnsi="Arial"/>
          <w:sz w:val="18"/>
          <w:szCs w:val="18"/>
          <w:u w:val="single" w:color="auto"/>
          <w:color w:val="0000FF"/>
        </w:rPr>
        <w:t xml:space="preserve"> </w:t>
      </w:r>
      <w:hyperlink r:id="rId286">
        <w:r>
          <w:rPr>
            <w:rFonts w:ascii="Arial" w:cs="Arial" w:eastAsia="Arial" w:hAnsi="Arial"/>
            <w:sz w:val="18"/>
            <w:szCs w:val="18"/>
            <w:u w:val="single" w:color="auto"/>
            <w:color w:val="0000FF"/>
          </w:rPr>
          <w:t>American’s Current Report on Form 8-K filed on September 24, 2015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4.34      </w:t>
      </w:r>
      <w:hyperlink r:id="rId287">
        <w:r>
          <w:rPr>
            <w:rFonts w:ascii="Arial" w:cs="Arial" w:eastAsia="Arial" w:hAnsi="Arial"/>
            <w:sz w:val="18"/>
            <w:szCs w:val="18"/>
            <w:u w:val="single" w:color="auto"/>
            <w:color w:val="0000FF"/>
          </w:rPr>
          <w:t>Revolving Credit Agreement (2015-2A), dated as of September 24, 2015, between Wilmington Trust Company, as Subordination</w:t>
        </w:r>
      </w:hyperlink>
      <w:r>
        <w:rPr>
          <w:rFonts w:ascii="Arial" w:cs="Arial" w:eastAsia="Arial" w:hAnsi="Arial"/>
          <w:sz w:val="18"/>
          <w:szCs w:val="18"/>
          <w:color w:val="auto"/>
        </w:rPr>
        <w:t xml:space="preserve"> </w:t>
      </w:r>
      <w:hyperlink r:id="rId287">
        <w:r>
          <w:rPr>
            <w:rFonts w:ascii="Arial" w:cs="Arial" w:eastAsia="Arial" w:hAnsi="Arial"/>
            <w:sz w:val="18"/>
            <w:szCs w:val="18"/>
            <w:u w:val="single" w:color="auto"/>
            <w:color w:val="0000FF"/>
          </w:rPr>
          <w:t>Agent, as agent and trustee for the trustee of the American Airlines Pass Through Trust 2015-2A, as Borrower, and Crédit</w:t>
        </w:r>
      </w:hyperlink>
    </w:p>
    <w:p>
      <w:pPr>
        <w:ind w:left="920" w:right="20"/>
        <w:spacing w:after="0" w:line="229" w:lineRule="auto"/>
        <w:rPr>
          <w:rFonts w:ascii="Arial" w:cs="Arial" w:eastAsia="Arial" w:hAnsi="Arial"/>
          <w:sz w:val="18"/>
          <w:szCs w:val="18"/>
          <w:u w:val="single" w:color="auto"/>
          <w:color w:val="0000FF"/>
        </w:rPr>
      </w:pPr>
      <w:hyperlink r:id="rId287">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287">
        <w:r>
          <w:rPr>
            <w:rFonts w:ascii="Arial" w:cs="Arial" w:eastAsia="Arial" w:hAnsi="Arial"/>
            <w:sz w:val="18"/>
            <w:szCs w:val="18"/>
            <w:u w:val="single" w:color="auto"/>
            <w:color w:val="0000FF"/>
          </w:rPr>
          <w:t>Exhibit 4.13 to American’s Current Report on Form 8-K filed on September 24, 2015 (Commission File No. 1-2691)).</w:t>
        </w:r>
      </w:hyperlink>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4.35      </w:t>
      </w:r>
      <w:hyperlink r:id="rId289">
        <w:r>
          <w:rPr>
            <w:rFonts w:ascii="Arial" w:cs="Arial" w:eastAsia="Arial" w:hAnsi="Arial"/>
            <w:sz w:val="18"/>
            <w:szCs w:val="18"/>
            <w:u w:val="single" w:color="auto"/>
            <w:color w:val="0000FF"/>
          </w:rPr>
          <w:t>Revolving Credit Agreement (2015-2B), dated as of September 24, 2015, between Wilmington Trust Company, as Subordination</w:t>
        </w:r>
      </w:hyperlink>
      <w:r>
        <w:rPr>
          <w:rFonts w:ascii="Arial" w:cs="Arial" w:eastAsia="Arial" w:hAnsi="Arial"/>
          <w:sz w:val="18"/>
          <w:szCs w:val="18"/>
          <w:color w:val="auto"/>
        </w:rPr>
        <w:t xml:space="preserve"> </w:t>
      </w:r>
      <w:hyperlink r:id="rId289">
        <w:r>
          <w:rPr>
            <w:rFonts w:ascii="Arial" w:cs="Arial" w:eastAsia="Arial" w:hAnsi="Arial"/>
            <w:sz w:val="18"/>
            <w:szCs w:val="18"/>
            <w:u w:val="single" w:color="auto"/>
            <w:color w:val="0000FF"/>
          </w:rPr>
          <w:t>Agent, as agent and trustee for the trustee of the American Airlines Pass Through Trust 2015-2B, as Borrower, and Crédit</w:t>
        </w:r>
      </w:hyperlink>
    </w:p>
    <w:p>
      <w:pPr>
        <w:spacing w:after="0" w:line="1" w:lineRule="exact"/>
        <w:rPr>
          <w:sz w:val="20"/>
          <w:szCs w:val="20"/>
          <w:color w:val="auto"/>
        </w:rPr>
      </w:pPr>
    </w:p>
    <w:p>
      <w:pPr>
        <w:jc w:val="both"/>
        <w:ind w:left="920" w:right="20"/>
        <w:spacing w:after="0" w:line="229" w:lineRule="auto"/>
        <w:rPr>
          <w:rFonts w:ascii="Arial" w:cs="Arial" w:eastAsia="Arial" w:hAnsi="Arial"/>
          <w:sz w:val="18"/>
          <w:szCs w:val="18"/>
          <w:u w:val="single" w:color="auto"/>
          <w:color w:val="0000FF"/>
        </w:rPr>
      </w:pPr>
      <w:hyperlink r:id="rId289">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289">
        <w:r>
          <w:rPr>
            <w:rFonts w:ascii="Arial" w:cs="Arial" w:eastAsia="Arial" w:hAnsi="Arial"/>
            <w:sz w:val="18"/>
            <w:szCs w:val="18"/>
            <w:u w:val="single" w:color="auto"/>
            <w:color w:val="0000FF"/>
          </w:rPr>
          <w:t>Exhibit 4.14 to American’s Current Report on Form 8-K filed on September 24, 2015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4.36      </w:t>
      </w:r>
      <w:hyperlink r:id="rId290">
        <w:r>
          <w:rPr>
            <w:rFonts w:ascii="Arial" w:cs="Arial" w:eastAsia="Arial" w:hAnsi="Arial"/>
            <w:sz w:val="18"/>
            <w:szCs w:val="18"/>
            <w:u w:val="single" w:color="auto"/>
            <w:color w:val="0000FF"/>
          </w:rPr>
          <w:t>Note Purchase Agreement, dated as of April 24, 2013, among American Airlines, Inc. (as successor in interest to US Airways,</w:t>
        </w:r>
      </w:hyperlink>
      <w:r>
        <w:rPr>
          <w:rFonts w:ascii="Arial" w:cs="Arial" w:eastAsia="Arial" w:hAnsi="Arial"/>
          <w:sz w:val="18"/>
          <w:szCs w:val="18"/>
          <w:color w:val="auto"/>
        </w:rPr>
        <w:t xml:space="preserve"> </w:t>
      </w:r>
      <w:hyperlink r:id="rId290">
        <w:r>
          <w:rPr>
            <w:rFonts w:ascii="Arial" w:cs="Arial" w:eastAsia="Arial" w:hAnsi="Arial"/>
            <w:sz w:val="18"/>
            <w:szCs w:val="18"/>
            <w:u w:val="single" w:color="auto"/>
            <w:color w:val="0000FF"/>
          </w:rPr>
          <w:t>Inc.) Wilmington Trust Company, as Pass Through Trustee, Wilmington Trust Company, as Subordination Agent, Wilmington</w:t>
        </w:r>
      </w:hyperlink>
    </w:p>
    <w:p>
      <w:pPr>
        <w:jc w:val="both"/>
        <w:ind w:left="920"/>
        <w:spacing w:after="0" w:line="229" w:lineRule="auto"/>
        <w:rPr>
          <w:rFonts w:ascii="Arial" w:cs="Arial" w:eastAsia="Arial" w:hAnsi="Arial"/>
          <w:sz w:val="18"/>
          <w:szCs w:val="18"/>
          <w:u w:val="single" w:color="auto"/>
          <w:color w:val="0000FF"/>
        </w:rPr>
      </w:pPr>
      <w:hyperlink r:id="rId290">
        <w:r>
          <w:rPr>
            <w:rFonts w:ascii="Arial" w:cs="Arial" w:eastAsia="Arial" w:hAnsi="Arial"/>
            <w:sz w:val="18"/>
            <w:szCs w:val="18"/>
            <w:u w:val="single" w:color="auto"/>
            <w:color w:val="0000FF"/>
          </w:rPr>
          <w:t>Trust, National Association, as Escrow Agent, and Wilmington Trust Company, as Paying Agent (incorporated by reference to</w:t>
        </w:r>
      </w:hyperlink>
      <w:r>
        <w:rPr>
          <w:rFonts w:ascii="Arial" w:cs="Arial" w:eastAsia="Arial" w:hAnsi="Arial"/>
          <w:sz w:val="18"/>
          <w:szCs w:val="18"/>
          <w:u w:val="single" w:color="auto"/>
          <w:color w:val="0000FF"/>
        </w:rPr>
        <w:t xml:space="preserve"> </w:t>
      </w:r>
      <w:hyperlink r:id="rId290">
        <w:r>
          <w:rPr>
            <w:rFonts w:ascii="Arial" w:cs="Arial" w:eastAsia="Arial" w:hAnsi="Arial"/>
            <w:sz w:val="18"/>
            <w:szCs w:val="18"/>
            <w:u w:val="single" w:color="auto"/>
            <w:color w:val="0000FF"/>
          </w:rPr>
          <w:t>Exhibit 4.12 to US Airways Group’s Current Report on Form 8-K filed on April 25, 2013 (Commission File No. 1-8444)).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4.37      </w:t>
      </w:r>
      <w:hyperlink r:id="rId291">
        <w:r>
          <w:rPr>
            <w:rFonts w:ascii="Arial" w:cs="Arial" w:eastAsia="Arial" w:hAnsi="Arial"/>
            <w:sz w:val="18"/>
            <w:szCs w:val="18"/>
            <w:u w:val="single" w:color="auto"/>
            <w:color w:val="0000FF"/>
          </w:rPr>
          <w:t>Assumption Agreement, dated as of December 30, 2015, by American Airlines, Inc. for the benefit of Wilmington Trust Company,</w:t>
        </w:r>
      </w:hyperlink>
      <w:r>
        <w:rPr>
          <w:rFonts w:ascii="Arial" w:cs="Arial" w:eastAsia="Arial" w:hAnsi="Arial"/>
          <w:sz w:val="18"/>
          <w:szCs w:val="18"/>
          <w:color w:val="auto"/>
        </w:rPr>
        <w:t xml:space="preserve"> </w:t>
      </w:r>
      <w:hyperlink r:id="rId291">
        <w:r>
          <w:rPr>
            <w:rFonts w:ascii="Arial" w:cs="Arial" w:eastAsia="Arial" w:hAnsi="Arial"/>
            <w:sz w:val="18"/>
            <w:szCs w:val="18"/>
            <w:u w:val="single" w:color="auto"/>
            <w:color w:val="0000FF"/>
          </w:rPr>
          <w:t>as pass through trustee, subordination agent, and paying agent, and Wilmington Trust, National Association, as escrow agent, in</w:t>
        </w:r>
      </w:hyperlink>
    </w:p>
    <w:p>
      <w:pPr>
        <w:jc w:val="both"/>
        <w:ind w:left="920"/>
        <w:spacing w:after="0" w:line="208" w:lineRule="auto"/>
        <w:rPr>
          <w:rFonts w:ascii="Arial" w:cs="Arial" w:eastAsia="Arial" w:hAnsi="Arial"/>
          <w:sz w:val="18"/>
          <w:szCs w:val="18"/>
          <w:u w:val="single" w:color="auto"/>
          <w:color w:val="0000FF"/>
        </w:rPr>
      </w:pPr>
      <w:hyperlink r:id="rId291">
        <w:r>
          <w:rPr>
            <w:rFonts w:ascii="Arial" w:cs="Arial" w:eastAsia="Arial" w:hAnsi="Arial"/>
            <w:sz w:val="18"/>
            <w:szCs w:val="18"/>
            <w:u w:val="single" w:color="auto"/>
            <w:color w:val="0000FF"/>
          </w:rPr>
          <w:t>each case, under the Note Purchase Agreement, dated as of April 24, 2013, among American Airlines, Inc. (as successor in</w:t>
        </w:r>
      </w:hyperlink>
      <w:r>
        <w:rPr>
          <w:rFonts w:ascii="Arial" w:cs="Arial" w:eastAsia="Arial" w:hAnsi="Arial"/>
          <w:sz w:val="18"/>
          <w:szCs w:val="18"/>
          <w:u w:val="single" w:color="auto"/>
          <w:color w:val="0000FF"/>
        </w:rPr>
        <w:t xml:space="preserve"> </w:t>
      </w:r>
      <w:hyperlink r:id="rId291">
        <w:r>
          <w:rPr>
            <w:rFonts w:ascii="Arial" w:cs="Arial" w:eastAsia="Arial" w:hAnsi="Arial"/>
            <w:sz w:val="18"/>
            <w:szCs w:val="18"/>
            <w:u w:val="single" w:color="auto"/>
            <w:color w:val="0000FF"/>
          </w:rPr>
          <w:t>interest to US Airways, Inc.), Wilmington Trust Company, Wilmington Trust, National Association and Wilmington Trust Company</w:t>
        </w:r>
      </w:hyperlink>
      <w:r>
        <w:rPr>
          <w:rFonts w:ascii="Arial" w:cs="Arial" w:eastAsia="Arial" w:hAnsi="Arial"/>
          <w:sz w:val="18"/>
          <w:szCs w:val="18"/>
          <w:u w:val="single" w:color="auto"/>
          <w:color w:val="0000FF"/>
        </w:rPr>
        <w:t xml:space="preserve"> </w:t>
      </w:r>
      <w:hyperlink r:id="rId291">
        <w:r>
          <w:rPr>
            <w:rFonts w:ascii="Arial" w:cs="Arial" w:eastAsia="Arial" w:hAnsi="Arial"/>
            <w:sz w:val="18"/>
            <w:szCs w:val="18"/>
            <w:u w:val="single" w:color="auto"/>
            <w:color w:val="0000FF"/>
          </w:rPr>
          <w:t>(incorporated by reference to Exhibit 10.2 to AAG’s Current Report on Form 8-K filed on December 31, 2015 (Commission File</w:t>
        </w:r>
      </w:hyperlink>
    </w:p>
    <w:p>
      <w:pPr>
        <w:spacing w:after="0" w:line="1"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291">
        <w:r>
          <w:rPr>
            <w:rFonts w:ascii="Arial" w:cs="Arial" w:eastAsia="Arial" w:hAnsi="Arial"/>
            <w:sz w:val="18"/>
            <w:szCs w:val="18"/>
            <w:u w:val="single" w:color="auto"/>
            <w:color w:val="0000FF"/>
          </w:rPr>
          <w:t>No. 1-8400)).</w:t>
        </w:r>
      </w:hyperlink>
    </w:p>
    <w:p>
      <w:pPr>
        <w:spacing w:after="0" w:line="14" w:lineRule="exact"/>
        <w:rPr>
          <w:rFonts w:ascii="Arial" w:cs="Arial" w:eastAsia="Arial" w:hAnsi="Arial"/>
          <w:sz w:val="18"/>
          <w:szCs w:val="18"/>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4.38      </w:t>
      </w:r>
      <w:hyperlink r:id="rId292">
        <w:r>
          <w:rPr>
            <w:rFonts w:ascii="Arial" w:cs="Arial" w:eastAsia="Arial" w:hAnsi="Arial"/>
            <w:sz w:val="18"/>
            <w:szCs w:val="18"/>
            <w:u w:val="single" w:color="auto"/>
            <w:color w:val="0000FF"/>
          </w:rPr>
          <w:t>Form of Participation Agreement between American Airlines, Inc. (as successor in interest to US Airways, Inc.), as Owner, and</w:t>
        </w:r>
      </w:hyperlink>
      <w:r>
        <w:rPr>
          <w:rFonts w:ascii="Arial" w:cs="Arial" w:eastAsia="Arial" w:hAnsi="Arial"/>
          <w:sz w:val="18"/>
          <w:szCs w:val="18"/>
          <w:color w:val="auto"/>
        </w:rPr>
        <w:t xml:space="preserve"> </w:t>
      </w:r>
      <w:hyperlink r:id="rId292">
        <w:r>
          <w:rPr>
            <w:rFonts w:ascii="Arial" w:cs="Arial" w:eastAsia="Arial" w:hAnsi="Arial"/>
            <w:sz w:val="18"/>
            <w:szCs w:val="18"/>
            <w:u w:val="single" w:color="auto"/>
            <w:color w:val="0000FF"/>
          </w:rPr>
          <w:t>Wilmington Trust Company, as Indenture Trustee, Subordination Agent and Pass Through Trustee (incorporated by reference to</w:t>
        </w:r>
      </w:hyperlink>
    </w:p>
    <w:p>
      <w:pPr>
        <w:jc w:val="center"/>
        <w:ind w:right="-19"/>
        <w:spacing w:after="0"/>
        <w:rPr>
          <w:rFonts w:ascii="Arial" w:cs="Arial" w:eastAsia="Arial" w:hAnsi="Arial"/>
          <w:sz w:val="18"/>
          <w:szCs w:val="18"/>
          <w:u w:val="single" w:color="auto"/>
          <w:color w:val="0000FF"/>
        </w:rPr>
      </w:pPr>
      <w:hyperlink r:id="rId292">
        <w:r>
          <w:rPr>
            <w:rFonts w:ascii="Arial" w:cs="Arial" w:eastAsia="Arial" w:hAnsi="Arial"/>
            <w:sz w:val="18"/>
            <w:szCs w:val="18"/>
            <w:u w:val="single" w:color="auto"/>
            <w:color w:val="0000FF"/>
          </w:rPr>
          <w:t>Exhibit 4.13 to US Airways Group’s Current Report on Form 8-K filed on April 25, 2013 (Commission File No. 1-8444)).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4.39      </w:t>
      </w:r>
      <w:hyperlink r:id="rId293">
        <w:r>
          <w:rPr>
            <w:rFonts w:ascii="Arial" w:cs="Arial" w:eastAsia="Arial" w:hAnsi="Arial"/>
            <w:sz w:val="18"/>
            <w:szCs w:val="18"/>
            <w:u w:val="single" w:color="auto"/>
            <w:color w:val="0000FF"/>
          </w:rPr>
          <w:t>Form of Trust Indenture and Security Agreement among American Airlines, Inc. (as successor in interest to US Airways, Inc.), as</w:t>
        </w:r>
      </w:hyperlink>
      <w:r>
        <w:rPr>
          <w:rFonts w:ascii="Arial" w:cs="Arial" w:eastAsia="Arial" w:hAnsi="Arial"/>
          <w:sz w:val="18"/>
          <w:szCs w:val="18"/>
          <w:color w:val="auto"/>
        </w:rPr>
        <w:t xml:space="preserve"> </w:t>
      </w:r>
      <w:hyperlink r:id="rId293">
        <w:r>
          <w:rPr>
            <w:rFonts w:ascii="Arial" w:cs="Arial" w:eastAsia="Arial" w:hAnsi="Arial"/>
            <w:sz w:val="18"/>
            <w:szCs w:val="18"/>
            <w:u w:val="single" w:color="auto"/>
            <w:color w:val="0000FF"/>
          </w:rPr>
          <w:t>Owner, Wilmington Trust, National Association, as Securities Intermediary, and Wilmington Trust Company, as Indenture Trustee</w:t>
        </w:r>
      </w:hyperlink>
    </w:p>
    <w:p>
      <w:pPr>
        <w:ind w:left="920"/>
        <w:spacing w:after="0" w:line="229" w:lineRule="auto"/>
        <w:rPr>
          <w:rFonts w:ascii="Arial" w:cs="Arial" w:eastAsia="Arial" w:hAnsi="Arial"/>
          <w:sz w:val="18"/>
          <w:szCs w:val="18"/>
          <w:u w:val="single" w:color="auto"/>
          <w:color w:val="0000FF"/>
        </w:rPr>
      </w:pPr>
      <w:hyperlink r:id="rId293">
        <w:r>
          <w:rPr>
            <w:rFonts w:ascii="Arial" w:cs="Arial" w:eastAsia="Arial" w:hAnsi="Arial"/>
            <w:sz w:val="18"/>
            <w:szCs w:val="18"/>
            <w:u w:val="single" w:color="auto"/>
            <w:color w:val="0000FF"/>
          </w:rPr>
          <w:t>(incorporated by reference to Exhibit 4.14 to US Airways Group’s Current Report on Form 8-K filed on April 25, 2013</w:t>
        </w:r>
      </w:hyperlink>
      <w:r>
        <w:rPr>
          <w:rFonts w:ascii="Arial" w:cs="Arial" w:eastAsia="Arial" w:hAnsi="Arial"/>
          <w:sz w:val="18"/>
          <w:szCs w:val="18"/>
          <w:u w:val="single" w:color="auto"/>
          <w:color w:val="0000FF"/>
        </w:rPr>
        <w:t xml:space="preserve"> </w:t>
      </w:r>
      <w:hyperlink r:id="rId293">
        <w:r>
          <w:rPr>
            <w:rFonts w:ascii="Arial" w:cs="Arial" w:eastAsia="Arial" w:hAnsi="Arial"/>
            <w:sz w:val="18"/>
            <w:szCs w:val="18"/>
            <w:u w:val="single" w:color="auto"/>
            <w:color w:val="0000FF"/>
          </w:rPr>
          <w:t>(Commission File No. 1-8444)).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4.40      </w:t>
      </w:r>
      <w:hyperlink r:id="rId294">
        <w:r>
          <w:rPr>
            <w:rFonts w:ascii="Arial" w:cs="Arial" w:eastAsia="Arial" w:hAnsi="Arial"/>
            <w:sz w:val="18"/>
            <w:szCs w:val="18"/>
            <w:u w:val="single" w:color="auto"/>
            <w:color w:val="0000FF"/>
          </w:rPr>
          <w:t>Form of Amendment No. 1 to Participation Agreement between American Airlines, Inc. (as successor in interest to US Airways,</w:t>
        </w:r>
      </w:hyperlink>
      <w:r>
        <w:rPr>
          <w:rFonts w:ascii="Arial" w:cs="Arial" w:eastAsia="Arial" w:hAnsi="Arial"/>
          <w:sz w:val="18"/>
          <w:szCs w:val="18"/>
          <w:color w:val="auto"/>
        </w:rPr>
        <w:t xml:space="preserve"> </w:t>
      </w:r>
      <w:hyperlink r:id="rId294">
        <w:r>
          <w:rPr>
            <w:rFonts w:ascii="Arial" w:cs="Arial" w:eastAsia="Arial" w:hAnsi="Arial"/>
            <w:sz w:val="18"/>
            <w:szCs w:val="18"/>
            <w:u w:val="single" w:color="auto"/>
            <w:color w:val="0000FF"/>
          </w:rPr>
          <w:t>Inc.), as Owner, and Wilmington Trust Company, as Indenture Trustee, Subordination Agent and Pass Through Trustee (Exhibit A</w:t>
        </w:r>
      </w:hyperlink>
    </w:p>
    <w:p>
      <w:pPr>
        <w:ind w:left="920" w:right="20"/>
        <w:spacing w:after="0" w:line="229" w:lineRule="auto"/>
        <w:rPr>
          <w:rFonts w:ascii="Arial" w:cs="Arial" w:eastAsia="Arial" w:hAnsi="Arial"/>
          <w:sz w:val="18"/>
          <w:szCs w:val="18"/>
          <w:u w:val="single" w:color="auto"/>
          <w:color w:val="0000FF"/>
        </w:rPr>
      </w:pPr>
      <w:hyperlink r:id="rId294">
        <w:r>
          <w:rPr>
            <w:rFonts w:ascii="Arial" w:cs="Arial" w:eastAsia="Arial" w:hAnsi="Arial"/>
            <w:sz w:val="18"/>
            <w:szCs w:val="18"/>
            <w:u w:val="single" w:color="auto"/>
            <w:color w:val="0000FF"/>
          </w:rPr>
          <w:t>to Note Purchase Agreement) (incorporated by reference to Exhibit 4.8 to US Airways Group’s Current Report on Form 8-K filed</w:t>
        </w:r>
      </w:hyperlink>
      <w:r>
        <w:rPr>
          <w:rFonts w:ascii="Arial" w:cs="Arial" w:eastAsia="Arial" w:hAnsi="Arial"/>
          <w:sz w:val="18"/>
          <w:szCs w:val="18"/>
          <w:u w:val="single" w:color="auto"/>
          <w:color w:val="0000FF"/>
        </w:rPr>
        <w:t xml:space="preserve"> </w:t>
      </w:r>
      <w:hyperlink r:id="rId294">
        <w:r>
          <w:rPr>
            <w:rFonts w:ascii="Arial" w:cs="Arial" w:eastAsia="Arial" w:hAnsi="Arial"/>
            <w:sz w:val="18"/>
            <w:szCs w:val="18"/>
            <w:u w:val="single" w:color="auto"/>
            <w:color w:val="0000FF"/>
          </w:rPr>
          <w:t>on June 6, 2013 (Commission File No. 1-8444)).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4.41      </w:t>
      </w:r>
      <w:hyperlink r:id="rId295">
        <w:r>
          <w:rPr>
            <w:rFonts w:ascii="Arial" w:cs="Arial" w:eastAsia="Arial" w:hAnsi="Arial"/>
            <w:sz w:val="18"/>
            <w:szCs w:val="18"/>
            <w:u w:val="single" w:color="auto"/>
            <w:color w:val="0000FF"/>
          </w:rPr>
          <w:t>Form of Amendment No. 1 to Trust Indenture and Security Agreement among American Airlines, Inc. (as successor in interest to</w:t>
        </w:r>
      </w:hyperlink>
      <w:r>
        <w:rPr>
          <w:rFonts w:ascii="Arial" w:cs="Arial" w:eastAsia="Arial" w:hAnsi="Arial"/>
          <w:sz w:val="18"/>
          <w:szCs w:val="18"/>
          <w:color w:val="auto"/>
        </w:rPr>
        <w:t xml:space="preserve"> </w:t>
      </w:r>
      <w:hyperlink r:id="rId295">
        <w:r>
          <w:rPr>
            <w:rFonts w:ascii="Arial" w:cs="Arial" w:eastAsia="Arial" w:hAnsi="Arial"/>
            <w:sz w:val="18"/>
            <w:szCs w:val="18"/>
            <w:u w:val="single" w:color="auto"/>
            <w:color w:val="0000FF"/>
          </w:rPr>
          <w:t>US Airways, Inc.), as Owner, Wilmington Trust, National Association, as Securities Intermediary, and Wilmington Trust Company,</w:t>
        </w:r>
      </w:hyperlink>
    </w:p>
    <w:p>
      <w:pPr>
        <w:ind w:left="920"/>
        <w:spacing w:after="0" w:line="229" w:lineRule="auto"/>
        <w:rPr>
          <w:rFonts w:ascii="Arial" w:cs="Arial" w:eastAsia="Arial" w:hAnsi="Arial"/>
          <w:sz w:val="18"/>
          <w:szCs w:val="18"/>
          <w:u w:val="single" w:color="auto"/>
          <w:color w:val="0000FF"/>
        </w:rPr>
      </w:pPr>
      <w:hyperlink r:id="rId295">
        <w:r>
          <w:rPr>
            <w:rFonts w:ascii="Arial" w:cs="Arial" w:eastAsia="Arial" w:hAnsi="Arial"/>
            <w:sz w:val="18"/>
            <w:szCs w:val="18"/>
            <w:u w:val="single" w:color="auto"/>
            <w:color w:val="0000FF"/>
          </w:rPr>
          <w:t>as Indenture Trustee (Exhibit B to Note Purchase Agreement) (incorporated by reference to Exhibit 4.9 to US Airways Group’s</w:t>
        </w:r>
      </w:hyperlink>
      <w:r>
        <w:rPr>
          <w:rFonts w:ascii="Arial" w:cs="Arial" w:eastAsia="Arial" w:hAnsi="Arial"/>
          <w:sz w:val="18"/>
          <w:szCs w:val="18"/>
          <w:u w:val="single" w:color="auto"/>
          <w:color w:val="0000FF"/>
        </w:rPr>
        <w:t xml:space="preserve"> </w:t>
      </w:r>
      <w:hyperlink r:id="rId295">
        <w:r>
          <w:rPr>
            <w:rFonts w:ascii="Arial" w:cs="Arial" w:eastAsia="Arial" w:hAnsi="Arial"/>
            <w:sz w:val="18"/>
            <w:szCs w:val="18"/>
            <w:u w:val="single" w:color="auto"/>
            <w:color w:val="0000FF"/>
          </w:rPr>
          <w:t>Current Report on Form 8-K filed on June 6, 2013 (Commission File No. 1-8444)).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4.42      </w:t>
      </w:r>
      <w:hyperlink r:id="rId296">
        <w:r>
          <w:rPr>
            <w:rFonts w:ascii="Arial" w:cs="Arial" w:eastAsia="Arial" w:hAnsi="Arial"/>
            <w:sz w:val="18"/>
            <w:szCs w:val="18"/>
            <w:u w:val="single" w:color="auto"/>
            <w:color w:val="0000FF"/>
          </w:rPr>
          <w:t>Amended and Restated Guarantee, dated as of March 31, 2014, from American Airlines Group Inc. (as successor in interest to</w:t>
        </w:r>
      </w:hyperlink>
      <w:r>
        <w:rPr>
          <w:rFonts w:ascii="Arial" w:cs="Arial" w:eastAsia="Arial" w:hAnsi="Arial"/>
          <w:sz w:val="18"/>
          <w:szCs w:val="18"/>
          <w:color w:val="auto"/>
        </w:rPr>
        <w:t xml:space="preserve"> </w:t>
      </w:r>
      <w:hyperlink r:id="rId296">
        <w:r>
          <w:rPr>
            <w:rFonts w:ascii="Arial" w:cs="Arial" w:eastAsia="Arial" w:hAnsi="Arial"/>
            <w:sz w:val="18"/>
            <w:szCs w:val="18"/>
            <w:u w:val="single" w:color="auto"/>
            <w:color w:val="0000FF"/>
          </w:rPr>
          <w:t>US Airways Group, Inc.) relating to obligations of US Airways under the equipment notes relating to its Series 2013-1 Pass</w:t>
        </w:r>
      </w:hyperlink>
    </w:p>
    <w:p>
      <w:pPr>
        <w:ind w:left="920"/>
        <w:spacing w:after="0" w:line="229" w:lineRule="auto"/>
        <w:rPr>
          <w:rFonts w:ascii="Arial" w:cs="Arial" w:eastAsia="Arial" w:hAnsi="Arial"/>
          <w:sz w:val="18"/>
          <w:szCs w:val="18"/>
          <w:u w:val="single" w:color="auto"/>
          <w:color w:val="0000FF"/>
        </w:rPr>
      </w:pPr>
      <w:hyperlink r:id="rId296">
        <w:r>
          <w:rPr>
            <w:rFonts w:ascii="Arial" w:cs="Arial" w:eastAsia="Arial" w:hAnsi="Arial"/>
            <w:sz w:val="18"/>
            <w:szCs w:val="18"/>
            <w:u w:val="single" w:color="auto"/>
            <w:color w:val="0000FF"/>
          </w:rPr>
          <w:t>Through Certificates (incorporated by reference to Exhibit 10.5 to AAG’s Quarterly Report on Form 10-Q for the quarter ended</w:t>
        </w:r>
      </w:hyperlink>
      <w:r>
        <w:rPr>
          <w:rFonts w:ascii="Arial" w:cs="Arial" w:eastAsia="Arial" w:hAnsi="Arial"/>
          <w:sz w:val="18"/>
          <w:szCs w:val="18"/>
          <w:u w:val="single" w:color="auto"/>
          <w:color w:val="0000FF"/>
        </w:rPr>
        <w:t xml:space="preserve"> </w:t>
      </w:r>
      <w:hyperlink r:id="rId296">
        <w:r>
          <w:rPr>
            <w:rFonts w:ascii="Arial" w:cs="Arial" w:eastAsia="Arial" w:hAnsi="Arial"/>
            <w:sz w:val="18"/>
            <w:szCs w:val="18"/>
            <w:u w:val="single" w:color="auto"/>
            <w:color w:val="0000FF"/>
          </w:rPr>
          <w:t>March 31, 2014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4.43      </w:t>
      </w:r>
      <w:hyperlink r:id="rId297">
        <w:r>
          <w:rPr>
            <w:rFonts w:ascii="Arial" w:cs="Arial" w:eastAsia="Arial" w:hAnsi="Arial"/>
            <w:sz w:val="18"/>
            <w:szCs w:val="18"/>
            <w:u w:val="single" w:color="auto"/>
            <w:color w:val="0000FF"/>
          </w:rPr>
          <w:t>Form of Participation Agreement between American Airlines, Inc. (as successor in interest to US Airways, Inc.), as Owner, and</w:t>
        </w:r>
      </w:hyperlink>
      <w:r>
        <w:rPr>
          <w:rFonts w:ascii="Arial" w:cs="Arial" w:eastAsia="Arial" w:hAnsi="Arial"/>
          <w:sz w:val="18"/>
          <w:szCs w:val="18"/>
          <w:color w:val="auto"/>
        </w:rPr>
        <w:t xml:space="preserve"> </w:t>
      </w:r>
      <w:hyperlink r:id="rId297">
        <w:r>
          <w:rPr>
            <w:rFonts w:ascii="Arial" w:cs="Arial" w:eastAsia="Arial" w:hAnsi="Arial"/>
            <w:sz w:val="18"/>
            <w:szCs w:val="18"/>
            <w:u w:val="single" w:color="auto"/>
            <w:color w:val="0000FF"/>
          </w:rPr>
          <w:t>Wilmington Trust Company, as Indenture Trustee, Subordination Agent and Pass Through Trustee (Schedule I to Amendment No.</w:t>
        </w:r>
      </w:hyperlink>
    </w:p>
    <w:p>
      <w:pPr>
        <w:ind w:left="920"/>
        <w:spacing w:after="0" w:line="229" w:lineRule="auto"/>
        <w:rPr>
          <w:rFonts w:ascii="Arial" w:cs="Arial" w:eastAsia="Arial" w:hAnsi="Arial"/>
          <w:sz w:val="18"/>
          <w:szCs w:val="18"/>
          <w:u w:val="single" w:color="auto"/>
          <w:color w:val="0000FF"/>
        </w:rPr>
      </w:pPr>
      <w:hyperlink r:id="rId297">
        <w:r>
          <w:rPr>
            <w:rFonts w:ascii="Arial" w:cs="Arial" w:eastAsia="Arial" w:hAnsi="Arial"/>
            <w:sz w:val="18"/>
            <w:szCs w:val="18"/>
            <w:u w:val="single" w:color="auto"/>
            <w:color w:val="0000FF"/>
          </w:rPr>
          <w:t>1 to Note Purchase Agreement (2012-2)) (incorporated by reference to Exhibit 4.10 to US Airways Group’s Current Report on</w:t>
        </w:r>
      </w:hyperlink>
      <w:r>
        <w:rPr>
          <w:rFonts w:ascii="Arial" w:cs="Arial" w:eastAsia="Arial" w:hAnsi="Arial"/>
          <w:sz w:val="18"/>
          <w:szCs w:val="18"/>
          <w:u w:val="single" w:color="auto"/>
          <w:color w:val="0000FF"/>
        </w:rPr>
        <w:t xml:space="preserve"> </w:t>
      </w:r>
      <w:hyperlink r:id="rId297">
        <w:r>
          <w:rPr>
            <w:rFonts w:ascii="Arial" w:cs="Arial" w:eastAsia="Arial" w:hAnsi="Arial"/>
            <w:sz w:val="18"/>
            <w:szCs w:val="18"/>
            <w:u w:val="single" w:color="auto"/>
            <w:color w:val="0000FF"/>
          </w:rPr>
          <w:t>Form 8-K filed on June 6, 2013 (Commission File No. 1-8444)).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4.44      </w:t>
      </w:r>
      <w:hyperlink r:id="rId298">
        <w:r>
          <w:rPr>
            <w:rFonts w:ascii="Arial" w:cs="Arial" w:eastAsia="Arial" w:hAnsi="Arial"/>
            <w:sz w:val="18"/>
            <w:szCs w:val="18"/>
            <w:u w:val="single" w:color="auto"/>
            <w:color w:val="0000FF"/>
          </w:rPr>
          <w:t>Form of Trust Indenture and Security Agreement among American Airlines, Inc. (as successor in interest to US Airways, Inc.), as</w:t>
        </w:r>
      </w:hyperlink>
      <w:r>
        <w:rPr>
          <w:rFonts w:ascii="Arial" w:cs="Arial" w:eastAsia="Arial" w:hAnsi="Arial"/>
          <w:sz w:val="18"/>
          <w:szCs w:val="18"/>
          <w:color w:val="auto"/>
        </w:rPr>
        <w:t xml:space="preserve"> </w:t>
      </w:r>
      <w:hyperlink r:id="rId298">
        <w:r>
          <w:rPr>
            <w:rFonts w:ascii="Arial" w:cs="Arial" w:eastAsia="Arial" w:hAnsi="Arial"/>
            <w:sz w:val="18"/>
            <w:szCs w:val="18"/>
            <w:u w:val="single" w:color="auto"/>
            <w:color w:val="0000FF"/>
          </w:rPr>
          <w:t>Owner, Wilmington Trust, National Association, as Securities Intermediary, and Wilmington Trust Company, as Indenture Trustee</w:t>
        </w:r>
      </w:hyperlink>
    </w:p>
    <w:p>
      <w:pPr>
        <w:ind w:left="920"/>
        <w:spacing w:after="0" w:line="229" w:lineRule="auto"/>
        <w:rPr>
          <w:rFonts w:ascii="Arial" w:cs="Arial" w:eastAsia="Arial" w:hAnsi="Arial"/>
          <w:sz w:val="18"/>
          <w:szCs w:val="18"/>
          <w:u w:val="single" w:color="auto"/>
          <w:color w:val="0000FF"/>
        </w:rPr>
      </w:pPr>
      <w:hyperlink r:id="rId298">
        <w:r>
          <w:rPr>
            <w:rFonts w:ascii="Arial" w:cs="Arial" w:eastAsia="Arial" w:hAnsi="Arial"/>
            <w:sz w:val="18"/>
            <w:szCs w:val="18"/>
            <w:u w:val="single" w:color="auto"/>
            <w:color w:val="0000FF"/>
          </w:rPr>
          <w:t>(Exhibit A to Amendment No. 1 to Note Purchase Agreement (2012-2)) (incorporated by reference to Exhibit 4.11 to US Airways</w:t>
        </w:r>
      </w:hyperlink>
      <w:r>
        <w:rPr>
          <w:rFonts w:ascii="Arial" w:cs="Arial" w:eastAsia="Arial" w:hAnsi="Arial"/>
          <w:sz w:val="18"/>
          <w:szCs w:val="18"/>
          <w:u w:val="single" w:color="auto"/>
          <w:color w:val="0000FF"/>
        </w:rPr>
        <w:t xml:space="preserve"> </w:t>
      </w:r>
      <w:hyperlink r:id="rId298">
        <w:r>
          <w:rPr>
            <w:rFonts w:ascii="Arial" w:cs="Arial" w:eastAsia="Arial" w:hAnsi="Arial"/>
            <w:sz w:val="18"/>
            <w:szCs w:val="18"/>
            <w:u w:val="single" w:color="auto"/>
            <w:color w:val="0000FF"/>
          </w:rPr>
          <w:t>Group’s Current Report on Form 8-K filed on June 6, 2013 (Commission File No. 1-8444)).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4.45      </w:t>
      </w:r>
      <w:hyperlink r:id="rId299">
        <w:r>
          <w:rPr>
            <w:rFonts w:ascii="Arial" w:cs="Arial" w:eastAsia="Arial" w:hAnsi="Arial"/>
            <w:sz w:val="18"/>
            <w:szCs w:val="18"/>
            <w:u w:val="single" w:color="auto"/>
            <w:color w:val="0000FF"/>
          </w:rPr>
          <w:t>Form of Participation Agreement (Participation Agreement between American Airlines, Inc. (as successor in interest to US</w:t>
        </w:r>
      </w:hyperlink>
      <w:r>
        <w:rPr>
          <w:rFonts w:ascii="Arial" w:cs="Arial" w:eastAsia="Arial" w:hAnsi="Arial"/>
          <w:sz w:val="18"/>
          <w:szCs w:val="18"/>
          <w:color w:val="auto"/>
        </w:rPr>
        <w:t xml:space="preserve"> </w:t>
      </w:r>
      <w:hyperlink r:id="rId299">
        <w:r>
          <w:rPr>
            <w:rFonts w:ascii="Arial" w:cs="Arial" w:eastAsia="Arial" w:hAnsi="Arial"/>
            <w:sz w:val="18"/>
            <w:szCs w:val="18"/>
            <w:u w:val="single" w:color="auto"/>
            <w:color w:val="0000FF"/>
          </w:rPr>
          <w:t>Airways, Inc.), as Owner, and Wilmington Trust Company, as Indenture Trustee and Subordination Agent) (incorporated by</w:t>
        </w:r>
      </w:hyperlink>
    </w:p>
    <w:p>
      <w:pPr>
        <w:ind w:left="920"/>
        <w:spacing w:after="0" w:line="203" w:lineRule="auto"/>
        <w:rPr>
          <w:rFonts w:ascii="Arial" w:cs="Arial" w:eastAsia="Arial" w:hAnsi="Arial"/>
          <w:sz w:val="18"/>
          <w:szCs w:val="18"/>
          <w:u w:val="single" w:color="auto"/>
          <w:color w:val="0000FF"/>
        </w:rPr>
      </w:pPr>
      <w:hyperlink r:id="rId299">
        <w:r>
          <w:rPr>
            <w:rFonts w:ascii="Arial" w:cs="Arial" w:eastAsia="Arial" w:hAnsi="Arial"/>
            <w:sz w:val="18"/>
            <w:szCs w:val="18"/>
            <w:u w:val="single" w:color="auto"/>
            <w:color w:val="0000FF"/>
          </w:rPr>
          <w:t>reference to Exhibit 4.14 to US Airways Group’s Current Report on Form 8-K filed on December 23, 2010 (Commission File No.</w:t>
        </w:r>
      </w:hyperlink>
    </w:p>
    <w:p>
      <w:pPr>
        <w:ind w:left="920"/>
        <w:spacing w:after="0"/>
        <w:rPr>
          <w:rFonts w:ascii="Arial" w:cs="Arial" w:eastAsia="Arial" w:hAnsi="Arial"/>
          <w:sz w:val="18"/>
          <w:szCs w:val="18"/>
          <w:u w:val="single" w:color="auto"/>
          <w:color w:val="0000FF"/>
        </w:rPr>
      </w:pPr>
      <w:hyperlink r:id="rId299">
        <w:r>
          <w:rPr>
            <w:rFonts w:ascii="Arial" w:cs="Arial" w:eastAsia="Arial" w:hAnsi="Arial"/>
            <w:sz w:val="18"/>
            <w:szCs w:val="18"/>
            <w:u w:val="single" w:color="auto"/>
            <w:color w:val="0000FF"/>
          </w:rPr>
          <w:t>1-8444)).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4.46      </w:t>
      </w:r>
      <w:hyperlink r:id="rId300">
        <w:r>
          <w:rPr>
            <w:rFonts w:ascii="Arial" w:cs="Arial" w:eastAsia="Arial" w:hAnsi="Arial"/>
            <w:sz w:val="18"/>
            <w:szCs w:val="18"/>
            <w:u w:val="single" w:color="auto"/>
            <w:color w:val="0000FF"/>
          </w:rPr>
          <w:t>Form of Indenture (Trust Indenture and Security Agreement between American Airlines, Inc. (as successor in interest to US</w:t>
        </w:r>
      </w:hyperlink>
      <w:r>
        <w:rPr>
          <w:rFonts w:ascii="Arial" w:cs="Arial" w:eastAsia="Arial" w:hAnsi="Arial"/>
          <w:sz w:val="18"/>
          <w:szCs w:val="18"/>
          <w:color w:val="auto"/>
        </w:rPr>
        <w:t xml:space="preserve"> </w:t>
      </w:r>
      <w:hyperlink r:id="rId300">
        <w:r>
          <w:rPr>
            <w:rFonts w:ascii="Arial" w:cs="Arial" w:eastAsia="Arial" w:hAnsi="Arial"/>
            <w:sz w:val="18"/>
            <w:szCs w:val="18"/>
            <w:u w:val="single" w:color="auto"/>
            <w:color w:val="0000FF"/>
          </w:rPr>
          <w:t>Airways, Inc.), as Owner, and Wilmington Trust Company, as Indenture Trustee) (incorporated by reference to Exhibit 4.15 to US</w:t>
        </w:r>
      </w:hyperlink>
    </w:p>
    <w:p>
      <w:pPr>
        <w:ind w:left="920"/>
        <w:spacing w:after="0"/>
        <w:rPr>
          <w:rFonts w:ascii="Arial" w:cs="Arial" w:eastAsia="Arial" w:hAnsi="Arial"/>
          <w:sz w:val="18"/>
          <w:szCs w:val="18"/>
          <w:u w:val="single" w:color="auto"/>
          <w:color w:val="0000FF"/>
        </w:rPr>
      </w:pPr>
      <w:hyperlink r:id="rId300">
        <w:r>
          <w:rPr>
            <w:rFonts w:ascii="Arial" w:cs="Arial" w:eastAsia="Arial" w:hAnsi="Arial"/>
            <w:sz w:val="18"/>
            <w:szCs w:val="18"/>
            <w:u w:val="single" w:color="auto"/>
            <w:color w:val="0000FF"/>
          </w:rPr>
          <w:t>Airways Group’s Current Report on Form 8-K filed on December 23, 2010 (Commission File No. 1-8444)).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4.47      </w:t>
      </w:r>
      <w:hyperlink r:id="rId301">
        <w:r>
          <w:rPr>
            <w:rFonts w:ascii="Arial" w:cs="Arial" w:eastAsia="Arial" w:hAnsi="Arial"/>
            <w:sz w:val="18"/>
            <w:szCs w:val="18"/>
            <w:u w:val="single" w:color="auto"/>
            <w:color w:val="0000FF"/>
          </w:rPr>
          <w:t>Amended and Restated Guarantee, dated as of March 31, 2014, from American Airlines Group Inc. (as successor in interest to</w:t>
        </w:r>
      </w:hyperlink>
      <w:r>
        <w:rPr>
          <w:rFonts w:ascii="Arial" w:cs="Arial" w:eastAsia="Arial" w:hAnsi="Arial"/>
          <w:sz w:val="18"/>
          <w:szCs w:val="18"/>
          <w:color w:val="auto"/>
        </w:rPr>
        <w:t xml:space="preserve"> </w:t>
      </w:r>
      <w:hyperlink r:id="rId301">
        <w:r>
          <w:rPr>
            <w:rFonts w:ascii="Arial" w:cs="Arial" w:eastAsia="Arial" w:hAnsi="Arial"/>
            <w:sz w:val="18"/>
            <w:szCs w:val="18"/>
            <w:u w:val="single" w:color="auto"/>
            <w:color w:val="0000FF"/>
          </w:rPr>
          <w:t>US Airways Group, Inc.) relating to obligations of US Airways under the equipment notes relating to its Series 2010-1 Pass</w:t>
        </w:r>
      </w:hyperlink>
    </w:p>
    <w:p>
      <w:pPr>
        <w:ind w:left="920"/>
        <w:spacing w:after="0" w:line="229" w:lineRule="auto"/>
        <w:rPr>
          <w:rFonts w:ascii="Arial" w:cs="Arial" w:eastAsia="Arial" w:hAnsi="Arial"/>
          <w:sz w:val="18"/>
          <w:szCs w:val="18"/>
          <w:u w:val="single" w:color="auto"/>
          <w:color w:val="0000FF"/>
        </w:rPr>
      </w:pPr>
      <w:hyperlink r:id="rId301">
        <w:r>
          <w:rPr>
            <w:rFonts w:ascii="Arial" w:cs="Arial" w:eastAsia="Arial" w:hAnsi="Arial"/>
            <w:sz w:val="18"/>
            <w:szCs w:val="18"/>
            <w:u w:val="single" w:color="auto"/>
            <w:color w:val="0000FF"/>
          </w:rPr>
          <w:t>Through Certificates (incorporated by reference to Exhibit 10.1 to AAG’s Quarterly Report on Form 10-Q for the quarter ended</w:t>
        </w:r>
      </w:hyperlink>
      <w:r>
        <w:rPr>
          <w:rFonts w:ascii="Arial" w:cs="Arial" w:eastAsia="Arial" w:hAnsi="Arial"/>
          <w:sz w:val="18"/>
          <w:szCs w:val="18"/>
          <w:u w:val="single" w:color="auto"/>
          <w:color w:val="0000FF"/>
        </w:rPr>
        <w:t xml:space="preserve"> </w:t>
      </w:r>
      <w:hyperlink r:id="rId301">
        <w:r>
          <w:rPr>
            <w:rFonts w:ascii="Arial" w:cs="Arial" w:eastAsia="Arial" w:hAnsi="Arial"/>
            <w:sz w:val="18"/>
            <w:szCs w:val="18"/>
            <w:u w:val="single" w:color="auto"/>
            <w:color w:val="0000FF"/>
          </w:rPr>
          <w:t>March 31, 2014 (Commission File No. 1-8400)).</w:t>
        </w:r>
      </w:hyperlink>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4.48      </w:t>
      </w:r>
      <w:hyperlink r:id="rId303">
        <w:r>
          <w:rPr>
            <w:rFonts w:ascii="Arial" w:cs="Arial" w:eastAsia="Arial" w:hAnsi="Arial"/>
            <w:sz w:val="18"/>
            <w:szCs w:val="18"/>
            <w:u w:val="single" w:color="auto"/>
            <w:color w:val="0000FF"/>
          </w:rPr>
          <w:t>Form of Participation Agreement (Participation Agreement between American Airlines, Inc. (as successor in interest to US</w:t>
        </w:r>
      </w:hyperlink>
      <w:r>
        <w:rPr>
          <w:rFonts w:ascii="Arial" w:cs="Arial" w:eastAsia="Arial" w:hAnsi="Arial"/>
          <w:sz w:val="18"/>
          <w:szCs w:val="18"/>
          <w:color w:val="auto"/>
        </w:rPr>
        <w:t xml:space="preserve"> </w:t>
      </w:r>
      <w:hyperlink r:id="rId303">
        <w:r>
          <w:rPr>
            <w:rFonts w:ascii="Arial" w:cs="Arial" w:eastAsia="Arial" w:hAnsi="Arial"/>
            <w:sz w:val="18"/>
            <w:szCs w:val="18"/>
            <w:u w:val="single" w:color="auto"/>
            <w:color w:val="0000FF"/>
          </w:rPr>
          <w:t>Airways, Inc.), as Owner, and Wilmington Trust Company, as Indenture Trustee and Subordination Agent) (incorporated by</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03">
        <w:r>
          <w:rPr>
            <w:rFonts w:ascii="Arial" w:cs="Arial" w:eastAsia="Arial" w:hAnsi="Arial"/>
            <w:sz w:val="18"/>
            <w:szCs w:val="18"/>
            <w:u w:val="single" w:color="auto"/>
            <w:color w:val="0000FF"/>
          </w:rPr>
          <w:t>reference to Exhibit 4.18 to US Airways Group’s Current Report on Form 8-K filed on July 1, 2011 (Commission File No. 1-</w:t>
        </w:r>
      </w:hyperlink>
      <w:hyperlink r:id="rId303">
        <w:r>
          <w:rPr>
            <w:rFonts w:ascii="Arial" w:cs="Arial" w:eastAsia="Arial" w:hAnsi="Arial"/>
            <w:sz w:val="18"/>
            <w:szCs w:val="18"/>
            <w:u w:val="single" w:color="auto"/>
            <w:color w:val="0000FF"/>
          </w:rPr>
          <w:t>08444)).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4.49      </w:t>
      </w:r>
      <w:hyperlink r:id="rId304">
        <w:r>
          <w:rPr>
            <w:rFonts w:ascii="Arial" w:cs="Arial" w:eastAsia="Arial" w:hAnsi="Arial"/>
            <w:sz w:val="18"/>
            <w:szCs w:val="18"/>
            <w:u w:val="single" w:color="auto"/>
            <w:color w:val="0000FF"/>
          </w:rPr>
          <w:t>Form of Indenture (Trust Indenture and Security Agreement between American Airlines, Inc. (as successor in interest to US</w:t>
        </w:r>
      </w:hyperlink>
      <w:r>
        <w:rPr>
          <w:rFonts w:ascii="Arial" w:cs="Arial" w:eastAsia="Arial" w:hAnsi="Arial"/>
          <w:sz w:val="18"/>
          <w:szCs w:val="18"/>
          <w:color w:val="auto"/>
        </w:rPr>
        <w:t xml:space="preserve"> </w:t>
      </w:r>
      <w:hyperlink r:id="rId304">
        <w:r>
          <w:rPr>
            <w:rFonts w:ascii="Arial" w:cs="Arial" w:eastAsia="Arial" w:hAnsi="Arial"/>
            <w:sz w:val="18"/>
            <w:szCs w:val="18"/>
            <w:u w:val="single" w:color="auto"/>
            <w:color w:val="0000FF"/>
          </w:rPr>
          <w:t>Airways, Inc.), as Owner, and Wilmington Trust Company, as Indenture Trustee) (incorporated by reference to Exhibit 4.19 to US</w:t>
        </w:r>
      </w:hyperlink>
    </w:p>
    <w:p>
      <w:pPr>
        <w:ind w:left="920"/>
        <w:spacing w:after="0"/>
        <w:rPr>
          <w:rFonts w:ascii="Arial" w:cs="Arial" w:eastAsia="Arial" w:hAnsi="Arial"/>
          <w:sz w:val="18"/>
          <w:szCs w:val="18"/>
          <w:u w:val="single" w:color="auto"/>
          <w:color w:val="0000FF"/>
        </w:rPr>
      </w:pPr>
      <w:hyperlink r:id="rId304">
        <w:r>
          <w:rPr>
            <w:rFonts w:ascii="Arial" w:cs="Arial" w:eastAsia="Arial" w:hAnsi="Arial"/>
            <w:sz w:val="18"/>
            <w:szCs w:val="18"/>
            <w:u w:val="single" w:color="auto"/>
            <w:color w:val="0000FF"/>
          </w:rPr>
          <w:t>Airways Group’s Current Report on Form 8-K filed on July 1, 2011 (Commission File No. 1-08444)).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4.50      </w:t>
      </w:r>
      <w:hyperlink r:id="rId305">
        <w:r>
          <w:rPr>
            <w:rFonts w:ascii="Arial" w:cs="Arial" w:eastAsia="Arial" w:hAnsi="Arial"/>
            <w:sz w:val="18"/>
            <w:szCs w:val="18"/>
            <w:u w:val="single" w:color="auto"/>
            <w:color w:val="0000FF"/>
          </w:rPr>
          <w:t>Guarantee, dated as of June 28, 2011, from American Airlines Group Inc. (as successor in interest to US Airways Group, Inc.)</w:t>
        </w:r>
      </w:hyperlink>
      <w:r>
        <w:rPr>
          <w:rFonts w:ascii="Arial" w:cs="Arial" w:eastAsia="Arial" w:hAnsi="Arial"/>
          <w:sz w:val="18"/>
          <w:szCs w:val="18"/>
          <w:color w:val="auto"/>
        </w:rPr>
        <w:t xml:space="preserve"> </w:t>
      </w:r>
      <w:hyperlink r:id="rId305">
        <w:r>
          <w:rPr>
            <w:rFonts w:ascii="Arial" w:cs="Arial" w:eastAsia="Arial" w:hAnsi="Arial"/>
            <w:sz w:val="18"/>
            <w:szCs w:val="18"/>
            <w:u w:val="single" w:color="auto"/>
            <w:color w:val="0000FF"/>
          </w:rPr>
          <w:t>(incorporated by reference to Exhibit 4.23 to US Airways Group’s Current Report on Form 8-K filed on July 1, 2011 (Commission</w:t>
        </w:r>
      </w:hyperlink>
    </w:p>
    <w:p>
      <w:pPr>
        <w:ind w:left="920"/>
        <w:spacing w:after="0"/>
        <w:rPr>
          <w:rFonts w:ascii="Arial" w:cs="Arial" w:eastAsia="Arial" w:hAnsi="Arial"/>
          <w:sz w:val="18"/>
          <w:szCs w:val="18"/>
          <w:u w:val="single" w:color="auto"/>
          <w:color w:val="0000FF"/>
        </w:rPr>
      </w:pPr>
      <w:hyperlink r:id="rId305">
        <w:r>
          <w:rPr>
            <w:rFonts w:ascii="Arial" w:cs="Arial" w:eastAsia="Arial" w:hAnsi="Arial"/>
            <w:sz w:val="18"/>
            <w:szCs w:val="18"/>
            <w:u w:val="single" w:color="auto"/>
            <w:color w:val="0000FF"/>
          </w:rPr>
          <w:t>File No. 1-08444)).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4.51      </w:t>
      </w:r>
      <w:hyperlink r:id="rId306">
        <w:r>
          <w:rPr>
            <w:rFonts w:ascii="Arial" w:cs="Arial" w:eastAsia="Arial" w:hAnsi="Arial"/>
            <w:sz w:val="18"/>
            <w:szCs w:val="18"/>
            <w:u w:val="single" w:color="auto"/>
            <w:color w:val="0000FF"/>
          </w:rPr>
          <w:t>Amended and Restated Guarantee, dated as of March 31, 2014, from American Airlines Group Inc. (as successor in interest to</w:t>
        </w:r>
      </w:hyperlink>
      <w:r>
        <w:rPr>
          <w:rFonts w:ascii="Arial" w:cs="Arial" w:eastAsia="Arial" w:hAnsi="Arial"/>
          <w:sz w:val="18"/>
          <w:szCs w:val="18"/>
          <w:color w:val="auto"/>
        </w:rPr>
        <w:t xml:space="preserve"> </w:t>
      </w:r>
      <w:hyperlink r:id="rId306">
        <w:r>
          <w:rPr>
            <w:rFonts w:ascii="Arial" w:cs="Arial" w:eastAsia="Arial" w:hAnsi="Arial"/>
            <w:sz w:val="18"/>
            <w:szCs w:val="18"/>
            <w:u w:val="single" w:color="auto"/>
            <w:color w:val="0000FF"/>
          </w:rPr>
          <w:t>US Airways Group, Inc.) relating to obligations of US Airways under the equipment notes relating to its Series 2011-1 Pass</w:t>
        </w:r>
      </w:hyperlink>
    </w:p>
    <w:p>
      <w:pPr>
        <w:jc w:val="both"/>
        <w:ind w:left="920"/>
        <w:spacing w:after="0" w:line="229" w:lineRule="auto"/>
        <w:rPr>
          <w:rFonts w:ascii="Arial" w:cs="Arial" w:eastAsia="Arial" w:hAnsi="Arial"/>
          <w:sz w:val="18"/>
          <w:szCs w:val="18"/>
          <w:u w:val="single" w:color="auto"/>
          <w:color w:val="0000FF"/>
        </w:rPr>
      </w:pPr>
      <w:hyperlink r:id="rId306">
        <w:r>
          <w:rPr>
            <w:rFonts w:ascii="Arial" w:cs="Arial" w:eastAsia="Arial" w:hAnsi="Arial"/>
            <w:sz w:val="18"/>
            <w:szCs w:val="18"/>
            <w:u w:val="single" w:color="auto"/>
            <w:color w:val="0000FF"/>
          </w:rPr>
          <w:t>Through Certificates (incorporated by reference to Exhibit 10.2 to AAG’s Quarterly Report on Form 10-Q for the quarter ended</w:t>
        </w:r>
      </w:hyperlink>
      <w:r>
        <w:rPr>
          <w:rFonts w:ascii="Arial" w:cs="Arial" w:eastAsia="Arial" w:hAnsi="Arial"/>
          <w:sz w:val="18"/>
          <w:szCs w:val="18"/>
          <w:u w:val="single" w:color="auto"/>
          <w:color w:val="0000FF"/>
        </w:rPr>
        <w:t xml:space="preserve"> </w:t>
      </w:r>
      <w:hyperlink r:id="rId306">
        <w:r>
          <w:rPr>
            <w:rFonts w:ascii="Arial" w:cs="Arial" w:eastAsia="Arial" w:hAnsi="Arial"/>
            <w:sz w:val="18"/>
            <w:szCs w:val="18"/>
            <w:u w:val="single" w:color="auto"/>
            <w:color w:val="0000FF"/>
          </w:rPr>
          <w:t>March 31, 2014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4.52      </w:t>
      </w:r>
      <w:hyperlink r:id="rId307">
        <w:r>
          <w:rPr>
            <w:rFonts w:ascii="Arial" w:cs="Arial" w:eastAsia="Arial" w:hAnsi="Arial"/>
            <w:sz w:val="18"/>
            <w:szCs w:val="18"/>
            <w:u w:val="single" w:color="auto"/>
            <w:color w:val="0000FF"/>
          </w:rPr>
          <w:t>Form of Participation Agreement (Participation Agreement between American Airlines, Inc. (as successor in interest to US</w:t>
        </w:r>
      </w:hyperlink>
      <w:r>
        <w:rPr>
          <w:rFonts w:ascii="Arial" w:cs="Arial" w:eastAsia="Arial" w:hAnsi="Arial"/>
          <w:sz w:val="18"/>
          <w:szCs w:val="18"/>
          <w:color w:val="auto"/>
        </w:rPr>
        <w:t xml:space="preserve"> </w:t>
      </w:r>
      <w:hyperlink r:id="rId307">
        <w:r>
          <w:rPr>
            <w:rFonts w:ascii="Arial" w:cs="Arial" w:eastAsia="Arial" w:hAnsi="Arial"/>
            <w:sz w:val="18"/>
            <w:szCs w:val="18"/>
            <w:u w:val="single" w:color="auto"/>
            <w:color w:val="0000FF"/>
          </w:rPr>
          <w:t>Airways, Inc.), as Owner, and Wilmington Trust Company, as Indenture Trustee and Subordination Agent) (incorporated by</w:t>
        </w:r>
      </w:hyperlink>
    </w:p>
    <w:p>
      <w:pPr>
        <w:jc w:val="both"/>
        <w:ind w:left="920" w:right="20"/>
        <w:spacing w:after="0" w:line="229" w:lineRule="auto"/>
        <w:rPr>
          <w:rFonts w:ascii="Arial" w:cs="Arial" w:eastAsia="Arial" w:hAnsi="Arial"/>
          <w:sz w:val="18"/>
          <w:szCs w:val="18"/>
          <w:u w:val="single" w:color="auto"/>
          <w:color w:val="0000FF"/>
        </w:rPr>
      </w:pPr>
      <w:hyperlink r:id="rId307">
        <w:r>
          <w:rPr>
            <w:rFonts w:ascii="Arial" w:cs="Arial" w:eastAsia="Arial" w:hAnsi="Arial"/>
            <w:sz w:val="18"/>
            <w:szCs w:val="18"/>
            <w:u w:val="single" w:color="auto"/>
            <w:color w:val="0000FF"/>
          </w:rPr>
          <w:t>reference to Exhibit 4.18 to US Airways Group’s Current Report on Form 8-K filed on May 16, 2012 (Commission File No. 1-</w:t>
        </w:r>
      </w:hyperlink>
      <w:hyperlink r:id="rId307">
        <w:r>
          <w:rPr>
            <w:rFonts w:ascii="Arial" w:cs="Arial" w:eastAsia="Arial" w:hAnsi="Arial"/>
            <w:sz w:val="18"/>
            <w:szCs w:val="18"/>
            <w:u w:val="single" w:color="auto"/>
            <w:color w:val="0000FF"/>
          </w:rPr>
          <w:t>08444)).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4.53      </w:t>
      </w:r>
      <w:hyperlink r:id="rId308">
        <w:r>
          <w:rPr>
            <w:rFonts w:ascii="Arial" w:cs="Arial" w:eastAsia="Arial" w:hAnsi="Arial"/>
            <w:sz w:val="18"/>
            <w:szCs w:val="18"/>
            <w:u w:val="single" w:color="auto"/>
            <w:color w:val="0000FF"/>
          </w:rPr>
          <w:t>Form of Indenture (Trust Indenture and Security Agreement between American Airlines, Inc. (as successor in interest to US</w:t>
        </w:r>
      </w:hyperlink>
      <w:r>
        <w:rPr>
          <w:rFonts w:ascii="Arial" w:cs="Arial" w:eastAsia="Arial" w:hAnsi="Arial"/>
          <w:sz w:val="18"/>
          <w:szCs w:val="18"/>
          <w:color w:val="auto"/>
        </w:rPr>
        <w:t xml:space="preserve"> </w:t>
      </w:r>
      <w:hyperlink r:id="rId308">
        <w:r>
          <w:rPr>
            <w:rFonts w:ascii="Arial" w:cs="Arial" w:eastAsia="Arial" w:hAnsi="Arial"/>
            <w:sz w:val="18"/>
            <w:szCs w:val="18"/>
            <w:u w:val="single" w:color="auto"/>
            <w:color w:val="0000FF"/>
          </w:rPr>
          <w:t>Airways, Inc.), as Owner, and Wilmington Trust Company, as Indenture Trustee) (incorporated by reference to Exhibit 4.19 to US</w:t>
        </w:r>
      </w:hyperlink>
    </w:p>
    <w:p>
      <w:pPr>
        <w:ind w:left="920"/>
        <w:spacing w:after="0"/>
        <w:rPr>
          <w:rFonts w:ascii="Arial" w:cs="Arial" w:eastAsia="Arial" w:hAnsi="Arial"/>
          <w:sz w:val="18"/>
          <w:szCs w:val="18"/>
          <w:u w:val="single" w:color="auto"/>
          <w:color w:val="0000FF"/>
        </w:rPr>
      </w:pPr>
      <w:hyperlink r:id="rId308">
        <w:r>
          <w:rPr>
            <w:rFonts w:ascii="Arial" w:cs="Arial" w:eastAsia="Arial" w:hAnsi="Arial"/>
            <w:sz w:val="18"/>
            <w:szCs w:val="18"/>
            <w:u w:val="single" w:color="auto"/>
            <w:color w:val="0000FF"/>
          </w:rPr>
          <w:t>Airways Group’s Current Report on Form 8-K filed on May 16, 2012 (Commission File No. 1-08444)).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4.54      </w:t>
      </w:r>
      <w:hyperlink r:id="rId309">
        <w:r>
          <w:rPr>
            <w:rFonts w:ascii="Arial" w:cs="Arial" w:eastAsia="Arial" w:hAnsi="Arial"/>
            <w:sz w:val="18"/>
            <w:szCs w:val="18"/>
            <w:u w:val="single" w:color="auto"/>
            <w:color w:val="0000FF"/>
          </w:rPr>
          <w:t>Amended and Restated Guarantee, dated as of March 31, 2014, from American Airlines Group Inc. (as successor in interest to</w:t>
        </w:r>
      </w:hyperlink>
      <w:r>
        <w:rPr>
          <w:rFonts w:ascii="Arial" w:cs="Arial" w:eastAsia="Arial" w:hAnsi="Arial"/>
          <w:sz w:val="18"/>
          <w:szCs w:val="18"/>
          <w:color w:val="auto"/>
        </w:rPr>
        <w:t xml:space="preserve"> </w:t>
      </w:r>
      <w:hyperlink r:id="rId309">
        <w:r>
          <w:rPr>
            <w:rFonts w:ascii="Arial" w:cs="Arial" w:eastAsia="Arial" w:hAnsi="Arial"/>
            <w:sz w:val="18"/>
            <w:szCs w:val="18"/>
            <w:u w:val="single" w:color="auto"/>
            <w:color w:val="0000FF"/>
          </w:rPr>
          <w:t>US Airways Group, Inc.) relating to obligations of US Airways under the equipment notes relating to its Series 2012-1 Pass</w:t>
        </w:r>
      </w:hyperlink>
    </w:p>
    <w:p>
      <w:pPr>
        <w:jc w:val="both"/>
        <w:ind w:left="920"/>
        <w:spacing w:after="0" w:line="229" w:lineRule="auto"/>
        <w:rPr>
          <w:rFonts w:ascii="Arial" w:cs="Arial" w:eastAsia="Arial" w:hAnsi="Arial"/>
          <w:sz w:val="18"/>
          <w:szCs w:val="18"/>
          <w:u w:val="single" w:color="auto"/>
          <w:color w:val="0000FF"/>
        </w:rPr>
      </w:pPr>
      <w:hyperlink r:id="rId309">
        <w:r>
          <w:rPr>
            <w:rFonts w:ascii="Arial" w:cs="Arial" w:eastAsia="Arial" w:hAnsi="Arial"/>
            <w:sz w:val="18"/>
            <w:szCs w:val="18"/>
            <w:u w:val="single" w:color="auto"/>
            <w:color w:val="0000FF"/>
          </w:rPr>
          <w:t>Through Certificates (incorporated by reference to Exhibit 10.3 to AAG’s Quarterly Report on Form 10-Q for the quarter ended</w:t>
        </w:r>
      </w:hyperlink>
      <w:r>
        <w:rPr>
          <w:rFonts w:ascii="Arial" w:cs="Arial" w:eastAsia="Arial" w:hAnsi="Arial"/>
          <w:sz w:val="18"/>
          <w:szCs w:val="18"/>
          <w:u w:val="single" w:color="auto"/>
          <w:color w:val="0000FF"/>
        </w:rPr>
        <w:t xml:space="preserve"> </w:t>
      </w:r>
      <w:hyperlink r:id="rId309">
        <w:r>
          <w:rPr>
            <w:rFonts w:ascii="Arial" w:cs="Arial" w:eastAsia="Arial" w:hAnsi="Arial"/>
            <w:sz w:val="18"/>
            <w:szCs w:val="18"/>
            <w:u w:val="single" w:color="auto"/>
            <w:color w:val="0000FF"/>
          </w:rPr>
          <w:t>March 31, 2014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4.55      </w:t>
      </w:r>
      <w:hyperlink r:id="rId310">
        <w:r>
          <w:rPr>
            <w:rFonts w:ascii="Arial" w:cs="Arial" w:eastAsia="Arial" w:hAnsi="Arial"/>
            <w:sz w:val="18"/>
            <w:szCs w:val="18"/>
            <w:u w:val="single" w:color="auto"/>
            <w:color w:val="0000FF"/>
          </w:rPr>
          <w:t>Form of Participation Agreement (Participation Agreement between American Airlines, Inc. (as successor in interest to US</w:t>
        </w:r>
      </w:hyperlink>
      <w:r>
        <w:rPr>
          <w:rFonts w:ascii="Arial" w:cs="Arial" w:eastAsia="Arial" w:hAnsi="Arial"/>
          <w:sz w:val="18"/>
          <w:szCs w:val="18"/>
          <w:color w:val="auto"/>
        </w:rPr>
        <w:t xml:space="preserve"> </w:t>
      </w:r>
      <w:hyperlink r:id="rId310">
        <w:r>
          <w:rPr>
            <w:rFonts w:ascii="Arial" w:cs="Arial" w:eastAsia="Arial" w:hAnsi="Arial"/>
            <w:sz w:val="18"/>
            <w:szCs w:val="18"/>
            <w:u w:val="single" w:color="auto"/>
            <w:color w:val="0000FF"/>
          </w:rPr>
          <w:t>Airways, Inc.), as Owner, and Wilmington Trust Company, as Indenture Trustee and Subordination Agent) (incorporated by</w:t>
        </w:r>
      </w:hyperlink>
    </w:p>
    <w:p>
      <w:pPr>
        <w:jc w:val="both"/>
        <w:ind w:left="920"/>
        <w:spacing w:after="0" w:line="229" w:lineRule="auto"/>
        <w:rPr>
          <w:rFonts w:ascii="Arial" w:cs="Arial" w:eastAsia="Arial" w:hAnsi="Arial"/>
          <w:sz w:val="18"/>
          <w:szCs w:val="18"/>
          <w:u w:val="single" w:color="auto"/>
          <w:color w:val="0000FF"/>
        </w:rPr>
      </w:pPr>
      <w:hyperlink r:id="rId310">
        <w:r>
          <w:rPr>
            <w:rFonts w:ascii="Arial" w:cs="Arial" w:eastAsia="Arial" w:hAnsi="Arial"/>
            <w:sz w:val="18"/>
            <w:szCs w:val="18"/>
            <w:u w:val="single" w:color="auto"/>
            <w:color w:val="0000FF"/>
          </w:rPr>
          <w:t>reference to Exhibit B to Exhibit 4.12 to US Airways Group’s Current Report on Form 8-K filed on December 13, 2012</w:t>
        </w:r>
      </w:hyperlink>
      <w:r>
        <w:rPr>
          <w:rFonts w:ascii="Arial" w:cs="Arial" w:eastAsia="Arial" w:hAnsi="Arial"/>
          <w:sz w:val="18"/>
          <w:szCs w:val="18"/>
          <w:u w:val="single" w:color="auto"/>
          <w:color w:val="0000FF"/>
        </w:rPr>
        <w:t xml:space="preserve"> </w:t>
      </w:r>
      <w:hyperlink r:id="rId310">
        <w:r>
          <w:rPr>
            <w:rFonts w:ascii="Arial" w:cs="Arial" w:eastAsia="Arial" w:hAnsi="Arial"/>
            <w:sz w:val="18"/>
            <w:szCs w:val="18"/>
            <w:u w:val="single" w:color="auto"/>
            <w:color w:val="0000FF"/>
          </w:rPr>
          <w:t>(Commission File No. 1-08444)).</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4.56      </w:t>
      </w:r>
      <w:hyperlink r:id="rId310">
        <w:r>
          <w:rPr>
            <w:rFonts w:ascii="Arial" w:cs="Arial" w:eastAsia="Arial" w:hAnsi="Arial"/>
            <w:sz w:val="18"/>
            <w:szCs w:val="18"/>
            <w:u w:val="single" w:color="auto"/>
            <w:color w:val="0000FF"/>
          </w:rPr>
          <w:t>Form of Indenture (Trust Indenture and Security Agreement between American Airlines, Inc. (as successor in interest to US</w:t>
        </w:r>
      </w:hyperlink>
      <w:r>
        <w:rPr>
          <w:rFonts w:ascii="Arial" w:cs="Arial" w:eastAsia="Arial" w:hAnsi="Arial"/>
          <w:sz w:val="18"/>
          <w:szCs w:val="18"/>
          <w:color w:val="auto"/>
        </w:rPr>
        <w:t xml:space="preserve"> </w:t>
      </w:r>
      <w:hyperlink r:id="rId310">
        <w:r>
          <w:rPr>
            <w:rFonts w:ascii="Arial" w:cs="Arial" w:eastAsia="Arial" w:hAnsi="Arial"/>
            <w:sz w:val="18"/>
            <w:szCs w:val="18"/>
            <w:u w:val="single" w:color="auto"/>
            <w:color w:val="0000FF"/>
          </w:rPr>
          <w:t>Airways, Inc.), as Owner, and Wilmington Trust Company, as Indenture Trustee) (incorporated by reference to Exhibit C to Exhibit</w:t>
        </w:r>
      </w:hyperlink>
    </w:p>
    <w:p>
      <w:pPr>
        <w:jc w:val="center"/>
        <w:spacing w:after="0"/>
        <w:rPr>
          <w:rFonts w:ascii="Arial" w:cs="Arial" w:eastAsia="Arial" w:hAnsi="Arial"/>
          <w:sz w:val="18"/>
          <w:szCs w:val="18"/>
          <w:u w:val="single" w:color="auto"/>
          <w:color w:val="0000FF"/>
        </w:rPr>
      </w:pPr>
      <w:hyperlink r:id="rId310">
        <w:r>
          <w:rPr>
            <w:rFonts w:ascii="Arial" w:cs="Arial" w:eastAsia="Arial" w:hAnsi="Arial"/>
            <w:sz w:val="18"/>
            <w:szCs w:val="18"/>
            <w:u w:val="single" w:color="auto"/>
            <w:color w:val="0000FF"/>
          </w:rPr>
          <w:t>4.12 to US Airways Group’s Current Report on Form 8-K filed on December 13, 2012 (Commission File No. 1-08444)).</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4.57      </w:t>
      </w:r>
      <w:hyperlink r:id="rId311">
        <w:r>
          <w:rPr>
            <w:rFonts w:ascii="Arial" w:cs="Arial" w:eastAsia="Arial" w:hAnsi="Arial"/>
            <w:sz w:val="18"/>
            <w:szCs w:val="18"/>
            <w:u w:val="single" w:color="auto"/>
            <w:color w:val="0000FF"/>
          </w:rPr>
          <w:t>Amended and Restated Guarantee, dated as of March 31, 2014, from American Airlines Group Inc. (as successor in interest to</w:t>
        </w:r>
      </w:hyperlink>
      <w:r>
        <w:rPr>
          <w:rFonts w:ascii="Arial" w:cs="Arial" w:eastAsia="Arial" w:hAnsi="Arial"/>
          <w:sz w:val="18"/>
          <w:szCs w:val="18"/>
          <w:color w:val="auto"/>
        </w:rPr>
        <w:t xml:space="preserve"> </w:t>
      </w:r>
      <w:hyperlink r:id="rId311">
        <w:r>
          <w:rPr>
            <w:rFonts w:ascii="Arial" w:cs="Arial" w:eastAsia="Arial" w:hAnsi="Arial"/>
            <w:sz w:val="18"/>
            <w:szCs w:val="18"/>
            <w:u w:val="single" w:color="auto"/>
            <w:color w:val="0000FF"/>
          </w:rPr>
          <w:t>US Airways Group, Inc.) relating to obligations of US Airways under the equipment notes relating to its Series 2012-2 Pass</w:t>
        </w:r>
      </w:hyperlink>
    </w:p>
    <w:p>
      <w:pPr>
        <w:jc w:val="both"/>
        <w:ind w:left="920"/>
        <w:spacing w:after="0" w:line="229" w:lineRule="auto"/>
        <w:rPr>
          <w:rFonts w:ascii="Arial" w:cs="Arial" w:eastAsia="Arial" w:hAnsi="Arial"/>
          <w:sz w:val="18"/>
          <w:szCs w:val="18"/>
          <w:u w:val="single" w:color="auto"/>
          <w:color w:val="0000FF"/>
        </w:rPr>
      </w:pPr>
      <w:hyperlink r:id="rId311">
        <w:r>
          <w:rPr>
            <w:rFonts w:ascii="Arial" w:cs="Arial" w:eastAsia="Arial" w:hAnsi="Arial"/>
            <w:sz w:val="18"/>
            <w:szCs w:val="18"/>
            <w:u w:val="single" w:color="auto"/>
            <w:color w:val="0000FF"/>
          </w:rPr>
          <w:t>Through Certificates (incorporated by reference to Exhibit 10.4 to AAG’s Quarterly Report on Form 10-Q for the quarter ended</w:t>
        </w:r>
      </w:hyperlink>
      <w:r>
        <w:rPr>
          <w:rFonts w:ascii="Arial" w:cs="Arial" w:eastAsia="Arial" w:hAnsi="Arial"/>
          <w:sz w:val="18"/>
          <w:szCs w:val="18"/>
          <w:u w:val="single" w:color="auto"/>
          <w:color w:val="0000FF"/>
        </w:rPr>
        <w:t xml:space="preserve"> </w:t>
      </w:r>
      <w:hyperlink r:id="rId311">
        <w:r>
          <w:rPr>
            <w:rFonts w:ascii="Arial" w:cs="Arial" w:eastAsia="Arial" w:hAnsi="Arial"/>
            <w:sz w:val="18"/>
            <w:szCs w:val="18"/>
            <w:u w:val="single" w:color="auto"/>
            <w:color w:val="0000FF"/>
          </w:rPr>
          <w:t>March 31, 2014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4.58      </w:t>
      </w:r>
      <w:hyperlink r:id="rId312">
        <w:r>
          <w:rPr>
            <w:rFonts w:ascii="Arial" w:cs="Arial" w:eastAsia="Arial" w:hAnsi="Arial"/>
            <w:sz w:val="18"/>
            <w:szCs w:val="18"/>
            <w:u w:val="single" w:color="auto"/>
            <w:color w:val="0000FF"/>
          </w:rPr>
          <w:t>Form of Assumption Agreement, dated as of December 30, 2015, by American Airlines, Inc. for the benefit of Wilmington Trust</w:t>
        </w:r>
      </w:hyperlink>
      <w:r>
        <w:rPr>
          <w:rFonts w:ascii="Arial" w:cs="Arial" w:eastAsia="Arial" w:hAnsi="Arial"/>
          <w:sz w:val="18"/>
          <w:szCs w:val="18"/>
          <w:color w:val="auto"/>
        </w:rPr>
        <w:t xml:space="preserve"> </w:t>
      </w:r>
      <w:hyperlink r:id="rId312">
        <w:r>
          <w:rPr>
            <w:rFonts w:ascii="Arial" w:cs="Arial" w:eastAsia="Arial" w:hAnsi="Arial"/>
            <w:sz w:val="18"/>
            <w:szCs w:val="18"/>
            <w:u w:val="single" w:color="auto"/>
            <w:color w:val="0000FF"/>
          </w:rPr>
          <w:t>Company, as Indenture Trustee, to (i) each Participation Agreement between, among others, American Airlines, Inc. (as</w:t>
        </w:r>
      </w:hyperlink>
    </w:p>
    <w:p>
      <w:pPr>
        <w:jc w:val="both"/>
        <w:ind w:left="920"/>
        <w:spacing w:after="0" w:line="208" w:lineRule="auto"/>
        <w:rPr>
          <w:rFonts w:ascii="Arial" w:cs="Arial" w:eastAsia="Arial" w:hAnsi="Arial"/>
          <w:sz w:val="18"/>
          <w:szCs w:val="18"/>
          <w:u w:val="single" w:color="auto"/>
          <w:color w:val="0000FF"/>
        </w:rPr>
      </w:pPr>
      <w:hyperlink r:id="rId312">
        <w:r>
          <w:rPr>
            <w:rFonts w:ascii="Arial" w:cs="Arial" w:eastAsia="Arial" w:hAnsi="Arial"/>
            <w:sz w:val="18"/>
            <w:szCs w:val="18"/>
            <w:u w:val="single" w:color="auto"/>
            <w:color w:val="0000FF"/>
          </w:rPr>
          <w:t>successor in interest to US Airways, Inc.) and Wilmington Trust Company, as Indenture Trustee, entered into pursuant to the</w:t>
        </w:r>
      </w:hyperlink>
      <w:r>
        <w:rPr>
          <w:rFonts w:ascii="Arial" w:cs="Arial" w:eastAsia="Arial" w:hAnsi="Arial"/>
          <w:sz w:val="18"/>
          <w:szCs w:val="18"/>
          <w:u w:val="single" w:color="auto"/>
          <w:color w:val="0000FF"/>
        </w:rPr>
        <w:t xml:space="preserve"> </w:t>
      </w:r>
      <w:hyperlink r:id="rId312">
        <w:r>
          <w:rPr>
            <w:rFonts w:ascii="Arial" w:cs="Arial" w:eastAsia="Arial" w:hAnsi="Arial"/>
            <w:sz w:val="18"/>
            <w:szCs w:val="18"/>
            <w:u w:val="single" w:color="auto"/>
            <w:color w:val="0000FF"/>
          </w:rPr>
          <w:t>2010-1, 2011-1, 2012-1, 2012-2 and 2013-1 EETC note purchase agreements and (ii) each Trust Indenture and Security</w:t>
        </w:r>
      </w:hyperlink>
      <w:r>
        <w:rPr>
          <w:rFonts w:ascii="Arial" w:cs="Arial" w:eastAsia="Arial" w:hAnsi="Arial"/>
          <w:sz w:val="18"/>
          <w:szCs w:val="18"/>
          <w:u w:val="single" w:color="auto"/>
          <w:color w:val="0000FF"/>
        </w:rPr>
        <w:t xml:space="preserve"> </w:t>
      </w:r>
      <w:hyperlink r:id="rId312">
        <w:r>
          <w:rPr>
            <w:rFonts w:ascii="Arial" w:cs="Arial" w:eastAsia="Arial" w:hAnsi="Arial"/>
            <w:sz w:val="18"/>
            <w:szCs w:val="18"/>
            <w:u w:val="single" w:color="auto"/>
            <w:color w:val="0000FF"/>
          </w:rPr>
          <w:t>Agreement, between, among others, American Airlines, Inc. (as successor in interest to US Airways, Inc.), and Wilmington Trust</w:t>
        </w:r>
      </w:hyperlink>
    </w:p>
    <w:p>
      <w:pPr>
        <w:spacing w:after="0" w:line="1" w:lineRule="exact"/>
        <w:rPr>
          <w:rFonts w:ascii="Arial" w:cs="Arial" w:eastAsia="Arial" w:hAnsi="Arial"/>
          <w:sz w:val="18"/>
          <w:szCs w:val="18"/>
          <w:u w:val="single" w:color="auto"/>
          <w:color w:val="0000FF"/>
        </w:rPr>
      </w:pPr>
    </w:p>
    <w:p>
      <w:pPr>
        <w:jc w:val="both"/>
        <w:ind w:left="920"/>
        <w:spacing w:after="0" w:line="220" w:lineRule="auto"/>
        <w:rPr>
          <w:rFonts w:ascii="Arial" w:cs="Arial" w:eastAsia="Arial" w:hAnsi="Arial"/>
          <w:sz w:val="18"/>
          <w:szCs w:val="18"/>
          <w:u w:val="single" w:color="auto"/>
          <w:color w:val="0000FF"/>
        </w:rPr>
      </w:pPr>
      <w:hyperlink r:id="rId312">
        <w:r>
          <w:rPr>
            <w:rFonts w:ascii="Arial" w:cs="Arial" w:eastAsia="Arial" w:hAnsi="Arial"/>
            <w:sz w:val="18"/>
            <w:szCs w:val="18"/>
            <w:u w:val="single" w:color="auto"/>
            <w:color w:val="0000FF"/>
          </w:rPr>
          <w:t>Company, as Indenture Trustee entered into pursuant to the 2010-1, 2011-1, 2012-1, 2012-2 and 2013-1 EETC note purchase</w:t>
        </w:r>
      </w:hyperlink>
      <w:r>
        <w:rPr>
          <w:rFonts w:ascii="Arial" w:cs="Arial" w:eastAsia="Arial" w:hAnsi="Arial"/>
          <w:sz w:val="18"/>
          <w:szCs w:val="18"/>
          <w:u w:val="single" w:color="auto"/>
          <w:color w:val="0000FF"/>
        </w:rPr>
        <w:t xml:space="preserve"> </w:t>
      </w:r>
      <w:hyperlink r:id="rId312">
        <w:r>
          <w:rPr>
            <w:rFonts w:ascii="Arial" w:cs="Arial" w:eastAsia="Arial" w:hAnsi="Arial"/>
            <w:sz w:val="18"/>
            <w:szCs w:val="18"/>
            <w:u w:val="single" w:color="auto"/>
            <w:color w:val="0000FF"/>
          </w:rPr>
          <w:t>agreements (incorporated by reference to Exhibit 10.3 to AAG’s Current Report on Form 8-K filed on December 31, 2015</w:t>
        </w:r>
      </w:hyperlink>
      <w:r>
        <w:rPr>
          <w:rFonts w:ascii="Arial" w:cs="Arial" w:eastAsia="Arial" w:hAnsi="Arial"/>
          <w:sz w:val="18"/>
          <w:szCs w:val="18"/>
          <w:u w:val="single" w:color="auto"/>
          <w:color w:val="0000FF"/>
        </w:rPr>
        <w:t xml:space="preserve"> </w:t>
      </w:r>
      <w:hyperlink r:id="rId312">
        <w:r>
          <w:rPr>
            <w:rFonts w:ascii="Arial" w:cs="Arial" w:eastAsia="Arial" w:hAnsi="Arial"/>
            <w:sz w:val="18"/>
            <w:szCs w:val="18"/>
            <w:u w:val="single" w:color="auto"/>
            <w:color w:val="0000FF"/>
          </w:rPr>
          <w:t>(Commission File No. 1-8400)).</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4.59      </w:t>
      </w:r>
      <w:hyperlink r:id="rId313">
        <w:r>
          <w:rPr>
            <w:rFonts w:ascii="Arial" w:cs="Arial" w:eastAsia="Arial" w:hAnsi="Arial"/>
            <w:sz w:val="18"/>
            <w:szCs w:val="18"/>
            <w:u w:val="single" w:color="auto"/>
            <w:color w:val="0000FF"/>
          </w:rPr>
          <w:t>Trust Supplement No. 2016-1AA, dated as of January 19, 2016, between American Airlines, Inc. and Wilmington Trust Company,</w:t>
        </w:r>
      </w:hyperlink>
      <w:r>
        <w:rPr>
          <w:rFonts w:ascii="Arial" w:cs="Arial" w:eastAsia="Arial" w:hAnsi="Arial"/>
          <w:sz w:val="18"/>
          <w:szCs w:val="18"/>
          <w:color w:val="auto"/>
        </w:rPr>
        <w:t xml:space="preserve"> </w:t>
      </w:r>
      <w:hyperlink r:id="rId313">
        <w:r>
          <w:rPr>
            <w:rFonts w:ascii="Arial" w:cs="Arial" w:eastAsia="Arial" w:hAnsi="Arial"/>
            <w:sz w:val="18"/>
            <w:szCs w:val="18"/>
            <w:u w:val="single" w:color="auto"/>
            <w:color w:val="0000FF"/>
          </w:rPr>
          <w:t>as Trustee, to the Pass Through Trust Agreement, dated as of September 16, 2014 (incorporated by reference to Exhibit 4.2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13">
        <w:r>
          <w:rPr>
            <w:rFonts w:ascii="Arial" w:cs="Arial" w:eastAsia="Arial" w:hAnsi="Arial"/>
            <w:sz w:val="18"/>
            <w:szCs w:val="18"/>
            <w:u w:val="single" w:color="auto"/>
            <w:color w:val="0000FF"/>
          </w:rPr>
          <w:t>American’s Current Report on Form 8-K filed on January 21,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4.60      </w:t>
      </w:r>
      <w:hyperlink r:id="rId314">
        <w:r>
          <w:rPr>
            <w:rFonts w:ascii="Arial" w:cs="Arial" w:eastAsia="Arial" w:hAnsi="Arial"/>
            <w:sz w:val="18"/>
            <w:szCs w:val="18"/>
            <w:u w:val="single" w:color="auto"/>
            <w:color w:val="0000FF"/>
          </w:rPr>
          <w:t>Trust Supplement No. 2016-1A, dated as of January 19, 2016, between American Airlines, Inc. and Wilmington Trust Company,</w:t>
        </w:r>
      </w:hyperlink>
      <w:r>
        <w:rPr>
          <w:rFonts w:ascii="Arial" w:cs="Arial" w:eastAsia="Arial" w:hAnsi="Arial"/>
          <w:sz w:val="18"/>
          <w:szCs w:val="18"/>
          <w:color w:val="auto"/>
        </w:rPr>
        <w:t xml:space="preserve"> </w:t>
      </w:r>
      <w:hyperlink r:id="rId314">
        <w:r>
          <w:rPr>
            <w:rFonts w:ascii="Arial" w:cs="Arial" w:eastAsia="Arial" w:hAnsi="Arial"/>
            <w:sz w:val="18"/>
            <w:szCs w:val="18"/>
            <w:u w:val="single" w:color="auto"/>
            <w:color w:val="0000FF"/>
          </w:rPr>
          <w:t>as Trustee, to the Pass Through Trust Agreement, dated as of September 16, 2014 (incorporated by reference to Exhibit 4.3 to</w:t>
        </w:r>
      </w:hyperlink>
    </w:p>
    <w:p>
      <w:pPr>
        <w:ind w:left="920"/>
        <w:spacing w:after="0"/>
        <w:rPr>
          <w:rFonts w:ascii="Arial" w:cs="Arial" w:eastAsia="Arial" w:hAnsi="Arial"/>
          <w:sz w:val="18"/>
          <w:szCs w:val="18"/>
          <w:u w:val="single" w:color="auto"/>
          <w:color w:val="0000FF"/>
        </w:rPr>
      </w:pPr>
      <w:hyperlink r:id="rId314">
        <w:r>
          <w:rPr>
            <w:rFonts w:ascii="Arial" w:cs="Arial" w:eastAsia="Arial" w:hAnsi="Arial"/>
            <w:sz w:val="18"/>
            <w:szCs w:val="18"/>
            <w:u w:val="single" w:color="auto"/>
            <w:color w:val="0000FF"/>
          </w:rPr>
          <w:t>American’s Current Report on Form 8-K filed on January 21,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4.61      </w:t>
      </w:r>
      <w:hyperlink r:id="rId315">
        <w:r>
          <w:rPr>
            <w:rFonts w:ascii="Arial" w:cs="Arial" w:eastAsia="Arial" w:hAnsi="Arial"/>
            <w:sz w:val="18"/>
            <w:szCs w:val="18"/>
            <w:u w:val="single" w:color="auto"/>
            <w:color w:val="0000FF"/>
          </w:rPr>
          <w:t>Trust Supplement No. 2016-1B, dated as of January 19, 2016, between American Airlines, Inc. and Wilmington Trust Company,</w:t>
        </w:r>
      </w:hyperlink>
      <w:r>
        <w:rPr>
          <w:rFonts w:ascii="Arial" w:cs="Arial" w:eastAsia="Arial" w:hAnsi="Arial"/>
          <w:sz w:val="18"/>
          <w:szCs w:val="18"/>
          <w:color w:val="auto"/>
        </w:rPr>
        <w:t xml:space="preserve"> </w:t>
      </w:r>
      <w:hyperlink r:id="rId315">
        <w:r>
          <w:rPr>
            <w:rFonts w:ascii="Arial" w:cs="Arial" w:eastAsia="Arial" w:hAnsi="Arial"/>
            <w:sz w:val="18"/>
            <w:szCs w:val="18"/>
            <w:u w:val="single" w:color="auto"/>
            <w:color w:val="0000FF"/>
          </w:rPr>
          <w:t>as Trustee, to the Pass Through Trust Agreement, dated as of September 16, 2014 (incorporated by reference to Exhibit 4.4 to</w:t>
        </w:r>
      </w:hyperlink>
    </w:p>
    <w:p>
      <w:pPr>
        <w:ind w:left="920"/>
        <w:spacing w:after="0"/>
        <w:rPr>
          <w:rFonts w:ascii="Arial" w:cs="Arial" w:eastAsia="Arial" w:hAnsi="Arial"/>
          <w:sz w:val="18"/>
          <w:szCs w:val="18"/>
          <w:u w:val="single" w:color="auto"/>
          <w:color w:val="0000FF"/>
        </w:rPr>
      </w:pPr>
      <w:hyperlink r:id="rId315">
        <w:r>
          <w:rPr>
            <w:rFonts w:ascii="Arial" w:cs="Arial" w:eastAsia="Arial" w:hAnsi="Arial"/>
            <w:sz w:val="18"/>
            <w:szCs w:val="18"/>
            <w:u w:val="single" w:color="auto"/>
            <w:color w:val="0000FF"/>
          </w:rPr>
          <w:t>American’s Current Report on Form 8-K filed on January 21, 2016 (Commission File No. 1-2691)).</w:t>
        </w:r>
      </w:hyperlink>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4.62      </w:t>
      </w:r>
      <w:hyperlink r:id="rId317">
        <w:r>
          <w:rPr>
            <w:rFonts w:ascii="Arial" w:cs="Arial" w:eastAsia="Arial" w:hAnsi="Arial"/>
            <w:sz w:val="18"/>
            <w:szCs w:val="18"/>
            <w:u w:val="single" w:color="auto"/>
            <w:color w:val="0000FF"/>
          </w:rPr>
          <w:t>Intercreditor Agreement (2016-1), dated as of January 19, 2016, among Wilmington Trust Company, as Trustee of the American</w:t>
        </w:r>
      </w:hyperlink>
      <w:r>
        <w:rPr>
          <w:rFonts w:ascii="Arial" w:cs="Arial" w:eastAsia="Arial" w:hAnsi="Arial"/>
          <w:sz w:val="18"/>
          <w:szCs w:val="18"/>
          <w:color w:val="auto"/>
        </w:rPr>
        <w:t xml:space="preserve"> </w:t>
      </w:r>
      <w:hyperlink r:id="rId317">
        <w:r>
          <w:rPr>
            <w:rFonts w:ascii="Arial" w:cs="Arial" w:eastAsia="Arial" w:hAnsi="Arial"/>
            <w:sz w:val="18"/>
            <w:szCs w:val="18"/>
            <w:u w:val="single" w:color="auto"/>
            <w:color w:val="0000FF"/>
          </w:rPr>
          <w:t>Airlines Pass Through Trust 2016-1AA, as Trustee of the American Airlines Pass Through Trust 2016-1A and as Trustee of the</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317">
        <w:r>
          <w:rPr>
            <w:rFonts w:ascii="Arial" w:cs="Arial" w:eastAsia="Arial" w:hAnsi="Arial"/>
            <w:sz w:val="18"/>
            <w:szCs w:val="18"/>
            <w:u w:val="single" w:color="auto"/>
            <w:color w:val="0000FF"/>
          </w:rPr>
          <w:t>American Airlines Pass Through Trust 2016-1B, KfW IPEX-Bank GmbH, as Class AA Liquidity Provider, Class A Liquidity</w:t>
        </w:r>
      </w:hyperlink>
      <w:r>
        <w:rPr>
          <w:rFonts w:ascii="Arial" w:cs="Arial" w:eastAsia="Arial" w:hAnsi="Arial"/>
          <w:sz w:val="18"/>
          <w:szCs w:val="18"/>
          <w:u w:val="single" w:color="auto"/>
          <w:color w:val="0000FF"/>
        </w:rPr>
        <w:t xml:space="preserve"> </w:t>
      </w:r>
      <w:hyperlink r:id="rId317">
        <w:r>
          <w:rPr>
            <w:rFonts w:ascii="Arial" w:cs="Arial" w:eastAsia="Arial" w:hAnsi="Arial"/>
            <w:sz w:val="18"/>
            <w:szCs w:val="18"/>
            <w:u w:val="single" w:color="auto"/>
            <w:color w:val="0000FF"/>
          </w:rPr>
          <w:t>Provider and Class B Liquidity Provider, and Wilmington Trust Company, as Subordination Agent (incorporated by reference to</w:t>
        </w:r>
      </w:hyperlink>
      <w:r>
        <w:rPr>
          <w:rFonts w:ascii="Arial" w:cs="Arial" w:eastAsia="Arial" w:hAnsi="Arial"/>
          <w:sz w:val="18"/>
          <w:szCs w:val="18"/>
          <w:u w:val="single" w:color="auto"/>
          <w:color w:val="0000FF"/>
        </w:rPr>
        <w:t xml:space="preserve"> </w:t>
      </w:r>
      <w:hyperlink r:id="rId317">
        <w:r>
          <w:rPr>
            <w:rFonts w:ascii="Arial" w:cs="Arial" w:eastAsia="Arial" w:hAnsi="Arial"/>
            <w:sz w:val="18"/>
            <w:szCs w:val="18"/>
            <w:u w:val="single" w:color="auto"/>
            <w:color w:val="0000FF"/>
          </w:rPr>
          <w:t>exhibit 4.5 to American’s Current Report on Form 8-K filed on January 21, 2016 (Commission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4.63      </w:t>
      </w:r>
      <w:hyperlink r:id="rId318">
        <w:r>
          <w:rPr>
            <w:rFonts w:ascii="Arial" w:cs="Arial" w:eastAsia="Arial" w:hAnsi="Arial"/>
            <w:sz w:val="18"/>
            <w:szCs w:val="18"/>
            <w:u w:val="single" w:color="auto"/>
            <w:color w:val="0000FF"/>
          </w:rPr>
          <w:t>Note Purchase Agreement, dated as of January 19, 2016, among American Airlines, Inc., Wilmington Trust Company, as Pass</w:t>
        </w:r>
      </w:hyperlink>
      <w:r>
        <w:rPr>
          <w:rFonts w:ascii="Arial" w:cs="Arial" w:eastAsia="Arial" w:hAnsi="Arial"/>
          <w:sz w:val="18"/>
          <w:szCs w:val="18"/>
          <w:color w:val="auto"/>
        </w:rPr>
        <w:t xml:space="preserve"> </w:t>
      </w:r>
      <w:hyperlink r:id="rId318">
        <w:r>
          <w:rPr>
            <w:rFonts w:ascii="Arial" w:cs="Arial" w:eastAsia="Arial" w:hAnsi="Arial"/>
            <w:sz w:val="18"/>
            <w:szCs w:val="18"/>
            <w:u w:val="single" w:color="auto"/>
            <w:color w:val="0000FF"/>
          </w:rPr>
          <w:t>Through Trustee under each of the Pass Through Trust Agreements, and Wilmington Trust Company, as Subordination Agent</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18">
        <w:r>
          <w:rPr>
            <w:rFonts w:ascii="Arial" w:cs="Arial" w:eastAsia="Arial" w:hAnsi="Arial"/>
            <w:sz w:val="18"/>
            <w:szCs w:val="18"/>
            <w:u w:val="single" w:color="auto"/>
            <w:color w:val="0000FF"/>
          </w:rPr>
          <w:t>(incorporated by reference to Exhibit 4.6 to American’s Current Report on Form 8-K filed on January 21, 2016 (Commission File</w:t>
        </w:r>
      </w:hyperlink>
      <w:r>
        <w:rPr>
          <w:rFonts w:ascii="Arial" w:cs="Arial" w:eastAsia="Arial" w:hAnsi="Arial"/>
          <w:sz w:val="18"/>
          <w:szCs w:val="18"/>
          <w:u w:val="single" w:color="auto"/>
          <w:color w:val="0000FF"/>
        </w:rPr>
        <w:t xml:space="preserve"> </w:t>
      </w:r>
      <w:hyperlink r:id="rId318">
        <w:r>
          <w:rPr>
            <w:rFonts w:ascii="Arial" w:cs="Arial" w:eastAsia="Arial" w:hAnsi="Arial"/>
            <w:sz w:val="18"/>
            <w:szCs w:val="18"/>
            <w:u w:val="single" w:color="auto"/>
            <w:color w:val="0000FF"/>
          </w:rPr>
          <w:t>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4.64      </w:t>
      </w:r>
      <w:hyperlink r:id="rId318">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18">
        <w:r>
          <w:rPr>
            <w:rFonts w:ascii="Arial" w:cs="Arial" w:eastAsia="Arial" w:hAnsi="Arial"/>
            <w:sz w:val="18"/>
            <w:szCs w:val="18"/>
            <w:u w:val="single" w:color="auto"/>
            <w:color w:val="0000FF"/>
          </w:rPr>
          <w:t>Through Trustee under each of the Pass Through Trust Agreements, Wilmington Trust Company, as Subordination Agent,</w:t>
        </w:r>
      </w:hyperlink>
    </w:p>
    <w:p>
      <w:pPr>
        <w:jc w:val="both"/>
        <w:ind w:left="920"/>
        <w:spacing w:after="0" w:line="220" w:lineRule="auto"/>
        <w:rPr>
          <w:rFonts w:ascii="Arial" w:cs="Arial" w:eastAsia="Arial" w:hAnsi="Arial"/>
          <w:sz w:val="18"/>
          <w:szCs w:val="18"/>
          <w:u w:val="single" w:color="auto"/>
          <w:color w:val="0000FF"/>
        </w:rPr>
      </w:pPr>
      <w:hyperlink r:id="rId318">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18">
        <w:r>
          <w:rPr>
            <w:rFonts w:ascii="Arial" w:cs="Arial" w:eastAsia="Arial" w:hAnsi="Arial"/>
            <w:sz w:val="18"/>
            <w:szCs w:val="18"/>
            <w:u w:val="single" w:color="auto"/>
            <w:color w:val="0000FF"/>
          </w:rPr>
          <w:t>(incorporated by reference to Exhibit B to Exhibit 4.6 to American’s Current Report on Form 8-K filed on January 21, 2016</w:t>
        </w:r>
      </w:hyperlink>
      <w:r>
        <w:rPr>
          <w:rFonts w:ascii="Arial" w:cs="Arial" w:eastAsia="Arial" w:hAnsi="Arial"/>
          <w:sz w:val="18"/>
          <w:szCs w:val="18"/>
          <w:u w:val="single" w:color="auto"/>
          <w:color w:val="0000FF"/>
        </w:rPr>
        <w:t xml:space="preserve"> </w:t>
      </w:r>
      <w:hyperlink r:id="rId318">
        <w:r>
          <w:rPr>
            <w:rFonts w:ascii="Arial" w:cs="Arial" w:eastAsia="Arial" w:hAnsi="Arial"/>
            <w:sz w:val="18"/>
            <w:szCs w:val="18"/>
            <w:u w:val="single" w:color="auto"/>
            <w:color w:val="0000FF"/>
          </w:rPr>
          <w:t>(Commission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4.65      </w:t>
      </w:r>
      <w:hyperlink r:id="rId318">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18">
        <w:r>
          <w:rPr>
            <w:rFonts w:ascii="Arial" w:cs="Arial" w:eastAsia="Arial" w:hAnsi="Arial"/>
            <w:sz w:val="18"/>
            <w:szCs w:val="18"/>
            <w:u w:val="single" w:color="auto"/>
            <w:color w:val="0000FF"/>
          </w:rPr>
          <w:t>Trust Company, as Loan Trustee) (incorporated by reference to Exhibit C to Exhibit 4.6 to American’s Current Report on Form 8-K</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18">
        <w:r>
          <w:rPr>
            <w:rFonts w:ascii="Arial" w:cs="Arial" w:eastAsia="Arial" w:hAnsi="Arial"/>
            <w:sz w:val="18"/>
            <w:szCs w:val="18"/>
            <w:u w:val="single" w:color="auto"/>
            <w:color w:val="0000FF"/>
          </w:rPr>
          <w:t>filed on January 21, 2016 (Commission File No. 1-2691)).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4.66</w:t>
      </w:r>
      <w:r>
        <w:rPr>
          <w:sz w:val="20"/>
          <w:szCs w:val="20"/>
          <w:color w:val="auto"/>
        </w:rPr>
        <w:tab/>
      </w:r>
      <w:hyperlink r:id="rId313">
        <w:r>
          <w:rPr>
            <w:rFonts w:ascii="Arial" w:cs="Arial" w:eastAsia="Arial" w:hAnsi="Arial"/>
            <w:sz w:val="18"/>
            <w:szCs w:val="18"/>
            <w:u w:val="single" w:color="auto"/>
            <w:color w:val="0000FF"/>
          </w:rPr>
          <w:t>Form of Pass Through Trust Certificate, Series 2016-1AA (incorporated by reference to Exhibit A to Exhibit 4.2 to American’s</w:t>
        </w:r>
      </w:hyperlink>
      <w:r>
        <w:rPr>
          <w:rFonts w:ascii="Arial" w:cs="Arial" w:eastAsia="Arial" w:hAnsi="Arial"/>
          <w:sz w:val="18"/>
          <w:szCs w:val="18"/>
          <w:u w:val="single" w:color="auto"/>
          <w:color w:val="0000FF"/>
        </w:rPr>
        <w:t xml:space="preserve"> </w:t>
      </w:r>
      <w:hyperlink r:id="rId313">
        <w:r>
          <w:rPr>
            <w:rFonts w:ascii="Arial" w:cs="Arial" w:eastAsia="Arial" w:hAnsi="Arial"/>
            <w:sz w:val="18"/>
            <w:szCs w:val="18"/>
            <w:u w:val="single" w:color="auto"/>
            <w:color w:val="0000FF"/>
          </w:rPr>
          <w:t>Current Report on Form 8-K filed on January 21, 2016 (Commission File No. 1-2691)).</w:t>
        </w:r>
      </w:hyperlink>
    </w:p>
    <w:p>
      <w:pPr>
        <w:spacing w:after="0" w:line="5"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4.67</w:t>
      </w:r>
      <w:r>
        <w:rPr>
          <w:sz w:val="20"/>
          <w:szCs w:val="20"/>
          <w:color w:val="auto"/>
        </w:rPr>
        <w:tab/>
      </w:r>
      <w:hyperlink r:id="rId314">
        <w:r>
          <w:rPr>
            <w:rFonts w:ascii="Arial" w:cs="Arial" w:eastAsia="Arial" w:hAnsi="Arial"/>
            <w:sz w:val="18"/>
            <w:szCs w:val="18"/>
            <w:u w:val="single" w:color="auto"/>
            <w:color w:val="0000FF"/>
          </w:rPr>
          <w:t>Form of Pass Through Trust Certificate, Series 2016-1A (incorporated by reference to Exhibit A to Exhibit 4.3 to American’s</w:t>
        </w:r>
      </w:hyperlink>
      <w:r>
        <w:rPr>
          <w:rFonts w:ascii="Arial" w:cs="Arial" w:eastAsia="Arial" w:hAnsi="Arial"/>
          <w:sz w:val="18"/>
          <w:szCs w:val="18"/>
          <w:u w:val="single" w:color="auto"/>
          <w:color w:val="0000FF"/>
        </w:rPr>
        <w:t xml:space="preserve"> </w:t>
      </w:r>
      <w:hyperlink r:id="rId314">
        <w:r>
          <w:rPr>
            <w:rFonts w:ascii="Arial" w:cs="Arial" w:eastAsia="Arial" w:hAnsi="Arial"/>
            <w:sz w:val="18"/>
            <w:szCs w:val="18"/>
            <w:u w:val="single" w:color="auto"/>
            <w:color w:val="0000FF"/>
          </w:rPr>
          <w:t>Current Report on Form 8-K filed on January 21, 2016 (Commission File No. 1-2691)).</w:t>
        </w:r>
      </w:hyperlink>
    </w:p>
    <w:p>
      <w:pPr>
        <w:spacing w:after="0" w:line="6"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4.68</w:t>
      </w:r>
      <w:r>
        <w:rPr>
          <w:sz w:val="20"/>
          <w:szCs w:val="20"/>
          <w:color w:val="auto"/>
        </w:rPr>
        <w:tab/>
      </w:r>
      <w:hyperlink r:id="rId315">
        <w:r>
          <w:rPr>
            <w:rFonts w:ascii="Arial" w:cs="Arial" w:eastAsia="Arial" w:hAnsi="Arial"/>
            <w:sz w:val="18"/>
            <w:szCs w:val="18"/>
            <w:u w:val="single" w:color="auto"/>
            <w:color w:val="0000FF"/>
          </w:rPr>
          <w:t>Form of Pass Through Trust Certificate, Series 2016-1B (incorporated by reference to Exhibit A to Exhibit 4.4 to American’s</w:t>
        </w:r>
      </w:hyperlink>
      <w:r>
        <w:rPr>
          <w:rFonts w:ascii="Arial" w:cs="Arial" w:eastAsia="Arial" w:hAnsi="Arial"/>
          <w:sz w:val="18"/>
          <w:szCs w:val="18"/>
          <w:u w:val="single" w:color="auto"/>
          <w:color w:val="0000FF"/>
        </w:rPr>
        <w:t xml:space="preserve"> </w:t>
      </w:r>
      <w:hyperlink r:id="rId315">
        <w:r>
          <w:rPr>
            <w:rFonts w:ascii="Arial" w:cs="Arial" w:eastAsia="Arial" w:hAnsi="Arial"/>
            <w:sz w:val="18"/>
            <w:szCs w:val="18"/>
            <w:u w:val="single" w:color="auto"/>
            <w:color w:val="0000FF"/>
          </w:rPr>
          <w:t>Current Report on Form 8-K filed on January 21, 2016 (Commission File No. 1-2691)).</w:t>
        </w:r>
      </w:hyperlink>
    </w:p>
    <w:p>
      <w:pPr>
        <w:spacing w:after="0" w:line="6"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4.69      </w:t>
      </w:r>
      <w:hyperlink r:id="rId319">
        <w:r>
          <w:rPr>
            <w:rFonts w:ascii="Arial" w:cs="Arial" w:eastAsia="Arial" w:hAnsi="Arial"/>
            <w:sz w:val="18"/>
            <w:szCs w:val="18"/>
            <w:u w:val="single" w:color="auto"/>
            <w:color w:val="0000FF"/>
          </w:rPr>
          <w:t>Revolving Credit Agreement (2016-1AA), dated as of January 19, 2016, between Wilmington Trust Company, as Subordination</w:t>
        </w:r>
      </w:hyperlink>
      <w:r>
        <w:rPr>
          <w:rFonts w:ascii="Arial" w:cs="Arial" w:eastAsia="Arial" w:hAnsi="Arial"/>
          <w:sz w:val="18"/>
          <w:szCs w:val="18"/>
          <w:color w:val="auto"/>
        </w:rPr>
        <w:t xml:space="preserve"> </w:t>
      </w:r>
      <w:hyperlink r:id="rId319">
        <w:r>
          <w:rPr>
            <w:rFonts w:ascii="Arial" w:cs="Arial" w:eastAsia="Arial" w:hAnsi="Arial"/>
            <w:sz w:val="18"/>
            <w:szCs w:val="18"/>
            <w:u w:val="single" w:color="auto"/>
            <w:color w:val="0000FF"/>
          </w:rPr>
          <w:t>Agent, as agent and trustee for the trustee of the American Airlines Pass Through Trust 2016-1AA, as Borrower, and KfW IPEX-</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19">
        <w:r>
          <w:rPr>
            <w:rFonts w:ascii="Arial" w:cs="Arial" w:eastAsia="Arial" w:hAnsi="Arial"/>
            <w:sz w:val="18"/>
            <w:szCs w:val="18"/>
            <w:u w:val="single" w:color="auto"/>
            <w:color w:val="0000FF"/>
          </w:rPr>
          <w:t>Bank GmbH, as Liquidity Provider (incorporated by reference to Exhibit 4.12 to American’s Current Report on Form 8-K filed on</w:t>
        </w:r>
      </w:hyperlink>
      <w:r>
        <w:rPr>
          <w:rFonts w:ascii="Arial" w:cs="Arial" w:eastAsia="Arial" w:hAnsi="Arial"/>
          <w:sz w:val="18"/>
          <w:szCs w:val="18"/>
          <w:u w:val="single" w:color="auto"/>
          <w:color w:val="0000FF"/>
        </w:rPr>
        <w:t xml:space="preserve"> </w:t>
      </w:r>
      <w:hyperlink r:id="rId319">
        <w:r>
          <w:rPr>
            <w:rFonts w:ascii="Arial" w:cs="Arial" w:eastAsia="Arial" w:hAnsi="Arial"/>
            <w:sz w:val="18"/>
            <w:szCs w:val="18"/>
            <w:u w:val="single" w:color="auto"/>
            <w:color w:val="0000FF"/>
          </w:rPr>
          <w:t>January 21,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4.70      </w:t>
      </w:r>
      <w:hyperlink r:id="rId320">
        <w:r>
          <w:rPr>
            <w:rFonts w:ascii="Arial" w:cs="Arial" w:eastAsia="Arial" w:hAnsi="Arial"/>
            <w:sz w:val="18"/>
            <w:szCs w:val="18"/>
            <w:u w:val="single" w:color="auto"/>
            <w:color w:val="0000FF"/>
          </w:rPr>
          <w:t>Revolving Credit Agreement (2016-1A), dated as of January 19, 2016, between Wilmington Trust Company, as Subordination</w:t>
        </w:r>
      </w:hyperlink>
      <w:r>
        <w:rPr>
          <w:rFonts w:ascii="Arial" w:cs="Arial" w:eastAsia="Arial" w:hAnsi="Arial"/>
          <w:sz w:val="18"/>
          <w:szCs w:val="18"/>
          <w:color w:val="auto"/>
        </w:rPr>
        <w:t xml:space="preserve"> </w:t>
      </w:r>
      <w:hyperlink r:id="rId320">
        <w:r>
          <w:rPr>
            <w:rFonts w:ascii="Arial" w:cs="Arial" w:eastAsia="Arial" w:hAnsi="Arial"/>
            <w:sz w:val="18"/>
            <w:szCs w:val="18"/>
            <w:u w:val="single" w:color="auto"/>
            <w:color w:val="0000FF"/>
          </w:rPr>
          <w:t>Agent, as agent and trustee for the trustee of the American Airlines Pass Through Trust 2016-1A, as Borrower, and KfW IPEX-</w:t>
        </w:r>
      </w:hyperlink>
    </w:p>
    <w:p>
      <w:pPr>
        <w:jc w:val="both"/>
        <w:ind w:left="920"/>
        <w:spacing w:after="0" w:line="229" w:lineRule="auto"/>
        <w:rPr>
          <w:rFonts w:ascii="Arial" w:cs="Arial" w:eastAsia="Arial" w:hAnsi="Arial"/>
          <w:sz w:val="18"/>
          <w:szCs w:val="18"/>
          <w:u w:val="single" w:color="auto"/>
          <w:color w:val="0000FF"/>
        </w:rPr>
      </w:pPr>
      <w:hyperlink r:id="rId320">
        <w:r>
          <w:rPr>
            <w:rFonts w:ascii="Arial" w:cs="Arial" w:eastAsia="Arial" w:hAnsi="Arial"/>
            <w:sz w:val="18"/>
            <w:szCs w:val="18"/>
            <w:u w:val="single" w:color="auto"/>
            <w:color w:val="0000FF"/>
          </w:rPr>
          <w:t>Bank GmbH, as Liquidity Provider (incorporated by reference to Exhibit 4.13 to American’s Current Report on Form 8-K filed on</w:t>
        </w:r>
      </w:hyperlink>
      <w:r>
        <w:rPr>
          <w:rFonts w:ascii="Arial" w:cs="Arial" w:eastAsia="Arial" w:hAnsi="Arial"/>
          <w:sz w:val="18"/>
          <w:szCs w:val="18"/>
          <w:u w:val="single" w:color="auto"/>
          <w:color w:val="0000FF"/>
        </w:rPr>
        <w:t xml:space="preserve"> </w:t>
      </w:r>
      <w:hyperlink r:id="rId320">
        <w:r>
          <w:rPr>
            <w:rFonts w:ascii="Arial" w:cs="Arial" w:eastAsia="Arial" w:hAnsi="Arial"/>
            <w:sz w:val="18"/>
            <w:szCs w:val="18"/>
            <w:u w:val="single" w:color="auto"/>
            <w:color w:val="0000FF"/>
          </w:rPr>
          <w:t>January 21,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4.71      </w:t>
      </w:r>
      <w:hyperlink r:id="rId321">
        <w:r>
          <w:rPr>
            <w:rFonts w:ascii="Arial" w:cs="Arial" w:eastAsia="Arial" w:hAnsi="Arial"/>
            <w:sz w:val="18"/>
            <w:szCs w:val="18"/>
            <w:u w:val="single" w:color="auto"/>
            <w:color w:val="0000FF"/>
          </w:rPr>
          <w:t>Revolving Credit Agreement (2016-1B), dated as of January 19, 2016, between Wilmington Trust Company, as Subordination</w:t>
        </w:r>
      </w:hyperlink>
      <w:r>
        <w:rPr>
          <w:rFonts w:ascii="Arial" w:cs="Arial" w:eastAsia="Arial" w:hAnsi="Arial"/>
          <w:sz w:val="18"/>
          <w:szCs w:val="18"/>
          <w:color w:val="auto"/>
        </w:rPr>
        <w:t xml:space="preserve"> </w:t>
      </w:r>
      <w:hyperlink r:id="rId321">
        <w:r>
          <w:rPr>
            <w:rFonts w:ascii="Arial" w:cs="Arial" w:eastAsia="Arial" w:hAnsi="Arial"/>
            <w:sz w:val="18"/>
            <w:szCs w:val="18"/>
            <w:u w:val="single" w:color="auto"/>
            <w:color w:val="0000FF"/>
          </w:rPr>
          <w:t>Agent, as agent and trustee for the trustee of the American Airlines Pass Through Trust 2016-1B, as Borrower, and KfW IPEX-</w:t>
        </w:r>
      </w:hyperlink>
    </w:p>
    <w:p>
      <w:pPr>
        <w:jc w:val="both"/>
        <w:ind w:left="920"/>
        <w:spacing w:after="0" w:line="229" w:lineRule="auto"/>
        <w:rPr>
          <w:rFonts w:ascii="Arial" w:cs="Arial" w:eastAsia="Arial" w:hAnsi="Arial"/>
          <w:sz w:val="18"/>
          <w:szCs w:val="18"/>
          <w:u w:val="single" w:color="auto"/>
          <w:color w:val="0000FF"/>
        </w:rPr>
      </w:pPr>
      <w:hyperlink r:id="rId321">
        <w:r>
          <w:rPr>
            <w:rFonts w:ascii="Arial" w:cs="Arial" w:eastAsia="Arial" w:hAnsi="Arial"/>
            <w:sz w:val="18"/>
            <w:szCs w:val="18"/>
            <w:u w:val="single" w:color="auto"/>
            <w:color w:val="0000FF"/>
          </w:rPr>
          <w:t>Bank GmbH, as Liquidity Provider (incorporated by reference to Exhibit 4.14 to American’s Current Report on Form 8-K filed on</w:t>
        </w:r>
      </w:hyperlink>
      <w:r>
        <w:rPr>
          <w:rFonts w:ascii="Arial" w:cs="Arial" w:eastAsia="Arial" w:hAnsi="Arial"/>
          <w:sz w:val="18"/>
          <w:szCs w:val="18"/>
          <w:u w:val="single" w:color="auto"/>
          <w:color w:val="0000FF"/>
        </w:rPr>
        <w:t xml:space="preserve"> </w:t>
      </w:r>
      <w:hyperlink r:id="rId321">
        <w:r>
          <w:rPr>
            <w:rFonts w:ascii="Arial" w:cs="Arial" w:eastAsia="Arial" w:hAnsi="Arial"/>
            <w:sz w:val="18"/>
            <w:szCs w:val="18"/>
            <w:u w:val="single" w:color="auto"/>
            <w:color w:val="0000FF"/>
          </w:rPr>
          <w:t>January 21,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4.72      </w:t>
      </w:r>
      <w:hyperlink r:id="rId322">
        <w:r>
          <w:rPr>
            <w:rFonts w:ascii="Arial" w:cs="Arial" w:eastAsia="Arial" w:hAnsi="Arial"/>
            <w:sz w:val="18"/>
            <w:szCs w:val="18"/>
            <w:u w:val="single" w:color="auto"/>
            <w:color w:val="0000FF"/>
          </w:rPr>
          <w:t>Trust Supplement No. 2016-2AA, dated as of May 16, 2016, between American Airlines, Inc. and Wilmington Trust Company, as</w:t>
        </w:r>
      </w:hyperlink>
      <w:r>
        <w:rPr>
          <w:rFonts w:ascii="Arial" w:cs="Arial" w:eastAsia="Arial" w:hAnsi="Arial"/>
          <w:sz w:val="18"/>
          <w:szCs w:val="18"/>
          <w:color w:val="auto"/>
        </w:rPr>
        <w:t xml:space="preserve"> </w:t>
      </w:r>
      <w:hyperlink r:id="rId322">
        <w:r>
          <w:rPr>
            <w:rFonts w:ascii="Arial" w:cs="Arial" w:eastAsia="Arial" w:hAnsi="Arial"/>
            <w:sz w:val="18"/>
            <w:szCs w:val="18"/>
            <w:u w:val="single" w:color="auto"/>
            <w:color w:val="0000FF"/>
          </w:rPr>
          <w:t>Trustee, to the Pass Through Trust Agreement, dated as of September 16, 2014 (incorporated by reference to Exhibit 4.2 to</w:t>
        </w:r>
      </w:hyperlink>
    </w:p>
    <w:p>
      <w:pPr>
        <w:ind w:left="920"/>
        <w:spacing w:after="0"/>
        <w:rPr>
          <w:rFonts w:ascii="Arial" w:cs="Arial" w:eastAsia="Arial" w:hAnsi="Arial"/>
          <w:sz w:val="18"/>
          <w:szCs w:val="18"/>
          <w:u w:val="single" w:color="auto"/>
          <w:color w:val="0000FF"/>
        </w:rPr>
      </w:pPr>
      <w:hyperlink r:id="rId322">
        <w:r>
          <w:rPr>
            <w:rFonts w:ascii="Arial" w:cs="Arial" w:eastAsia="Arial" w:hAnsi="Arial"/>
            <w:sz w:val="18"/>
            <w:szCs w:val="18"/>
            <w:u w:val="single" w:color="auto"/>
            <w:color w:val="0000FF"/>
          </w:rPr>
          <w:t>American’s Current Report on Form 8-K filed on May 17,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4.73      </w:t>
      </w:r>
      <w:hyperlink r:id="rId323">
        <w:r>
          <w:rPr>
            <w:rFonts w:ascii="Arial" w:cs="Arial" w:eastAsia="Arial" w:hAnsi="Arial"/>
            <w:sz w:val="18"/>
            <w:szCs w:val="18"/>
            <w:u w:val="single" w:color="auto"/>
            <w:color w:val="0000FF"/>
          </w:rPr>
          <w:t>Trust Supplement No. 2016-2A, dated as of May 16, 2016, between American Airlines, Inc. and Wilmington Trust Company, as</w:t>
        </w:r>
      </w:hyperlink>
      <w:r>
        <w:rPr>
          <w:rFonts w:ascii="Arial" w:cs="Arial" w:eastAsia="Arial" w:hAnsi="Arial"/>
          <w:sz w:val="18"/>
          <w:szCs w:val="18"/>
          <w:color w:val="auto"/>
        </w:rPr>
        <w:t xml:space="preserve"> </w:t>
      </w:r>
      <w:hyperlink r:id="rId323">
        <w:r>
          <w:rPr>
            <w:rFonts w:ascii="Arial" w:cs="Arial" w:eastAsia="Arial" w:hAnsi="Arial"/>
            <w:sz w:val="18"/>
            <w:szCs w:val="18"/>
            <w:u w:val="single" w:color="auto"/>
            <w:color w:val="0000FF"/>
          </w:rPr>
          <w:t>Trustee, to the Pass Through Trust Agreement, dated as of September 16, 2014 (incorporated by reference to Exhibit 4.3 to</w:t>
        </w:r>
      </w:hyperlink>
    </w:p>
    <w:p>
      <w:pPr>
        <w:ind w:left="920"/>
        <w:spacing w:after="0"/>
        <w:rPr>
          <w:rFonts w:ascii="Arial" w:cs="Arial" w:eastAsia="Arial" w:hAnsi="Arial"/>
          <w:sz w:val="18"/>
          <w:szCs w:val="18"/>
          <w:u w:val="single" w:color="auto"/>
          <w:color w:val="0000FF"/>
        </w:rPr>
      </w:pPr>
      <w:hyperlink r:id="rId323">
        <w:r>
          <w:rPr>
            <w:rFonts w:ascii="Arial" w:cs="Arial" w:eastAsia="Arial" w:hAnsi="Arial"/>
            <w:sz w:val="18"/>
            <w:szCs w:val="18"/>
            <w:u w:val="single" w:color="auto"/>
            <w:color w:val="0000FF"/>
          </w:rPr>
          <w:t>American’s Current Report on Form 8-K filed on May 17,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4.74      </w:t>
      </w:r>
      <w:hyperlink r:id="rId324">
        <w:r>
          <w:rPr>
            <w:rFonts w:ascii="Arial" w:cs="Arial" w:eastAsia="Arial" w:hAnsi="Arial"/>
            <w:sz w:val="18"/>
            <w:szCs w:val="18"/>
            <w:u w:val="single" w:color="auto"/>
            <w:color w:val="0000FF"/>
          </w:rPr>
          <w:t>Intercreditor Agreement (2016-2), dated as of May 16, 2016, among Wilmington Trust Company, as Trustee of the American</w:t>
        </w:r>
      </w:hyperlink>
      <w:r>
        <w:rPr>
          <w:rFonts w:ascii="Arial" w:cs="Arial" w:eastAsia="Arial" w:hAnsi="Arial"/>
          <w:sz w:val="18"/>
          <w:szCs w:val="18"/>
          <w:color w:val="auto"/>
        </w:rPr>
        <w:t xml:space="preserve"> </w:t>
      </w:r>
      <w:hyperlink r:id="rId324">
        <w:r>
          <w:rPr>
            <w:rFonts w:ascii="Arial" w:cs="Arial" w:eastAsia="Arial" w:hAnsi="Arial"/>
            <w:sz w:val="18"/>
            <w:szCs w:val="18"/>
            <w:u w:val="single" w:color="auto"/>
            <w:color w:val="0000FF"/>
          </w:rPr>
          <w:t>Airlines Pass Through Trust 2016-2AA and as Trustee of the American Airlines Pass Through Trust 2016-2A, KfW IPEX-Bank</w:t>
        </w:r>
      </w:hyperlink>
    </w:p>
    <w:p>
      <w:pPr>
        <w:jc w:val="both"/>
        <w:ind w:left="920"/>
        <w:spacing w:after="0" w:line="220" w:lineRule="auto"/>
        <w:rPr>
          <w:rFonts w:ascii="Arial" w:cs="Arial" w:eastAsia="Arial" w:hAnsi="Arial"/>
          <w:sz w:val="18"/>
          <w:szCs w:val="18"/>
          <w:u w:val="single" w:color="auto"/>
          <w:color w:val="0000FF"/>
        </w:rPr>
      </w:pPr>
      <w:hyperlink r:id="rId324">
        <w:r>
          <w:rPr>
            <w:rFonts w:ascii="Arial" w:cs="Arial" w:eastAsia="Arial" w:hAnsi="Arial"/>
            <w:sz w:val="18"/>
            <w:szCs w:val="18"/>
            <w:u w:val="single" w:color="auto"/>
            <w:color w:val="0000FF"/>
          </w:rPr>
          <w:t>GmbH, as Class AA Liquidity Provider and Class A Liquidity Provider, and Wilmington Trust Company, as Subordination Agent</w:t>
        </w:r>
      </w:hyperlink>
      <w:r>
        <w:rPr>
          <w:rFonts w:ascii="Arial" w:cs="Arial" w:eastAsia="Arial" w:hAnsi="Arial"/>
          <w:sz w:val="18"/>
          <w:szCs w:val="18"/>
          <w:u w:val="single" w:color="auto"/>
          <w:color w:val="0000FF"/>
        </w:rPr>
        <w:t xml:space="preserve"> </w:t>
      </w:r>
      <w:hyperlink r:id="rId324">
        <w:r>
          <w:rPr>
            <w:rFonts w:ascii="Arial" w:cs="Arial" w:eastAsia="Arial" w:hAnsi="Arial"/>
            <w:sz w:val="18"/>
            <w:szCs w:val="18"/>
            <w:u w:val="single" w:color="auto"/>
            <w:color w:val="0000FF"/>
          </w:rPr>
          <w:t>(incorporated by reference to Exhibit 4.4 to American’s Current Report on Form 8-K filed on May 17, 2016 (Commission File</w:t>
        </w:r>
      </w:hyperlink>
      <w:r>
        <w:rPr>
          <w:rFonts w:ascii="Arial" w:cs="Arial" w:eastAsia="Arial" w:hAnsi="Arial"/>
          <w:sz w:val="18"/>
          <w:szCs w:val="18"/>
          <w:u w:val="single" w:color="auto"/>
          <w:color w:val="0000FF"/>
        </w:rPr>
        <w:t xml:space="preserve"> </w:t>
      </w:r>
      <w:hyperlink r:id="rId324">
        <w:r>
          <w:rPr>
            <w:rFonts w:ascii="Arial" w:cs="Arial" w:eastAsia="Arial" w:hAnsi="Arial"/>
            <w:sz w:val="18"/>
            <w:szCs w:val="18"/>
            <w:u w:val="single" w:color="auto"/>
            <w:color w:val="0000FF"/>
          </w:rPr>
          <w:t>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4.75      </w:t>
      </w:r>
      <w:hyperlink r:id="rId325">
        <w:r>
          <w:rPr>
            <w:rFonts w:ascii="Arial" w:cs="Arial" w:eastAsia="Arial" w:hAnsi="Arial"/>
            <w:sz w:val="18"/>
            <w:szCs w:val="18"/>
            <w:u w:val="single" w:color="auto"/>
            <w:color w:val="0000FF"/>
          </w:rPr>
          <w:t>Note Purchase Agreement, dated as of May 16, 2016, among American Airlines, Inc., Wilmington Trust Company, as Pass</w:t>
        </w:r>
      </w:hyperlink>
      <w:r>
        <w:rPr>
          <w:rFonts w:ascii="Arial" w:cs="Arial" w:eastAsia="Arial" w:hAnsi="Arial"/>
          <w:sz w:val="18"/>
          <w:szCs w:val="18"/>
          <w:color w:val="auto"/>
        </w:rPr>
        <w:t xml:space="preserve"> </w:t>
      </w:r>
      <w:hyperlink r:id="rId325">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25">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325">
        <w:r>
          <w:rPr>
            <w:rFonts w:ascii="Arial" w:cs="Arial" w:eastAsia="Arial" w:hAnsi="Arial"/>
            <w:sz w:val="18"/>
            <w:szCs w:val="18"/>
            <w:u w:val="single" w:color="auto"/>
            <w:color w:val="0000FF"/>
          </w:rPr>
          <w:t>reference to Exhibit 4.9 to American’s Current Report on Form 8-K filed on May 17,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4.76      </w:t>
      </w:r>
      <w:hyperlink r:id="rId325">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25">
        <w:r>
          <w:rPr>
            <w:rFonts w:ascii="Arial" w:cs="Arial" w:eastAsia="Arial" w:hAnsi="Arial"/>
            <w:sz w:val="18"/>
            <w:szCs w:val="18"/>
            <w:u w:val="single" w:color="auto"/>
            <w:color w:val="0000FF"/>
          </w:rPr>
          <w:t>Through Trustee under each of the Pass Through Trust Agreements, Wilmington Trust Company, as Subordination Agent,</w:t>
        </w:r>
      </w:hyperlink>
    </w:p>
    <w:p>
      <w:pPr>
        <w:jc w:val="both"/>
        <w:ind w:left="920"/>
        <w:spacing w:after="0" w:line="220" w:lineRule="auto"/>
        <w:rPr>
          <w:rFonts w:ascii="Arial" w:cs="Arial" w:eastAsia="Arial" w:hAnsi="Arial"/>
          <w:sz w:val="18"/>
          <w:szCs w:val="18"/>
          <w:u w:val="single" w:color="auto"/>
          <w:color w:val="0000FF"/>
        </w:rPr>
      </w:pPr>
      <w:hyperlink r:id="rId325">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25">
        <w:r>
          <w:rPr>
            <w:rFonts w:ascii="Arial" w:cs="Arial" w:eastAsia="Arial" w:hAnsi="Arial"/>
            <w:sz w:val="18"/>
            <w:szCs w:val="18"/>
            <w:u w:val="single" w:color="auto"/>
            <w:color w:val="0000FF"/>
          </w:rPr>
          <w:t>(incorporated by reference to Exhibit B to Exhibit 4.9 to American’s Current Report on Form 8-K filed on May 17, 2016</w:t>
        </w:r>
      </w:hyperlink>
      <w:r>
        <w:rPr>
          <w:rFonts w:ascii="Arial" w:cs="Arial" w:eastAsia="Arial" w:hAnsi="Arial"/>
          <w:sz w:val="18"/>
          <w:szCs w:val="18"/>
          <w:u w:val="single" w:color="auto"/>
          <w:color w:val="0000FF"/>
        </w:rPr>
        <w:t xml:space="preserve"> </w:t>
      </w:r>
      <w:hyperlink r:id="rId325">
        <w:r>
          <w:rPr>
            <w:rFonts w:ascii="Arial" w:cs="Arial" w:eastAsia="Arial" w:hAnsi="Arial"/>
            <w:sz w:val="18"/>
            <w:szCs w:val="18"/>
            <w:u w:val="single" w:color="auto"/>
            <w:color w:val="0000FF"/>
          </w:rPr>
          <w:t>(Commission File No. 1-2691)).</w:t>
        </w:r>
      </w:hyperlink>
    </w:p>
    <w:p>
      <w:pPr>
        <w:spacing w:after="0" w:line="200" w:lineRule="exact"/>
        <w:rPr>
          <w:rFonts w:ascii="Arial" w:cs="Arial" w:eastAsia="Arial" w:hAnsi="Arial"/>
          <w:sz w:val="18"/>
          <w:szCs w:val="18"/>
          <w:u w:val="single" w:color="auto"/>
          <w:color w:val="0000FF"/>
        </w:rPr>
      </w:pPr>
    </w:p>
    <w:p>
      <w:pPr>
        <w:spacing w:after="0" w:line="318"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4.77      </w:t>
      </w:r>
      <w:hyperlink r:id="rId325">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25">
        <w:r>
          <w:rPr>
            <w:rFonts w:ascii="Arial" w:cs="Arial" w:eastAsia="Arial" w:hAnsi="Arial"/>
            <w:sz w:val="18"/>
            <w:szCs w:val="18"/>
            <w:u w:val="single" w:color="auto"/>
            <w:color w:val="0000FF"/>
          </w:rPr>
          <w:t>Trust Company, as Loan Trustee) (incorporated by reference to Exhibit C to Exhibit 4.9 to American’s Current Report on Form 8-K</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25">
        <w:r>
          <w:rPr>
            <w:rFonts w:ascii="Arial" w:cs="Arial" w:eastAsia="Arial" w:hAnsi="Arial"/>
            <w:sz w:val="18"/>
            <w:szCs w:val="18"/>
            <w:u w:val="single" w:color="auto"/>
            <w:color w:val="0000FF"/>
          </w:rPr>
          <w:t>filed on May 17, 2016 (Commission File No. 1-2691)).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4.78</w:t>
      </w:r>
      <w:r>
        <w:rPr>
          <w:sz w:val="20"/>
          <w:szCs w:val="20"/>
          <w:color w:val="auto"/>
        </w:rPr>
        <w:tab/>
      </w:r>
      <w:hyperlink r:id="rId322">
        <w:r>
          <w:rPr>
            <w:rFonts w:ascii="Arial" w:cs="Arial" w:eastAsia="Arial" w:hAnsi="Arial"/>
            <w:sz w:val="18"/>
            <w:szCs w:val="18"/>
            <w:u w:val="single" w:color="auto"/>
            <w:color w:val="0000FF"/>
          </w:rPr>
          <w:t>Form of Pass Through Trust Certificate, Series 2016-2AA (incorporated by reference to Exhibit A to Exhibit 4.2 to American’s</w:t>
        </w:r>
      </w:hyperlink>
      <w:r>
        <w:rPr>
          <w:rFonts w:ascii="Arial" w:cs="Arial" w:eastAsia="Arial" w:hAnsi="Arial"/>
          <w:sz w:val="18"/>
          <w:szCs w:val="18"/>
          <w:u w:val="single" w:color="auto"/>
          <w:color w:val="0000FF"/>
        </w:rPr>
        <w:t xml:space="preserve"> </w:t>
      </w:r>
      <w:hyperlink r:id="rId322">
        <w:r>
          <w:rPr>
            <w:rFonts w:ascii="Arial" w:cs="Arial" w:eastAsia="Arial" w:hAnsi="Arial"/>
            <w:sz w:val="18"/>
            <w:szCs w:val="18"/>
            <w:u w:val="single" w:color="auto"/>
            <w:color w:val="0000FF"/>
          </w:rPr>
          <w:t>Current Report on Form 8-K filed on May 17, 2016 (Commission File No. 1-2691)).</w:t>
        </w:r>
      </w:hyperlink>
    </w:p>
    <w:p>
      <w:pPr>
        <w:spacing w:after="0" w:line="5"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4.79</w:t>
      </w:r>
      <w:r>
        <w:rPr>
          <w:sz w:val="20"/>
          <w:szCs w:val="20"/>
          <w:color w:val="auto"/>
        </w:rPr>
        <w:tab/>
      </w:r>
      <w:hyperlink r:id="rId323">
        <w:r>
          <w:rPr>
            <w:rFonts w:ascii="Arial" w:cs="Arial" w:eastAsia="Arial" w:hAnsi="Arial"/>
            <w:sz w:val="18"/>
            <w:szCs w:val="18"/>
            <w:u w:val="single" w:color="auto"/>
            <w:color w:val="0000FF"/>
          </w:rPr>
          <w:t>Form of Pass Through Trust Certificate, Series 2016-2A (incorporated by reference to Exhibit A to Exhibit 4.3 to American’s</w:t>
        </w:r>
      </w:hyperlink>
      <w:r>
        <w:rPr>
          <w:rFonts w:ascii="Arial" w:cs="Arial" w:eastAsia="Arial" w:hAnsi="Arial"/>
          <w:sz w:val="18"/>
          <w:szCs w:val="18"/>
          <w:u w:val="single" w:color="auto"/>
          <w:color w:val="0000FF"/>
        </w:rPr>
        <w:t xml:space="preserve"> </w:t>
      </w:r>
      <w:hyperlink r:id="rId323">
        <w:r>
          <w:rPr>
            <w:rFonts w:ascii="Arial" w:cs="Arial" w:eastAsia="Arial" w:hAnsi="Arial"/>
            <w:sz w:val="18"/>
            <w:szCs w:val="18"/>
            <w:u w:val="single" w:color="auto"/>
            <w:color w:val="0000FF"/>
          </w:rPr>
          <w:t>Current Report on Form 8-K filed on May 17, 2016 (Commission File No. 1-2691)).</w:t>
        </w:r>
      </w:hyperlink>
    </w:p>
    <w:p>
      <w:pPr>
        <w:spacing w:after="0" w:line="6"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4.80      </w:t>
      </w:r>
      <w:hyperlink r:id="rId327">
        <w:r>
          <w:rPr>
            <w:rFonts w:ascii="Arial" w:cs="Arial" w:eastAsia="Arial" w:hAnsi="Arial"/>
            <w:sz w:val="18"/>
            <w:szCs w:val="18"/>
            <w:u w:val="single" w:color="auto"/>
            <w:color w:val="0000FF"/>
          </w:rPr>
          <w:t>Revolving Credit Agreement (2016-2AA), dated as of May 16, 2016, between Wilmington Trust Company, as Subordination</w:t>
        </w:r>
      </w:hyperlink>
      <w:r>
        <w:rPr>
          <w:rFonts w:ascii="Arial" w:cs="Arial" w:eastAsia="Arial" w:hAnsi="Arial"/>
          <w:sz w:val="18"/>
          <w:szCs w:val="18"/>
          <w:color w:val="auto"/>
        </w:rPr>
        <w:t xml:space="preserve"> </w:t>
      </w:r>
      <w:hyperlink r:id="rId327">
        <w:r>
          <w:rPr>
            <w:rFonts w:ascii="Arial" w:cs="Arial" w:eastAsia="Arial" w:hAnsi="Arial"/>
            <w:sz w:val="18"/>
            <w:szCs w:val="18"/>
            <w:u w:val="single" w:color="auto"/>
            <w:color w:val="0000FF"/>
          </w:rPr>
          <w:t>Agent, as agent and trustee for the trustee of the American Airlines Pass Through Trust 2016-2AA, as Borrower, and KfW IPEX-</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27">
        <w:r>
          <w:rPr>
            <w:rFonts w:ascii="Arial" w:cs="Arial" w:eastAsia="Arial" w:hAnsi="Arial"/>
            <w:sz w:val="18"/>
            <w:szCs w:val="18"/>
            <w:u w:val="single" w:color="auto"/>
            <w:color w:val="0000FF"/>
          </w:rPr>
          <w:t>Bank GmbH, as Liquidity Provider (incorporated by reference to Exhibit 4.14 to American’s Current Report on Form 8-K filed on</w:t>
        </w:r>
      </w:hyperlink>
      <w:r>
        <w:rPr>
          <w:rFonts w:ascii="Arial" w:cs="Arial" w:eastAsia="Arial" w:hAnsi="Arial"/>
          <w:sz w:val="18"/>
          <w:szCs w:val="18"/>
          <w:u w:val="single" w:color="auto"/>
          <w:color w:val="0000FF"/>
        </w:rPr>
        <w:t xml:space="preserve"> </w:t>
      </w:r>
      <w:hyperlink r:id="rId327">
        <w:r>
          <w:rPr>
            <w:rFonts w:ascii="Arial" w:cs="Arial" w:eastAsia="Arial" w:hAnsi="Arial"/>
            <w:sz w:val="18"/>
            <w:szCs w:val="18"/>
            <w:u w:val="single" w:color="auto"/>
            <w:color w:val="0000FF"/>
          </w:rPr>
          <w:t>May 17,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4.81      </w:t>
      </w:r>
      <w:hyperlink r:id="rId328">
        <w:r>
          <w:rPr>
            <w:rFonts w:ascii="Arial" w:cs="Arial" w:eastAsia="Arial" w:hAnsi="Arial"/>
            <w:sz w:val="18"/>
            <w:szCs w:val="18"/>
            <w:u w:val="single" w:color="auto"/>
            <w:color w:val="0000FF"/>
          </w:rPr>
          <w:t>Revolving Credit Agreement (2016-2A), dated as of May 16, 2016, between Wilmington Trust Company, as Subordination Agent,</w:t>
        </w:r>
      </w:hyperlink>
      <w:r>
        <w:rPr>
          <w:rFonts w:ascii="Arial" w:cs="Arial" w:eastAsia="Arial" w:hAnsi="Arial"/>
          <w:sz w:val="18"/>
          <w:szCs w:val="18"/>
          <w:color w:val="auto"/>
        </w:rPr>
        <w:t xml:space="preserve"> </w:t>
      </w:r>
      <w:hyperlink r:id="rId328">
        <w:r>
          <w:rPr>
            <w:rFonts w:ascii="Arial" w:cs="Arial" w:eastAsia="Arial" w:hAnsi="Arial"/>
            <w:sz w:val="18"/>
            <w:szCs w:val="18"/>
            <w:u w:val="single" w:color="auto"/>
            <w:color w:val="0000FF"/>
          </w:rPr>
          <w:t>as agent and trustee for the trustee of the American Airlines Pass Through Trust 2016-2A, as Borrower, and KfW IPEX-Bank</w:t>
        </w:r>
      </w:hyperlink>
    </w:p>
    <w:p>
      <w:pPr>
        <w:jc w:val="both"/>
        <w:ind w:left="920"/>
        <w:spacing w:after="0" w:line="229" w:lineRule="auto"/>
        <w:rPr>
          <w:rFonts w:ascii="Arial" w:cs="Arial" w:eastAsia="Arial" w:hAnsi="Arial"/>
          <w:sz w:val="18"/>
          <w:szCs w:val="18"/>
          <w:u w:val="single" w:color="auto"/>
          <w:color w:val="0000FF"/>
        </w:rPr>
      </w:pPr>
      <w:hyperlink r:id="rId328">
        <w:r>
          <w:rPr>
            <w:rFonts w:ascii="Arial" w:cs="Arial" w:eastAsia="Arial" w:hAnsi="Arial"/>
            <w:sz w:val="18"/>
            <w:szCs w:val="18"/>
            <w:u w:val="single" w:color="auto"/>
            <w:color w:val="0000FF"/>
          </w:rPr>
          <w:t>GmbH, as Liquidity Provider (incorporated by reference to Exhibit 4.15 to American’s Current Report on Form 8-K filed on</w:t>
        </w:r>
      </w:hyperlink>
      <w:r>
        <w:rPr>
          <w:rFonts w:ascii="Arial" w:cs="Arial" w:eastAsia="Arial" w:hAnsi="Arial"/>
          <w:sz w:val="18"/>
          <w:szCs w:val="18"/>
          <w:u w:val="single" w:color="auto"/>
          <w:color w:val="0000FF"/>
        </w:rPr>
        <w:t xml:space="preserve"> </w:t>
      </w:r>
      <w:hyperlink r:id="rId328">
        <w:r>
          <w:rPr>
            <w:rFonts w:ascii="Arial" w:cs="Arial" w:eastAsia="Arial" w:hAnsi="Arial"/>
            <w:sz w:val="18"/>
            <w:szCs w:val="18"/>
            <w:u w:val="single" w:color="auto"/>
            <w:color w:val="0000FF"/>
          </w:rPr>
          <w:t>May 17,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4.82      </w:t>
      </w:r>
      <w:hyperlink r:id="rId329">
        <w:r>
          <w:rPr>
            <w:rFonts w:ascii="Arial" w:cs="Arial" w:eastAsia="Arial" w:hAnsi="Arial"/>
            <w:sz w:val="18"/>
            <w:szCs w:val="18"/>
            <w:u w:val="single" w:color="auto"/>
            <w:color w:val="0000FF"/>
          </w:rPr>
          <w:t>Trust Supplement No. 2016-2B, dated as of July 8, 2016, between American Airlines, Inc. and Wilmington Trust Company, as</w:t>
        </w:r>
      </w:hyperlink>
      <w:r>
        <w:rPr>
          <w:rFonts w:ascii="Arial" w:cs="Arial" w:eastAsia="Arial" w:hAnsi="Arial"/>
          <w:sz w:val="18"/>
          <w:szCs w:val="18"/>
          <w:color w:val="auto"/>
        </w:rPr>
        <w:t xml:space="preserve"> </w:t>
      </w:r>
      <w:hyperlink r:id="rId329">
        <w:r>
          <w:rPr>
            <w:rFonts w:ascii="Arial" w:cs="Arial" w:eastAsia="Arial" w:hAnsi="Arial"/>
            <w:sz w:val="18"/>
            <w:szCs w:val="18"/>
            <w:u w:val="single" w:color="auto"/>
            <w:color w:val="0000FF"/>
          </w:rPr>
          <w:t>Trustee, to the Pass Through Trust Agreement, dated as of September 16, 2014 (incorporated by reference to Exhibit 4.2 to</w:t>
        </w:r>
      </w:hyperlink>
    </w:p>
    <w:p>
      <w:pPr>
        <w:ind w:left="920"/>
        <w:spacing w:after="0"/>
        <w:rPr>
          <w:rFonts w:ascii="Arial" w:cs="Arial" w:eastAsia="Arial" w:hAnsi="Arial"/>
          <w:sz w:val="18"/>
          <w:szCs w:val="18"/>
          <w:u w:val="single" w:color="auto"/>
          <w:color w:val="0000FF"/>
        </w:rPr>
      </w:pPr>
      <w:hyperlink r:id="rId329">
        <w:r>
          <w:rPr>
            <w:rFonts w:ascii="Arial" w:cs="Arial" w:eastAsia="Arial" w:hAnsi="Arial"/>
            <w:sz w:val="18"/>
            <w:szCs w:val="18"/>
            <w:u w:val="single" w:color="auto"/>
            <w:color w:val="0000FF"/>
          </w:rPr>
          <w:t>American’s Current Report on Form 8-K filed on July 12,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4.83      </w:t>
      </w:r>
      <w:hyperlink r:id="rId330">
        <w:r>
          <w:rPr>
            <w:rFonts w:ascii="Arial" w:cs="Arial" w:eastAsia="Arial" w:hAnsi="Arial"/>
            <w:sz w:val="18"/>
            <w:szCs w:val="18"/>
            <w:u w:val="single" w:color="auto"/>
            <w:color w:val="0000FF"/>
          </w:rPr>
          <w:t>Amended and Restated Intercreditor Agreement (2016-2), dated as of July 8, 2016, among Wilmington Trust Company, as</w:t>
        </w:r>
      </w:hyperlink>
      <w:r>
        <w:rPr>
          <w:rFonts w:ascii="Arial" w:cs="Arial" w:eastAsia="Arial" w:hAnsi="Arial"/>
          <w:sz w:val="18"/>
          <w:szCs w:val="18"/>
          <w:color w:val="auto"/>
        </w:rPr>
        <w:t xml:space="preserve"> </w:t>
      </w:r>
      <w:hyperlink r:id="rId330">
        <w:r>
          <w:rPr>
            <w:rFonts w:ascii="Arial" w:cs="Arial" w:eastAsia="Arial" w:hAnsi="Arial"/>
            <w:sz w:val="18"/>
            <w:szCs w:val="18"/>
            <w:u w:val="single" w:color="auto"/>
            <w:color w:val="0000FF"/>
          </w:rPr>
          <w:t>Trustee of the American Airlines Pass Through Trust 2016-2AA, as Trustee of the American Airlines Pass Through Trust 2016-2A</w:t>
        </w:r>
      </w:hyperlink>
    </w:p>
    <w:p>
      <w:pPr>
        <w:jc w:val="both"/>
        <w:ind w:left="920"/>
        <w:spacing w:after="0" w:line="220" w:lineRule="auto"/>
        <w:rPr>
          <w:rFonts w:ascii="Arial" w:cs="Arial" w:eastAsia="Arial" w:hAnsi="Arial"/>
          <w:sz w:val="18"/>
          <w:szCs w:val="18"/>
          <w:u w:val="single" w:color="auto"/>
          <w:color w:val="0000FF"/>
        </w:rPr>
      </w:pPr>
      <w:hyperlink r:id="rId330">
        <w:r>
          <w:rPr>
            <w:rFonts w:ascii="Arial" w:cs="Arial" w:eastAsia="Arial" w:hAnsi="Arial"/>
            <w:sz w:val="18"/>
            <w:szCs w:val="18"/>
            <w:u w:val="single" w:color="auto"/>
            <w:color w:val="0000FF"/>
          </w:rPr>
          <w:t>and as Trustee of the American Airlines Pass Through Trust 2016-2B, KfW IPEX-Bank GmbH, as Class AA Liquidity Provider,</w:t>
        </w:r>
      </w:hyperlink>
      <w:r>
        <w:rPr>
          <w:rFonts w:ascii="Arial" w:cs="Arial" w:eastAsia="Arial" w:hAnsi="Arial"/>
          <w:sz w:val="18"/>
          <w:szCs w:val="18"/>
          <w:u w:val="single" w:color="auto"/>
          <w:color w:val="0000FF"/>
        </w:rPr>
        <w:t xml:space="preserve"> </w:t>
      </w:r>
      <w:hyperlink r:id="rId330">
        <w:r>
          <w:rPr>
            <w:rFonts w:ascii="Arial" w:cs="Arial" w:eastAsia="Arial" w:hAnsi="Arial"/>
            <w:sz w:val="18"/>
            <w:szCs w:val="18"/>
            <w:u w:val="single" w:color="auto"/>
            <w:color w:val="0000FF"/>
          </w:rPr>
          <w:t>Class A Liquidity Provider and Class B Liquidity Provider, and Wilmington Trust Company, as Subordination Agent (incorporated</w:t>
        </w:r>
      </w:hyperlink>
      <w:r>
        <w:rPr>
          <w:rFonts w:ascii="Arial" w:cs="Arial" w:eastAsia="Arial" w:hAnsi="Arial"/>
          <w:sz w:val="18"/>
          <w:szCs w:val="18"/>
          <w:u w:val="single" w:color="auto"/>
          <w:color w:val="0000FF"/>
        </w:rPr>
        <w:t xml:space="preserve"> </w:t>
      </w:r>
      <w:hyperlink r:id="rId330">
        <w:r>
          <w:rPr>
            <w:rFonts w:ascii="Arial" w:cs="Arial" w:eastAsia="Arial" w:hAnsi="Arial"/>
            <w:sz w:val="18"/>
            <w:szCs w:val="18"/>
            <w:u w:val="single" w:color="auto"/>
            <w:color w:val="0000FF"/>
          </w:rPr>
          <w:t>by reference to Exhibit 4.3 to American’s Current Report on Form 8-K filed on July 12, 2016 (Commission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4.84      </w:t>
      </w:r>
      <w:hyperlink r:id="rId331">
        <w:r>
          <w:rPr>
            <w:rFonts w:ascii="Arial" w:cs="Arial" w:eastAsia="Arial" w:hAnsi="Arial"/>
            <w:sz w:val="18"/>
            <w:szCs w:val="18"/>
            <w:u w:val="single" w:color="auto"/>
            <w:color w:val="0000FF"/>
          </w:rPr>
          <w:t>Amended and Restated Note Purchase Agreement, dated as of July 8, 2016, among American Airlines, Inc., Wilmington Trust</w:t>
        </w:r>
      </w:hyperlink>
      <w:r>
        <w:rPr>
          <w:rFonts w:ascii="Arial" w:cs="Arial" w:eastAsia="Arial" w:hAnsi="Arial"/>
          <w:sz w:val="18"/>
          <w:szCs w:val="18"/>
          <w:color w:val="auto"/>
        </w:rPr>
        <w:t xml:space="preserve"> </w:t>
      </w:r>
      <w:hyperlink r:id="rId331">
        <w:r>
          <w:rPr>
            <w:rFonts w:ascii="Arial" w:cs="Arial" w:eastAsia="Arial" w:hAnsi="Arial"/>
            <w:sz w:val="18"/>
            <w:szCs w:val="18"/>
            <w:u w:val="single" w:color="auto"/>
            <w:color w:val="0000FF"/>
          </w:rPr>
          <w:t>Company, as Pass Through Trustee under each of the Pass Through Trust Agreements, Wilmington Trust Company, as</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331">
        <w:r>
          <w:rPr>
            <w:rFonts w:ascii="Arial" w:cs="Arial" w:eastAsia="Arial" w:hAnsi="Arial"/>
            <w:sz w:val="18"/>
            <w:szCs w:val="18"/>
            <w:u w:val="single" w:color="auto"/>
            <w:color w:val="0000FF"/>
          </w:rPr>
          <w:t>Subordination Agent, Wilmington Trust, National Association, as Escrow Agent, and Wilmington Trust Company, as Paying Agent</w:t>
        </w:r>
      </w:hyperlink>
      <w:r>
        <w:rPr>
          <w:rFonts w:ascii="Arial" w:cs="Arial" w:eastAsia="Arial" w:hAnsi="Arial"/>
          <w:sz w:val="18"/>
          <w:szCs w:val="18"/>
          <w:u w:val="single" w:color="auto"/>
          <w:color w:val="0000FF"/>
        </w:rPr>
        <w:t xml:space="preserve"> </w:t>
      </w:r>
      <w:hyperlink r:id="rId331">
        <w:r>
          <w:rPr>
            <w:rFonts w:ascii="Arial" w:cs="Arial" w:eastAsia="Arial" w:hAnsi="Arial"/>
            <w:sz w:val="18"/>
            <w:szCs w:val="18"/>
            <w:u w:val="single" w:color="auto"/>
            <w:color w:val="0000FF"/>
          </w:rPr>
          <w:t>(incorporated by reference to Exhibit 4.6 to American’s Current Report on Form 8-K filed on July 12, 2016 (Commission File</w:t>
        </w:r>
      </w:hyperlink>
      <w:r>
        <w:rPr>
          <w:rFonts w:ascii="Arial" w:cs="Arial" w:eastAsia="Arial" w:hAnsi="Arial"/>
          <w:sz w:val="18"/>
          <w:szCs w:val="18"/>
          <w:u w:val="single" w:color="auto"/>
          <w:color w:val="0000FF"/>
        </w:rPr>
        <w:t xml:space="preserve"> </w:t>
      </w:r>
      <w:hyperlink r:id="rId331">
        <w:r>
          <w:rPr>
            <w:rFonts w:ascii="Arial" w:cs="Arial" w:eastAsia="Arial" w:hAnsi="Arial"/>
            <w:sz w:val="18"/>
            <w:szCs w:val="18"/>
            <w:u w:val="single" w:color="auto"/>
            <w:color w:val="0000FF"/>
          </w:rPr>
          <w:t>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4.85      </w:t>
      </w:r>
      <w:hyperlink r:id="rId331">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31">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331">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31">
        <w:r>
          <w:rPr>
            <w:rFonts w:ascii="Arial" w:cs="Arial" w:eastAsia="Arial" w:hAnsi="Arial"/>
            <w:sz w:val="18"/>
            <w:szCs w:val="18"/>
            <w:u w:val="single" w:color="auto"/>
            <w:color w:val="0000FF"/>
          </w:rPr>
          <w:t>(incorporated by reference to Exhibit B to Exhibit 4.6 to American’s Current Report on Form 8-K filed on July 12, 2016</w:t>
        </w:r>
      </w:hyperlink>
      <w:r>
        <w:rPr>
          <w:rFonts w:ascii="Arial" w:cs="Arial" w:eastAsia="Arial" w:hAnsi="Arial"/>
          <w:sz w:val="18"/>
          <w:szCs w:val="18"/>
          <w:u w:val="single" w:color="auto"/>
          <w:color w:val="0000FF"/>
        </w:rPr>
        <w:t xml:space="preserve"> </w:t>
      </w:r>
      <w:hyperlink r:id="rId331">
        <w:r>
          <w:rPr>
            <w:rFonts w:ascii="Arial" w:cs="Arial" w:eastAsia="Arial" w:hAnsi="Arial"/>
            <w:sz w:val="18"/>
            <w:szCs w:val="18"/>
            <w:u w:val="single" w:color="auto"/>
            <w:color w:val="0000FF"/>
          </w:rPr>
          <w:t>(Commission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4.86      </w:t>
      </w:r>
      <w:hyperlink r:id="rId331">
        <w:r>
          <w:rPr>
            <w:rFonts w:ascii="Arial" w:cs="Arial" w:eastAsia="Arial" w:hAnsi="Arial"/>
            <w:sz w:val="18"/>
            <w:szCs w:val="18"/>
            <w:u w:val="single" w:color="auto"/>
            <w:color w:val="0000FF"/>
          </w:rPr>
          <w:t>Form of First Amendment to Participation Agreement (First Amendment to Participation Agreement among American Airlines,</w:t>
        </w:r>
      </w:hyperlink>
      <w:r>
        <w:rPr>
          <w:rFonts w:ascii="Arial" w:cs="Arial" w:eastAsia="Arial" w:hAnsi="Arial"/>
          <w:sz w:val="18"/>
          <w:szCs w:val="18"/>
          <w:color w:val="auto"/>
        </w:rPr>
        <w:t xml:space="preserve"> </w:t>
      </w:r>
      <w:hyperlink r:id="rId331">
        <w:r>
          <w:rPr>
            <w:rFonts w:ascii="Arial" w:cs="Arial" w:eastAsia="Arial" w:hAnsi="Arial"/>
            <w:sz w:val="18"/>
            <w:szCs w:val="18"/>
            <w:u w:val="single" w:color="auto"/>
            <w:color w:val="0000FF"/>
          </w:rPr>
          <w:t>Inc., Wilmington Trust Company, as Pass Through Trustee under each of the Pass Through Trust Agreements, Wilmington Trust</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331">
        <w:r>
          <w:rPr>
            <w:rFonts w:ascii="Arial" w:cs="Arial" w:eastAsia="Arial" w:hAnsi="Arial"/>
            <w:sz w:val="18"/>
            <w:szCs w:val="18"/>
            <w:u w:val="single" w:color="auto"/>
            <w:color w:val="0000FF"/>
          </w:rPr>
          <w:t>Company, as Subordination Agent, Wilmington Trust Company, as Loan Trustee, and Wilmington Trust Company, in its individual</w:t>
        </w:r>
      </w:hyperlink>
      <w:r>
        <w:rPr>
          <w:rFonts w:ascii="Arial" w:cs="Arial" w:eastAsia="Arial" w:hAnsi="Arial"/>
          <w:sz w:val="18"/>
          <w:szCs w:val="18"/>
          <w:u w:val="single" w:color="auto"/>
          <w:color w:val="0000FF"/>
        </w:rPr>
        <w:t xml:space="preserve"> </w:t>
      </w:r>
      <w:hyperlink r:id="rId331">
        <w:r>
          <w:rPr>
            <w:rFonts w:ascii="Arial" w:cs="Arial" w:eastAsia="Arial" w:hAnsi="Arial"/>
            <w:sz w:val="18"/>
            <w:szCs w:val="18"/>
            <w:u w:val="single" w:color="auto"/>
            <w:color w:val="0000FF"/>
          </w:rPr>
          <w:t>capacity as set forth therein) (incorporated by reference to Exhibit D to Exhibit 4.6 to American’s Current Report on Form 8-K filed</w:t>
        </w:r>
      </w:hyperlink>
      <w:r>
        <w:rPr>
          <w:rFonts w:ascii="Arial" w:cs="Arial" w:eastAsia="Arial" w:hAnsi="Arial"/>
          <w:sz w:val="18"/>
          <w:szCs w:val="18"/>
          <w:u w:val="single" w:color="auto"/>
          <w:color w:val="0000FF"/>
        </w:rPr>
        <w:t xml:space="preserve"> </w:t>
      </w:r>
      <w:hyperlink r:id="rId331">
        <w:r>
          <w:rPr>
            <w:rFonts w:ascii="Arial" w:cs="Arial" w:eastAsia="Arial" w:hAnsi="Arial"/>
            <w:sz w:val="18"/>
            <w:szCs w:val="18"/>
            <w:u w:val="single" w:color="auto"/>
            <w:color w:val="0000FF"/>
          </w:rPr>
          <w:t>on July 12, 2016 (Commission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4.87      </w:t>
      </w:r>
      <w:hyperlink r:id="rId331">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31">
        <w:r>
          <w:rPr>
            <w:rFonts w:ascii="Arial" w:cs="Arial" w:eastAsia="Arial" w:hAnsi="Arial"/>
            <w:sz w:val="18"/>
            <w:szCs w:val="18"/>
            <w:u w:val="single" w:color="auto"/>
            <w:color w:val="0000FF"/>
          </w:rPr>
          <w:t>Trust Company, as Loan Trustee) (incorporated by reference to Exhibit C to Exhibit 4.6 to American’s Current Report on Form 8-K</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31">
        <w:r>
          <w:rPr>
            <w:rFonts w:ascii="Arial" w:cs="Arial" w:eastAsia="Arial" w:hAnsi="Arial"/>
            <w:sz w:val="18"/>
            <w:szCs w:val="18"/>
            <w:u w:val="single" w:color="auto"/>
            <w:color w:val="0000FF"/>
          </w:rPr>
          <w:t>filed on July 12,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4.88      </w:t>
      </w:r>
      <w:hyperlink r:id="rId331">
        <w:r>
          <w:rPr>
            <w:rFonts w:ascii="Arial" w:cs="Arial" w:eastAsia="Arial" w:hAnsi="Arial"/>
            <w:sz w:val="18"/>
            <w:szCs w:val="18"/>
            <w:u w:val="single" w:color="auto"/>
            <w:color w:val="0000FF"/>
          </w:rPr>
          <w:t>Form of First Amendment to Indenture and Security Agreement (First Amendment to Indenture and Security Agreement between</w:t>
        </w:r>
      </w:hyperlink>
      <w:r>
        <w:rPr>
          <w:rFonts w:ascii="Arial" w:cs="Arial" w:eastAsia="Arial" w:hAnsi="Arial"/>
          <w:sz w:val="18"/>
          <w:szCs w:val="18"/>
          <w:color w:val="auto"/>
        </w:rPr>
        <w:t xml:space="preserve"> </w:t>
      </w:r>
      <w:hyperlink r:id="rId331">
        <w:r>
          <w:rPr>
            <w:rFonts w:ascii="Arial" w:cs="Arial" w:eastAsia="Arial" w:hAnsi="Arial"/>
            <w:sz w:val="18"/>
            <w:szCs w:val="18"/>
            <w:u w:val="single" w:color="auto"/>
            <w:color w:val="0000FF"/>
          </w:rPr>
          <w:t>American Airlines, Inc., and Wilmington Trust Company, as Loan Trustee) (incorporated by reference to Exhibit E to Exhibit 4.6 to</w:t>
        </w:r>
      </w:hyperlink>
    </w:p>
    <w:p>
      <w:pPr>
        <w:ind w:left="920"/>
        <w:spacing w:after="0"/>
        <w:rPr>
          <w:rFonts w:ascii="Arial" w:cs="Arial" w:eastAsia="Arial" w:hAnsi="Arial"/>
          <w:sz w:val="18"/>
          <w:szCs w:val="18"/>
          <w:u w:val="single" w:color="auto"/>
          <w:color w:val="0000FF"/>
        </w:rPr>
      </w:pPr>
      <w:hyperlink r:id="rId331">
        <w:r>
          <w:rPr>
            <w:rFonts w:ascii="Arial" w:cs="Arial" w:eastAsia="Arial" w:hAnsi="Arial"/>
            <w:sz w:val="18"/>
            <w:szCs w:val="18"/>
            <w:u w:val="single" w:color="auto"/>
            <w:color w:val="0000FF"/>
          </w:rPr>
          <w:t>American’s Current Report on Form 8-K filed on July 12, 2016 (Commission File No. 1-2691)).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4.89</w:t>
      </w:r>
      <w:r>
        <w:rPr>
          <w:sz w:val="20"/>
          <w:szCs w:val="20"/>
          <w:color w:val="auto"/>
        </w:rPr>
        <w:tab/>
      </w:r>
      <w:hyperlink r:id="rId329">
        <w:r>
          <w:rPr>
            <w:rFonts w:ascii="Arial" w:cs="Arial" w:eastAsia="Arial" w:hAnsi="Arial"/>
            <w:sz w:val="18"/>
            <w:szCs w:val="18"/>
            <w:u w:val="single" w:color="auto"/>
            <w:color w:val="0000FF"/>
          </w:rPr>
          <w:t>Form of Pass Through Trust Certificate, Series 2016-2B (incorporated by reference to Exhibit A to Exhibit 4.2 to American’s</w:t>
        </w:r>
      </w:hyperlink>
      <w:r>
        <w:rPr>
          <w:rFonts w:ascii="Arial" w:cs="Arial" w:eastAsia="Arial" w:hAnsi="Arial"/>
          <w:sz w:val="18"/>
          <w:szCs w:val="18"/>
          <w:u w:val="single" w:color="auto"/>
          <w:color w:val="0000FF"/>
        </w:rPr>
        <w:t xml:space="preserve"> </w:t>
      </w:r>
      <w:hyperlink r:id="rId329">
        <w:r>
          <w:rPr>
            <w:rFonts w:ascii="Arial" w:cs="Arial" w:eastAsia="Arial" w:hAnsi="Arial"/>
            <w:sz w:val="18"/>
            <w:szCs w:val="18"/>
            <w:u w:val="single" w:color="auto"/>
            <w:color w:val="0000FF"/>
          </w:rPr>
          <w:t>Current Report on Form 8-K filed on July 12, 2016 (Commission File No. 1-2691)).</w:t>
        </w:r>
      </w:hyperlink>
    </w:p>
    <w:p>
      <w:pPr>
        <w:spacing w:after="0" w:line="5"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4.90      </w:t>
      </w:r>
      <w:hyperlink r:id="rId332">
        <w:r>
          <w:rPr>
            <w:rFonts w:ascii="Arial" w:cs="Arial" w:eastAsia="Arial" w:hAnsi="Arial"/>
            <w:sz w:val="18"/>
            <w:szCs w:val="18"/>
            <w:u w:val="single" w:color="auto"/>
            <w:color w:val="0000FF"/>
          </w:rPr>
          <w:t>Revolving Credit Agreement (2016-2B), dated as of July 8, 2016, between Wilmington Trust Company, as Subordination Agent,</w:t>
        </w:r>
      </w:hyperlink>
      <w:r>
        <w:rPr>
          <w:rFonts w:ascii="Arial" w:cs="Arial" w:eastAsia="Arial" w:hAnsi="Arial"/>
          <w:sz w:val="18"/>
          <w:szCs w:val="18"/>
          <w:color w:val="auto"/>
        </w:rPr>
        <w:t xml:space="preserve"> </w:t>
      </w:r>
      <w:hyperlink r:id="rId332">
        <w:r>
          <w:rPr>
            <w:rFonts w:ascii="Arial" w:cs="Arial" w:eastAsia="Arial" w:hAnsi="Arial"/>
            <w:sz w:val="18"/>
            <w:szCs w:val="18"/>
            <w:u w:val="single" w:color="auto"/>
            <w:color w:val="0000FF"/>
          </w:rPr>
          <w:t>as agent and trustee for the trustee of the American Airlines Pass Through Trust 2016-2B, as Borrower, and KfW IPEX Bank</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32">
        <w:r>
          <w:rPr>
            <w:rFonts w:ascii="Arial" w:cs="Arial" w:eastAsia="Arial" w:hAnsi="Arial"/>
            <w:sz w:val="18"/>
            <w:szCs w:val="18"/>
            <w:u w:val="single" w:color="auto"/>
            <w:color w:val="0000FF"/>
          </w:rPr>
          <w:t>GmbH, as Liquidity Provider (incorporated by reference to Exhibit 4.12 to American’s Current Report on Form 8-K filed on July 12,</w:t>
        </w:r>
      </w:hyperlink>
      <w:r>
        <w:rPr>
          <w:rFonts w:ascii="Arial" w:cs="Arial" w:eastAsia="Arial" w:hAnsi="Arial"/>
          <w:sz w:val="18"/>
          <w:szCs w:val="18"/>
          <w:u w:val="single" w:color="auto"/>
          <w:color w:val="0000FF"/>
        </w:rPr>
        <w:t xml:space="preserve"> </w:t>
      </w:r>
      <w:hyperlink r:id="rId332">
        <w:r>
          <w:rPr>
            <w:rFonts w:ascii="Arial" w:cs="Arial" w:eastAsia="Arial" w:hAnsi="Arial"/>
            <w:sz w:val="18"/>
            <w:szCs w:val="18"/>
            <w:u w:val="single" w:color="auto"/>
            <w:color w:val="0000FF"/>
          </w:rPr>
          <w:t>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4.91      </w:t>
      </w:r>
      <w:hyperlink r:id="rId333">
        <w:r>
          <w:rPr>
            <w:rFonts w:ascii="Arial" w:cs="Arial" w:eastAsia="Arial" w:hAnsi="Arial"/>
            <w:sz w:val="18"/>
            <w:szCs w:val="18"/>
            <w:u w:val="single" w:color="auto"/>
            <w:color w:val="0000FF"/>
          </w:rPr>
          <w:t>Trust Supplement No. 2016-3AA, dated as of October 3, 2016, between American Airlines, Inc. and Wilmington Trust Company,</w:t>
        </w:r>
      </w:hyperlink>
      <w:r>
        <w:rPr>
          <w:rFonts w:ascii="Arial" w:cs="Arial" w:eastAsia="Arial" w:hAnsi="Arial"/>
          <w:sz w:val="18"/>
          <w:szCs w:val="18"/>
          <w:color w:val="auto"/>
        </w:rPr>
        <w:t xml:space="preserve"> </w:t>
      </w:r>
      <w:hyperlink r:id="rId333">
        <w:r>
          <w:rPr>
            <w:rFonts w:ascii="Arial" w:cs="Arial" w:eastAsia="Arial" w:hAnsi="Arial"/>
            <w:sz w:val="18"/>
            <w:szCs w:val="18"/>
            <w:u w:val="single" w:color="auto"/>
            <w:color w:val="0000FF"/>
          </w:rPr>
          <w:t>as Trustee, to the Pass Through Trust Agreement, dated as of September 16, 2014 (incorporated by reference to Exhibit 4.2 to</w:t>
        </w:r>
      </w:hyperlink>
    </w:p>
    <w:p>
      <w:pPr>
        <w:ind w:left="920"/>
        <w:spacing w:after="0"/>
        <w:rPr>
          <w:rFonts w:ascii="Arial" w:cs="Arial" w:eastAsia="Arial" w:hAnsi="Arial"/>
          <w:sz w:val="18"/>
          <w:szCs w:val="18"/>
          <w:u w:val="single" w:color="auto"/>
          <w:color w:val="0000FF"/>
        </w:rPr>
      </w:pPr>
      <w:hyperlink r:id="rId333">
        <w:r>
          <w:rPr>
            <w:rFonts w:ascii="Arial" w:cs="Arial" w:eastAsia="Arial" w:hAnsi="Arial"/>
            <w:sz w:val="18"/>
            <w:szCs w:val="18"/>
            <w:u w:val="single" w:color="auto"/>
            <w:color w:val="0000FF"/>
          </w:rPr>
          <w:t>American’s Current Report on Form 8-K filed on October 4, 2016 (Commission File No. 1-2691)).</w:t>
        </w:r>
      </w:hyperlink>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4.92      </w:t>
      </w:r>
      <w:hyperlink r:id="rId335">
        <w:r>
          <w:rPr>
            <w:rFonts w:ascii="Arial" w:cs="Arial" w:eastAsia="Arial" w:hAnsi="Arial"/>
            <w:sz w:val="18"/>
            <w:szCs w:val="18"/>
            <w:u w:val="single" w:color="auto"/>
            <w:color w:val="0000FF"/>
          </w:rPr>
          <w:t>Trust Supplement No. 2016-3A, dated as of October 3, 2016, between American Airlines, Inc. and Wilmington Trust Company, as</w:t>
        </w:r>
      </w:hyperlink>
      <w:r>
        <w:rPr>
          <w:rFonts w:ascii="Arial" w:cs="Arial" w:eastAsia="Arial" w:hAnsi="Arial"/>
          <w:sz w:val="18"/>
          <w:szCs w:val="18"/>
          <w:color w:val="auto"/>
        </w:rPr>
        <w:t xml:space="preserve"> </w:t>
      </w:r>
      <w:hyperlink r:id="rId335">
        <w:r>
          <w:rPr>
            <w:rFonts w:ascii="Arial" w:cs="Arial" w:eastAsia="Arial" w:hAnsi="Arial"/>
            <w:sz w:val="18"/>
            <w:szCs w:val="18"/>
            <w:u w:val="single" w:color="auto"/>
            <w:color w:val="0000FF"/>
          </w:rPr>
          <w:t>Trustee, to the Pass Through Trust Agreement, dated as of September 16, 2014 (incorporated by reference to Exhibit 4.3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35">
        <w:r>
          <w:rPr>
            <w:rFonts w:ascii="Arial" w:cs="Arial" w:eastAsia="Arial" w:hAnsi="Arial"/>
            <w:sz w:val="18"/>
            <w:szCs w:val="18"/>
            <w:u w:val="single" w:color="auto"/>
            <w:color w:val="0000FF"/>
          </w:rPr>
          <w:t>American’s Current Report on Form 8-K filed on October 4, 2016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4.93      </w:t>
      </w:r>
      <w:hyperlink r:id="rId336">
        <w:r>
          <w:rPr>
            <w:rFonts w:ascii="Arial" w:cs="Arial" w:eastAsia="Arial" w:hAnsi="Arial"/>
            <w:sz w:val="18"/>
            <w:szCs w:val="18"/>
            <w:u w:val="single" w:color="auto"/>
            <w:color w:val="0000FF"/>
          </w:rPr>
          <w:t>Intercreditor Agreement (2016-3), dated as of October 3, 2016, among Wilmington Trust Company, as Trustee of the American</w:t>
        </w:r>
      </w:hyperlink>
      <w:r>
        <w:rPr>
          <w:rFonts w:ascii="Arial" w:cs="Arial" w:eastAsia="Arial" w:hAnsi="Arial"/>
          <w:sz w:val="18"/>
          <w:szCs w:val="18"/>
          <w:color w:val="auto"/>
        </w:rPr>
        <w:t xml:space="preserve"> </w:t>
      </w:r>
      <w:hyperlink r:id="rId336">
        <w:r>
          <w:rPr>
            <w:rFonts w:ascii="Arial" w:cs="Arial" w:eastAsia="Arial" w:hAnsi="Arial"/>
            <w:sz w:val="18"/>
            <w:szCs w:val="18"/>
            <w:u w:val="single" w:color="auto"/>
            <w:color w:val="0000FF"/>
          </w:rPr>
          <w:t>Airlines Pass Through Trust 2016-3AA and as Trustee of the American Airlines Pass Through Trust 2016-3A, KfW IPEX-Bank</w:t>
        </w:r>
      </w:hyperlink>
    </w:p>
    <w:p>
      <w:pPr>
        <w:jc w:val="both"/>
        <w:ind w:left="920"/>
        <w:spacing w:after="0" w:line="220" w:lineRule="auto"/>
        <w:rPr>
          <w:rFonts w:ascii="Arial" w:cs="Arial" w:eastAsia="Arial" w:hAnsi="Arial"/>
          <w:sz w:val="18"/>
          <w:szCs w:val="18"/>
          <w:u w:val="single" w:color="auto"/>
          <w:color w:val="0000FF"/>
        </w:rPr>
      </w:pPr>
      <w:hyperlink r:id="rId336">
        <w:r>
          <w:rPr>
            <w:rFonts w:ascii="Arial" w:cs="Arial" w:eastAsia="Arial" w:hAnsi="Arial"/>
            <w:sz w:val="18"/>
            <w:szCs w:val="18"/>
            <w:u w:val="single" w:color="auto"/>
            <w:color w:val="0000FF"/>
          </w:rPr>
          <w:t>GmbH, as Class AA Liquidity Provider and Class A Liquidity Provider, and Wilmington Trust Company, as Subordination Agent</w:t>
        </w:r>
      </w:hyperlink>
      <w:r>
        <w:rPr>
          <w:rFonts w:ascii="Arial" w:cs="Arial" w:eastAsia="Arial" w:hAnsi="Arial"/>
          <w:sz w:val="18"/>
          <w:szCs w:val="18"/>
          <w:u w:val="single" w:color="auto"/>
          <w:color w:val="0000FF"/>
        </w:rPr>
        <w:t xml:space="preserve"> </w:t>
      </w:r>
      <w:hyperlink r:id="rId336">
        <w:r>
          <w:rPr>
            <w:rFonts w:ascii="Arial" w:cs="Arial" w:eastAsia="Arial" w:hAnsi="Arial"/>
            <w:sz w:val="18"/>
            <w:szCs w:val="18"/>
            <w:u w:val="single" w:color="auto"/>
            <w:color w:val="0000FF"/>
          </w:rPr>
          <w:t>(incorporated by reference to Exhibit 4.4 to American’s Current Report on Form 8-K filed on October 4, 2016 (Commission File</w:t>
        </w:r>
      </w:hyperlink>
      <w:r>
        <w:rPr>
          <w:rFonts w:ascii="Arial" w:cs="Arial" w:eastAsia="Arial" w:hAnsi="Arial"/>
          <w:sz w:val="18"/>
          <w:szCs w:val="18"/>
          <w:u w:val="single" w:color="auto"/>
          <w:color w:val="0000FF"/>
        </w:rPr>
        <w:t xml:space="preserve"> </w:t>
      </w:r>
      <w:hyperlink r:id="rId336">
        <w:r>
          <w:rPr>
            <w:rFonts w:ascii="Arial" w:cs="Arial" w:eastAsia="Arial" w:hAnsi="Arial"/>
            <w:sz w:val="18"/>
            <w:szCs w:val="18"/>
            <w:u w:val="single" w:color="auto"/>
            <w:color w:val="0000FF"/>
          </w:rPr>
          <w:t>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4.94      </w:t>
      </w:r>
      <w:hyperlink r:id="rId337">
        <w:r>
          <w:rPr>
            <w:rFonts w:ascii="Arial" w:cs="Arial" w:eastAsia="Arial" w:hAnsi="Arial"/>
            <w:sz w:val="18"/>
            <w:szCs w:val="18"/>
            <w:u w:val="single" w:color="auto"/>
            <w:color w:val="0000FF"/>
          </w:rPr>
          <w:t>Amended and Restated Intercreditor Agreement (2016-3), dated as of October 4, 2017, among Wilmington Trust Company, as</w:t>
        </w:r>
      </w:hyperlink>
      <w:r>
        <w:rPr>
          <w:rFonts w:ascii="Arial" w:cs="Arial" w:eastAsia="Arial" w:hAnsi="Arial"/>
          <w:sz w:val="18"/>
          <w:szCs w:val="18"/>
          <w:color w:val="auto"/>
        </w:rPr>
        <w:t xml:space="preserve"> </w:t>
      </w:r>
      <w:hyperlink r:id="rId337">
        <w:r>
          <w:rPr>
            <w:rFonts w:ascii="Arial" w:cs="Arial" w:eastAsia="Arial" w:hAnsi="Arial"/>
            <w:sz w:val="18"/>
            <w:szCs w:val="18"/>
            <w:u w:val="single" w:color="auto"/>
            <w:color w:val="0000FF"/>
          </w:rPr>
          <w:t>Trustee of the American Airlines Pass Through Trust 2016-3AA, as Trustee of the American Airlines Pass Through Trust 2016-3A</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337">
        <w:r>
          <w:rPr>
            <w:rFonts w:ascii="Arial" w:cs="Arial" w:eastAsia="Arial" w:hAnsi="Arial"/>
            <w:sz w:val="18"/>
            <w:szCs w:val="18"/>
            <w:u w:val="single" w:color="auto"/>
            <w:color w:val="0000FF"/>
          </w:rPr>
          <w:t>and as Trustee of the American Airlines Pass Through Trust 2016-3B, KfW IPEX-Bank GmbH, as Class AA Liquidity Provider,</w:t>
        </w:r>
      </w:hyperlink>
      <w:r>
        <w:rPr>
          <w:rFonts w:ascii="Arial" w:cs="Arial" w:eastAsia="Arial" w:hAnsi="Arial"/>
          <w:sz w:val="18"/>
          <w:szCs w:val="18"/>
          <w:u w:val="single" w:color="auto"/>
          <w:color w:val="0000FF"/>
        </w:rPr>
        <w:t xml:space="preserve"> </w:t>
      </w:r>
      <w:hyperlink r:id="rId337">
        <w:r>
          <w:rPr>
            <w:rFonts w:ascii="Arial" w:cs="Arial" w:eastAsia="Arial" w:hAnsi="Arial"/>
            <w:sz w:val="18"/>
            <w:szCs w:val="18"/>
            <w:u w:val="single" w:color="auto"/>
            <w:color w:val="0000FF"/>
          </w:rPr>
          <w:t>Class A Liquidity Provider and Class B Liquidity Provider, and Wilmington Trust Company, as Subordination Agent (incorporated</w:t>
        </w:r>
      </w:hyperlink>
      <w:r>
        <w:rPr>
          <w:rFonts w:ascii="Arial" w:cs="Arial" w:eastAsia="Arial" w:hAnsi="Arial"/>
          <w:sz w:val="18"/>
          <w:szCs w:val="18"/>
          <w:u w:val="single" w:color="auto"/>
          <w:color w:val="0000FF"/>
        </w:rPr>
        <w:t xml:space="preserve"> </w:t>
      </w:r>
      <w:hyperlink r:id="rId337">
        <w:r>
          <w:rPr>
            <w:rFonts w:ascii="Arial" w:cs="Arial" w:eastAsia="Arial" w:hAnsi="Arial"/>
            <w:sz w:val="18"/>
            <w:szCs w:val="18"/>
            <w:u w:val="single" w:color="auto"/>
            <w:color w:val="0000FF"/>
          </w:rPr>
          <w:t>by reference to Exhibit 4.3 to American’s Current Report on Form 8-K filed on October 5, 2017 (Commission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4.95      </w:t>
      </w:r>
      <w:hyperlink r:id="rId338">
        <w:r>
          <w:rPr>
            <w:rFonts w:ascii="Arial" w:cs="Arial" w:eastAsia="Arial" w:hAnsi="Arial"/>
            <w:sz w:val="18"/>
            <w:szCs w:val="18"/>
            <w:u w:val="single" w:color="auto"/>
            <w:color w:val="0000FF"/>
          </w:rPr>
          <w:t>Note Purchase Agreement, dated as of October 3, 2016, among American Airlines, Inc., Wilmington Trust Company, as Pass</w:t>
        </w:r>
      </w:hyperlink>
      <w:r>
        <w:rPr>
          <w:rFonts w:ascii="Arial" w:cs="Arial" w:eastAsia="Arial" w:hAnsi="Arial"/>
          <w:sz w:val="18"/>
          <w:szCs w:val="18"/>
          <w:color w:val="auto"/>
        </w:rPr>
        <w:t xml:space="preserve"> </w:t>
      </w:r>
      <w:hyperlink r:id="rId338">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38">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338">
        <w:r>
          <w:rPr>
            <w:rFonts w:ascii="Arial" w:cs="Arial" w:eastAsia="Arial" w:hAnsi="Arial"/>
            <w:sz w:val="18"/>
            <w:szCs w:val="18"/>
            <w:u w:val="single" w:color="auto"/>
            <w:color w:val="0000FF"/>
          </w:rPr>
          <w:t>reference to Exhibit 4.9 to American’s Current Report on Form 8-K filed on October 4,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4.96      </w:t>
      </w:r>
      <w:hyperlink r:id="rId338">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38">
        <w:r>
          <w:rPr>
            <w:rFonts w:ascii="Arial" w:cs="Arial" w:eastAsia="Arial" w:hAnsi="Arial"/>
            <w:sz w:val="18"/>
            <w:szCs w:val="18"/>
            <w:u w:val="single" w:color="auto"/>
            <w:color w:val="0000FF"/>
          </w:rPr>
          <w:t>Through Trustee under each of the Pass Through Trust Agreements, Wilmington Trust Company, as Subordination Agent,</w:t>
        </w:r>
      </w:hyperlink>
    </w:p>
    <w:p>
      <w:pPr>
        <w:jc w:val="both"/>
        <w:ind w:left="920"/>
        <w:spacing w:after="0" w:line="220" w:lineRule="auto"/>
        <w:rPr>
          <w:rFonts w:ascii="Arial" w:cs="Arial" w:eastAsia="Arial" w:hAnsi="Arial"/>
          <w:sz w:val="18"/>
          <w:szCs w:val="18"/>
          <w:u w:val="single" w:color="auto"/>
          <w:color w:val="0000FF"/>
        </w:rPr>
      </w:pPr>
      <w:hyperlink r:id="rId338">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38">
        <w:r>
          <w:rPr>
            <w:rFonts w:ascii="Arial" w:cs="Arial" w:eastAsia="Arial" w:hAnsi="Arial"/>
            <w:sz w:val="18"/>
            <w:szCs w:val="18"/>
            <w:u w:val="single" w:color="auto"/>
            <w:color w:val="0000FF"/>
          </w:rPr>
          <w:t>(incorporated by reference to Exhibit B to Exhibit 4.9 to American’s Current Report on Form 8-K filed on October 4, 2016</w:t>
        </w:r>
      </w:hyperlink>
      <w:r>
        <w:rPr>
          <w:rFonts w:ascii="Arial" w:cs="Arial" w:eastAsia="Arial" w:hAnsi="Arial"/>
          <w:sz w:val="18"/>
          <w:szCs w:val="18"/>
          <w:u w:val="single" w:color="auto"/>
          <w:color w:val="0000FF"/>
        </w:rPr>
        <w:t xml:space="preserve"> </w:t>
      </w:r>
      <w:hyperlink r:id="rId338">
        <w:r>
          <w:rPr>
            <w:rFonts w:ascii="Arial" w:cs="Arial" w:eastAsia="Arial" w:hAnsi="Arial"/>
            <w:sz w:val="18"/>
            <w:szCs w:val="18"/>
            <w:u w:val="single" w:color="auto"/>
            <w:color w:val="0000FF"/>
          </w:rPr>
          <w:t>(Commission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4.97      </w:t>
      </w:r>
      <w:hyperlink r:id="rId338">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38">
        <w:r>
          <w:rPr>
            <w:rFonts w:ascii="Arial" w:cs="Arial" w:eastAsia="Arial" w:hAnsi="Arial"/>
            <w:sz w:val="18"/>
            <w:szCs w:val="18"/>
            <w:u w:val="single" w:color="auto"/>
            <w:color w:val="0000FF"/>
          </w:rPr>
          <w:t>Trust Company, as Loan Trustee) (incorporated by reference to Exhibit C to Exhibit 4.9 to American’s Current Report on Form 8-K</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38">
        <w:r>
          <w:rPr>
            <w:rFonts w:ascii="Arial" w:cs="Arial" w:eastAsia="Arial" w:hAnsi="Arial"/>
            <w:sz w:val="18"/>
            <w:szCs w:val="18"/>
            <w:u w:val="single" w:color="auto"/>
            <w:color w:val="0000FF"/>
          </w:rPr>
          <w:t>filed on October 4, 2016 (Commission File No. 1-2691)).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4.98</w:t>
      </w:r>
      <w:r>
        <w:rPr>
          <w:sz w:val="20"/>
          <w:szCs w:val="20"/>
          <w:color w:val="auto"/>
        </w:rPr>
        <w:tab/>
      </w:r>
      <w:hyperlink r:id="rId333">
        <w:r>
          <w:rPr>
            <w:rFonts w:ascii="Arial" w:cs="Arial" w:eastAsia="Arial" w:hAnsi="Arial"/>
            <w:sz w:val="18"/>
            <w:szCs w:val="18"/>
            <w:u w:val="single" w:color="auto"/>
            <w:color w:val="0000FF"/>
          </w:rPr>
          <w:t>Form of Pass Through Trust Certificate, Series 2016-3AA (incorporated by reference to Exhibit A to Exhibit 4.2 to American’s</w:t>
        </w:r>
      </w:hyperlink>
      <w:r>
        <w:rPr>
          <w:rFonts w:ascii="Arial" w:cs="Arial" w:eastAsia="Arial" w:hAnsi="Arial"/>
          <w:sz w:val="18"/>
          <w:szCs w:val="18"/>
          <w:u w:val="single" w:color="auto"/>
          <w:color w:val="0000FF"/>
        </w:rPr>
        <w:t xml:space="preserve"> </w:t>
      </w:r>
      <w:hyperlink r:id="rId333">
        <w:r>
          <w:rPr>
            <w:rFonts w:ascii="Arial" w:cs="Arial" w:eastAsia="Arial" w:hAnsi="Arial"/>
            <w:sz w:val="18"/>
            <w:szCs w:val="18"/>
            <w:u w:val="single" w:color="auto"/>
            <w:color w:val="0000FF"/>
          </w:rPr>
          <w:t>Current Report on Form 8-K filed on October 4, 2016 (Commission File No. 1-2691)).</w:t>
        </w:r>
      </w:hyperlink>
    </w:p>
    <w:p>
      <w:pPr>
        <w:spacing w:after="0" w:line="5"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4.99</w:t>
      </w:r>
      <w:r>
        <w:rPr>
          <w:sz w:val="20"/>
          <w:szCs w:val="20"/>
          <w:color w:val="auto"/>
        </w:rPr>
        <w:tab/>
      </w:r>
      <w:hyperlink r:id="rId335">
        <w:r>
          <w:rPr>
            <w:rFonts w:ascii="Arial" w:cs="Arial" w:eastAsia="Arial" w:hAnsi="Arial"/>
            <w:sz w:val="18"/>
            <w:szCs w:val="18"/>
            <w:u w:val="single" w:color="auto"/>
            <w:color w:val="0000FF"/>
          </w:rPr>
          <w:t>Form of Pass Through Trust Certificate, Series 2016-3A (incorporated by reference to Exhibit A to Exhibit 4.3 to American’s</w:t>
        </w:r>
      </w:hyperlink>
      <w:r>
        <w:rPr>
          <w:rFonts w:ascii="Arial" w:cs="Arial" w:eastAsia="Arial" w:hAnsi="Arial"/>
          <w:sz w:val="18"/>
          <w:szCs w:val="18"/>
          <w:u w:val="single" w:color="auto"/>
          <w:color w:val="0000FF"/>
        </w:rPr>
        <w:t xml:space="preserve"> </w:t>
      </w:r>
      <w:hyperlink r:id="rId335">
        <w:r>
          <w:rPr>
            <w:rFonts w:ascii="Arial" w:cs="Arial" w:eastAsia="Arial" w:hAnsi="Arial"/>
            <w:sz w:val="18"/>
            <w:szCs w:val="18"/>
            <w:u w:val="single" w:color="auto"/>
            <w:color w:val="0000FF"/>
          </w:rPr>
          <w:t>Current Report on Form 8-K filed on October 4, 2016 (Commission File No. 1-2691)).</w:t>
        </w:r>
      </w:hyperlink>
    </w:p>
    <w:p>
      <w:pPr>
        <w:spacing w:after="0" w:line="6"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4.100     </w:t>
      </w:r>
      <w:hyperlink r:id="rId339">
        <w:r>
          <w:rPr>
            <w:rFonts w:ascii="Arial" w:cs="Arial" w:eastAsia="Arial" w:hAnsi="Arial"/>
            <w:sz w:val="18"/>
            <w:szCs w:val="18"/>
            <w:u w:val="single" w:color="auto"/>
            <w:color w:val="0000FF"/>
          </w:rPr>
          <w:t>Revolving Credit Agreement (2016-3AA), dated as of October 3, 2016, between Wilmington Trust Company, as Subordination</w:t>
        </w:r>
      </w:hyperlink>
      <w:r>
        <w:rPr>
          <w:rFonts w:ascii="Arial" w:cs="Arial" w:eastAsia="Arial" w:hAnsi="Arial"/>
          <w:sz w:val="18"/>
          <w:szCs w:val="18"/>
          <w:color w:val="auto"/>
        </w:rPr>
        <w:t xml:space="preserve"> </w:t>
      </w:r>
      <w:hyperlink r:id="rId339">
        <w:r>
          <w:rPr>
            <w:rFonts w:ascii="Arial" w:cs="Arial" w:eastAsia="Arial" w:hAnsi="Arial"/>
            <w:sz w:val="18"/>
            <w:szCs w:val="18"/>
            <w:u w:val="single" w:color="auto"/>
            <w:color w:val="0000FF"/>
          </w:rPr>
          <w:t>Agent, as agent and trustee for the trustee of the American Airlines Pass Through Trust 2016-3AA, as Borrower, and KfW IPEX-</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39">
        <w:r>
          <w:rPr>
            <w:rFonts w:ascii="Arial" w:cs="Arial" w:eastAsia="Arial" w:hAnsi="Arial"/>
            <w:sz w:val="18"/>
            <w:szCs w:val="18"/>
            <w:u w:val="single" w:color="auto"/>
            <w:color w:val="0000FF"/>
          </w:rPr>
          <w:t>Bank GmbH, as Liquidity Provider (incorporated by reference to Exhibit 4.14 to American’s Current Report on Form 8-K filed on</w:t>
        </w:r>
      </w:hyperlink>
      <w:r>
        <w:rPr>
          <w:rFonts w:ascii="Arial" w:cs="Arial" w:eastAsia="Arial" w:hAnsi="Arial"/>
          <w:sz w:val="18"/>
          <w:szCs w:val="18"/>
          <w:u w:val="single" w:color="auto"/>
          <w:color w:val="0000FF"/>
        </w:rPr>
        <w:t xml:space="preserve"> </w:t>
      </w:r>
      <w:hyperlink r:id="rId339">
        <w:r>
          <w:rPr>
            <w:rFonts w:ascii="Arial" w:cs="Arial" w:eastAsia="Arial" w:hAnsi="Arial"/>
            <w:sz w:val="18"/>
            <w:szCs w:val="18"/>
            <w:u w:val="single" w:color="auto"/>
            <w:color w:val="0000FF"/>
          </w:rPr>
          <w:t>October 4,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4.101     </w:t>
      </w:r>
      <w:hyperlink r:id="rId340">
        <w:r>
          <w:rPr>
            <w:rFonts w:ascii="Arial" w:cs="Arial" w:eastAsia="Arial" w:hAnsi="Arial"/>
            <w:sz w:val="18"/>
            <w:szCs w:val="18"/>
            <w:u w:val="single" w:color="auto"/>
            <w:color w:val="0000FF"/>
          </w:rPr>
          <w:t>Revolving Credit Agreement (2016-3A), dated as of October 3, 2016, between Wilmington Trust Company, as Subordination</w:t>
        </w:r>
      </w:hyperlink>
      <w:r>
        <w:rPr>
          <w:rFonts w:ascii="Arial" w:cs="Arial" w:eastAsia="Arial" w:hAnsi="Arial"/>
          <w:sz w:val="18"/>
          <w:szCs w:val="18"/>
          <w:color w:val="auto"/>
        </w:rPr>
        <w:t xml:space="preserve"> </w:t>
      </w:r>
      <w:hyperlink r:id="rId340">
        <w:r>
          <w:rPr>
            <w:rFonts w:ascii="Arial" w:cs="Arial" w:eastAsia="Arial" w:hAnsi="Arial"/>
            <w:sz w:val="18"/>
            <w:szCs w:val="18"/>
            <w:u w:val="single" w:color="auto"/>
            <w:color w:val="0000FF"/>
          </w:rPr>
          <w:t>Agent, as agent and trustee for the trustee of the American Airlines Pass Through Trust 2016-3A, as Borrower, and KfW IPEX-</w:t>
        </w:r>
      </w:hyperlink>
    </w:p>
    <w:p>
      <w:pPr>
        <w:jc w:val="both"/>
        <w:ind w:left="920"/>
        <w:spacing w:after="0" w:line="229" w:lineRule="auto"/>
        <w:rPr>
          <w:rFonts w:ascii="Arial" w:cs="Arial" w:eastAsia="Arial" w:hAnsi="Arial"/>
          <w:sz w:val="18"/>
          <w:szCs w:val="18"/>
          <w:u w:val="single" w:color="auto"/>
          <w:color w:val="0000FF"/>
        </w:rPr>
      </w:pPr>
      <w:hyperlink r:id="rId340">
        <w:r>
          <w:rPr>
            <w:rFonts w:ascii="Arial" w:cs="Arial" w:eastAsia="Arial" w:hAnsi="Arial"/>
            <w:sz w:val="18"/>
            <w:szCs w:val="18"/>
            <w:u w:val="single" w:color="auto"/>
            <w:color w:val="0000FF"/>
          </w:rPr>
          <w:t>Bank GmbH, as Liquidity Provider (incorporated by reference to Exhibit 4.15 to American’s Current Report on Form 8-K filed on</w:t>
        </w:r>
      </w:hyperlink>
      <w:r>
        <w:rPr>
          <w:rFonts w:ascii="Arial" w:cs="Arial" w:eastAsia="Arial" w:hAnsi="Arial"/>
          <w:sz w:val="18"/>
          <w:szCs w:val="18"/>
          <w:u w:val="single" w:color="auto"/>
          <w:color w:val="0000FF"/>
        </w:rPr>
        <w:t xml:space="preserve"> </w:t>
      </w:r>
      <w:hyperlink r:id="rId340">
        <w:r>
          <w:rPr>
            <w:rFonts w:ascii="Arial" w:cs="Arial" w:eastAsia="Arial" w:hAnsi="Arial"/>
            <w:sz w:val="18"/>
            <w:szCs w:val="18"/>
            <w:u w:val="single" w:color="auto"/>
            <w:color w:val="0000FF"/>
          </w:rPr>
          <w:t>October 4, 2016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4.102     </w:t>
      </w:r>
      <w:hyperlink r:id="rId341">
        <w:r>
          <w:rPr>
            <w:rFonts w:ascii="Arial" w:cs="Arial" w:eastAsia="Arial" w:hAnsi="Arial"/>
            <w:sz w:val="18"/>
            <w:szCs w:val="18"/>
            <w:u w:val="single" w:color="auto"/>
            <w:color w:val="0000FF"/>
          </w:rPr>
          <w:t>Trust Supplement No. 2017-1AA, dated as of January 13, 2017, between American Airlines, Inc. and Wilmington Trust Company,</w:t>
        </w:r>
      </w:hyperlink>
      <w:r>
        <w:rPr>
          <w:rFonts w:ascii="Arial" w:cs="Arial" w:eastAsia="Arial" w:hAnsi="Arial"/>
          <w:sz w:val="18"/>
          <w:szCs w:val="18"/>
          <w:color w:val="auto"/>
        </w:rPr>
        <w:t xml:space="preserve"> </w:t>
      </w:r>
      <w:hyperlink r:id="rId341">
        <w:r>
          <w:rPr>
            <w:rFonts w:ascii="Arial" w:cs="Arial" w:eastAsia="Arial" w:hAnsi="Arial"/>
            <w:sz w:val="18"/>
            <w:szCs w:val="18"/>
            <w:u w:val="single" w:color="auto"/>
            <w:color w:val="0000FF"/>
          </w:rPr>
          <w:t>as Trustee, to the Pass Through Trust Agreement, dated as of September 16, 2014 (incorporated by reference to Exhibit 4.2 to</w:t>
        </w:r>
      </w:hyperlink>
    </w:p>
    <w:p>
      <w:pPr>
        <w:ind w:left="920"/>
        <w:spacing w:after="0"/>
        <w:rPr>
          <w:rFonts w:ascii="Arial" w:cs="Arial" w:eastAsia="Arial" w:hAnsi="Arial"/>
          <w:sz w:val="18"/>
          <w:szCs w:val="18"/>
          <w:u w:val="single" w:color="auto"/>
          <w:color w:val="0000FF"/>
        </w:rPr>
      </w:pPr>
      <w:hyperlink r:id="rId341">
        <w:r>
          <w:rPr>
            <w:rFonts w:ascii="Arial" w:cs="Arial" w:eastAsia="Arial" w:hAnsi="Arial"/>
            <w:sz w:val="18"/>
            <w:szCs w:val="18"/>
            <w:u w:val="single" w:color="auto"/>
            <w:color w:val="0000FF"/>
          </w:rPr>
          <w:t>American’s Current Report on Form 8-K filed on January 17, 2017 (Commission File No. 1-02691)).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4.103     </w:t>
      </w:r>
      <w:hyperlink r:id="rId342">
        <w:r>
          <w:rPr>
            <w:rFonts w:ascii="Arial" w:cs="Arial" w:eastAsia="Arial" w:hAnsi="Arial"/>
            <w:sz w:val="18"/>
            <w:szCs w:val="18"/>
            <w:u w:val="single" w:color="auto"/>
            <w:color w:val="0000FF"/>
          </w:rPr>
          <w:t>Trust Supplement No. 2017-1A, dated as of January 13, 2017, between American Airlines, Inc. and Wilmington Trust Company,</w:t>
        </w:r>
      </w:hyperlink>
      <w:r>
        <w:rPr>
          <w:rFonts w:ascii="Arial" w:cs="Arial" w:eastAsia="Arial" w:hAnsi="Arial"/>
          <w:sz w:val="18"/>
          <w:szCs w:val="18"/>
          <w:color w:val="auto"/>
        </w:rPr>
        <w:t xml:space="preserve"> </w:t>
      </w:r>
      <w:hyperlink r:id="rId342">
        <w:r>
          <w:rPr>
            <w:rFonts w:ascii="Arial" w:cs="Arial" w:eastAsia="Arial" w:hAnsi="Arial"/>
            <w:sz w:val="18"/>
            <w:szCs w:val="18"/>
            <w:u w:val="single" w:color="auto"/>
            <w:color w:val="0000FF"/>
          </w:rPr>
          <w:t>as Trustee, to the Pass Through Trust Agreement, dated as of September 16, 2014, (incorporated by reference to Exhibit 4.3 to</w:t>
        </w:r>
      </w:hyperlink>
    </w:p>
    <w:p>
      <w:pPr>
        <w:ind w:left="920"/>
        <w:spacing w:after="0"/>
        <w:rPr>
          <w:rFonts w:ascii="Arial" w:cs="Arial" w:eastAsia="Arial" w:hAnsi="Arial"/>
          <w:sz w:val="18"/>
          <w:szCs w:val="18"/>
          <w:u w:val="single" w:color="auto"/>
          <w:color w:val="0000FF"/>
        </w:rPr>
      </w:pPr>
      <w:hyperlink r:id="rId342">
        <w:r>
          <w:rPr>
            <w:rFonts w:ascii="Arial" w:cs="Arial" w:eastAsia="Arial" w:hAnsi="Arial"/>
            <w:sz w:val="18"/>
            <w:szCs w:val="18"/>
            <w:u w:val="single" w:color="auto"/>
            <w:color w:val="0000FF"/>
          </w:rPr>
          <w:t>American’s Current Report on Form 8-K filed on January 17, 2017 (Commission File No. 1-02691)).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4.104     </w:t>
      </w:r>
      <w:hyperlink r:id="rId343">
        <w:r>
          <w:rPr>
            <w:rFonts w:ascii="Arial" w:cs="Arial" w:eastAsia="Arial" w:hAnsi="Arial"/>
            <w:sz w:val="18"/>
            <w:szCs w:val="18"/>
            <w:u w:val="single" w:color="auto"/>
            <w:color w:val="0000FF"/>
          </w:rPr>
          <w:t>Trust Supplement No. 2017-1B, dated as of January 13, 2017, between American Airlines, Inc. and Wilmington Trust Company,</w:t>
        </w:r>
      </w:hyperlink>
      <w:r>
        <w:rPr>
          <w:rFonts w:ascii="Arial" w:cs="Arial" w:eastAsia="Arial" w:hAnsi="Arial"/>
          <w:sz w:val="18"/>
          <w:szCs w:val="18"/>
          <w:color w:val="auto"/>
        </w:rPr>
        <w:t xml:space="preserve"> </w:t>
      </w:r>
      <w:hyperlink r:id="rId343">
        <w:r>
          <w:rPr>
            <w:rFonts w:ascii="Arial" w:cs="Arial" w:eastAsia="Arial" w:hAnsi="Arial"/>
            <w:sz w:val="18"/>
            <w:szCs w:val="18"/>
            <w:u w:val="single" w:color="auto"/>
            <w:color w:val="0000FF"/>
          </w:rPr>
          <w:t>as Trustee, to the Pass Through Trust Agreement, dated as of September 16, 2014 (incorporated by reference to Exhibit 4.4 to</w:t>
        </w:r>
      </w:hyperlink>
    </w:p>
    <w:p>
      <w:pPr>
        <w:ind w:left="920"/>
        <w:spacing w:after="0"/>
        <w:rPr>
          <w:rFonts w:ascii="Arial" w:cs="Arial" w:eastAsia="Arial" w:hAnsi="Arial"/>
          <w:sz w:val="18"/>
          <w:szCs w:val="18"/>
          <w:u w:val="single" w:color="auto"/>
          <w:color w:val="0000FF"/>
        </w:rPr>
      </w:pPr>
      <w:hyperlink r:id="rId343">
        <w:r>
          <w:rPr>
            <w:rFonts w:ascii="Arial" w:cs="Arial" w:eastAsia="Arial" w:hAnsi="Arial"/>
            <w:sz w:val="18"/>
            <w:szCs w:val="18"/>
            <w:u w:val="single" w:color="auto"/>
            <w:color w:val="0000FF"/>
          </w:rPr>
          <w:t>American’s Current Report on Form 8-K filed on January 17, 2017 (Commission File No. 1-02691)).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4.105     </w:t>
      </w:r>
      <w:hyperlink r:id="rId344">
        <w:r>
          <w:rPr>
            <w:rFonts w:ascii="Arial" w:cs="Arial" w:eastAsia="Arial" w:hAnsi="Arial"/>
            <w:sz w:val="18"/>
            <w:szCs w:val="18"/>
            <w:u w:val="single" w:color="auto"/>
            <w:color w:val="0000FF"/>
          </w:rPr>
          <w:t>Intercreditor Agreement (2017-1), dated as of January 13, 2017, among Wilmington Trust Company, as Trustee of the American</w:t>
        </w:r>
      </w:hyperlink>
      <w:r>
        <w:rPr>
          <w:rFonts w:ascii="Arial" w:cs="Arial" w:eastAsia="Arial" w:hAnsi="Arial"/>
          <w:sz w:val="18"/>
          <w:szCs w:val="18"/>
          <w:color w:val="auto"/>
        </w:rPr>
        <w:t xml:space="preserve"> </w:t>
      </w:r>
      <w:hyperlink r:id="rId344">
        <w:r>
          <w:rPr>
            <w:rFonts w:ascii="Arial" w:cs="Arial" w:eastAsia="Arial" w:hAnsi="Arial"/>
            <w:sz w:val="18"/>
            <w:szCs w:val="18"/>
            <w:u w:val="single" w:color="auto"/>
            <w:color w:val="0000FF"/>
          </w:rPr>
          <w:t>Airlines Pass Through Trust 2017-1AA, as Trustee of the American Airlines Pass Through Trust 2017-1A and as Trustee of the</w:t>
        </w:r>
      </w:hyperlink>
    </w:p>
    <w:p>
      <w:pPr>
        <w:jc w:val="both"/>
        <w:ind w:left="920"/>
        <w:spacing w:after="0" w:line="220" w:lineRule="auto"/>
        <w:rPr>
          <w:rFonts w:ascii="Arial" w:cs="Arial" w:eastAsia="Arial" w:hAnsi="Arial"/>
          <w:sz w:val="18"/>
          <w:szCs w:val="18"/>
          <w:u w:val="single" w:color="auto"/>
          <w:color w:val="0000FF"/>
        </w:rPr>
      </w:pPr>
      <w:hyperlink r:id="rId344">
        <w:r>
          <w:rPr>
            <w:rFonts w:ascii="Arial" w:cs="Arial" w:eastAsia="Arial" w:hAnsi="Arial"/>
            <w:sz w:val="18"/>
            <w:szCs w:val="18"/>
            <w:u w:val="single" w:color="auto"/>
            <w:color w:val="0000FF"/>
          </w:rPr>
          <w:t>American Airlines Pass Through Trust 2017-1B, Citibank N.A., as Class AA Liquidity Provider, Class A Liquidity Provider and</w:t>
        </w:r>
      </w:hyperlink>
      <w:r>
        <w:rPr>
          <w:rFonts w:ascii="Arial" w:cs="Arial" w:eastAsia="Arial" w:hAnsi="Arial"/>
          <w:sz w:val="18"/>
          <w:szCs w:val="18"/>
          <w:u w:val="single" w:color="auto"/>
          <w:color w:val="0000FF"/>
        </w:rPr>
        <w:t xml:space="preserve"> </w:t>
      </w:r>
      <w:hyperlink r:id="rId344">
        <w:r>
          <w:rPr>
            <w:rFonts w:ascii="Arial" w:cs="Arial" w:eastAsia="Arial" w:hAnsi="Arial"/>
            <w:sz w:val="18"/>
            <w:szCs w:val="18"/>
            <w:u w:val="single" w:color="auto"/>
            <w:color w:val="0000FF"/>
          </w:rPr>
          <w:t>Class B Liquidity Provider, and Wilmington Trust Company, as Subordination Agent (incorporated by reference to Exhibit 4.5 to</w:t>
        </w:r>
      </w:hyperlink>
      <w:r>
        <w:rPr>
          <w:rFonts w:ascii="Arial" w:cs="Arial" w:eastAsia="Arial" w:hAnsi="Arial"/>
          <w:sz w:val="18"/>
          <w:szCs w:val="18"/>
          <w:u w:val="single" w:color="auto"/>
          <w:color w:val="0000FF"/>
        </w:rPr>
        <w:t xml:space="preserve"> </w:t>
      </w:r>
      <w:hyperlink r:id="rId344">
        <w:r>
          <w:rPr>
            <w:rFonts w:ascii="Arial" w:cs="Arial" w:eastAsia="Arial" w:hAnsi="Arial"/>
            <w:sz w:val="18"/>
            <w:szCs w:val="18"/>
            <w:u w:val="single" w:color="auto"/>
            <w:color w:val="0000FF"/>
          </w:rPr>
          <w:t>American’s Current Report on Form 8-K filed on January 17, 2017 (Commission File No. 1-02691)).</w:t>
        </w:r>
      </w:hyperlink>
    </w:p>
    <w:p>
      <w:pPr>
        <w:spacing w:after="0" w:line="200" w:lineRule="exact"/>
        <w:rPr>
          <w:rFonts w:ascii="Arial" w:cs="Arial" w:eastAsia="Arial" w:hAnsi="Arial"/>
          <w:sz w:val="18"/>
          <w:szCs w:val="18"/>
          <w:u w:val="single" w:color="auto"/>
          <w:color w:val="0000FF"/>
        </w:rPr>
      </w:pPr>
    </w:p>
    <w:p>
      <w:pPr>
        <w:spacing w:after="0" w:line="318"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4.106     </w:t>
      </w:r>
      <w:hyperlink r:id="rId346">
        <w:r>
          <w:rPr>
            <w:rFonts w:ascii="Arial" w:cs="Arial" w:eastAsia="Arial" w:hAnsi="Arial"/>
            <w:sz w:val="18"/>
            <w:szCs w:val="18"/>
            <w:u w:val="single" w:color="auto"/>
            <w:color w:val="0000FF"/>
          </w:rPr>
          <w:t>Note Purchase Agreement, dated as of January 13, 2017, among American Airlines, Inc., Wilmington Trust Company, as Pass</w:t>
        </w:r>
      </w:hyperlink>
      <w:r>
        <w:rPr>
          <w:rFonts w:ascii="Arial" w:cs="Arial" w:eastAsia="Arial" w:hAnsi="Arial"/>
          <w:sz w:val="18"/>
          <w:szCs w:val="18"/>
          <w:color w:val="auto"/>
        </w:rPr>
        <w:t xml:space="preserve"> </w:t>
      </w:r>
      <w:hyperlink r:id="rId346">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46">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346">
        <w:r>
          <w:rPr>
            <w:rFonts w:ascii="Arial" w:cs="Arial" w:eastAsia="Arial" w:hAnsi="Arial"/>
            <w:sz w:val="18"/>
            <w:szCs w:val="18"/>
            <w:u w:val="single" w:color="auto"/>
            <w:color w:val="0000FF"/>
          </w:rPr>
          <w:t>reference to Exhibit 4.12 to American’s Current Report on Form 8-K filed on January 17, 2017 (Commission File No. 1-02691)).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4.107     </w:t>
      </w:r>
      <w:hyperlink r:id="rId346">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46">
        <w:r>
          <w:rPr>
            <w:rFonts w:ascii="Arial" w:cs="Arial" w:eastAsia="Arial" w:hAnsi="Arial"/>
            <w:sz w:val="18"/>
            <w:szCs w:val="18"/>
            <w:u w:val="single" w:color="auto"/>
            <w:color w:val="0000FF"/>
          </w:rPr>
          <w:t>Through Trustee under each of the Pass Through Trust Agreements, Wilmington Trust Company, as Subordination Agent,</w:t>
        </w:r>
      </w:hyperlink>
    </w:p>
    <w:p>
      <w:pPr>
        <w:jc w:val="both"/>
        <w:ind w:left="920"/>
        <w:spacing w:after="0" w:line="220" w:lineRule="auto"/>
        <w:rPr>
          <w:rFonts w:ascii="Arial" w:cs="Arial" w:eastAsia="Arial" w:hAnsi="Arial"/>
          <w:sz w:val="18"/>
          <w:szCs w:val="18"/>
          <w:u w:val="single" w:color="auto"/>
          <w:color w:val="0000FF"/>
        </w:rPr>
      </w:pPr>
      <w:hyperlink r:id="rId346">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46">
        <w:r>
          <w:rPr>
            <w:rFonts w:ascii="Arial" w:cs="Arial" w:eastAsia="Arial" w:hAnsi="Arial"/>
            <w:sz w:val="18"/>
            <w:szCs w:val="18"/>
            <w:u w:val="single" w:color="auto"/>
            <w:color w:val="0000FF"/>
          </w:rPr>
          <w:t>(incorporated by reference to Exhibit B to Exhibit 4.12 to American’s Current Report on Form 8-K filed on January 17, 2017</w:t>
        </w:r>
      </w:hyperlink>
      <w:r>
        <w:rPr>
          <w:rFonts w:ascii="Arial" w:cs="Arial" w:eastAsia="Arial" w:hAnsi="Arial"/>
          <w:sz w:val="18"/>
          <w:szCs w:val="18"/>
          <w:u w:val="single" w:color="auto"/>
          <w:color w:val="0000FF"/>
        </w:rPr>
        <w:t xml:space="preserve"> </w:t>
      </w:r>
      <w:hyperlink r:id="rId346">
        <w:r>
          <w:rPr>
            <w:rFonts w:ascii="Arial" w:cs="Arial" w:eastAsia="Arial" w:hAnsi="Arial"/>
            <w:sz w:val="18"/>
            <w:szCs w:val="18"/>
            <w:u w:val="single" w:color="auto"/>
            <w:color w:val="0000FF"/>
          </w:rPr>
          <w:t>(Commission File No. 1-02691)).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4.108     </w:t>
      </w:r>
      <w:hyperlink r:id="rId346">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46">
        <w:r>
          <w:rPr>
            <w:rFonts w:ascii="Arial" w:cs="Arial" w:eastAsia="Arial" w:hAnsi="Arial"/>
            <w:sz w:val="18"/>
            <w:szCs w:val="18"/>
            <w:u w:val="single" w:color="auto"/>
            <w:color w:val="0000FF"/>
          </w:rPr>
          <w:t>Trust Company, as Loan Trustee) (incorporated by reference to Exhibit C to Exhibit 4.12 to American’s Current Report on Form 8-</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46">
        <w:r>
          <w:rPr>
            <w:rFonts w:ascii="Arial" w:cs="Arial" w:eastAsia="Arial" w:hAnsi="Arial"/>
            <w:sz w:val="18"/>
            <w:szCs w:val="18"/>
            <w:u w:val="single" w:color="auto"/>
            <w:color w:val="0000FF"/>
          </w:rPr>
          <w:t>K filed on January 17, 2017 (Commission File No. 1-02691)).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4.109</w:t>
      </w:r>
      <w:r>
        <w:rPr>
          <w:sz w:val="20"/>
          <w:szCs w:val="20"/>
          <w:color w:val="auto"/>
        </w:rPr>
        <w:tab/>
      </w:r>
      <w:hyperlink r:id="rId341">
        <w:r>
          <w:rPr>
            <w:rFonts w:ascii="Arial" w:cs="Arial" w:eastAsia="Arial" w:hAnsi="Arial"/>
            <w:sz w:val="18"/>
            <w:szCs w:val="18"/>
            <w:u w:val="single" w:color="auto"/>
            <w:color w:val="0000FF"/>
          </w:rPr>
          <w:t>Form of Pass Through Trust Certificate, Series 2017-1AA (incorporated by reference to Exhibit A to Exhibit 4.2 to American’s</w:t>
        </w:r>
      </w:hyperlink>
      <w:r>
        <w:rPr>
          <w:rFonts w:ascii="Arial" w:cs="Arial" w:eastAsia="Arial" w:hAnsi="Arial"/>
          <w:sz w:val="18"/>
          <w:szCs w:val="18"/>
          <w:u w:val="single" w:color="auto"/>
          <w:color w:val="0000FF"/>
        </w:rPr>
        <w:t xml:space="preserve"> </w:t>
      </w:r>
      <w:hyperlink r:id="rId341">
        <w:r>
          <w:rPr>
            <w:rFonts w:ascii="Arial" w:cs="Arial" w:eastAsia="Arial" w:hAnsi="Arial"/>
            <w:sz w:val="18"/>
            <w:szCs w:val="18"/>
            <w:u w:val="single" w:color="auto"/>
            <w:color w:val="0000FF"/>
          </w:rPr>
          <w:t>Current Report on Form 8-K filed on January 17, 2017 (Commission File No. 1-02691)).</w:t>
        </w:r>
      </w:hyperlink>
    </w:p>
    <w:p>
      <w:pPr>
        <w:spacing w:after="0" w:line="5"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4.110</w:t>
      </w:r>
      <w:r>
        <w:rPr>
          <w:sz w:val="20"/>
          <w:szCs w:val="20"/>
          <w:color w:val="auto"/>
        </w:rPr>
        <w:tab/>
      </w:r>
      <w:hyperlink r:id="rId342">
        <w:r>
          <w:rPr>
            <w:rFonts w:ascii="Arial" w:cs="Arial" w:eastAsia="Arial" w:hAnsi="Arial"/>
            <w:sz w:val="18"/>
            <w:szCs w:val="18"/>
            <w:u w:val="single" w:color="auto"/>
            <w:color w:val="0000FF"/>
          </w:rPr>
          <w:t>Form of Pass Through Trust Certificate, Series 2017-1A (incorporated by reference to Exhibit A to Exhibit 4.3 to American’s</w:t>
        </w:r>
      </w:hyperlink>
      <w:r>
        <w:rPr>
          <w:rFonts w:ascii="Arial" w:cs="Arial" w:eastAsia="Arial" w:hAnsi="Arial"/>
          <w:sz w:val="18"/>
          <w:szCs w:val="18"/>
          <w:u w:val="single" w:color="auto"/>
          <w:color w:val="0000FF"/>
        </w:rPr>
        <w:t xml:space="preserve"> </w:t>
      </w:r>
      <w:hyperlink r:id="rId342">
        <w:r>
          <w:rPr>
            <w:rFonts w:ascii="Arial" w:cs="Arial" w:eastAsia="Arial" w:hAnsi="Arial"/>
            <w:sz w:val="18"/>
            <w:szCs w:val="18"/>
            <w:u w:val="single" w:color="auto"/>
            <w:color w:val="0000FF"/>
          </w:rPr>
          <w:t>Current Report on Form 8-K filed on January 17, 2017 (Commission File No. 1-02691)).</w:t>
        </w:r>
      </w:hyperlink>
    </w:p>
    <w:p>
      <w:pPr>
        <w:spacing w:after="0" w:line="6"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4.111</w:t>
      </w:r>
      <w:r>
        <w:rPr>
          <w:sz w:val="20"/>
          <w:szCs w:val="20"/>
          <w:color w:val="auto"/>
        </w:rPr>
        <w:tab/>
      </w:r>
      <w:hyperlink r:id="rId343">
        <w:r>
          <w:rPr>
            <w:rFonts w:ascii="Arial" w:cs="Arial" w:eastAsia="Arial" w:hAnsi="Arial"/>
            <w:sz w:val="18"/>
            <w:szCs w:val="18"/>
            <w:u w:val="single" w:color="auto"/>
            <w:color w:val="0000FF"/>
          </w:rPr>
          <w:t>Form of Pass Through Trust Certificate, Series 2017-1B (incorporated by reference to Exhibit A to Exhibit 4.4 to American’s</w:t>
        </w:r>
      </w:hyperlink>
      <w:r>
        <w:rPr>
          <w:rFonts w:ascii="Arial" w:cs="Arial" w:eastAsia="Arial" w:hAnsi="Arial"/>
          <w:sz w:val="18"/>
          <w:szCs w:val="18"/>
          <w:u w:val="single" w:color="auto"/>
          <w:color w:val="0000FF"/>
        </w:rPr>
        <w:t xml:space="preserve"> </w:t>
      </w:r>
      <w:hyperlink r:id="rId343">
        <w:r>
          <w:rPr>
            <w:rFonts w:ascii="Arial" w:cs="Arial" w:eastAsia="Arial" w:hAnsi="Arial"/>
            <w:sz w:val="18"/>
            <w:szCs w:val="18"/>
            <w:u w:val="single" w:color="auto"/>
            <w:color w:val="0000FF"/>
          </w:rPr>
          <w:t>Current Report on Form 8-K filed on January 17, 2017 (Commission File No. 1-02691)).</w:t>
        </w:r>
      </w:hyperlink>
    </w:p>
    <w:p>
      <w:pPr>
        <w:spacing w:after="0" w:line="6"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4.112     </w:t>
      </w:r>
      <w:hyperlink r:id="rId347">
        <w:r>
          <w:rPr>
            <w:rFonts w:ascii="Arial" w:cs="Arial" w:eastAsia="Arial" w:hAnsi="Arial"/>
            <w:sz w:val="18"/>
            <w:szCs w:val="18"/>
            <w:u w:val="single" w:color="auto"/>
            <w:color w:val="0000FF"/>
          </w:rPr>
          <w:t>Revolving Credit Agreement (2017-1AA), dated as of January 13, 2017, between Wilmington Trust Company, as Subordination</w:t>
        </w:r>
      </w:hyperlink>
      <w:r>
        <w:rPr>
          <w:rFonts w:ascii="Arial" w:cs="Arial" w:eastAsia="Arial" w:hAnsi="Arial"/>
          <w:sz w:val="18"/>
          <w:szCs w:val="18"/>
          <w:color w:val="auto"/>
        </w:rPr>
        <w:t xml:space="preserve"> </w:t>
      </w:r>
      <w:hyperlink r:id="rId347">
        <w:r>
          <w:rPr>
            <w:rFonts w:ascii="Arial" w:cs="Arial" w:eastAsia="Arial" w:hAnsi="Arial"/>
            <w:sz w:val="18"/>
            <w:szCs w:val="18"/>
            <w:u w:val="single" w:color="auto"/>
            <w:color w:val="0000FF"/>
          </w:rPr>
          <w:t>Agent, as agent and trustee for the trustee of the American Airlines Pass Through Trust 2017-1AA, as Borrower, and Citibank</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47">
        <w:r>
          <w:rPr>
            <w:rFonts w:ascii="Arial" w:cs="Arial" w:eastAsia="Arial" w:hAnsi="Arial"/>
            <w:sz w:val="18"/>
            <w:szCs w:val="18"/>
            <w:u w:val="single" w:color="auto"/>
            <w:color w:val="0000FF"/>
          </w:rPr>
          <w:t>N.A., as Liquidity Provider (incorporated by reference to Exhibit 4.18 to American’s Current Report on Form 8-K filed on January</w:t>
        </w:r>
      </w:hyperlink>
      <w:r>
        <w:rPr>
          <w:rFonts w:ascii="Arial" w:cs="Arial" w:eastAsia="Arial" w:hAnsi="Arial"/>
          <w:sz w:val="18"/>
          <w:szCs w:val="18"/>
          <w:u w:val="single" w:color="auto"/>
          <w:color w:val="0000FF"/>
        </w:rPr>
        <w:t xml:space="preserve"> </w:t>
      </w:r>
      <w:hyperlink r:id="rId347">
        <w:r>
          <w:rPr>
            <w:rFonts w:ascii="Arial" w:cs="Arial" w:eastAsia="Arial" w:hAnsi="Arial"/>
            <w:sz w:val="18"/>
            <w:szCs w:val="18"/>
            <w:u w:val="single" w:color="auto"/>
            <w:color w:val="0000FF"/>
          </w:rPr>
          <w:t>17, 2017 (Commission File No. 1-02691)).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4.113     </w:t>
      </w:r>
      <w:hyperlink r:id="rId348">
        <w:r>
          <w:rPr>
            <w:rFonts w:ascii="Arial" w:cs="Arial" w:eastAsia="Arial" w:hAnsi="Arial"/>
            <w:sz w:val="18"/>
            <w:szCs w:val="18"/>
            <w:u w:val="single" w:color="auto"/>
            <w:color w:val="0000FF"/>
          </w:rPr>
          <w:t>Revolving Credit Agreement (2017-1A), dated as of January 13, 2017, between Wilmington Trust Company, as Subordination</w:t>
        </w:r>
      </w:hyperlink>
      <w:r>
        <w:rPr>
          <w:rFonts w:ascii="Arial" w:cs="Arial" w:eastAsia="Arial" w:hAnsi="Arial"/>
          <w:sz w:val="18"/>
          <w:szCs w:val="18"/>
          <w:color w:val="auto"/>
        </w:rPr>
        <w:t xml:space="preserve"> </w:t>
      </w:r>
      <w:hyperlink r:id="rId348">
        <w:r>
          <w:rPr>
            <w:rFonts w:ascii="Arial" w:cs="Arial" w:eastAsia="Arial" w:hAnsi="Arial"/>
            <w:sz w:val="18"/>
            <w:szCs w:val="18"/>
            <w:u w:val="single" w:color="auto"/>
            <w:color w:val="0000FF"/>
          </w:rPr>
          <w:t>Agent, as agent and trustee for the trustee of the American Airlines Pass Through Trust 2017-1A, as Borrower, and Citibank N.A.,</w:t>
        </w:r>
      </w:hyperlink>
    </w:p>
    <w:p>
      <w:pPr>
        <w:ind w:left="920"/>
        <w:spacing w:after="0" w:line="229" w:lineRule="auto"/>
        <w:rPr>
          <w:rFonts w:ascii="Arial" w:cs="Arial" w:eastAsia="Arial" w:hAnsi="Arial"/>
          <w:sz w:val="18"/>
          <w:szCs w:val="18"/>
          <w:u w:val="single" w:color="auto"/>
          <w:color w:val="0000FF"/>
        </w:rPr>
      </w:pPr>
      <w:hyperlink r:id="rId348">
        <w:r>
          <w:rPr>
            <w:rFonts w:ascii="Arial" w:cs="Arial" w:eastAsia="Arial" w:hAnsi="Arial"/>
            <w:sz w:val="18"/>
            <w:szCs w:val="18"/>
            <w:u w:val="single" w:color="auto"/>
            <w:color w:val="0000FF"/>
          </w:rPr>
          <w:t>as Liquidity Provider (incorporated by reference to Exhibit 4.19 to American’s Current Report on Form 8-K filed on January 17,</w:t>
        </w:r>
      </w:hyperlink>
      <w:r>
        <w:rPr>
          <w:rFonts w:ascii="Arial" w:cs="Arial" w:eastAsia="Arial" w:hAnsi="Arial"/>
          <w:sz w:val="18"/>
          <w:szCs w:val="18"/>
          <w:u w:val="single" w:color="auto"/>
          <w:color w:val="0000FF"/>
        </w:rPr>
        <w:t xml:space="preserve"> </w:t>
      </w:r>
      <w:hyperlink r:id="rId348">
        <w:r>
          <w:rPr>
            <w:rFonts w:ascii="Arial" w:cs="Arial" w:eastAsia="Arial" w:hAnsi="Arial"/>
            <w:sz w:val="18"/>
            <w:szCs w:val="18"/>
            <w:u w:val="single" w:color="auto"/>
            <w:color w:val="0000FF"/>
          </w:rPr>
          <w:t>2017 (Commission File No. 1-02691)).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4.114     </w:t>
      </w:r>
      <w:hyperlink r:id="rId349">
        <w:r>
          <w:rPr>
            <w:rFonts w:ascii="Arial" w:cs="Arial" w:eastAsia="Arial" w:hAnsi="Arial"/>
            <w:sz w:val="18"/>
            <w:szCs w:val="18"/>
            <w:u w:val="single" w:color="auto"/>
            <w:color w:val="0000FF"/>
          </w:rPr>
          <w:t>Revolving Credit Agreement (2017-1B), dated as of January 13, 2017, between Wilmington Trust Company, as Subordination</w:t>
        </w:r>
      </w:hyperlink>
      <w:r>
        <w:rPr>
          <w:rFonts w:ascii="Arial" w:cs="Arial" w:eastAsia="Arial" w:hAnsi="Arial"/>
          <w:sz w:val="18"/>
          <w:szCs w:val="18"/>
          <w:color w:val="auto"/>
        </w:rPr>
        <w:t xml:space="preserve"> </w:t>
      </w:r>
      <w:hyperlink r:id="rId349">
        <w:r>
          <w:rPr>
            <w:rFonts w:ascii="Arial" w:cs="Arial" w:eastAsia="Arial" w:hAnsi="Arial"/>
            <w:sz w:val="18"/>
            <w:szCs w:val="18"/>
            <w:u w:val="single" w:color="auto"/>
            <w:color w:val="0000FF"/>
          </w:rPr>
          <w:t>Agent, as agent and trustee for the trustee of the American Airlines Pass Through Trust 2017-1B, as Borrower, and Citibank N.A.,</w:t>
        </w:r>
      </w:hyperlink>
    </w:p>
    <w:p>
      <w:pPr>
        <w:ind w:left="920"/>
        <w:spacing w:after="0" w:line="229" w:lineRule="auto"/>
        <w:rPr>
          <w:rFonts w:ascii="Arial" w:cs="Arial" w:eastAsia="Arial" w:hAnsi="Arial"/>
          <w:sz w:val="18"/>
          <w:szCs w:val="18"/>
          <w:u w:val="single" w:color="auto"/>
          <w:color w:val="0000FF"/>
        </w:rPr>
      </w:pPr>
      <w:hyperlink r:id="rId349">
        <w:r>
          <w:rPr>
            <w:rFonts w:ascii="Arial" w:cs="Arial" w:eastAsia="Arial" w:hAnsi="Arial"/>
            <w:sz w:val="18"/>
            <w:szCs w:val="18"/>
            <w:u w:val="single" w:color="auto"/>
            <w:color w:val="0000FF"/>
          </w:rPr>
          <w:t>as Liquidity Provider (incorporated by reference to Exhibit 4.20 to American’s Current Report on Form 8-K filed on January 17,</w:t>
        </w:r>
      </w:hyperlink>
      <w:r>
        <w:rPr>
          <w:rFonts w:ascii="Arial" w:cs="Arial" w:eastAsia="Arial" w:hAnsi="Arial"/>
          <w:sz w:val="18"/>
          <w:szCs w:val="18"/>
          <w:u w:val="single" w:color="auto"/>
          <w:color w:val="0000FF"/>
        </w:rPr>
        <w:t xml:space="preserve"> </w:t>
      </w:r>
      <w:hyperlink r:id="rId349">
        <w:r>
          <w:rPr>
            <w:rFonts w:ascii="Arial" w:cs="Arial" w:eastAsia="Arial" w:hAnsi="Arial"/>
            <w:sz w:val="18"/>
            <w:szCs w:val="18"/>
            <w:u w:val="single" w:color="auto"/>
            <w:color w:val="0000FF"/>
          </w:rPr>
          <w:t>2017 (Commission File No. 1-02691)).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4.115     </w:t>
      </w:r>
      <w:hyperlink r:id="rId350">
        <w:r>
          <w:rPr>
            <w:rFonts w:ascii="Arial" w:cs="Arial" w:eastAsia="Arial" w:hAnsi="Arial"/>
            <w:sz w:val="18"/>
            <w:szCs w:val="18"/>
            <w:u w:val="single" w:color="auto"/>
            <w:color w:val="0000FF"/>
          </w:rPr>
          <w:t>Acknowledgment and Agreement (2017-1), dated as of March 31, 2017, by and among American Airlines Inc., Citibank, N.A., as</w:t>
        </w:r>
      </w:hyperlink>
      <w:r>
        <w:rPr>
          <w:rFonts w:ascii="Arial" w:cs="Arial" w:eastAsia="Arial" w:hAnsi="Arial"/>
          <w:sz w:val="18"/>
          <w:szCs w:val="18"/>
          <w:color w:val="auto"/>
        </w:rPr>
        <w:t xml:space="preserve"> </w:t>
      </w:r>
      <w:hyperlink r:id="rId350">
        <w:r>
          <w:rPr>
            <w:rFonts w:ascii="Arial" w:cs="Arial" w:eastAsia="Arial" w:hAnsi="Arial"/>
            <w:sz w:val="18"/>
            <w:szCs w:val="18"/>
            <w:u w:val="single" w:color="auto"/>
            <w:color w:val="0000FF"/>
          </w:rPr>
          <w:t>initial Liquidity Provider, National Australia Bank Limited, as Replacement Liquidity Provider, and Wilmington Trust Company, as</w:t>
        </w:r>
      </w:hyperlink>
    </w:p>
    <w:p>
      <w:pPr>
        <w:ind w:left="920"/>
        <w:spacing w:after="0" w:line="229" w:lineRule="auto"/>
        <w:rPr>
          <w:rFonts w:ascii="Arial" w:cs="Arial" w:eastAsia="Arial" w:hAnsi="Arial"/>
          <w:sz w:val="18"/>
          <w:szCs w:val="18"/>
          <w:u w:val="single" w:color="auto"/>
          <w:color w:val="0000FF"/>
        </w:rPr>
      </w:pPr>
      <w:hyperlink r:id="rId350">
        <w:r>
          <w:rPr>
            <w:rFonts w:ascii="Arial" w:cs="Arial" w:eastAsia="Arial" w:hAnsi="Arial"/>
            <w:sz w:val="18"/>
            <w:szCs w:val="18"/>
            <w:u w:val="single" w:color="auto"/>
            <w:color w:val="0000FF"/>
          </w:rPr>
          <w:t>Subordination Agent and trustee (incorporated by reference to Exhibit 4.20 to AAG’s Quarterly Report on Form 10-Q for the</w:t>
        </w:r>
      </w:hyperlink>
      <w:r>
        <w:rPr>
          <w:rFonts w:ascii="Arial" w:cs="Arial" w:eastAsia="Arial" w:hAnsi="Arial"/>
          <w:sz w:val="18"/>
          <w:szCs w:val="18"/>
          <w:u w:val="single" w:color="auto"/>
          <w:color w:val="0000FF"/>
        </w:rPr>
        <w:t xml:space="preserve"> </w:t>
      </w:r>
      <w:hyperlink r:id="rId350">
        <w:r>
          <w:rPr>
            <w:rFonts w:ascii="Arial" w:cs="Arial" w:eastAsia="Arial" w:hAnsi="Arial"/>
            <w:sz w:val="18"/>
            <w:szCs w:val="18"/>
            <w:u w:val="single" w:color="auto"/>
            <w:color w:val="0000FF"/>
          </w:rPr>
          <w:t>quarter ended March 31, 2017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4.116     </w:t>
      </w:r>
      <w:hyperlink r:id="rId351">
        <w:r>
          <w:rPr>
            <w:rFonts w:ascii="Arial" w:cs="Arial" w:eastAsia="Arial" w:hAnsi="Arial"/>
            <w:sz w:val="18"/>
            <w:szCs w:val="18"/>
            <w:u w:val="single" w:color="auto"/>
            <w:color w:val="0000FF"/>
          </w:rPr>
          <w:t>Revolving Credit Agreement (2017-1AA), dated as of March 31, 2017, between Wilmington Trust Company, as Subordination</w:t>
        </w:r>
      </w:hyperlink>
      <w:r>
        <w:rPr>
          <w:rFonts w:ascii="Arial" w:cs="Arial" w:eastAsia="Arial" w:hAnsi="Arial"/>
          <w:sz w:val="18"/>
          <w:szCs w:val="18"/>
          <w:color w:val="auto"/>
        </w:rPr>
        <w:t xml:space="preserve"> </w:t>
      </w:r>
      <w:hyperlink r:id="rId351">
        <w:r>
          <w:rPr>
            <w:rFonts w:ascii="Arial" w:cs="Arial" w:eastAsia="Arial" w:hAnsi="Arial"/>
            <w:sz w:val="18"/>
            <w:szCs w:val="18"/>
            <w:u w:val="single" w:color="auto"/>
            <w:color w:val="0000FF"/>
          </w:rPr>
          <w:t>Agent, as agent and trustee for the trustee of the American Airlines Pass Through Trust 2017-1AA, as Borrower, and National</w:t>
        </w:r>
      </w:hyperlink>
    </w:p>
    <w:p>
      <w:pPr>
        <w:ind w:left="920"/>
        <w:spacing w:after="0" w:line="229" w:lineRule="auto"/>
        <w:rPr>
          <w:rFonts w:ascii="Arial" w:cs="Arial" w:eastAsia="Arial" w:hAnsi="Arial"/>
          <w:sz w:val="18"/>
          <w:szCs w:val="18"/>
          <w:u w:val="single" w:color="auto"/>
          <w:color w:val="0000FF"/>
        </w:rPr>
      </w:pPr>
      <w:hyperlink r:id="rId351">
        <w:r>
          <w:rPr>
            <w:rFonts w:ascii="Arial" w:cs="Arial" w:eastAsia="Arial" w:hAnsi="Arial"/>
            <w:sz w:val="18"/>
            <w:szCs w:val="18"/>
            <w:u w:val="single" w:color="auto"/>
            <w:color w:val="0000FF"/>
          </w:rPr>
          <w:t>Australia Bank Limited, as Liquidity Provider (incorporated by reference to Exhibit 4.21 to AAG’s Quarterly Report on Form 10-Q</w:t>
        </w:r>
      </w:hyperlink>
      <w:r>
        <w:rPr>
          <w:rFonts w:ascii="Arial" w:cs="Arial" w:eastAsia="Arial" w:hAnsi="Arial"/>
          <w:sz w:val="18"/>
          <w:szCs w:val="18"/>
          <w:u w:val="single" w:color="auto"/>
          <w:color w:val="0000FF"/>
        </w:rPr>
        <w:t xml:space="preserve"> </w:t>
      </w:r>
      <w:hyperlink r:id="rId351">
        <w:r>
          <w:rPr>
            <w:rFonts w:ascii="Arial" w:cs="Arial" w:eastAsia="Arial" w:hAnsi="Arial"/>
            <w:sz w:val="18"/>
            <w:szCs w:val="18"/>
            <w:u w:val="single" w:color="auto"/>
            <w:color w:val="0000FF"/>
          </w:rPr>
          <w:t>for the quarter ended March 31, 2017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4.117     </w:t>
      </w:r>
      <w:hyperlink r:id="rId352">
        <w:r>
          <w:rPr>
            <w:rFonts w:ascii="Arial" w:cs="Arial" w:eastAsia="Arial" w:hAnsi="Arial"/>
            <w:sz w:val="18"/>
            <w:szCs w:val="18"/>
            <w:u w:val="single" w:color="auto"/>
            <w:color w:val="0000FF"/>
          </w:rPr>
          <w:t>Revolving Credit Agreement (2017-1A), dated as of March 31, 2017, between Wilmington Trust Company, as Subordination</w:t>
        </w:r>
      </w:hyperlink>
      <w:r>
        <w:rPr>
          <w:rFonts w:ascii="Arial" w:cs="Arial" w:eastAsia="Arial" w:hAnsi="Arial"/>
          <w:sz w:val="18"/>
          <w:szCs w:val="18"/>
          <w:color w:val="auto"/>
        </w:rPr>
        <w:t xml:space="preserve"> </w:t>
      </w:r>
      <w:hyperlink r:id="rId352">
        <w:r>
          <w:rPr>
            <w:rFonts w:ascii="Arial" w:cs="Arial" w:eastAsia="Arial" w:hAnsi="Arial"/>
            <w:sz w:val="18"/>
            <w:szCs w:val="18"/>
            <w:u w:val="single" w:color="auto"/>
            <w:color w:val="0000FF"/>
          </w:rPr>
          <w:t>Agent, as agent and trustee for the trustee of the American Airlines Pass Through Trust 2017-1A, as Borrower, and National</w:t>
        </w:r>
      </w:hyperlink>
    </w:p>
    <w:p>
      <w:pPr>
        <w:ind w:left="920"/>
        <w:spacing w:after="0" w:line="229" w:lineRule="auto"/>
        <w:rPr>
          <w:rFonts w:ascii="Arial" w:cs="Arial" w:eastAsia="Arial" w:hAnsi="Arial"/>
          <w:sz w:val="18"/>
          <w:szCs w:val="18"/>
          <w:u w:val="single" w:color="auto"/>
          <w:color w:val="0000FF"/>
        </w:rPr>
      </w:pPr>
      <w:hyperlink r:id="rId352">
        <w:r>
          <w:rPr>
            <w:rFonts w:ascii="Arial" w:cs="Arial" w:eastAsia="Arial" w:hAnsi="Arial"/>
            <w:sz w:val="18"/>
            <w:szCs w:val="18"/>
            <w:u w:val="single" w:color="auto"/>
            <w:color w:val="0000FF"/>
          </w:rPr>
          <w:t>Australia Bank Limited, as Liquidity Provider (incorporated by reference to Exhibit 4.22 to AAG’s Quarterly Report on Form 10-Q</w:t>
        </w:r>
      </w:hyperlink>
      <w:r>
        <w:rPr>
          <w:rFonts w:ascii="Arial" w:cs="Arial" w:eastAsia="Arial" w:hAnsi="Arial"/>
          <w:sz w:val="18"/>
          <w:szCs w:val="18"/>
          <w:u w:val="single" w:color="auto"/>
          <w:color w:val="0000FF"/>
        </w:rPr>
        <w:t xml:space="preserve"> </w:t>
      </w:r>
      <w:hyperlink r:id="rId352">
        <w:r>
          <w:rPr>
            <w:rFonts w:ascii="Arial" w:cs="Arial" w:eastAsia="Arial" w:hAnsi="Arial"/>
            <w:sz w:val="18"/>
            <w:szCs w:val="18"/>
            <w:u w:val="single" w:color="auto"/>
            <w:color w:val="0000FF"/>
          </w:rPr>
          <w:t>for the quarter ended March 31, 2017 (Commission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4.118     </w:t>
      </w:r>
      <w:hyperlink r:id="rId353">
        <w:r>
          <w:rPr>
            <w:rFonts w:ascii="Arial" w:cs="Arial" w:eastAsia="Arial" w:hAnsi="Arial"/>
            <w:sz w:val="18"/>
            <w:szCs w:val="18"/>
            <w:u w:val="single" w:color="auto"/>
            <w:color w:val="0000FF"/>
          </w:rPr>
          <w:t>Revolving Credit Agreement (2017-1B), dated as of March 31, 2017, between Wilmington Trust Company, as Subordination</w:t>
        </w:r>
      </w:hyperlink>
      <w:r>
        <w:rPr>
          <w:rFonts w:ascii="Arial" w:cs="Arial" w:eastAsia="Arial" w:hAnsi="Arial"/>
          <w:sz w:val="18"/>
          <w:szCs w:val="18"/>
          <w:color w:val="auto"/>
        </w:rPr>
        <w:t xml:space="preserve"> </w:t>
      </w:r>
      <w:hyperlink r:id="rId353">
        <w:r>
          <w:rPr>
            <w:rFonts w:ascii="Arial" w:cs="Arial" w:eastAsia="Arial" w:hAnsi="Arial"/>
            <w:sz w:val="18"/>
            <w:szCs w:val="18"/>
            <w:u w:val="single" w:color="auto"/>
            <w:color w:val="0000FF"/>
          </w:rPr>
          <w:t>Agent, as agent and trustee for the trustee of the American Airlines Pass Through Trust 2017-1B, as Borrower, and National</w:t>
        </w:r>
      </w:hyperlink>
    </w:p>
    <w:p>
      <w:pPr>
        <w:ind w:left="920"/>
        <w:spacing w:after="0" w:line="229" w:lineRule="auto"/>
        <w:rPr>
          <w:rFonts w:ascii="Arial" w:cs="Arial" w:eastAsia="Arial" w:hAnsi="Arial"/>
          <w:sz w:val="18"/>
          <w:szCs w:val="18"/>
          <w:u w:val="single" w:color="auto"/>
          <w:color w:val="0000FF"/>
        </w:rPr>
      </w:pPr>
      <w:hyperlink r:id="rId353">
        <w:r>
          <w:rPr>
            <w:rFonts w:ascii="Arial" w:cs="Arial" w:eastAsia="Arial" w:hAnsi="Arial"/>
            <w:sz w:val="18"/>
            <w:szCs w:val="18"/>
            <w:u w:val="single" w:color="auto"/>
            <w:color w:val="0000FF"/>
          </w:rPr>
          <w:t>Australia Bank Limited, as Liquidity Provider (incorporated by reference to Exhibit 4.23 to AAG’s Quarterly Report on Form 10-Q</w:t>
        </w:r>
      </w:hyperlink>
      <w:r>
        <w:rPr>
          <w:rFonts w:ascii="Arial" w:cs="Arial" w:eastAsia="Arial" w:hAnsi="Arial"/>
          <w:sz w:val="18"/>
          <w:szCs w:val="18"/>
          <w:u w:val="single" w:color="auto"/>
          <w:color w:val="0000FF"/>
        </w:rPr>
        <w:t xml:space="preserve"> </w:t>
      </w:r>
      <w:hyperlink r:id="rId353">
        <w:r>
          <w:rPr>
            <w:rFonts w:ascii="Arial" w:cs="Arial" w:eastAsia="Arial" w:hAnsi="Arial"/>
            <w:sz w:val="18"/>
            <w:szCs w:val="18"/>
            <w:u w:val="single" w:color="auto"/>
            <w:color w:val="0000FF"/>
          </w:rPr>
          <w:t>for the quarter ended March 31, 2017 (Commission File No. 1-8400)).</w:t>
        </w:r>
      </w:hyperlink>
    </w:p>
    <w:p>
      <w:pPr>
        <w:spacing w:after="0" w:line="1"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4.119</w:t>
      </w:r>
      <w:r>
        <w:rPr>
          <w:sz w:val="20"/>
          <w:szCs w:val="20"/>
          <w:color w:val="auto"/>
        </w:rPr>
        <w:tab/>
      </w:r>
      <w:hyperlink r:id="rId354">
        <w:r>
          <w:rPr>
            <w:rFonts w:ascii="Arial" w:cs="Arial" w:eastAsia="Arial" w:hAnsi="Arial"/>
            <w:sz w:val="18"/>
            <w:szCs w:val="18"/>
            <w:u w:val="single" w:color="auto"/>
            <w:color w:val="0000FF"/>
          </w:rPr>
          <w:t>Form of American Airlines Group Inc. Indenture for Debt Securities (incorporated by reference to Exhibit 4.1 to AAG’s Registration</w:t>
        </w:r>
      </w:hyperlink>
      <w:r>
        <w:rPr>
          <w:rFonts w:ascii="Arial" w:cs="Arial" w:eastAsia="Arial" w:hAnsi="Arial"/>
          <w:sz w:val="18"/>
          <w:szCs w:val="18"/>
          <w:u w:val="single" w:color="auto"/>
          <w:color w:val="0000FF"/>
        </w:rPr>
        <w:t xml:space="preserve"> </w:t>
      </w:r>
      <w:hyperlink r:id="rId354">
        <w:r>
          <w:rPr>
            <w:rFonts w:ascii="Arial" w:cs="Arial" w:eastAsia="Arial" w:hAnsi="Arial"/>
            <w:sz w:val="18"/>
            <w:szCs w:val="18"/>
            <w:u w:val="single" w:color="auto"/>
            <w:color w:val="0000FF"/>
          </w:rPr>
          <w:t>Statement on Form S-3ASR filed on February 22, 2017 (Commission File No. 333-216167).</w:t>
        </w:r>
      </w:hyperlink>
    </w:p>
    <w:p>
      <w:pPr>
        <w:spacing w:after="0" w:line="5"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4.120</w:t>
      </w:r>
      <w:r>
        <w:rPr>
          <w:sz w:val="20"/>
          <w:szCs w:val="20"/>
          <w:color w:val="auto"/>
        </w:rPr>
        <w:tab/>
      </w:r>
      <w:hyperlink r:id="rId355">
        <w:r>
          <w:rPr>
            <w:rFonts w:ascii="Arial" w:cs="Arial" w:eastAsia="Arial" w:hAnsi="Arial"/>
            <w:sz w:val="18"/>
            <w:szCs w:val="18"/>
            <w:u w:val="single" w:color="auto"/>
            <w:color w:val="0000FF"/>
          </w:rPr>
          <w:t>Form of American Airlines, Inc. Indenture for Debt Securities (incorporated by reference to Exhibit 4.2 to AAG’s Registration</w:t>
        </w:r>
      </w:hyperlink>
      <w:r>
        <w:rPr>
          <w:rFonts w:ascii="Arial" w:cs="Arial" w:eastAsia="Arial" w:hAnsi="Arial"/>
          <w:sz w:val="18"/>
          <w:szCs w:val="18"/>
          <w:u w:val="single" w:color="auto"/>
          <w:color w:val="0000FF"/>
        </w:rPr>
        <w:t xml:space="preserve"> </w:t>
      </w:r>
      <w:hyperlink r:id="rId355">
        <w:r>
          <w:rPr>
            <w:rFonts w:ascii="Arial" w:cs="Arial" w:eastAsia="Arial" w:hAnsi="Arial"/>
            <w:sz w:val="18"/>
            <w:szCs w:val="18"/>
            <w:u w:val="single" w:color="auto"/>
            <w:color w:val="0000FF"/>
          </w:rPr>
          <w:t>Statement on Form S-3ASR filed on February 22, 2017 (Commission File No. 333-216167).</w:t>
        </w:r>
      </w:hyperlink>
    </w:p>
    <w:p>
      <w:pPr>
        <w:spacing w:after="0" w:line="6"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4.121     </w:t>
      </w:r>
      <w:hyperlink r:id="rId356">
        <w:r>
          <w:rPr>
            <w:rFonts w:ascii="Arial" w:cs="Arial" w:eastAsia="Arial" w:hAnsi="Arial"/>
            <w:sz w:val="18"/>
            <w:szCs w:val="18"/>
            <w:u w:val="single" w:color="auto"/>
            <w:color w:val="0000FF"/>
          </w:rPr>
          <w:t>Trust Supplement No. 2017-2AA, dated as of August 14, 2017, between American Airlines, Inc. and Wilmington Trust Company,</w:t>
        </w:r>
      </w:hyperlink>
      <w:r>
        <w:rPr>
          <w:rFonts w:ascii="Arial" w:cs="Arial" w:eastAsia="Arial" w:hAnsi="Arial"/>
          <w:sz w:val="18"/>
          <w:szCs w:val="18"/>
          <w:color w:val="auto"/>
        </w:rPr>
        <w:t xml:space="preserve"> </w:t>
      </w:r>
      <w:hyperlink r:id="rId356">
        <w:r>
          <w:rPr>
            <w:rFonts w:ascii="Arial" w:cs="Arial" w:eastAsia="Arial" w:hAnsi="Arial"/>
            <w:sz w:val="18"/>
            <w:szCs w:val="18"/>
            <w:u w:val="single" w:color="auto"/>
            <w:color w:val="0000FF"/>
          </w:rPr>
          <w:t>as Trustee, to the Pass Through Trust Agreement, dated as of September 16, 2014 (incorporated by reference to Exhibit 4.2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56">
        <w:r>
          <w:rPr>
            <w:rFonts w:ascii="Arial" w:cs="Arial" w:eastAsia="Arial" w:hAnsi="Arial"/>
            <w:sz w:val="18"/>
            <w:szCs w:val="18"/>
            <w:u w:val="single" w:color="auto"/>
            <w:color w:val="0000FF"/>
          </w:rPr>
          <w:t>American’s Current Report on Form 8-K filed on August 14, 2017 (Commission File No. 1-2691)).</w:t>
        </w:r>
      </w:hyperlink>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4.122     </w:t>
      </w:r>
      <w:hyperlink r:id="rId358">
        <w:r>
          <w:rPr>
            <w:rFonts w:ascii="Arial" w:cs="Arial" w:eastAsia="Arial" w:hAnsi="Arial"/>
            <w:sz w:val="18"/>
            <w:szCs w:val="18"/>
            <w:u w:val="single" w:color="auto"/>
            <w:color w:val="0000FF"/>
          </w:rPr>
          <w:t>Trust Supplement No. 2017-2A, dated as of August 14, 2017, between American Airlines, Inc. and Wilmington Trust Company, as</w:t>
        </w:r>
      </w:hyperlink>
      <w:r>
        <w:rPr>
          <w:rFonts w:ascii="Arial" w:cs="Arial" w:eastAsia="Arial" w:hAnsi="Arial"/>
          <w:sz w:val="18"/>
          <w:szCs w:val="18"/>
          <w:color w:val="auto"/>
        </w:rPr>
        <w:t xml:space="preserve"> </w:t>
      </w:r>
      <w:hyperlink r:id="rId358">
        <w:r>
          <w:rPr>
            <w:rFonts w:ascii="Arial" w:cs="Arial" w:eastAsia="Arial" w:hAnsi="Arial"/>
            <w:sz w:val="18"/>
            <w:szCs w:val="18"/>
            <w:u w:val="single" w:color="auto"/>
            <w:color w:val="0000FF"/>
          </w:rPr>
          <w:t>Trustee, to the Pass Through Trust Agreement, dated as of September 16, 2014 (incorporated by reference to Exhibit 4.3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58">
        <w:r>
          <w:rPr>
            <w:rFonts w:ascii="Arial" w:cs="Arial" w:eastAsia="Arial" w:hAnsi="Arial"/>
            <w:sz w:val="18"/>
            <w:szCs w:val="18"/>
            <w:u w:val="single" w:color="auto"/>
            <w:color w:val="0000FF"/>
          </w:rPr>
          <w:t>American’s Current Report on Form 8-K filed on August 14, 2017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4.123     </w:t>
      </w:r>
      <w:hyperlink r:id="rId359">
        <w:r>
          <w:rPr>
            <w:rFonts w:ascii="Arial" w:cs="Arial" w:eastAsia="Arial" w:hAnsi="Arial"/>
            <w:sz w:val="18"/>
            <w:szCs w:val="18"/>
            <w:u w:val="single" w:color="auto"/>
            <w:color w:val="0000FF"/>
          </w:rPr>
          <w:t>Intercreditor Agreement (2017-2), dated as of August 14, 2017, among Wilmington Trust Company, as Trustee of the American</w:t>
        </w:r>
      </w:hyperlink>
      <w:r>
        <w:rPr>
          <w:rFonts w:ascii="Arial" w:cs="Arial" w:eastAsia="Arial" w:hAnsi="Arial"/>
          <w:sz w:val="18"/>
          <w:szCs w:val="18"/>
          <w:color w:val="auto"/>
        </w:rPr>
        <w:t xml:space="preserve"> </w:t>
      </w:r>
      <w:hyperlink r:id="rId359">
        <w:r>
          <w:rPr>
            <w:rFonts w:ascii="Arial" w:cs="Arial" w:eastAsia="Arial" w:hAnsi="Arial"/>
            <w:sz w:val="18"/>
            <w:szCs w:val="18"/>
            <w:u w:val="single" w:color="auto"/>
            <w:color w:val="0000FF"/>
          </w:rPr>
          <w:t>Airlines Pass Through Trust 2017-2AA and as Trustee of the American Airlines Pass Through Trust 2017-2A, National Australia</w:t>
        </w:r>
      </w:hyperlink>
    </w:p>
    <w:p>
      <w:pPr>
        <w:jc w:val="both"/>
        <w:ind w:left="920"/>
        <w:spacing w:after="0" w:line="220" w:lineRule="auto"/>
        <w:rPr>
          <w:rFonts w:ascii="Arial" w:cs="Arial" w:eastAsia="Arial" w:hAnsi="Arial"/>
          <w:sz w:val="18"/>
          <w:szCs w:val="18"/>
          <w:u w:val="single" w:color="auto"/>
          <w:color w:val="0000FF"/>
        </w:rPr>
      </w:pPr>
      <w:hyperlink r:id="rId359">
        <w:r>
          <w:rPr>
            <w:rFonts w:ascii="Arial" w:cs="Arial" w:eastAsia="Arial" w:hAnsi="Arial"/>
            <w:sz w:val="18"/>
            <w:szCs w:val="18"/>
            <w:u w:val="single" w:color="auto"/>
            <w:color w:val="0000FF"/>
          </w:rPr>
          <w:t>Bank Limited, as Class AA Liquidity Provider and Class A Liquidity Provider, and Wilmington Trust Company, as Subordination</w:t>
        </w:r>
      </w:hyperlink>
      <w:r>
        <w:rPr>
          <w:rFonts w:ascii="Arial" w:cs="Arial" w:eastAsia="Arial" w:hAnsi="Arial"/>
          <w:sz w:val="18"/>
          <w:szCs w:val="18"/>
          <w:u w:val="single" w:color="auto"/>
          <w:color w:val="0000FF"/>
        </w:rPr>
        <w:t xml:space="preserve"> </w:t>
      </w:r>
      <w:hyperlink r:id="rId359">
        <w:r>
          <w:rPr>
            <w:rFonts w:ascii="Arial" w:cs="Arial" w:eastAsia="Arial" w:hAnsi="Arial"/>
            <w:sz w:val="18"/>
            <w:szCs w:val="18"/>
            <w:u w:val="single" w:color="auto"/>
            <w:color w:val="0000FF"/>
          </w:rPr>
          <w:t>Agent (incorporated by reference to Exhibit 4.4 to American’s Current Report on Form 8-K filed on August 14, 2017 (Commission</w:t>
        </w:r>
      </w:hyperlink>
      <w:r>
        <w:rPr>
          <w:rFonts w:ascii="Arial" w:cs="Arial" w:eastAsia="Arial" w:hAnsi="Arial"/>
          <w:sz w:val="18"/>
          <w:szCs w:val="18"/>
          <w:u w:val="single" w:color="auto"/>
          <w:color w:val="0000FF"/>
        </w:rPr>
        <w:t xml:space="preserve"> </w:t>
      </w:r>
      <w:hyperlink r:id="rId359">
        <w:r>
          <w:rPr>
            <w:rFonts w:ascii="Arial" w:cs="Arial" w:eastAsia="Arial" w:hAnsi="Arial"/>
            <w:sz w:val="18"/>
            <w:szCs w:val="18"/>
            <w:u w:val="single" w:color="auto"/>
            <w:color w:val="0000FF"/>
          </w:rPr>
          <w:t>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4.124     </w:t>
      </w:r>
      <w:hyperlink r:id="rId360">
        <w:r>
          <w:rPr>
            <w:rFonts w:ascii="Arial" w:cs="Arial" w:eastAsia="Arial" w:hAnsi="Arial"/>
            <w:sz w:val="18"/>
            <w:szCs w:val="18"/>
            <w:u w:val="single" w:color="auto"/>
            <w:color w:val="0000FF"/>
          </w:rPr>
          <w:t>Note Purchase Agreement, dated as of August 14, 2017, among American Airlines, Inc., Wilmington Trust Company, as Pass</w:t>
        </w:r>
      </w:hyperlink>
      <w:r>
        <w:rPr>
          <w:rFonts w:ascii="Arial" w:cs="Arial" w:eastAsia="Arial" w:hAnsi="Arial"/>
          <w:sz w:val="18"/>
          <w:szCs w:val="18"/>
          <w:color w:val="auto"/>
        </w:rPr>
        <w:t xml:space="preserve"> </w:t>
      </w:r>
      <w:hyperlink r:id="rId360">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60">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360">
        <w:r>
          <w:rPr>
            <w:rFonts w:ascii="Arial" w:cs="Arial" w:eastAsia="Arial" w:hAnsi="Arial"/>
            <w:sz w:val="18"/>
            <w:szCs w:val="18"/>
            <w:u w:val="single" w:color="auto"/>
            <w:color w:val="0000FF"/>
          </w:rPr>
          <w:t>reference to Exhibit 4.9 to American’s Current Report on Form 8-K filed on August 14, 2017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4.125     </w:t>
      </w:r>
      <w:hyperlink r:id="rId360">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60">
        <w:r>
          <w:rPr>
            <w:rFonts w:ascii="Arial" w:cs="Arial" w:eastAsia="Arial" w:hAnsi="Arial"/>
            <w:sz w:val="18"/>
            <w:szCs w:val="18"/>
            <w:u w:val="single" w:color="auto"/>
            <w:color w:val="0000FF"/>
          </w:rPr>
          <w:t>Through Trustee under each of the Pass Through Trust Agreements, Wilmington Trust Company, as Subordination Agent,</w:t>
        </w:r>
      </w:hyperlink>
    </w:p>
    <w:p>
      <w:pPr>
        <w:jc w:val="both"/>
        <w:ind w:left="920"/>
        <w:spacing w:after="0" w:line="220" w:lineRule="auto"/>
        <w:rPr>
          <w:rFonts w:ascii="Arial" w:cs="Arial" w:eastAsia="Arial" w:hAnsi="Arial"/>
          <w:sz w:val="18"/>
          <w:szCs w:val="18"/>
          <w:u w:val="single" w:color="auto"/>
          <w:color w:val="0000FF"/>
        </w:rPr>
      </w:pPr>
      <w:hyperlink r:id="rId360">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60">
        <w:r>
          <w:rPr>
            <w:rFonts w:ascii="Arial" w:cs="Arial" w:eastAsia="Arial" w:hAnsi="Arial"/>
            <w:sz w:val="18"/>
            <w:szCs w:val="18"/>
            <w:u w:val="single" w:color="auto"/>
            <w:color w:val="0000FF"/>
          </w:rPr>
          <w:t>(incorporated by reference to Exhibit B to Exhibit 4.9 to American’s Current Report on Form 8-K filed on August 14, 2017</w:t>
        </w:r>
      </w:hyperlink>
      <w:r>
        <w:rPr>
          <w:rFonts w:ascii="Arial" w:cs="Arial" w:eastAsia="Arial" w:hAnsi="Arial"/>
          <w:sz w:val="18"/>
          <w:szCs w:val="18"/>
          <w:u w:val="single" w:color="auto"/>
          <w:color w:val="0000FF"/>
        </w:rPr>
        <w:t xml:space="preserve"> </w:t>
      </w:r>
      <w:hyperlink r:id="rId360">
        <w:r>
          <w:rPr>
            <w:rFonts w:ascii="Arial" w:cs="Arial" w:eastAsia="Arial" w:hAnsi="Arial"/>
            <w:sz w:val="18"/>
            <w:szCs w:val="18"/>
            <w:u w:val="single" w:color="auto"/>
            <w:color w:val="0000FF"/>
          </w:rPr>
          <w:t>(Commission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4.126     </w:t>
      </w:r>
      <w:hyperlink r:id="rId360">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60">
        <w:r>
          <w:rPr>
            <w:rFonts w:ascii="Arial" w:cs="Arial" w:eastAsia="Arial" w:hAnsi="Arial"/>
            <w:sz w:val="18"/>
            <w:szCs w:val="18"/>
            <w:u w:val="single" w:color="auto"/>
            <w:color w:val="0000FF"/>
          </w:rPr>
          <w:t>Trust Company, as Loan Trustee) (incorporated by reference to Exhibit C to Exhibit 4.9 to American’s Current Report on Form 8-K</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60">
        <w:r>
          <w:rPr>
            <w:rFonts w:ascii="Arial" w:cs="Arial" w:eastAsia="Arial" w:hAnsi="Arial"/>
            <w:sz w:val="18"/>
            <w:szCs w:val="18"/>
            <w:u w:val="single" w:color="auto"/>
            <w:color w:val="0000FF"/>
          </w:rPr>
          <w:t>filed on August 14, 2017 (Commission File No. 1-2691)).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4.127</w:t>
      </w:r>
      <w:r>
        <w:rPr>
          <w:sz w:val="20"/>
          <w:szCs w:val="20"/>
          <w:color w:val="auto"/>
        </w:rPr>
        <w:tab/>
      </w:r>
      <w:hyperlink r:id="rId356">
        <w:r>
          <w:rPr>
            <w:rFonts w:ascii="Arial" w:cs="Arial" w:eastAsia="Arial" w:hAnsi="Arial"/>
            <w:sz w:val="18"/>
            <w:szCs w:val="18"/>
            <w:u w:val="single" w:color="auto"/>
            <w:color w:val="0000FF"/>
          </w:rPr>
          <w:t>Form of Pass Through Trust Certificate, Series 2017-2AA (incorporated by reference to Exhibit A to Exhibit 4.2 to American’s</w:t>
        </w:r>
      </w:hyperlink>
      <w:r>
        <w:rPr>
          <w:rFonts w:ascii="Arial" w:cs="Arial" w:eastAsia="Arial" w:hAnsi="Arial"/>
          <w:sz w:val="18"/>
          <w:szCs w:val="18"/>
          <w:u w:val="single" w:color="auto"/>
          <w:color w:val="0000FF"/>
        </w:rPr>
        <w:t xml:space="preserve"> </w:t>
      </w:r>
      <w:hyperlink r:id="rId356">
        <w:r>
          <w:rPr>
            <w:rFonts w:ascii="Arial" w:cs="Arial" w:eastAsia="Arial" w:hAnsi="Arial"/>
            <w:sz w:val="18"/>
            <w:szCs w:val="18"/>
            <w:u w:val="single" w:color="auto"/>
            <w:color w:val="0000FF"/>
          </w:rPr>
          <w:t>Current Report on Form 8-K filed on August 14, 2017 (Commission File No. 1-2691)).</w:t>
        </w:r>
      </w:hyperlink>
    </w:p>
    <w:p>
      <w:pPr>
        <w:spacing w:after="0" w:line="5" w:lineRule="exact"/>
        <w:rPr>
          <w:sz w:val="20"/>
          <w:szCs w:val="20"/>
          <w:color w:val="auto"/>
        </w:rPr>
      </w:pPr>
    </w:p>
    <w:p>
      <w:pPr>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4.128</w:t>
      </w:r>
      <w:r>
        <w:rPr>
          <w:sz w:val="20"/>
          <w:szCs w:val="20"/>
          <w:color w:val="auto"/>
        </w:rPr>
        <w:tab/>
      </w:r>
      <w:hyperlink r:id="rId358">
        <w:r>
          <w:rPr>
            <w:rFonts w:ascii="Arial" w:cs="Arial" w:eastAsia="Arial" w:hAnsi="Arial"/>
            <w:sz w:val="18"/>
            <w:szCs w:val="18"/>
            <w:u w:val="single" w:color="auto"/>
            <w:color w:val="0000FF"/>
          </w:rPr>
          <w:t>Form of Pass Through Trust Certificate, Series 2017-2A (incorporated by reference to Exhibit A to Exhibit 4.3 to American’s</w:t>
        </w:r>
      </w:hyperlink>
      <w:r>
        <w:rPr>
          <w:rFonts w:ascii="Arial" w:cs="Arial" w:eastAsia="Arial" w:hAnsi="Arial"/>
          <w:sz w:val="18"/>
          <w:szCs w:val="18"/>
          <w:u w:val="single" w:color="auto"/>
          <w:color w:val="0000FF"/>
        </w:rPr>
        <w:t xml:space="preserve"> </w:t>
      </w:r>
      <w:hyperlink r:id="rId358">
        <w:r>
          <w:rPr>
            <w:rFonts w:ascii="Arial" w:cs="Arial" w:eastAsia="Arial" w:hAnsi="Arial"/>
            <w:sz w:val="18"/>
            <w:szCs w:val="18"/>
            <w:u w:val="single" w:color="auto"/>
            <w:color w:val="0000FF"/>
          </w:rPr>
          <w:t>Current Report on Form 8-K filed on August 14, 2017 (Commission File No. 1-2691)).</w:t>
        </w:r>
      </w:hyperlink>
    </w:p>
    <w:p>
      <w:pPr>
        <w:spacing w:after="0" w:line="6"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4.129     </w:t>
      </w:r>
      <w:hyperlink r:id="rId361">
        <w:r>
          <w:rPr>
            <w:rFonts w:ascii="Arial" w:cs="Arial" w:eastAsia="Arial" w:hAnsi="Arial"/>
            <w:sz w:val="18"/>
            <w:szCs w:val="18"/>
            <w:u w:val="single" w:color="auto"/>
            <w:color w:val="0000FF"/>
          </w:rPr>
          <w:t>Revolving Credit Agreement (2017-2AA), dated as of August 14, 2017, between Wilmington Trust Company, as Subordination</w:t>
        </w:r>
      </w:hyperlink>
      <w:r>
        <w:rPr>
          <w:rFonts w:ascii="Arial" w:cs="Arial" w:eastAsia="Arial" w:hAnsi="Arial"/>
          <w:sz w:val="18"/>
          <w:szCs w:val="18"/>
          <w:color w:val="auto"/>
        </w:rPr>
        <w:t xml:space="preserve"> </w:t>
      </w:r>
      <w:hyperlink r:id="rId361">
        <w:r>
          <w:rPr>
            <w:rFonts w:ascii="Arial" w:cs="Arial" w:eastAsia="Arial" w:hAnsi="Arial"/>
            <w:sz w:val="18"/>
            <w:szCs w:val="18"/>
            <w:u w:val="single" w:color="auto"/>
            <w:color w:val="0000FF"/>
          </w:rPr>
          <w:t>Agent, as agent and trustee for the trustee of the American Airlines Pass Through Trust 2017-2AA, as Borrower, and National</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61">
        <w:r>
          <w:rPr>
            <w:rFonts w:ascii="Arial" w:cs="Arial" w:eastAsia="Arial" w:hAnsi="Arial"/>
            <w:sz w:val="18"/>
            <w:szCs w:val="18"/>
            <w:u w:val="single" w:color="auto"/>
            <w:color w:val="0000FF"/>
          </w:rPr>
          <w:t>Australia Bank Limited, as Liquidity Provider (incorporated by reference to Exhibit 4.14 to American’s Current Report on Form 8-K</w:t>
        </w:r>
      </w:hyperlink>
      <w:r>
        <w:rPr>
          <w:rFonts w:ascii="Arial" w:cs="Arial" w:eastAsia="Arial" w:hAnsi="Arial"/>
          <w:sz w:val="18"/>
          <w:szCs w:val="18"/>
          <w:u w:val="single" w:color="auto"/>
          <w:color w:val="0000FF"/>
        </w:rPr>
        <w:t xml:space="preserve"> </w:t>
      </w:r>
      <w:hyperlink r:id="rId361">
        <w:r>
          <w:rPr>
            <w:rFonts w:ascii="Arial" w:cs="Arial" w:eastAsia="Arial" w:hAnsi="Arial"/>
            <w:sz w:val="18"/>
            <w:szCs w:val="18"/>
            <w:u w:val="single" w:color="auto"/>
            <w:color w:val="0000FF"/>
          </w:rPr>
          <w:t>filed on August 14, 2017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4.130     </w:t>
      </w:r>
      <w:hyperlink r:id="rId362">
        <w:r>
          <w:rPr>
            <w:rFonts w:ascii="Arial" w:cs="Arial" w:eastAsia="Arial" w:hAnsi="Arial"/>
            <w:sz w:val="18"/>
            <w:szCs w:val="18"/>
            <w:u w:val="single" w:color="auto"/>
            <w:color w:val="0000FF"/>
          </w:rPr>
          <w:t>Revolving Credit Agreement (2017-2A), dated as of August 14, 2017, between Wilmington Trust Company, as Subordination</w:t>
        </w:r>
      </w:hyperlink>
      <w:r>
        <w:rPr>
          <w:rFonts w:ascii="Arial" w:cs="Arial" w:eastAsia="Arial" w:hAnsi="Arial"/>
          <w:sz w:val="18"/>
          <w:szCs w:val="18"/>
          <w:color w:val="auto"/>
        </w:rPr>
        <w:t xml:space="preserve"> </w:t>
      </w:r>
      <w:hyperlink r:id="rId362">
        <w:r>
          <w:rPr>
            <w:rFonts w:ascii="Arial" w:cs="Arial" w:eastAsia="Arial" w:hAnsi="Arial"/>
            <w:sz w:val="18"/>
            <w:szCs w:val="18"/>
            <w:u w:val="single" w:color="auto"/>
            <w:color w:val="0000FF"/>
          </w:rPr>
          <w:t>Agent, as agent and trustee for the trustee of the American Airlines Pass Through Trust 2017-2A, as Borrower, and National</w:t>
        </w:r>
      </w:hyperlink>
    </w:p>
    <w:p>
      <w:pPr>
        <w:jc w:val="both"/>
        <w:ind w:left="920"/>
        <w:spacing w:after="0" w:line="229" w:lineRule="auto"/>
        <w:rPr>
          <w:rFonts w:ascii="Arial" w:cs="Arial" w:eastAsia="Arial" w:hAnsi="Arial"/>
          <w:sz w:val="18"/>
          <w:szCs w:val="18"/>
          <w:u w:val="single" w:color="auto"/>
          <w:color w:val="0000FF"/>
        </w:rPr>
      </w:pPr>
      <w:hyperlink r:id="rId362">
        <w:r>
          <w:rPr>
            <w:rFonts w:ascii="Arial" w:cs="Arial" w:eastAsia="Arial" w:hAnsi="Arial"/>
            <w:sz w:val="18"/>
            <w:szCs w:val="18"/>
            <w:u w:val="single" w:color="auto"/>
            <w:color w:val="0000FF"/>
          </w:rPr>
          <w:t>Australia Bank Limited, as Liquidity Provider (incorporated by reference to Exhibit 4.15 to American’s Current Report on Form 8-K</w:t>
        </w:r>
      </w:hyperlink>
      <w:r>
        <w:rPr>
          <w:rFonts w:ascii="Arial" w:cs="Arial" w:eastAsia="Arial" w:hAnsi="Arial"/>
          <w:sz w:val="18"/>
          <w:szCs w:val="18"/>
          <w:u w:val="single" w:color="auto"/>
          <w:color w:val="0000FF"/>
        </w:rPr>
        <w:t xml:space="preserve"> </w:t>
      </w:r>
      <w:hyperlink r:id="rId362">
        <w:r>
          <w:rPr>
            <w:rFonts w:ascii="Arial" w:cs="Arial" w:eastAsia="Arial" w:hAnsi="Arial"/>
            <w:sz w:val="18"/>
            <w:szCs w:val="18"/>
            <w:u w:val="single" w:color="auto"/>
            <w:color w:val="0000FF"/>
          </w:rPr>
          <w:t>filed on August 14, 2017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4.131     </w:t>
      </w:r>
      <w:hyperlink r:id="rId363">
        <w:r>
          <w:rPr>
            <w:rFonts w:ascii="Arial" w:cs="Arial" w:eastAsia="Arial" w:hAnsi="Arial"/>
            <w:sz w:val="18"/>
            <w:szCs w:val="18"/>
            <w:u w:val="single" w:color="auto"/>
            <w:color w:val="0000FF"/>
          </w:rPr>
          <w:t>Trust Supplement No. 2016-3B, dated as of October 4, 2017, between American Airlines, Inc. and Wilmington Trust Company, as</w:t>
        </w:r>
      </w:hyperlink>
      <w:r>
        <w:rPr>
          <w:rFonts w:ascii="Arial" w:cs="Arial" w:eastAsia="Arial" w:hAnsi="Arial"/>
          <w:sz w:val="18"/>
          <w:szCs w:val="18"/>
          <w:color w:val="auto"/>
        </w:rPr>
        <w:t xml:space="preserve"> </w:t>
      </w:r>
      <w:hyperlink r:id="rId363">
        <w:r>
          <w:rPr>
            <w:rFonts w:ascii="Arial" w:cs="Arial" w:eastAsia="Arial" w:hAnsi="Arial"/>
            <w:sz w:val="18"/>
            <w:szCs w:val="18"/>
            <w:u w:val="single" w:color="auto"/>
            <w:color w:val="0000FF"/>
          </w:rPr>
          <w:t>Trustee, to the Pass Through Trust Agreement, dated as of September 16, 2014 (incorporated by reference to Exhibit 4.2 to</w:t>
        </w:r>
      </w:hyperlink>
    </w:p>
    <w:p>
      <w:pPr>
        <w:ind w:left="920"/>
        <w:spacing w:after="0"/>
        <w:rPr>
          <w:rFonts w:ascii="Arial" w:cs="Arial" w:eastAsia="Arial" w:hAnsi="Arial"/>
          <w:sz w:val="18"/>
          <w:szCs w:val="18"/>
          <w:u w:val="single" w:color="auto"/>
          <w:color w:val="0000FF"/>
        </w:rPr>
      </w:pPr>
      <w:hyperlink r:id="rId363">
        <w:r>
          <w:rPr>
            <w:rFonts w:ascii="Arial" w:cs="Arial" w:eastAsia="Arial" w:hAnsi="Arial"/>
            <w:sz w:val="18"/>
            <w:szCs w:val="18"/>
            <w:u w:val="single" w:color="auto"/>
            <w:color w:val="0000FF"/>
          </w:rPr>
          <w:t>American’s Current Report on Form 8-K filed on October 5, 2017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4.132     </w:t>
      </w:r>
      <w:hyperlink r:id="rId364">
        <w:r>
          <w:rPr>
            <w:rFonts w:ascii="Arial" w:cs="Arial" w:eastAsia="Arial" w:hAnsi="Arial"/>
            <w:sz w:val="18"/>
            <w:szCs w:val="18"/>
            <w:u w:val="single" w:color="auto"/>
            <w:color w:val="0000FF"/>
          </w:rPr>
          <w:t>Amended and Restated Note Purchase Agreement, dated as of October 4, 2017, amending the Note Purchase Agreement, dated</w:t>
        </w:r>
      </w:hyperlink>
      <w:r>
        <w:rPr>
          <w:rFonts w:ascii="Arial" w:cs="Arial" w:eastAsia="Arial" w:hAnsi="Arial"/>
          <w:sz w:val="18"/>
          <w:szCs w:val="18"/>
          <w:color w:val="auto"/>
        </w:rPr>
        <w:t xml:space="preserve"> </w:t>
      </w:r>
      <w:hyperlink r:id="rId364">
        <w:r>
          <w:rPr>
            <w:rFonts w:ascii="Arial" w:cs="Arial" w:eastAsia="Arial" w:hAnsi="Arial"/>
            <w:sz w:val="18"/>
            <w:szCs w:val="18"/>
            <w:u w:val="single" w:color="auto"/>
            <w:color w:val="0000FF"/>
          </w:rPr>
          <w:t>as of October 3, 2016, among American Airlines, Inc., Wilmington Trust Company, as Pass Through Trustee under each of the</w:t>
        </w:r>
      </w:hyperlink>
    </w:p>
    <w:p>
      <w:pPr>
        <w:jc w:val="both"/>
        <w:ind w:left="920"/>
        <w:spacing w:after="0" w:line="229" w:lineRule="auto"/>
        <w:rPr>
          <w:rFonts w:ascii="Arial" w:cs="Arial" w:eastAsia="Arial" w:hAnsi="Arial"/>
          <w:sz w:val="18"/>
          <w:szCs w:val="18"/>
          <w:u w:val="single" w:color="auto"/>
          <w:color w:val="0000FF"/>
        </w:rPr>
      </w:pPr>
      <w:hyperlink r:id="rId364">
        <w:r>
          <w:rPr>
            <w:rFonts w:ascii="Arial" w:cs="Arial" w:eastAsia="Arial" w:hAnsi="Arial"/>
            <w:sz w:val="18"/>
            <w:szCs w:val="18"/>
            <w:u w:val="single" w:color="auto"/>
            <w:color w:val="0000FF"/>
          </w:rPr>
          <w:t>Pass Through Trust Agreements, and Wilmington Trust Company, as Subordination Agent (incorporated by reference to Exhibit</w:t>
        </w:r>
      </w:hyperlink>
      <w:r>
        <w:rPr>
          <w:rFonts w:ascii="Arial" w:cs="Arial" w:eastAsia="Arial" w:hAnsi="Arial"/>
          <w:sz w:val="18"/>
          <w:szCs w:val="18"/>
          <w:u w:val="single" w:color="auto"/>
          <w:color w:val="0000FF"/>
        </w:rPr>
        <w:t xml:space="preserve"> </w:t>
      </w:r>
      <w:hyperlink r:id="rId364">
        <w:r>
          <w:rPr>
            <w:rFonts w:ascii="Arial" w:cs="Arial" w:eastAsia="Arial" w:hAnsi="Arial"/>
            <w:sz w:val="18"/>
            <w:szCs w:val="18"/>
            <w:u w:val="single" w:color="auto"/>
            <w:color w:val="0000FF"/>
          </w:rPr>
          <w:t>4.4 to American’s Current Report on Form 8-K filed on October 5, 2017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4.133     </w:t>
      </w:r>
      <w:hyperlink r:id="rId364">
        <w:r>
          <w:rPr>
            <w:rFonts w:ascii="Arial" w:cs="Arial" w:eastAsia="Arial" w:hAnsi="Arial"/>
            <w:sz w:val="18"/>
            <w:szCs w:val="18"/>
            <w:u w:val="single" w:color="auto"/>
            <w:color w:val="0000FF"/>
          </w:rPr>
          <w:t>Form of First Amendment to Participation Agreement (First Amendment to Participation Agreement among American Airlines,</w:t>
        </w:r>
      </w:hyperlink>
      <w:r>
        <w:rPr>
          <w:rFonts w:ascii="Arial" w:cs="Arial" w:eastAsia="Arial" w:hAnsi="Arial"/>
          <w:sz w:val="18"/>
          <w:szCs w:val="18"/>
          <w:color w:val="auto"/>
        </w:rPr>
        <w:t xml:space="preserve"> </w:t>
      </w:r>
      <w:hyperlink r:id="rId364">
        <w:r>
          <w:rPr>
            <w:rFonts w:ascii="Arial" w:cs="Arial" w:eastAsia="Arial" w:hAnsi="Arial"/>
            <w:sz w:val="18"/>
            <w:szCs w:val="18"/>
            <w:u w:val="single" w:color="auto"/>
            <w:color w:val="0000FF"/>
          </w:rPr>
          <w:t>Inc., Wilmington Trust Company, as Pass Through Trustee under each of the Pass Through Trust Agreements, Wilmington Trust</w:t>
        </w:r>
      </w:hyperlink>
    </w:p>
    <w:p>
      <w:pPr>
        <w:jc w:val="both"/>
        <w:ind w:left="920"/>
        <w:spacing w:after="0" w:line="220" w:lineRule="auto"/>
        <w:rPr>
          <w:rFonts w:ascii="Arial" w:cs="Arial" w:eastAsia="Arial" w:hAnsi="Arial"/>
          <w:sz w:val="18"/>
          <w:szCs w:val="18"/>
          <w:u w:val="single" w:color="auto"/>
          <w:color w:val="0000FF"/>
        </w:rPr>
      </w:pPr>
      <w:hyperlink r:id="rId364">
        <w:r>
          <w:rPr>
            <w:rFonts w:ascii="Arial" w:cs="Arial" w:eastAsia="Arial" w:hAnsi="Arial"/>
            <w:sz w:val="18"/>
            <w:szCs w:val="18"/>
            <w:u w:val="single" w:color="auto"/>
            <w:color w:val="0000FF"/>
          </w:rPr>
          <w:t>Company, as Subordination Agent, Wilmington Trust Company, as Loan Trustee, and Wilmington Trust Company, in its individual</w:t>
        </w:r>
      </w:hyperlink>
      <w:r>
        <w:rPr>
          <w:rFonts w:ascii="Arial" w:cs="Arial" w:eastAsia="Arial" w:hAnsi="Arial"/>
          <w:sz w:val="18"/>
          <w:szCs w:val="18"/>
          <w:u w:val="single" w:color="auto"/>
          <w:color w:val="0000FF"/>
        </w:rPr>
        <w:t xml:space="preserve"> </w:t>
      </w:r>
      <w:hyperlink r:id="rId364">
        <w:r>
          <w:rPr>
            <w:rFonts w:ascii="Arial" w:cs="Arial" w:eastAsia="Arial" w:hAnsi="Arial"/>
            <w:sz w:val="18"/>
            <w:szCs w:val="18"/>
            <w:u w:val="single" w:color="auto"/>
            <w:color w:val="0000FF"/>
          </w:rPr>
          <w:t>capacity as set forth therein) (incorporated by reference to Exhibit A to Exhibit 4.4 to American’s Current Report on Form 8-K filed</w:t>
        </w:r>
      </w:hyperlink>
      <w:r>
        <w:rPr>
          <w:rFonts w:ascii="Arial" w:cs="Arial" w:eastAsia="Arial" w:hAnsi="Arial"/>
          <w:sz w:val="18"/>
          <w:szCs w:val="18"/>
          <w:u w:val="single" w:color="auto"/>
          <w:color w:val="0000FF"/>
        </w:rPr>
        <w:t xml:space="preserve"> </w:t>
      </w:r>
      <w:hyperlink r:id="rId364">
        <w:r>
          <w:rPr>
            <w:rFonts w:ascii="Arial" w:cs="Arial" w:eastAsia="Arial" w:hAnsi="Arial"/>
            <w:sz w:val="18"/>
            <w:szCs w:val="18"/>
            <w:u w:val="single" w:color="auto"/>
            <w:color w:val="0000FF"/>
          </w:rPr>
          <w:t>on October 5, 2017 (Commission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4.134     </w:t>
      </w:r>
      <w:hyperlink r:id="rId365">
        <w:r>
          <w:rPr>
            <w:rFonts w:ascii="Arial" w:cs="Arial" w:eastAsia="Arial" w:hAnsi="Arial"/>
            <w:sz w:val="18"/>
            <w:szCs w:val="18"/>
            <w:u w:val="single" w:color="auto"/>
            <w:color w:val="0000FF"/>
          </w:rPr>
          <w:t>Form of First Amendment to Indenture and Security Agreement (First Amendment to Indenture and Security Agreement between</w:t>
        </w:r>
      </w:hyperlink>
      <w:r>
        <w:rPr>
          <w:rFonts w:ascii="Arial" w:cs="Arial" w:eastAsia="Arial" w:hAnsi="Arial"/>
          <w:sz w:val="18"/>
          <w:szCs w:val="18"/>
          <w:color w:val="auto"/>
        </w:rPr>
        <w:t xml:space="preserve"> </w:t>
      </w:r>
      <w:hyperlink r:id="rId365">
        <w:r>
          <w:rPr>
            <w:rFonts w:ascii="Arial" w:cs="Arial" w:eastAsia="Arial" w:hAnsi="Arial"/>
            <w:sz w:val="18"/>
            <w:szCs w:val="18"/>
            <w:u w:val="single" w:color="auto"/>
            <w:color w:val="0000FF"/>
          </w:rPr>
          <w:t>American Airlines, Inc., and Wilmington Trust Company, as Loan Trustee) (incorporated by reference to Exhibit E to Exhibit 4.6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65">
        <w:r>
          <w:rPr>
            <w:rFonts w:ascii="Arial" w:cs="Arial" w:eastAsia="Arial" w:hAnsi="Arial"/>
            <w:sz w:val="18"/>
            <w:szCs w:val="18"/>
            <w:u w:val="single" w:color="auto"/>
            <w:color w:val="0000FF"/>
          </w:rPr>
          <w:t>American’s Current Report on Form 8-K filed on October 6, 2017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4.135     </w:t>
      </w:r>
      <w:hyperlink r:id="rId364">
        <w:r>
          <w:rPr>
            <w:rFonts w:ascii="Arial" w:cs="Arial" w:eastAsia="Arial" w:hAnsi="Arial"/>
            <w:sz w:val="18"/>
            <w:szCs w:val="18"/>
            <w:u w:val="single" w:color="auto"/>
            <w:color w:val="0000FF"/>
          </w:rPr>
          <w:t>Form of First Amendment to Indenture and Security Agreement (First Amendment to Indenture and Security Agreement between</w:t>
        </w:r>
      </w:hyperlink>
      <w:r>
        <w:rPr>
          <w:rFonts w:ascii="Arial" w:cs="Arial" w:eastAsia="Arial" w:hAnsi="Arial"/>
          <w:sz w:val="18"/>
          <w:szCs w:val="18"/>
          <w:color w:val="auto"/>
        </w:rPr>
        <w:t xml:space="preserve"> </w:t>
      </w:r>
      <w:hyperlink r:id="rId364">
        <w:r>
          <w:rPr>
            <w:rFonts w:ascii="Arial" w:cs="Arial" w:eastAsia="Arial" w:hAnsi="Arial"/>
            <w:sz w:val="18"/>
            <w:szCs w:val="18"/>
            <w:u w:val="single" w:color="auto"/>
            <w:color w:val="0000FF"/>
          </w:rPr>
          <w:t>American Airlines, Inc., and Wilmington Trust Company, as Loan Trustee) (incorporated by reference to Exhibit B to Exhibit 4.4 to</w:t>
        </w:r>
      </w:hyperlink>
    </w:p>
    <w:p>
      <w:pPr>
        <w:ind w:left="920"/>
        <w:spacing w:after="0"/>
        <w:rPr>
          <w:rFonts w:ascii="Arial" w:cs="Arial" w:eastAsia="Arial" w:hAnsi="Arial"/>
          <w:sz w:val="18"/>
          <w:szCs w:val="18"/>
          <w:u w:val="single" w:color="auto"/>
          <w:color w:val="0000FF"/>
        </w:rPr>
      </w:pPr>
      <w:hyperlink r:id="rId364">
        <w:r>
          <w:rPr>
            <w:rFonts w:ascii="Arial" w:cs="Arial" w:eastAsia="Arial" w:hAnsi="Arial"/>
            <w:sz w:val="18"/>
            <w:szCs w:val="18"/>
            <w:u w:val="single" w:color="auto"/>
            <w:color w:val="0000FF"/>
          </w:rPr>
          <w:t>American’s Current Report on Form 8-K filed on October 5, 2017 (Commission File No. 1-2691)).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4.136</w:t>
      </w:r>
      <w:r>
        <w:rPr>
          <w:sz w:val="20"/>
          <w:szCs w:val="20"/>
          <w:color w:val="auto"/>
        </w:rPr>
        <w:tab/>
      </w:r>
      <w:hyperlink r:id="rId363">
        <w:r>
          <w:rPr>
            <w:rFonts w:ascii="Arial" w:cs="Arial" w:eastAsia="Arial" w:hAnsi="Arial"/>
            <w:sz w:val="18"/>
            <w:szCs w:val="18"/>
            <w:u w:val="single" w:color="auto"/>
            <w:color w:val="0000FF"/>
          </w:rPr>
          <w:t>Form of Pass Through Trust Certificate, Series 2016-3B (incorporated by reference to Exhibit A to Exhibit 4.2 to American’s</w:t>
        </w:r>
      </w:hyperlink>
      <w:r>
        <w:rPr>
          <w:rFonts w:ascii="Arial" w:cs="Arial" w:eastAsia="Arial" w:hAnsi="Arial"/>
          <w:sz w:val="18"/>
          <w:szCs w:val="18"/>
          <w:u w:val="single" w:color="auto"/>
          <w:color w:val="0000FF"/>
        </w:rPr>
        <w:t xml:space="preserve"> </w:t>
      </w:r>
      <w:hyperlink r:id="rId363">
        <w:r>
          <w:rPr>
            <w:rFonts w:ascii="Arial" w:cs="Arial" w:eastAsia="Arial" w:hAnsi="Arial"/>
            <w:sz w:val="18"/>
            <w:szCs w:val="18"/>
            <w:u w:val="single" w:color="auto"/>
            <w:color w:val="0000FF"/>
          </w:rPr>
          <w:t>Current Report on Form 8-K filed on October 5, 2017 (Commission File No. 1-2691)).</w:t>
        </w:r>
      </w:hyperlink>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4.137     </w:t>
      </w:r>
      <w:hyperlink r:id="rId367">
        <w:r>
          <w:rPr>
            <w:rFonts w:ascii="Arial" w:cs="Arial" w:eastAsia="Arial" w:hAnsi="Arial"/>
            <w:sz w:val="18"/>
            <w:szCs w:val="18"/>
            <w:u w:val="single" w:color="auto"/>
            <w:color w:val="0000FF"/>
          </w:rPr>
          <w:t>Revolving Credit Agreement (2016-3B), dated as of October 4, 2017, between Wilmington Trust Company, as Subordination</w:t>
        </w:r>
      </w:hyperlink>
      <w:r>
        <w:rPr>
          <w:rFonts w:ascii="Arial" w:cs="Arial" w:eastAsia="Arial" w:hAnsi="Arial"/>
          <w:sz w:val="18"/>
          <w:szCs w:val="18"/>
          <w:color w:val="auto"/>
        </w:rPr>
        <w:t xml:space="preserve"> </w:t>
      </w:r>
      <w:hyperlink r:id="rId367">
        <w:r>
          <w:rPr>
            <w:rFonts w:ascii="Arial" w:cs="Arial" w:eastAsia="Arial" w:hAnsi="Arial"/>
            <w:sz w:val="18"/>
            <w:szCs w:val="18"/>
            <w:u w:val="single" w:color="auto"/>
            <w:color w:val="0000FF"/>
          </w:rPr>
          <w:t>Agent, as agent and trustee for the trustee of the American Airlines Pass Through Trust 2016-3B, as Borrower, and KfW IPEX-</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67">
        <w:r>
          <w:rPr>
            <w:rFonts w:ascii="Arial" w:cs="Arial" w:eastAsia="Arial" w:hAnsi="Arial"/>
            <w:sz w:val="18"/>
            <w:szCs w:val="18"/>
            <w:u w:val="single" w:color="auto"/>
            <w:color w:val="0000FF"/>
          </w:rPr>
          <w:t>Bank GmbH, as Liquidity Provider 3B (incorporated by reference to Exhibit 4.8 to American’s Current Report on Form 8-K filed on</w:t>
        </w:r>
      </w:hyperlink>
      <w:r>
        <w:rPr>
          <w:rFonts w:ascii="Arial" w:cs="Arial" w:eastAsia="Arial" w:hAnsi="Arial"/>
          <w:sz w:val="18"/>
          <w:szCs w:val="18"/>
          <w:u w:val="single" w:color="auto"/>
          <w:color w:val="0000FF"/>
        </w:rPr>
        <w:t xml:space="preserve"> </w:t>
      </w:r>
      <w:hyperlink r:id="rId367">
        <w:r>
          <w:rPr>
            <w:rFonts w:ascii="Arial" w:cs="Arial" w:eastAsia="Arial" w:hAnsi="Arial"/>
            <w:sz w:val="18"/>
            <w:szCs w:val="18"/>
            <w:u w:val="single" w:color="auto"/>
            <w:color w:val="0000FF"/>
          </w:rPr>
          <w:t>October 5, 2017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4.138     </w:t>
      </w:r>
      <w:hyperlink r:id="rId368">
        <w:r>
          <w:rPr>
            <w:rFonts w:ascii="Arial" w:cs="Arial" w:eastAsia="Arial" w:hAnsi="Arial"/>
            <w:sz w:val="18"/>
            <w:szCs w:val="18"/>
            <w:u w:val="single" w:color="auto"/>
            <w:color w:val="0000FF"/>
          </w:rPr>
          <w:t>Trust Supplement No. 2017-2B, dated as of October 5, 2017, between American Airlines, Inc. and Wilmington Trust Company, as</w:t>
        </w:r>
      </w:hyperlink>
      <w:r>
        <w:rPr>
          <w:rFonts w:ascii="Arial" w:cs="Arial" w:eastAsia="Arial" w:hAnsi="Arial"/>
          <w:sz w:val="18"/>
          <w:szCs w:val="18"/>
          <w:color w:val="auto"/>
        </w:rPr>
        <w:t xml:space="preserve"> </w:t>
      </w:r>
      <w:hyperlink r:id="rId368">
        <w:r>
          <w:rPr>
            <w:rFonts w:ascii="Arial" w:cs="Arial" w:eastAsia="Arial" w:hAnsi="Arial"/>
            <w:sz w:val="18"/>
            <w:szCs w:val="18"/>
            <w:u w:val="single" w:color="auto"/>
            <w:color w:val="0000FF"/>
          </w:rPr>
          <w:t>Trustee, to the Pass Through Trust Agreement, dated as of September 16, 2014 (incorporated by reference to Exhibit 4.2 to</w:t>
        </w:r>
      </w:hyperlink>
    </w:p>
    <w:p>
      <w:pPr>
        <w:ind w:left="920"/>
        <w:spacing w:after="0"/>
        <w:rPr>
          <w:rFonts w:ascii="Arial" w:cs="Arial" w:eastAsia="Arial" w:hAnsi="Arial"/>
          <w:sz w:val="18"/>
          <w:szCs w:val="18"/>
          <w:u w:val="single" w:color="auto"/>
          <w:color w:val="0000FF"/>
        </w:rPr>
      </w:pPr>
      <w:hyperlink r:id="rId368">
        <w:r>
          <w:rPr>
            <w:rFonts w:ascii="Arial" w:cs="Arial" w:eastAsia="Arial" w:hAnsi="Arial"/>
            <w:sz w:val="18"/>
            <w:szCs w:val="18"/>
            <w:u w:val="single" w:color="auto"/>
            <w:color w:val="0000FF"/>
          </w:rPr>
          <w:t>American’s Current Report on Form 8-K filed on October 6, 2017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4.139     </w:t>
      </w:r>
      <w:hyperlink r:id="rId369">
        <w:r>
          <w:rPr>
            <w:rFonts w:ascii="Arial" w:cs="Arial" w:eastAsia="Arial" w:hAnsi="Arial"/>
            <w:sz w:val="18"/>
            <w:szCs w:val="18"/>
            <w:u w:val="single" w:color="auto"/>
            <w:color w:val="0000FF"/>
          </w:rPr>
          <w:t>Amended and Restated Intercreditor Agreement (2017-2), dated as of October 5, 2017, among Wilmington Trust Company, as</w:t>
        </w:r>
      </w:hyperlink>
      <w:r>
        <w:rPr>
          <w:rFonts w:ascii="Arial" w:cs="Arial" w:eastAsia="Arial" w:hAnsi="Arial"/>
          <w:sz w:val="18"/>
          <w:szCs w:val="18"/>
          <w:color w:val="auto"/>
        </w:rPr>
        <w:t xml:space="preserve"> </w:t>
      </w:r>
      <w:hyperlink r:id="rId369">
        <w:r>
          <w:rPr>
            <w:rFonts w:ascii="Arial" w:cs="Arial" w:eastAsia="Arial" w:hAnsi="Arial"/>
            <w:sz w:val="18"/>
            <w:szCs w:val="18"/>
            <w:u w:val="single" w:color="auto"/>
            <w:color w:val="0000FF"/>
          </w:rPr>
          <w:t>Trustee of the American Airlines Pass Through Trust 2017-2AA, as Trustee of the American Airlines Pass Through Trust 2017-2A</w:t>
        </w:r>
      </w:hyperlink>
    </w:p>
    <w:p>
      <w:pPr>
        <w:jc w:val="both"/>
        <w:ind w:left="920"/>
        <w:spacing w:after="0" w:line="208" w:lineRule="auto"/>
        <w:rPr>
          <w:rFonts w:ascii="Arial" w:cs="Arial" w:eastAsia="Arial" w:hAnsi="Arial"/>
          <w:sz w:val="18"/>
          <w:szCs w:val="18"/>
          <w:u w:val="single" w:color="auto"/>
          <w:color w:val="0000FF"/>
        </w:rPr>
      </w:pPr>
      <w:hyperlink r:id="rId369">
        <w:r>
          <w:rPr>
            <w:rFonts w:ascii="Arial" w:cs="Arial" w:eastAsia="Arial" w:hAnsi="Arial"/>
            <w:sz w:val="18"/>
            <w:szCs w:val="18"/>
            <w:u w:val="single" w:color="auto"/>
            <w:color w:val="0000FF"/>
          </w:rPr>
          <w:t>and as Trustee of the American Airlines Pass Through Trust 2017-2B, National Australia Bank Limited, as Class AA Liquidity</w:t>
        </w:r>
      </w:hyperlink>
      <w:r>
        <w:rPr>
          <w:rFonts w:ascii="Arial" w:cs="Arial" w:eastAsia="Arial" w:hAnsi="Arial"/>
          <w:sz w:val="18"/>
          <w:szCs w:val="18"/>
          <w:u w:val="single" w:color="auto"/>
          <w:color w:val="0000FF"/>
        </w:rPr>
        <w:t xml:space="preserve"> </w:t>
      </w:r>
      <w:hyperlink r:id="rId369">
        <w:r>
          <w:rPr>
            <w:rFonts w:ascii="Arial" w:cs="Arial" w:eastAsia="Arial" w:hAnsi="Arial"/>
            <w:sz w:val="18"/>
            <w:szCs w:val="18"/>
            <w:u w:val="single" w:color="auto"/>
            <w:color w:val="0000FF"/>
          </w:rPr>
          <w:t>Provider, Class A Liquidity Provider and Class B Liquidity Provider, and Wilmington Trust Company, as Subordination Agent</w:t>
        </w:r>
      </w:hyperlink>
      <w:r>
        <w:rPr>
          <w:rFonts w:ascii="Arial" w:cs="Arial" w:eastAsia="Arial" w:hAnsi="Arial"/>
          <w:sz w:val="18"/>
          <w:szCs w:val="18"/>
          <w:u w:val="single" w:color="auto"/>
          <w:color w:val="0000FF"/>
        </w:rPr>
        <w:t xml:space="preserve"> </w:t>
      </w:r>
      <w:hyperlink r:id="rId369">
        <w:r>
          <w:rPr>
            <w:rFonts w:ascii="Arial" w:cs="Arial" w:eastAsia="Arial" w:hAnsi="Arial"/>
            <w:sz w:val="18"/>
            <w:szCs w:val="18"/>
            <w:u w:val="single" w:color="auto"/>
            <w:color w:val="0000FF"/>
          </w:rPr>
          <w:t>(incorporated by reference to Exhibit 4.3 to American’s Current Report on Form 8-K filed on October 6, 2017 (Commission File</w:t>
        </w:r>
      </w:hyperlink>
    </w:p>
    <w:p>
      <w:pPr>
        <w:spacing w:after="0" w:line="1"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369">
        <w:r>
          <w:rPr>
            <w:rFonts w:ascii="Arial" w:cs="Arial" w:eastAsia="Arial" w:hAnsi="Arial"/>
            <w:sz w:val="18"/>
            <w:szCs w:val="18"/>
            <w:u w:val="single" w:color="auto"/>
            <w:color w:val="0000FF"/>
          </w:rPr>
          <w:t>No. 1-2691)).</w:t>
        </w:r>
      </w:hyperlink>
    </w:p>
    <w:p>
      <w:pPr>
        <w:spacing w:after="0" w:line="14" w:lineRule="exact"/>
        <w:rPr>
          <w:rFonts w:ascii="Arial" w:cs="Arial" w:eastAsia="Arial" w:hAnsi="Arial"/>
          <w:sz w:val="18"/>
          <w:szCs w:val="18"/>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4.140     </w:t>
      </w:r>
      <w:hyperlink r:id="rId370">
        <w:r>
          <w:rPr>
            <w:rFonts w:ascii="Arial" w:cs="Arial" w:eastAsia="Arial" w:hAnsi="Arial"/>
            <w:sz w:val="18"/>
            <w:szCs w:val="18"/>
            <w:u w:val="single" w:color="auto"/>
            <w:color w:val="0000FF"/>
          </w:rPr>
          <w:t>Amended and Restated Note Purchase Agreement, dated as of October 5, 2017, among American Airlines, Inc., Wilmington</w:t>
        </w:r>
      </w:hyperlink>
      <w:r>
        <w:rPr>
          <w:rFonts w:ascii="Arial" w:cs="Arial" w:eastAsia="Arial" w:hAnsi="Arial"/>
          <w:sz w:val="18"/>
          <w:szCs w:val="18"/>
          <w:color w:val="auto"/>
        </w:rPr>
        <w:t xml:space="preserve"> </w:t>
      </w:r>
      <w:hyperlink r:id="rId370">
        <w:r>
          <w:rPr>
            <w:rFonts w:ascii="Arial" w:cs="Arial" w:eastAsia="Arial" w:hAnsi="Arial"/>
            <w:sz w:val="18"/>
            <w:szCs w:val="18"/>
            <w:u w:val="single" w:color="auto"/>
            <w:color w:val="0000FF"/>
          </w:rPr>
          <w:t>Trust Company, as Pass Through Trustee under each of the Pass Through Trust Agreements, Wilmington Trust Company, as</w:t>
        </w:r>
      </w:hyperlink>
    </w:p>
    <w:p>
      <w:pPr>
        <w:jc w:val="both"/>
        <w:ind w:left="920"/>
        <w:spacing w:after="0" w:line="220" w:lineRule="auto"/>
        <w:rPr>
          <w:rFonts w:ascii="Arial" w:cs="Arial" w:eastAsia="Arial" w:hAnsi="Arial"/>
          <w:sz w:val="18"/>
          <w:szCs w:val="18"/>
          <w:u w:val="single" w:color="auto"/>
          <w:color w:val="0000FF"/>
        </w:rPr>
      </w:pPr>
      <w:hyperlink r:id="rId370">
        <w:r>
          <w:rPr>
            <w:rFonts w:ascii="Arial" w:cs="Arial" w:eastAsia="Arial" w:hAnsi="Arial"/>
            <w:sz w:val="18"/>
            <w:szCs w:val="18"/>
            <w:u w:val="single" w:color="auto"/>
            <w:color w:val="0000FF"/>
          </w:rPr>
          <w:t>Subordination Agent, Wilmington Trust, National Association, as Escrow Agent, and Wilmington Trust Company, as Paying Agent</w:t>
        </w:r>
      </w:hyperlink>
      <w:r>
        <w:rPr>
          <w:rFonts w:ascii="Arial" w:cs="Arial" w:eastAsia="Arial" w:hAnsi="Arial"/>
          <w:sz w:val="18"/>
          <w:szCs w:val="18"/>
          <w:u w:val="single" w:color="auto"/>
          <w:color w:val="0000FF"/>
        </w:rPr>
        <w:t xml:space="preserve"> </w:t>
      </w:r>
      <w:hyperlink r:id="rId370">
        <w:r>
          <w:rPr>
            <w:rFonts w:ascii="Arial" w:cs="Arial" w:eastAsia="Arial" w:hAnsi="Arial"/>
            <w:sz w:val="18"/>
            <w:szCs w:val="18"/>
            <w:u w:val="single" w:color="auto"/>
            <w:color w:val="0000FF"/>
          </w:rPr>
          <w:t>(incorporated by reference to Exhibit 4.6 to American’s Current Report on Form 8-K filed on October 6, 2017 (Commission File</w:t>
        </w:r>
      </w:hyperlink>
      <w:r>
        <w:rPr>
          <w:rFonts w:ascii="Arial" w:cs="Arial" w:eastAsia="Arial" w:hAnsi="Arial"/>
          <w:sz w:val="18"/>
          <w:szCs w:val="18"/>
          <w:u w:val="single" w:color="auto"/>
          <w:color w:val="0000FF"/>
        </w:rPr>
        <w:t xml:space="preserve"> </w:t>
      </w:r>
      <w:hyperlink r:id="rId370">
        <w:r>
          <w:rPr>
            <w:rFonts w:ascii="Arial" w:cs="Arial" w:eastAsia="Arial" w:hAnsi="Arial"/>
            <w:sz w:val="18"/>
            <w:szCs w:val="18"/>
            <w:u w:val="single" w:color="auto"/>
            <w:color w:val="0000FF"/>
          </w:rPr>
          <w:t>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4.141     </w:t>
      </w:r>
      <w:hyperlink r:id="rId371">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71">
        <w:r>
          <w:rPr>
            <w:rFonts w:ascii="Arial" w:cs="Arial" w:eastAsia="Arial" w:hAnsi="Arial"/>
            <w:sz w:val="18"/>
            <w:szCs w:val="18"/>
            <w:u w:val="single" w:color="auto"/>
            <w:color w:val="0000FF"/>
          </w:rPr>
          <w:t>Through Trustee under each of the Pass Through Trust Agreements, Wilmington Trust Company, as Subordination Agent,</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371">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71">
        <w:r>
          <w:rPr>
            <w:rFonts w:ascii="Arial" w:cs="Arial" w:eastAsia="Arial" w:hAnsi="Arial"/>
            <w:sz w:val="18"/>
            <w:szCs w:val="18"/>
            <w:u w:val="single" w:color="auto"/>
            <w:color w:val="0000FF"/>
          </w:rPr>
          <w:t>(incorporated by reference to Exhibit B to Exhibit 4.6 to American’s Current Report on Form 8-K filed on October 6, 2017</w:t>
        </w:r>
      </w:hyperlink>
      <w:r>
        <w:rPr>
          <w:rFonts w:ascii="Arial" w:cs="Arial" w:eastAsia="Arial" w:hAnsi="Arial"/>
          <w:sz w:val="18"/>
          <w:szCs w:val="18"/>
          <w:u w:val="single" w:color="auto"/>
          <w:color w:val="0000FF"/>
        </w:rPr>
        <w:t xml:space="preserve"> </w:t>
      </w:r>
      <w:hyperlink r:id="rId371">
        <w:r>
          <w:rPr>
            <w:rFonts w:ascii="Arial" w:cs="Arial" w:eastAsia="Arial" w:hAnsi="Arial"/>
            <w:sz w:val="18"/>
            <w:szCs w:val="18"/>
            <w:u w:val="single" w:color="auto"/>
            <w:color w:val="0000FF"/>
          </w:rPr>
          <w:t>(Commission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4.142     </w:t>
      </w:r>
      <w:hyperlink r:id="rId372">
        <w:r>
          <w:rPr>
            <w:rFonts w:ascii="Arial" w:cs="Arial" w:eastAsia="Arial" w:hAnsi="Arial"/>
            <w:sz w:val="18"/>
            <w:szCs w:val="18"/>
            <w:u w:val="single" w:color="auto"/>
            <w:color w:val="0000FF"/>
          </w:rPr>
          <w:t>Form of First Amendment to Participation Agreement (First Amendment to Participation Agreement among American Airlines,</w:t>
        </w:r>
      </w:hyperlink>
      <w:r>
        <w:rPr>
          <w:rFonts w:ascii="Arial" w:cs="Arial" w:eastAsia="Arial" w:hAnsi="Arial"/>
          <w:sz w:val="18"/>
          <w:szCs w:val="18"/>
          <w:color w:val="auto"/>
        </w:rPr>
        <w:t xml:space="preserve"> </w:t>
      </w:r>
      <w:hyperlink r:id="rId372">
        <w:r>
          <w:rPr>
            <w:rFonts w:ascii="Arial" w:cs="Arial" w:eastAsia="Arial" w:hAnsi="Arial"/>
            <w:sz w:val="18"/>
            <w:szCs w:val="18"/>
            <w:u w:val="single" w:color="auto"/>
            <w:color w:val="0000FF"/>
          </w:rPr>
          <w:t>Inc., Wilmington Trust Company, as Pass Through Trustee under each of the Pass Through Trust Agreements, Wilmington Trust</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372">
        <w:r>
          <w:rPr>
            <w:rFonts w:ascii="Arial" w:cs="Arial" w:eastAsia="Arial" w:hAnsi="Arial"/>
            <w:sz w:val="18"/>
            <w:szCs w:val="18"/>
            <w:u w:val="single" w:color="auto"/>
            <w:color w:val="0000FF"/>
          </w:rPr>
          <w:t>Company, as Subordination Agent, Wilmington Trust Company, as Loan Trustee, and Wilmington Trust Company, in its individual</w:t>
        </w:r>
      </w:hyperlink>
      <w:r>
        <w:rPr>
          <w:rFonts w:ascii="Arial" w:cs="Arial" w:eastAsia="Arial" w:hAnsi="Arial"/>
          <w:sz w:val="18"/>
          <w:szCs w:val="18"/>
          <w:u w:val="single" w:color="auto"/>
          <w:color w:val="0000FF"/>
        </w:rPr>
        <w:t xml:space="preserve"> </w:t>
      </w:r>
      <w:hyperlink r:id="rId372">
        <w:r>
          <w:rPr>
            <w:rFonts w:ascii="Arial" w:cs="Arial" w:eastAsia="Arial" w:hAnsi="Arial"/>
            <w:sz w:val="18"/>
            <w:szCs w:val="18"/>
            <w:u w:val="single" w:color="auto"/>
            <w:color w:val="0000FF"/>
          </w:rPr>
          <w:t>capacity as set forth therein) (incorporated by reference to Exhibit D to Exhibit 4.6 to American’s Current Report on Form 8-K filed</w:t>
        </w:r>
      </w:hyperlink>
      <w:r>
        <w:rPr>
          <w:rFonts w:ascii="Arial" w:cs="Arial" w:eastAsia="Arial" w:hAnsi="Arial"/>
          <w:sz w:val="18"/>
          <w:szCs w:val="18"/>
          <w:u w:val="single" w:color="auto"/>
          <w:color w:val="0000FF"/>
        </w:rPr>
        <w:t xml:space="preserve"> </w:t>
      </w:r>
      <w:hyperlink r:id="rId372">
        <w:r>
          <w:rPr>
            <w:rFonts w:ascii="Arial" w:cs="Arial" w:eastAsia="Arial" w:hAnsi="Arial"/>
            <w:sz w:val="18"/>
            <w:szCs w:val="18"/>
            <w:u w:val="single" w:color="auto"/>
            <w:color w:val="0000FF"/>
          </w:rPr>
          <w:t>on October 6, 2017 (Commission File No. 1-2691)).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4.143     </w:t>
      </w:r>
      <w:hyperlink r:id="rId373">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73">
        <w:r>
          <w:rPr>
            <w:rFonts w:ascii="Arial" w:cs="Arial" w:eastAsia="Arial" w:hAnsi="Arial"/>
            <w:sz w:val="18"/>
            <w:szCs w:val="18"/>
            <w:u w:val="single" w:color="auto"/>
            <w:color w:val="0000FF"/>
          </w:rPr>
          <w:t>Trust Company, as Loan Trustee) (incorporated by reference to Exhibit C to Exhibit 4.6 to American’s Current Report on Form 8-K</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73">
        <w:r>
          <w:rPr>
            <w:rFonts w:ascii="Arial" w:cs="Arial" w:eastAsia="Arial" w:hAnsi="Arial"/>
            <w:sz w:val="18"/>
            <w:szCs w:val="18"/>
            <w:u w:val="single" w:color="auto"/>
            <w:color w:val="0000FF"/>
          </w:rPr>
          <w:t>filed on October 6, 2017 (Commission File No. 1-2691)).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4.144</w:t>
      </w:r>
      <w:r>
        <w:rPr>
          <w:sz w:val="20"/>
          <w:szCs w:val="20"/>
          <w:color w:val="auto"/>
        </w:rPr>
        <w:tab/>
      </w:r>
      <w:hyperlink r:id="rId374">
        <w:r>
          <w:rPr>
            <w:rFonts w:ascii="Arial" w:cs="Arial" w:eastAsia="Arial" w:hAnsi="Arial"/>
            <w:sz w:val="18"/>
            <w:szCs w:val="18"/>
            <w:u w:val="single" w:color="auto"/>
            <w:color w:val="0000FF"/>
          </w:rPr>
          <w:t>Form of Pass Through Trust Certificate, Series 2017-2B (incorporated by reference to Exhibit A to Exhibit 4.2 to American’s</w:t>
        </w:r>
      </w:hyperlink>
      <w:r>
        <w:rPr>
          <w:rFonts w:ascii="Arial" w:cs="Arial" w:eastAsia="Arial" w:hAnsi="Arial"/>
          <w:sz w:val="18"/>
          <w:szCs w:val="18"/>
          <w:u w:val="single" w:color="auto"/>
          <w:color w:val="0000FF"/>
        </w:rPr>
        <w:t xml:space="preserve"> </w:t>
      </w:r>
      <w:hyperlink r:id="rId374">
        <w:r>
          <w:rPr>
            <w:rFonts w:ascii="Arial" w:cs="Arial" w:eastAsia="Arial" w:hAnsi="Arial"/>
            <w:sz w:val="18"/>
            <w:szCs w:val="18"/>
            <w:u w:val="single" w:color="auto"/>
            <w:color w:val="0000FF"/>
          </w:rPr>
          <w:t>Current Report on Form 8-K filed on October 6, 2017 (Commission File No. 1-2691)).</w:t>
        </w:r>
      </w:hyperlink>
    </w:p>
    <w:p>
      <w:pPr>
        <w:spacing w:after="0" w:line="5"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4.145     </w:t>
      </w:r>
      <w:hyperlink r:id="rId375">
        <w:r>
          <w:rPr>
            <w:rFonts w:ascii="Arial" w:cs="Arial" w:eastAsia="Arial" w:hAnsi="Arial"/>
            <w:sz w:val="18"/>
            <w:szCs w:val="18"/>
            <w:u w:val="single" w:color="auto"/>
            <w:color w:val="0000FF"/>
          </w:rPr>
          <w:t>Revolving Credit Agreement (2017-2B), dated as of October 5, 2017, between Wilmington Trust Company, as Subordination</w:t>
        </w:r>
      </w:hyperlink>
      <w:r>
        <w:rPr>
          <w:rFonts w:ascii="Arial" w:cs="Arial" w:eastAsia="Arial" w:hAnsi="Arial"/>
          <w:sz w:val="18"/>
          <w:szCs w:val="18"/>
          <w:color w:val="auto"/>
        </w:rPr>
        <w:t xml:space="preserve"> </w:t>
      </w:r>
      <w:hyperlink r:id="rId375">
        <w:r>
          <w:rPr>
            <w:rFonts w:ascii="Arial" w:cs="Arial" w:eastAsia="Arial" w:hAnsi="Arial"/>
            <w:sz w:val="18"/>
            <w:szCs w:val="18"/>
            <w:u w:val="single" w:color="auto"/>
            <w:color w:val="0000FF"/>
          </w:rPr>
          <w:t>Agent, as agent and trustee for the trustee of the American Airlines Pass Through Trust 2017-2B, as Borrower, and National</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75">
        <w:r>
          <w:rPr>
            <w:rFonts w:ascii="Arial" w:cs="Arial" w:eastAsia="Arial" w:hAnsi="Arial"/>
            <w:sz w:val="18"/>
            <w:szCs w:val="18"/>
            <w:u w:val="single" w:color="auto"/>
            <w:color w:val="0000FF"/>
          </w:rPr>
          <w:t>Australia Bank Limited, as Liquidity Provider (incorporated by reference to Exhibit 4.12 to American’s Current Report on Form 8-K</w:t>
        </w:r>
      </w:hyperlink>
      <w:r>
        <w:rPr>
          <w:rFonts w:ascii="Arial" w:cs="Arial" w:eastAsia="Arial" w:hAnsi="Arial"/>
          <w:sz w:val="18"/>
          <w:szCs w:val="18"/>
          <w:u w:val="single" w:color="auto"/>
          <w:color w:val="0000FF"/>
        </w:rPr>
        <w:t xml:space="preserve"> </w:t>
      </w:r>
      <w:hyperlink r:id="rId375">
        <w:r>
          <w:rPr>
            <w:rFonts w:ascii="Arial" w:cs="Arial" w:eastAsia="Arial" w:hAnsi="Arial"/>
            <w:sz w:val="18"/>
            <w:szCs w:val="18"/>
            <w:u w:val="single" w:color="auto"/>
            <w:color w:val="0000FF"/>
          </w:rPr>
          <w:t>filed on October 6, 2017 (Commission File No. 1-2691)).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4.146     </w:t>
      </w:r>
      <w:hyperlink r:id="rId376">
        <w:r>
          <w:rPr>
            <w:rFonts w:ascii="Arial" w:cs="Arial" w:eastAsia="Arial" w:hAnsi="Arial"/>
            <w:sz w:val="18"/>
            <w:szCs w:val="18"/>
            <w:u w:val="single" w:color="auto"/>
            <w:color w:val="0000FF"/>
          </w:rPr>
          <w:t>Trust Supplement No. 2012-2C(R), dated as of May 15, 2018, between American Airlines, Inc. and Wilmington Trust Company,</w:t>
        </w:r>
      </w:hyperlink>
      <w:r>
        <w:rPr>
          <w:rFonts w:ascii="Arial" w:cs="Arial" w:eastAsia="Arial" w:hAnsi="Arial"/>
          <w:sz w:val="18"/>
          <w:szCs w:val="18"/>
          <w:color w:val="auto"/>
        </w:rPr>
        <w:t xml:space="preserve"> </w:t>
      </w:r>
      <w:hyperlink r:id="rId376">
        <w:r>
          <w:rPr>
            <w:rFonts w:ascii="Arial" w:cs="Arial" w:eastAsia="Arial" w:hAnsi="Arial"/>
            <w:sz w:val="18"/>
            <w:szCs w:val="18"/>
            <w:u w:val="single" w:color="auto"/>
            <w:color w:val="0000FF"/>
          </w:rPr>
          <w:t>as Trustee, to the Pass Through Trust Agreement, dated as of September 16, 2014 (incorporated by reference to Exhibit 4.2 to</w:t>
        </w:r>
      </w:hyperlink>
    </w:p>
    <w:p>
      <w:pPr>
        <w:ind w:left="920"/>
        <w:spacing w:after="0"/>
        <w:rPr>
          <w:rFonts w:ascii="Arial" w:cs="Arial" w:eastAsia="Arial" w:hAnsi="Arial"/>
          <w:sz w:val="18"/>
          <w:szCs w:val="18"/>
          <w:u w:val="single" w:color="auto"/>
          <w:color w:val="0000FF"/>
        </w:rPr>
      </w:pPr>
      <w:hyperlink r:id="rId376">
        <w:r>
          <w:rPr>
            <w:rFonts w:ascii="Arial" w:cs="Arial" w:eastAsia="Arial" w:hAnsi="Arial"/>
            <w:sz w:val="18"/>
            <w:szCs w:val="18"/>
            <w:u w:val="single" w:color="auto"/>
            <w:color w:val="0000FF"/>
          </w:rPr>
          <w:t>American’s Current Report on Form 8-K filed on May 16, 2018 (Commission File No. 1-2691)).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4.147     </w:t>
      </w:r>
      <w:hyperlink r:id="rId377">
        <w:r>
          <w:rPr>
            <w:rFonts w:ascii="Arial" w:cs="Arial" w:eastAsia="Arial" w:hAnsi="Arial"/>
            <w:sz w:val="18"/>
            <w:szCs w:val="18"/>
            <w:u w:val="single" w:color="auto"/>
            <w:color w:val="0000FF"/>
          </w:rPr>
          <w:t>Form of Amendment No. 2 to Intercreditor Agreement (2012-2C(R)) among Wilmington Trust Company, not in its individual</w:t>
        </w:r>
      </w:hyperlink>
      <w:r>
        <w:rPr>
          <w:rFonts w:ascii="Arial" w:cs="Arial" w:eastAsia="Arial" w:hAnsi="Arial"/>
          <w:sz w:val="18"/>
          <w:szCs w:val="18"/>
          <w:color w:val="auto"/>
        </w:rPr>
        <w:t xml:space="preserve"> </w:t>
      </w:r>
      <w:hyperlink r:id="rId377">
        <w:r>
          <w:rPr>
            <w:rFonts w:ascii="Arial" w:cs="Arial" w:eastAsia="Arial" w:hAnsi="Arial"/>
            <w:sz w:val="18"/>
            <w:szCs w:val="18"/>
            <w:u w:val="single" w:color="auto"/>
            <w:color w:val="0000FF"/>
          </w:rPr>
          <w:t>capacity but solely as Trustee of the American Airlines, Inc. Pass Through Trust 2012-2C(R), American Airlines, Inc. and</w:t>
        </w:r>
      </w:hyperlink>
    </w:p>
    <w:p>
      <w:pPr>
        <w:jc w:val="both"/>
        <w:ind w:left="920"/>
        <w:spacing w:after="0" w:line="220" w:lineRule="auto"/>
        <w:rPr>
          <w:rFonts w:ascii="Arial" w:cs="Arial" w:eastAsia="Arial" w:hAnsi="Arial"/>
          <w:sz w:val="18"/>
          <w:szCs w:val="18"/>
          <w:u w:val="single" w:color="auto"/>
          <w:color w:val="0000FF"/>
        </w:rPr>
      </w:pPr>
      <w:hyperlink r:id="rId377">
        <w:r>
          <w:rPr>
            <w:rFonts w:ascii="Arial" w:cs="Arial" w:eastAsia="Arial" w:hAnsi="Arial"/>
            <w:sz w:val="18"/>
            <w:szCs w:val="18"/>
            <w:u w:val="single" w:color="auto"/>
            <w:color w:val="0000FF"/>
          </w:rPr>
          <w:t>Wilmington Trust Company, not in its individual capacity but solely as Subordination Agent and Trustee (incorporated by</w:t>
        </w:r>
      </w:hyperlink>
      <w:r>
        <w:rPr>
          <w:rFonts w:ascii="Arial" w:cs="Arial" w:eastAsia="Arial" w:hAnsi="Arial"/>
          <w:sz w:val="18"/>
          <w:szCs w:val="18"/>
          <w:u w:val="single" w:color="auto"/>
          <w:color w:val="0000FF"/>
        </w:rPr>
        <w:t xml:space="preserve"> </w:t>
      </w:r>
      <w:hyperlink r:id="rId377">
        <w:r>
          <w:rPr>
            <w:rFonts w:ascii="Arial" w:cs="Arial" w:eastAsia="Arial" w:hAnsi="Arial"/>
            <w:sz w:val="18"/>
            <w:szCs w:val="18"/>
            <w:u w:val="single" w:color="auto"/>
            <w:color w:val="0000FF"/>
          </w:rPr>
          <w:t>reference to Exhibit C to Exhibit 4.6 to American’s Current Report on Form 8-K filed on May 16, 2018 (Commission File No. 1-</w:t>
        </w:r>
      </w:hyperlink>
      <w:hyperlink r:id="rId377">
        <w:r>
          <w:rPr>
            <w:rFonts w:ascii="Arial" w:cs="Arial" w:eastAsia="Arial" w:hAnsi="Arial"/>
            <w:sz w:val="18"/>
            <w:szCs w:val="18"/>
            <w:u w:val="single" w:color="auto"/>
            <w:color w:val="0000FF"/>
          </w:rPr>
          <w:t>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4.148     </w:t>
      </w:r>
      <w:hyperlink r:id="rId377">
        <w:r>
          <w:rPr>
            <w:rFonts w:ascii="Arial" w:cs="Arial" w:eastAsia="Arial" w:hAnsi="Arial"/>
            <w:sz w:val="18"/>
            <w:szCs w:val="18"/>
            <w:u w:val="single" w:color="auto"/>
            <w:color w:val="0000FF"/>
          </w:rPr>
          <w:t>Note Purchase Agreement, dated as of May 15, 2018, among American Airlines, Inc., Wilmington Trust Company, not in its</w:t>
        </w:r>
      </w:hyperlink>
      <w:r>
        <w:rPr>
          <w:rFonts w:ascii="Arial" w:cs="Arial" w:eastAsia="Arial" w:hAnsi="Arial"/>
          <w:sz w:val="18"/>
          <w:szCs w:val="18"/>
          <w:color w:val="auto"/>
        </w:rPr>
        <w:t xml:space="preserve"> </w:t>
      </w:r>
      <w:hyperlink r:id="rId377">
        <w:r>
          <w:rPr>
            <w:rFonts w:ascii="Arial" w:cs="Arial" w:eastAsia="Arial" w:hAnsi="Arial"/>
            <w:sz w:val="18"/>
            <w:szCs w:val="18"/>
            <w:u w:val="single" w:color="auto"/>
            <w:color w:val="0000FF"/>
          </w:rPr>
          <w:t>individual capacity, but solely as Pass Through Trustee under the Class C(R) Pass Through Trust Agreement, as Subordination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377">
        <w:r>
          <w:rPr>
            <w:rFonts w:ascii="Arial" w:cs="Arial" w:eastAsia="Arial" w:hAnsi="Arial"/>
            <w:sz w:val="18"/>
            <w:szCs w:val="18"/>
            <w:u w:val="single" w:color="auto"/>
            <w:color w:val="0000FF"/>
          </w:rPr>
          <w:t>Agent and as Indenture Trustee, Wilmington Trust, National Association, as Escrow Agent, and Wilmington Trust Company, as</w:t>
        </w:r>
      </w:hyperlink>
      <w:r>
        <w:rPr>
          <w:rFonts w:ascii="Arial" w:cs="Arial" w:eastAsia="Arial" w:hAnsi="Arial"/>
          <w:sz w:val="18"/>
          <w:szCs w:val="18"/>
          <w:u w:val="single" w:color="auto"/>
          <w:color w:val="0000FF"/>
        </w:rPr>
        <w:t xml:space="preserve"> </w:t>
      </w:r>
      <w:hyperlink r:id="rId377">
        <w:r>
          <w:rPr>
            <w:rFonts w:ascii="Arial" w:cs="Arial" w:eastAsia="Arial" w:hAnsi="Arial"/>
            <w:sz w:val="18"/>
            <w:szCs w:val="18"/>
            <w:u w:val="single" w:color="auto"/>
            <w:color w:val="0000FF"/>
          </w:rPr>
          <w:t>Paying Agent (incorporated by reference to Exhibit 4.6 to American’s Current Report on Form 8-K filed on May 16, 2018</w:t>
        </w:r>
      </w:hyperlink>
      <w:r>
        <w:rPr>
          <w:rFonts w:ascii="Arial" w:cs="Arial" w:eastAsia="Arial" w:hAnsi="Arial"/>
          <w:sz w:val="18"/>
          <w:szCs w:val="18"/>
          <w:u w:val="single" w:color="auto"/>
          <w:color w:val="0000FF"/>
        </w:rPr>
        <w:t xml:space="preserve"> </w:t>
      </w:r>
      <w:hyperlink r:id="rId377">
        <w:r>
          <w:rPr>
            <w:rFonts w:ascii="Arial" w:cs="Arial" w:eastAsia="Arial" w:hAnsi="Arial"/>
            <w:sz w:val="18"/>
            <w:szCs w:val="18"/>
            <w:u w:val="single" w:color="auto"/>
            <w:color w:val="0000FF"/>
          </w:rPr>
          <w:t>(Commission File No. 1- 2691)).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4.149     </w:t>
      </w:r>
      <w:hyperlink r:id="rId377">
        <w:r>
          <w:rPr>
            <w:rFonts w:ascii="Arial" w:cs="Arial" w:eastAsia="Arial" w:hAnsi="Arial"/>
            <w:sz w:val="18"/>
            <w:szCs w:val="18"/>
            <w:u w:val="single" w:color="auto"/>
            <w:color w:val="0000FF"/>
          </w:rPr>
          <w:t>Form of Amendment to Participation Agreement (Amendment to Participation Agreement among American Airlines, Inc.,</w:t>
        </w:r>
      </w:hyperlink>
      <w:r>
        <w:rPr>
          <w:rFonts w:ascii="Arial" w:cs="Arial" w:eastAsia="Arial" w:hAnsi="Arial"/>
          <w:sz w:val="18"/>
          <w:szCs w:val="18"/>
          <w:color w:val="auto"/>
        </w:rPr>
        <w:t xml:space="preserve"> </w:t>
      </w:r>
      <w:hyperlink r:id="rId377">
        <w:r>
          <w:rPr>
            <w:rFonts w:ascii="Arial" w:cs="Arial" w:eastAsia="Arial" w:hAnsi="Arial"/>
            <w:sz w:val="18"/>
            <w:szCs w:val="18"/>
            <w:u w:val="single" w:color="auto"/>
            <w:color w:val="0000FF"/>
          </w:rPr>
          <w:t>Wilmington Trust Company, not in its individual capacity, but solely as Subordination Agent and as Indenture Trustee, and</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377">
        <w:r>
          <w:rPr>
            <w:rFonts w:ascii="Arial" w:cs="Arial" w:eastAsia="Arial" w:hAnsi="Arial"/>
            <w:sz w:val="18"/>
            <w:szCs w:val="18"/>
            <w:u w:val="single" w:color="auto"/>
            <w:color w:val="0000FF"/>
          </w:rPr>
          <w:t>Wilmington Trust Company, not in its individual capacity, but solely as Pass Through Trustee under each of the Pass Through</w:t>
        </w:r>
      </w:hyperlink>
      <w:r>
        <w:rPr>
          <w:rFonts w:ascii="Arial" w:cs="Arial" w:eastAsia="Arial" w:hAnsi="Arial"/>
          <w:sz w:val="18"/>
          <w:szCs w:val="18"/>
          <w:u w:val="single" w:color="auto"/>
          <w:color w:val="0000FF"/>
        </w:rPr>
        <w:t xml:space="preserve"> </w:t>
      </w:r>
      <w:hyperlink r:id="rId377">
        <w:r>
          <w:rPr>
            <w:rFonts w:ascii="Arial" w:cs="Arial" w:eastAsia="Arial" w:hAnsi="Arial"/>
            <w:sz w:val="18"/>
            <w:szCs w:val="18"/>
            <w:u w:val="single" w:color="auto"/>
            <w:color w:val="0000FF"/>
          </w:rPr>
          <w:t>Trust Agreements) (incorporated by reference to Exhibit A to Exhibit 4.6 to American’s Current Report on Form 8-K filed on May</w:t>
        </w:r>
      </w:hyperlink>
      <w:r>
        <w:rPr>
          <w:rFonts w:ascii="Arial" w:cs="Arial" w:eastAsia="Arial" w:hAnsi="Arial"/>
          <w:sz w:val="18"/>
          <w:szCs w:val="18"/>
          <w:u w:val="single" w:color="auto"/>
          <w:color w:val="0000FF"/>
        </w:rPr>
        <w:t xml:space="preserve"> </w:t>
      </w:r>
      <w:hyperlink r:id="rId377">
        <w:r>
          <w:rPr>
            <w:rFonts w:ascii="Arial" w:cs="Arial" w:eastAsia="Arial" w:hAnsi="Arial"/>
            <w:sz w:val="18"/>
            <w:szCs w:val="18"/>
            <w:u w:val="single" w:color="auto"/>
            <w:color w:val="0000FF"/>
          </w:rPr>
          <w:t>16, 2018 (Commission File No. 1- 2691)).</w:t>
        </w:r>
      </w:hyperlink>
    </w:p>
    <w:p>
      <w:pPr>
        <w:spacing w:after="0" w:line="6" w:lineRule="exact"/>
        <w:rPr>
          <w:rFonts w:ascii="Arial" w:cs="Arial" w:eastAsia="Arial" w:hAnsi="Arial"/>
          <w:sz w:val="18"/>
          <w:szCs w:val="18"/>
          <w:u w:val="single" w:color="auto"/>
          <w:color w:val="0000FF"/>
        </w:rPr>
      </w:pPr>
    </w:p>
    <w:p>
      <w:pPr>
        <w:ind w:left="920" w:right="520" w:hanging="889"/>
        <w:spacing w:after="0" w:line="27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4.150</w:t>
      </w:r>
      <w:r>
        <w:rPr>
          <w:sz w:val="20"/>
          <w:szCs w:val="20"/>
          <w:color w:val="auto"/>
        </w:rPr>
        <w:tab/>
      </w:r>
      <w:hyperlink r:id="rId378">
        <w:r>
          <w:rPr>
            <w:rFonts w:ascii="Arial" w:cs="Arial" w:eastAsia="Arial" w:hAnsi="Arial"/>
            <w:sz w:val="18"/>
            <w:szCs w:val="18"/>
            <w:u w:val="single" w:color="auto"/>
            <w:color w:val="0000FF"/>
          </w:rPr>
          <w:t>Form of Pass Through Trust Certificate, Series 2021-1A (incorporated by reference to Exhibit A to Exhibit 4.2 to American’s</w:t>
        </w:r>
      </w:hyperlink>
      <w:r>
        <w:rPr>
          <w:rFonts w:ascii="Arial" w:cs="Arial" w:eastAsia="Arial" w:hAnsi="Arial"/>
          <w:sz w:val="18"/>
          <w:szCs w:val="18"/>
          <w:u w:val="single" w:color="auto"/>
          <w:color w:val="0000FF"/>
        </w:rPr>
        <w:t xml:space="preserve"> </w:t>
      </w:r>
      <w:hyperlink r:id="rId378">
        <w:r>
          <w:rPr>
            <w:rFonts w:ascii="Arial" w:cs="Arial" w:eastAsia="Arial" w:hAnsi="Arial"/>
            <w:sz w:val="18"/>
            <w:szCs w:val="18"/>
            <w:u w:val="single" w:color="auto"/>
            <w:color w:val="0000FF"/>
          </w:rPr>
          <w:t>Current Report on Form 8-K filed on November 12, 2021 (Commission File No. 1-02691)).</w:t>
        </w:r>
      </w:hyperlink>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89"/>
        <w:spacing w:after="0" w:line="25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4.151</w:t>
      </w:r>
      <w:r>
        <w:rPr>
          <w:sz w:val="20"/>
          <w:szCs w:val="20"/>
          <w:color w:val="auto"/>
        </w:rPr>
        <w:tab/>
      </w:r>
      <w:hyperlink r:id="rId380">
        <w:r>
          <w:rPr>
            <w:rFonts w:ascii="Arial" w:cs="Arial" w:eastAsia="Arial" w:hAnsi="Arial"/>
            <w:sz w:val="18"/>
            <w:szCs w:val="18"/>
            <w:u w:val="single" w:color="auto"/>
            <w:color w:val="0000FF"/>
          </w:rPr>
          <w:t>Form of Pass Through Trust Certificate, Series 2021-1B (incorporated by reference to Exhibit A to Exhibit 4.3 to American’s</w:t>
        </w:r>
      </w:hyperlink>
      <w:r>
        <w:rPr>
          <w:rFonts w:ascii="Arial" w:cs="Arial" w:eastAsia="Arial" w:hAnsi="Arial"/>
          <w:sz w:val="18"/>
          <w:szCs w:val="18"/>
          <w:u w:val="single" w:color="auto"/>
          <w:color w:val="0000FF"/>
        </w:rPr>
        <w:t xml:space="preserve"> </w:t>
      </w:r>
      <w:hyperlink r:id="rId380">
        <w:r>
          <w:rPr>
            <w:rFonts w:ascii="Arial" w:cs="Arial" w:eastAsia="Arial" w:hAnsi="Arial"/>
            <w:sz w:val="18"/>
            <w:szCs w:val="18"/>
            <w:u w:val="single" w:color="auto"/>
            <w:color w:val="0000FF"/>
          </w:rPr>
          <w:t>Current Report on Form 8-K filed on November 12, 2021 (Commission File No. 1-02691)).</w:t>
        </w:r>
      </w:hyperlink>
    </w:p>
    <w:p>
      <w:pPr>
        <w:spacing w:after="0" w:line="9" w:lineRule="exact"/>
        <w:rPr>
          <w:sz w:val="20"/>
          <w:szCs w:val="20"/>
          <w:color w:val="auto"/>
        </w:rPr>
      </w:pPr>
    </w:p>
    <w:p>
      <w:pPr>
        <w:jc w:val="both"/>
        <w:ind w:left="920" w:hanging="889"/>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4.152</w:t>
      </w:r>
      <w:r>
        <w:rPr>
          <w:sz w:val="20"/>
          <w:szCs w:val="20"/>
          <w:color w:val="auto"/>
        </w:rPr>
        <w:tab/>
      </w:r>
      <w:hyperlink r:id="rId381">
        <w:r>
          <w:rPr>
            <w:rFonts w:ascii="Arial" w:cs="Arial" w:eastAsia="Arial" w:hAnsi="Arial"/>
            <w:sz w:val="18"/>
            <w:szCs w:val="18"/>
            <w:u w:val="single" w:color="auto"/>
            <w:color w:val="0000FF"/>
          </w:rPr>
          <w:t>Revolving Credit Agreement (2021-1A), dated as of November 8, 2021, between Wilmington Trust Company, as Subordination</w:t>
        </w:r>
      </w:hyperlink>
      <w:r>
        <w:rPr>
          <w:rFonts w:ascii="Arial" w:cs="Arial" w:eastAsia="Arial" w:hAnsi="Arial"/>
          <w:sz w:val="18"/>
          <w:szCs w:val="18"/>
          <w:u w:val="single" w:color="auto"/>
          <w:color w:val="0000FF"/>
        </w:rPr>
        <w:t xml:space="preserve"> </w:t>
      </w:r>
      <w:hyperlink r:id="rId381">
        <w:r>
          <w:rPr>
            <w:rFonts w:ascii="Arial" w:cs="Arial" w:eastAsia="Arial" w:hAnsi="Arial"/>
            <w:sz w:val="18"/>
            <w:szCs w:val="18"/>
            <w:u w:val="single" w:color="auto"/>
            <w:color w:val="0000FF"/>
          </w:rPr>
          <w:t>Agent, as agent and trustee for the trustee of the American Airlines Pass Through Trust 2021-1A, as Borrower, and Crédit</w:t>
        </w:r>
      </w:hyperlink>
      <w:r>
        <w:rPr>
          <w:rFonts w:ascii="Arial" w:cs="Arial" w:eastAsia="Arial" w:hAnsi="Arial"/>
          <w:sz w:val="18"/>
          <w:szCs w:val="18"/>
          <w:u w:val="single" w:color="auto"/>
          <w:color w:val="0000FF"/>
        </w:rPr>
        <w:t xml:space="preserve"> </w:t>
      </w:r>
      <w:hyperlink r:id="rId381">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381">
        <w:r>
          <w:rPr>
            <w:rFonts w:ascii="Arial" w:cs="Arial" w:eastAsia="Arial" w:hAnsi="Arial"/>
            <w:sz w:val="18"/>
            <w:szCs w:val="18"/>
            <w:u w:val="single" w:color="auto"/>
            <w:color w:val="0000FF"/>
          </w:rPr>
          <w:t>Exhibit 4.14 to American’s Current Report on Form 8-K filed on November 12, 2021 (Commission File No. 1-02691)).</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4.153</w:t>
      </w:r>
      <w:r>
        <w:rPr>
          <w:sz w:val="20"/>
          <w:szCs w:val="20"/>
          <w:color w:val="auto"/>
        </w:rPr>
        <w:tab/>
      </w:r>
      <w:hyperlink r:id="rId382">
        <w:r>
          <w:rPr>
            <w:rFonts w:ascii="Arial" w:cs="Arial" w:eastAsia="Arial" w:hAnsi="Arial"/>
            <w:sz w:val="18"/>
            <w:szCs w:val="18"/>
            <w:u w:val="single" w:color="auto"/>
            <w:color w:val="0000FF"/>
          </w:rPr>
          <w:t>Revolving Credit Agreement (2021-1B), dated as of November 8, 2021, between Wilmington Trust Company, as Subordination</w:t>
        </w:r>
      </w:hyperlink>
      <w:r>
        <w:rPr>
          <w:rFonts w:ascii="Arial" w:cs="Arial" w:eastAsia="Arial" w:hAnsi="Arial"/>
          <w:sz w:val="18"/>
          <w:szCs w:val="18"/>
          <w:u w:val="single" w:color="auto"/>
          <w:color w:val="0000FF"/>
        </w:rPr>
        <w:t xml:space="preserve"> </w:t>
      </w:r>
      <w:hyperlink r:id="rId382">
        <w:r>
          <w:rPr>
            <w:rFonts w:ascii="Arial" w:cs="Arial" w:eastAsia="Arial" w:hAnsi="Arial"/>
            <w:sz w:val="18"/>
            <w:szCs w:val="18"/>
            <w:u w:val="single" w:color="auto"/>
            <w:color w:val="0000FF"/>
          </w:rPr>
          <w:t>Agent, as agent and trustee for the trustee of the American Airlines Pass Through Trust 2021-1B, as Borrower, and Crédit</w:t>
        </w:r>
      </w:hyperlink>
      <w:r>
        <w:rPr>
          <w:rFonts w:ascii="Arial" w:cs="Arial" w:eastAsia="Arial" w:hAnsi="Arial"/>
          <w:sz w:val="18"/>
          <w:szCs w:val="18"/>
          <w:u w:val="single" w:color="auto"/>
          <w:color w:val="0000FF"/>
        </w:rPr>
        <w:t xml:space="preserve"> </w:t>
      </w:r>
      <w:hyperlink r:id="rId382">
        <w:r>
          <w:rPr>
            <w:rFonts w:ascii="Arial" w:cs="Arial" w:eastAsia="Arial" w:hAnsi="Arial"/>
            <w:sz w:val="18"/>
            <w:szCs w:val="18"/>
            <w:u w:val="single" w:color="auto"/>
            <w:color w:val="0000FF"/>
          </w:rPr>
          <w:t>Agricole Corporate and Investment Bank, acting through its New York Branch, as Liquidity Provider (incorporated by reference to</w:t>
        </w:r>
      </w:hyperlink>
      <w:r>
        <w:rPr>
          <w:rFonts w:ascii="Arial" w:cs="Arial" w:eastAsia="Arial" w:hAnsi="Arial"/>
          <w:sz w:val="18"/>
          <w:szCs w:val="18"/>
          <w:u w:val="single" w:color="auto"/>
          <w:color w:val="0000FF"/>
        </w:rPr>
        <w:t xml:space="preserve"> </w:t>
      </w:r>
      <w:hyperlink r:id="rId382">
        <w:r>
          <w:rPr>
            <w:rFonts w:ascii="Arial" w:cs="Arial" w:eastAsia="Arial" w:hAnsi="Arial"/>
            <w:sz w:val="18"/>
            <w:szCs w:val="18"/>
            <w:u w:val="single" w:color="auto"/>
            <w:color w:val="0000FF"/>
          </w:rPr>
          <w:t>Exhibit 4.15 to American’s Current Report on Form 8-K filed on November 12, 2021 (Commission File No. 1-02691)).</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4.154</w:t>
      </w:r>
      <w:r>
        <w:rPr>
          <w:sz w:val="20"/>
          <w:szCs w:val="20"/>
          <w:color w:val="auto"/>
        </w:rPr>
        <w:tab/>
      </w:r>
      <w:hyperlink r:id="rId383">
        <w:r>
          <w:rPr>
            <w:rFonts w:ascii="Arial" w:cs="Arial" w:eastAsia="Arial" w:hAnsi="Arial"/>
            <w:sz w:val="18"/>
            <w:szCs w:val="18"/>
            <w:u w:val="single" w:color="auto"/>
            <w:color w:val="0000FF"/>
          </w:rPr>
          <w:t>Tax Benefit Preservation Plan, dated as of December 21, 2021, between American Airlines Group Inc. and American Stock</w:t>
        </w:r>
      </w:hyperlink>
      <w:r>
        <w:rPr>
          <w:rFonts w:ascii="Arial" w:cs="Arial" w:eastAsia="Arial" w:hAnsi="Arial"/>
          <w:sz w:val="18"/>
          <w:szCs w:val="18"/>
          <w:u w:val="single" w:color="auto"/>
          <w:color w:val="0000FF"/>
        </w:rPr>
        <w:t xml:space="preserve"> </w:t>
      </w:r>
      <w:hyperlink r:id="rId383">
        <w:r>
          <w:rPr>
            <w:rFonts w:ascii="Arial" w:cs="Arial" w:eastAsia="Arial" w:hAnsi="Arial"/>
            <w:sz w:val="18"/>
            <w:szCs w:val="18"/>
            <w:u w:val="single" w:color="auto"/>
            <w:color w:val="0000FF"/>
          </w:rPr>
          <w:t>Transfer &amp; Trust Company, LLC, which includes the Form of Certificate of Designations of Series B Junior Participating Preferred</w:t>
        </w:r>
      </w:hyperlink>
      <w:r>
        <w:rPr>
          <w:rFonts w:ascii="Arial" w:cs="Arial" w:eastAsia="Arial" w:hAnsi="Arial"/>
          <w:sz w:val="18"/>
          <w:szCs w:val="18"/>
          <w:u w:val="single" w:color="auto"/>
          <w:color w:val="0000FF"/>
        </w:rPr>
        <w:t xml:space="preserve"> </w:t>
      </w:r>
      <w:hyperlink r:id="rId383">
        <w:r>
          <w:rPr>
            <w:rFonts w:ascii="Arial" w:cs="Arial" w:eastAsia="Arial" w:hAnsi="Arial"/>
            <w:sz w:val="18"/>
            <w:szCs w:val="18"/>
            <w:u w:val="single" w:color="auto"/>
            <w:color w:val="0000FF"/>
          </w:rPr>
          <w:t>Stock as Exhibit A, the Form of Right Certificate as Exhibit B and the Summary of Rights to Purchase Preferred Shares as Exhibit</w:t>
        </w:r>
      </w:hyperlink>
      <w:r>
        <w:rPr>
          <w:rFonts w:ascii="Arial" w:cs="Arial" w:eastAsia="Arial" w:hAnsi="Arial"/>
          <w:sz w:val="18"/>
          <w:szCs w:val="18"/>
          <w:u w:val="single" w:color="auto"/>
          <w:color w:val="0000FF"/>
        </w:rPr>
        <w:t xml:space="preserve"> </w:t>
      </w:r>
      <w:hyperlink r:id="rId383">
        <w:r>
          <w:rPr>
            <w:rFonts w:ascii="Arial" w:cs="Arial" w:eastAsia="Arial" w:hAnsi="Arial"/>
            <w:sz w:val="18"/>
            <w:szCs w:val="18"/>
            <w:u w:val="single" w:color="auto"/>
            <w:color w:val="0000FF"/>
          </w:rPr>
          <w:t>C (incorporated by reference to Exhibit 4.1 to AAG’s Current Report on Form 8-K filed on December 22, 2021 (Commission File</w:t>
        </w:r>
      </w:hyperlink>
      <w:r>
        <w:rPr>
          <w:rFonts w:ascii="Arial" w:cs="Arial" w:eastAsia="Arial" w:hAnsi="Arial"/>
          <w:sz w:val="18"/>
          <w:szCs w:val="18"/>
          <w:u w:val="single" w:color="auto"/>
          <w:color w:val="0000FF"/>
        </w:rPr>
        <w:t xml:space="preserve"> </w:t>
      </w:r>
      <w:hyperlink r:id="rId383">
        <w:r>
          <w:rPr>
            <w:rFonts w:ascii="Arial" w:cs="Arial" w:eastAsia="Arial" w:hAnsi="Arial"/>
            <w:sz w:val="18"/>
            <w:szCs w:val="18"/>
            <w:u w:val="single" w:color="auto"/>
            <w:color w:val="0000FF"/>
          </w:rPr>
          <w:t>No. 1-8400)).</w:t>
        </w:r>
      </w:hyperlink>
    </w:p>
    <w:p>
      <w:pPr>
        <w:spacing w:after="0" w:line="17" w:lineRule="exact"/>
        <w:rPr>
          <w:rFonts w:ascii="Arial" w:cs="Arial" w:eastAsia="Arial" w:hAnsi="Arial"/>
          <w:sz w:val="18"/>
          <w:szCs w:val="18"/>
          <w:u w:val="single" w:color="auto"/>
          <w:color w:val="0000FF"/>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4.155</w:t>
      </w:r>
      <w:r>
        <w:rPr>
          <w:sz w:val="20"/>
          <w:szCs w:val="20"/>
          <w:color w:val="auto"/>
        </w:rPr>
        <w:tab/>
      </w:r>
      <w:hyperlink r:id="rId377">
        <w:r>
          <w:rPr>
            <w:rFonts w:ascii="Arial" w:cs="Arial" w:eastAsia="Arial" w:hAnsi="Arial"/>
            <w:sz w:val="18"/>
            <w:szCs w:val="18"/>
            <w:u w:val="single" w:color="auto"/>
            <w:color w:val="0000FF"/>
          </w:rPr>
          <w:t>Form of Amendment to Trust Indenture and Security Agreement (Amendment to Trust Indenture and Security Agreement</w:t>
        </w:r>
      </w:hyperlink>
      <w:r>
        <w:rPr>
          <w:rFonts w:ascii="Arial" w:cs="Arial" w:eastAsia="Arial" w:hAnsi="Arial"/>
          <w:sz w:val="18"/>
          <w:szCs w:val="18"/>
          <w:u w:val="single" w:color="auto"/>
          <w:color w:val="0000FF"/>
        </w:rPr>
        <w:t xml:space="preserve"> </w:t>
      </w:r>
      <w:hyperlink r:id="rId377">
        <w:r>
          <w:rPr>
            <w:rFonts w:ascii="Arial" w:cs="Arial" w:eastAsia="Arial" w:hAnsi="Arial"/>
            <w:sz w:val="18"/>
            <w:szCs w:val="18"/>
            <w:u w:val="single" w:color="auto"/>
            <w:color w:val="0000FF"/>
          </w:rPr>
          <w:t>between American Airlines, Inc., Wilmington Trust Company, not in its individual capacity, but solely as Indenture Trustee, and</w:t>
        </w:r>
      </w:hyperlink>
    </w:p>
    <w:p>
      <w:pPr>
        <w:spacing w:after="0" w:line="1" w:lineRule="exact"/>
        <w:rPr>
          <w:sz w:val="20"/>
          <w:szCs w:val="20"/>
          <w:color w:val="auto"/>
        </w:rPr>
      </w:pPr>
    </w:p>
    <w:p>
      <w:pPr>
        <w:jc w:val="both"/>
        <w:ind w:left="920"/>
        <w:spacing w:after="0" w:line="229" w:lineRule="auto"/>
        <w:rPr>
          <w:rFonts w:ascii="Arial" w:cs="Arial" w:eastAsia="Arial" w:hAnsi="Arial"/>
          <w:sz w:val="18"/>
          <w:szCs w:val="18"/>
          <w:u w:val="single" w:color="auto"/>
          <w:color w:val="0000FF"/>
        </w:rPr>
      </w:pPr>
      <w:hyperlink r:id="rId377">
        <w:r>
          <w:rPr>
            <w:rFonts w:ascii="Arial" w:cs="Arial" w:eastAsia="Arial" w:hAnsi="Arial"/>
            <w:sz w:val="18"/>
            <w:szCs w:val="18"/>
            <w:u w:val="single" w:color="auto"/>
            <w:color w:val="0000FF"/>
          </w:rPr>
          <w:t>Wilmington Trust, National Association, as Securities Intermediary) (incorporated by reference to Exhibit B to Exhibit 4.6 to</w:t>
        </w:r>
      </w:hyperlink>
      <w:r>
        <w:rPr>
          <w:rFonts w:ascii="Arial" w:cs="Arial" w:eastAsia="Arial" w:hAnsi="Arial"/>
          <w:sz w:val="18"/>
          <w:szCs w:val="18"/>
          <w:u w:val="single" w:color="auto"/>
          <w:color w:val="0000FF"/>
        </w:rPr>
        <w:t xml:space="preserve"> </w:t>
      </w:r>
      <w:hyperlink r:id="rId377">
        <w:r>
          <w:rPr>
            <w:rFonts w:ascii="Arial" w:cs="Arial" w:eastAsia="Arial" w:hAnsi="Arial"/>
            <w:sz w:val="18"/>
            <w:szCs w:val="18"/>
            <w:u w:val="single" w:color="auto"/>
            <w:color w:val="0000FF"/>
          </w:rPr>
          <w:t>American’s Current Report on Form 8-K filed on May 16, 2018 (Commission File No. 1-2691)).</w:t>
        </w:r>
      </w:hyperlink>
    </w:p>
    <w:p>
      <w:pPr>
        <w:spacing w:after="0" w:line="1"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4.156</w:t>
      </w:r>
      <w:r>
        <w:rPr>
          <w:sz w:val="20"/>
          <w:szCs w:val="20"/>
          <w:color w:val="auto"/>
        </w:rPr>
        <w:tab/>
      </w:r>
      <w:hyperlink r:id="rId376">
        <w:r>
          <w:rPr>
            <w:rFonts w:ascii="Arial" w:cs="Arial" w:eastAsia="Arial" w:hAnsi="Arial"/>
            <w:sz w:val="18"/>
            <w:szCs w:val="18"/>
            <w:u w:val="single" w:color="auto"/>
            <w:color w:val="0000FF"/>
          </w:rPr>
          <w:t>Form of Pass Through Trust Certificate, Series 2012-2C(R) (incorporated by reference to Exhibit A to Exhibit 4.2 to American’s</w:t>
        </w:r>
      </w:hyperlink>
      <w:r>
        <w:rPr>
          <w:rFonts w:ascii="Arial" w:cs="Arial" w:eastAsia="Arial" w:hAnsi="Arial"/>
          <w:sz w:val="18"/>
          <w:szCs w:val="18"/>
          <w:u w:val="single" w:color="auto"/>
          <w:color w:val="0000FF"/>
        </w:rPr>
        <w:t xml:space="preserve"> </w:t>
      </w:r>
      <w:hyperlink r:id="rId376">
        <w:r>
          <w:rPr>
            <w:rFonts w:ascii="Arial" w:cs="Arial" w:eastAsia="Arial" w:hAnsi="Arial"/>
            <w:sz w:val="18"/>
            <w:szCs w:val="18"/>
            <w:u w:val="single" w:color="auto"/>
            <w:color w:val="0000FF"/>
          </w:rPr>
          <w:t>Current Report on Form 8-K filed on May 16, 2018 (Commission File No. 1-2691)).</w:t>
        </w:r>
      </w:hyperlink>
    </w:p>
    <w:p>
      <w:pPr>
        <w:spacing w:after="0" w:line="5"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4.157     </w:t>
      </w:r>
      <w:hyperlink r:id="rId384">
        <w:r>
          <w:rPr>
            <w:rFonts w:ascii="Arial" w:cs="Arial" w:eastAsia="Arial" w:hAnsi="Arial"/>
            <w:sz w:val="18"/>
            <w:szCs w:val="18"/>
            <w:u w:val="single" w:color="auto"/>
            <w:color w:val="0000FF"/>
          </w:rPr>
          <w:t>Trust Supplement No. 2019-1AA (Aircraft EETC), dated as of August 15, 2019, between American Airlines, Inc. and Wilmington</w:t>
        </w:r>
      </w:hyperlink>
      <w:r>
        <w:rPr>
          <w:rFonts w:ascii="Arial" w:cs="Arial" w:eastAsia="Arial" w:hAnsi="Arial"/>
          <w:sz w:val="18"/>
          <w:szCs w:val="18"/>
          <w:color w:val="auto"/>
        </w:rPr>
        <w:t xml:space="preserve"> </w:t>
      </w:r>
      <w:hyperlink r:id="rId384">
        <w:r>
          <w:rPr>
            <w:rFonts w:ascii="Arial" w:cs="Arial" w:eastAsia="Arial" w:hAnsi="Arial"/>
            <w:sz w:val="18"/>
            <w:szCs w:val="18"/>
            <w:u w:val="single" w:color="auto"/>
            <w:color w:val="0000FF"/>
          </w:rPr>
          <w:t>Trust Company, as Trustee, to the Pass Through Trust Agreement, dated as of September 16, 2014 (incorporated by reference to</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84">
        <w:r>
          <w:rPr>
            <w:rFonts w:ascii="Arial" w:cs="Arial" w:eastAsia="Arial" w:hAnsi="Arial"/>
            <w:sz w:val="18"/>
            <w:szCs w:val="18"/>
            <w:u w:val="single" w:color="auto"/>
            <w:color w:val="0000FF"/>
          </w:rPr>
          <w:t>Exhibit 4.2 to American’s Current Report on Form 8-K filed on August 15, 2019 (Commission File No. 1-02691)).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4.158     </w:t>
      </w:r>
      <w:hyperlink r:id="rId385">
        <w:r>
          <w:rPr>
            <w:rFonts w:ascii="Arial" w:cs="Arial" w:eastAsia="Arial" w:hAnsi="Arial"/>
            <w:sz w:val="18"/>
            <w:szCs w:val="18"/>
            <w:u w:val="single" w:color="auto"/>
            <w:color w:val="0000FF"/>
          </w:rPr>
          <w:t>Trust Supplement No. 2019-1A (Aircraft EETC), dated as of August 15, 2019, between American Airlines, Inc. and Wilmington</w:t>
        </w:r>
      </w:hyperlink>
      <w:r>
        <w:rPr>
          <w:rFonts w:ascii="Arial" w:cs="Arial" w:eastAsia="Arial" w:hAnsi="Arial"/>
          <w:sz w:val="18"/>
          <w:szCs w:val="18"/>
          <w:color w:val="auto"/>
        </w:rPr>
        <w:t xml:space="preserve"> </w:t>
      </w:r>
      <w:hyperlink r:id="rId385">
        <w:r>
          <w:rPr>
            <w:rFonts w:ascii="Arial" w:cs="Arial" w:eastAsia="Arial" w:hAnsi="Arial"/>
            <w:sz w:val="18"/>
            <w:szCs w:val="18"/>
            <w:u w:val="single" w:color="auto"/>
            <w:color w:val="0000FF"/>
          </w:rPr>
          <w:t>Trust Company, as Trustee, to the Pass Through Trust Agreement, dated as of September 16, 2014 (incorporated by reference to</w:t>
        </w:r>
      </w:hyperlink>
    </w:p>
    <w:p>
      <w:pPr>
        <w:ind w:left="920"/>
        <w:spacing w:after="0"/>
        <w:rPr>
          <w:rFonts w:ascii="Arial" w:cs="Arial" w:eastAsia="Arial" w:hAnsi="Arial"/>
          <w:sz w:val="18"/>
          <w:szCs w:val="18"/>
          <w:u w:val="single" w:color="auto"/>
          <w:color w:val="0000FF"/>
        </w:rPr>
      </w:pPr>
      <w:hyperlink r:id="rId385">
        <w:r>
          <w:rPr>
            <w:rFonts w:ascii="Arial" w:cs="Arial" w:eastAsia="Arial" w:hAnsi="Arial"/>
            <w:sz w:val="18"/>
            <w:szCs w:val="18"/>
            <w:u w:val="single" w:color="auto"/>
            <w:color w:val="0000FF"/>
          </w:rPr>
          <w:t>Exhibit 4.3 to American’s Current Report on Form 8-K filed on August 15, 2019 (Commission File No. 1-02691)).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4.159     </w:t>
      </w:r>
      <w:hyperlink r:id="rId386">
        <w:r>
          <w:rPr>
            <w:rFonts w:ascii="Arial" w:cs="Arial" w:eastAsia="Arial" w:hAnsi="Arial"/>
            <w:sz w:val="18"/>
            <w:szCs w:val="18"/>
            <w:u w:val="single" w:color="auto"/>
            <w:color w:val="0000FF"/>
          </w:rPr>
          <w:t>Trust Supplement No. 2019-1B (Aircraft EETC), dated as of August 15, 2019, between American Airlines, Inc. and Wilmington</w:t>
        </w:r>
      </w:hyperlink>
      <w:r>
        <w:rPr>
          <w:rFonts w:ascii="Arial" w:cs="Arial" w:eastAsia="Arial" w:hAnsi="Arial"/>
          <w:sz w:val="18"/>
          <w:szCs w:val="18"/>
          <w:color w:val="auto"/>
        </w:rPr>
        <w:t xml:space="preserve"> </w:t>
      </w:r>
      <w:hyperlink r:id="rId386">
        <w:r>
          <w:rPr>
            <w:rFonts w:ascii="Arial" w:cs="Arial" w:eastAsia="Arial" w:hAnsi="Arial"/>
            <w:sz w:val="18"/>
            <w:szCs w:val="18"/>
            <w:u w:val="single" w:color="auto"/>
            <w:color w:val="0000FF"/>
          </w:rPr>
          <w:t>Trust Company, as Trustee, to the Pass Through Trust Agreement, dated as of September 16, 2014 (incorporated by reference to</w:t>
        </w:r>
      </w:hyperlink>
    </w:p>
    <w:p>
      <w:pPr>
        <w:ind w:left="920"/>
        <w:spacing w:after="0"/>
        <w:rPr>
          <w:rFonts w:ascii="Arial" w:cs="Arial" w:eastAsia="Arial" w:hAnsi="Arial"/>
          <w:sz w:val="18"/>
          <w:szCs w:val="18"/>
          <w:u w:val="single" w:color="auto"/>
          <w:color w:val="0000FF"/>
        </w:rPr>
      </w:pPr>
      <w:hyperlink r:id="rId386">
        <w:r>
          <w:rPr>
            <w:rFonts w:ascii="Arial" w:cs="Arial" w:eastAsia="Arial" w:hAnsi="Arial"/>
            <w:sz w:val="18"/>
            <w:szCs w:val="18"/>
            <w:u w:val="single" w:color="auto"/>
            <w:color w:val="0000FF"/>
          </w:rPr>
          <w:t>Exhibit 4.4 to American’s Current Report on Form 8-K filed on August 15, 2019 (Commission File No. 1-02691)).</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4.160     </w:t>
      </w:r>
      <w:hyperlink r:id="rId387">
        <w:r>
          <w:rPr>
            <w:rFonts w:ascii="Arial" w:cs="Arial" w:eastAsia="Arial" w:hAnsi="Arial"/>
            <w:sz w:val="18"/>
            <w:szCs w:val="18"/>
            <w:u w:val="single" w:color="auto"/>
            <w:color w:val="0000FF"/>
          </w:rPr>
          <w:t>Intercreditor Agreement (2019-1), dated as of August 15, 2019, among Wilmington Trust Company, as Trustee of the American</w:t>
        </w:r>
      </w:hyperlink>
      <w:r>
        <w:rPr>
          <w:rFonts w:ascii="Arial" w:cs="Arial" w:eastAsia="Arial" w:hAnsi="Arial"/>
          <w:sz w:val="18"/>
          <w:szCs w:val="18"/>
          <w:color w:val="auto"/>
        </w:rPr>
        <w:t xml:space="preserve"> </w:t>
      </w:r>
      <w:hyperlink r:id="rId387">
        <w:r>
          <w:rPr>
            <w:rFonts w:ascii="Arial" w:cs="Arial" w:eastAsia="Arial" w:hAnsi="Arial"/>
            <w:sz w:val="18"/>
            <w:szCs w:val="18"/>
            <w:u w:val="single" w:color="auto"/>
            <w:color w:val="0000FF"/>
          </w:rPr>
          <w:t>Airlines Pass Through Trust 2019-1AA (Aircraft EETC), as Trustee of the American Airlines Pass Through Trust 2019-1A (Aircraft</w:t>
        </w:r>
      </w:hyperlink>
    </w:p>
    <w:p>
      <w:pPr>
        <w:jc w:val="both"/>
        <w:ind w:left="920"/>
        <w:spacing w:after="0" w:line="220" w:lineRule="auto"/>
        <w:rPr>
          <w:rFonts w:ascii="Arial" w:cs="Arial" w:eastAsia="Arial" w:hAnsi="Arial"/>
          <w:sz w:val="17"/>
          <w:szCs w:val="17"/>
          <w:u w:val="single" w:color="auto"/>
          <w:color w:val="0000FF"/>
        </w:rPr>
      </w:pPr>
      <w:hyperlink r:id="rId387">
        <w:r>
          <w:rPr>
            <w:rFonts w:ascii="Arial" w:cs="Arial" w:eastAsia="Arial" w:hAnsi="Arial"/>
            <w:sz w:val="17"/>
            <w:szCs w:val="17"/>
            <w:u w:val="single" w:color="auto"/>
            <w:color w:val="0000FF"/>
          </w:rPr>
          <w:t>EETC) and as Trustee of the American Airlines Pass Through Trust 2019-1B (Aircraft EETC), National Australia Bank Limited, as</w:t>
        </w:r>
      </w:hyperlink>
      <w:r>
        <w:rPr>
          <w:rFonts w:ascii="Arial" w:cs="Arial" w:eastAsia="Arial" w:hAnsi="Arial"/>
          <w:sz w:val="17"/>
          <w:szCs w:val="17"/>
          <w:u w:val="single" w:color="auto"/>
          <w:color w:val="0000FF"/>
        </w:rPr>
        <w:t xml:space="preserve"> </w:t>
      </w:r>
      <w:hyperlink r:id="rId387">
        <w:r>
          <w:rPr>
            <w:rFonts w:ascii="Arial" w:cs="Arial" w:eastAsia="Arial" w:hAnsi="Arial"/>
            <w:sz w:val="17"/>
            <w:szCs w:val="17"/>
            <w:u w:val="single" w:color="auto"/>
            <w:color w:val="0000FF"/>
          </w:rPr>
          <w:t>Class AA Liquidity Provider, Class A Liquidity Provider and Class B Liquidity Provider, and Wilmington Trust Company, as</w:t>
        </w:r>
      </w:hyperlink>
      <w:r>
        <w:rPr>
          <w:rFonts w:ascii="Arial" w:cs="Arial" w:eastAsia="Arial" w:hAnsi="Arial"/>
          <w:sz w:val="17"/>
          <w:szCs w:val="17"/>
          <w:u w:val="single" w:color="auto"/>
          <w:color w:val="0000FF"/>
        </w:rPr>
        <w:t xml:space="preserve"> </w:t>
      </w:r>
      <w:hyperlink r:id="rId387">
        <w:r>
          <w:rPr>
            <w:rFonts w:ascii="Arial" w:cs="Arial" w:eastAsia="Arial" w:hAnsi="Arial"/>
            <w:sz w:val="17"/>
            <w:szCs w:val="17"/>
            <w:u w:val="single" w:color="auto"/>
            <w:color w:val="0000FF"/>
          </w:rPr>
          <w:t>Subordination Agent (incorporated by reference to Exhibit 4.5 to American’s Current Report on Form 8-K filed on August 15, 2019</w:t>
        </w:r>
      </w:hyperlink>
    </w:p>
    <w:p>
      <w:pPr>
        <w:spacing w:after="0" w:line="2" w:lineRule="exact"/>
        <w:rPr>
          <w:rFonts w:ascii="Arial" w:cs="Arial" w:eastAsia="Arial" w:hAnsi="Arial"/>
          <w:sz w:val="17"/>
          <w:szCs w:val="17"/>
          <w:u w:val="single" w:color="auto"/>
          <w:color w:val="0000FF"/>
        </w:rPr>
      </w:pPr>
    </w:p>
    <w:p>
      <w:pPr>
        <w:ind w:left="920"/>
        <w:spacing w:after="0"/>
        <w:rPr>
          <w:rFonts w:ascii="Arial" w:cs="Arial" w:eastAsia="Arial" w:hAnsi="Arial"/>
          <w:sz w:val="18"/>
          <w:szCs w:val="18"/>
          <w:u w:val="single" w:color="auto"/>
          <w:color w:val="0000FF"/>
        </w:rPr>
      </w:pPr>
      <w:hyperlink r:id="rId387">
        <w:r>
          <w:rPr>
            <w:rFonts w:ascii="Arial" w:cs="Arial" w:eastAsia="Arial" w:hAnsi="Arial"/>
            <w:sz w:val="18"/>
            <w:szCs w:val="18"/>
            <w:u w:val="single" w:color="auto"/>
            <w:color w:val="0000FF"/>
          </w:rPr>
          <w:t>(Commission File No. 1-02691)).</w:t>
        </w:r>
      </w:hyperlink>
    </w:p>
    <w:p>
      <w:pPr>
        <w:spacing w:after="0" w:line="14" w:lineRule="exact"/>
        <w:rPr>
          <w:rFonts w:ascii="Arial" w:cs="Arial" w:eastAsia="Arial" w:hAnsi="Arial"/>
          <w:sz w:val="17"/>
          <w:szCs w:val="17"/>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4.161     </w:t>
      </w:r>
      <w:hyperlink r:id="rId388">
        <w:r>
          <w:rPr>
            <w:rFonts w:ascii="Arial" w:cs="Arial" w:eastAsia="Arial" w:hAnsi="Arial"/>
            <w:sz w:val="18"/>
            <w:szCs w:val="18"/>
            <w:u w:val="single" w:color="auto"/>
            <w:color w:val="0000FF"/>
          </w:rPr>
          <w:t>Note Purchase Agreement, dated as of August 15, 2019, among American Airlines, Inc., Wilmington Trust Company, as Pass</w:t>
        </w:r>
      </w:hyperlink>
      <w:r>
        <w:rPr>
          <w:rFonts w:ascii="Arial" w:cs="Arial" w:eastAsia="Arial" w:hAnsi="Arial"/>
          <w:sz w:val="18"/>
          <w:szCs w:val="18"/>
          <w:color w:val="auto"/>
        </w:rPr>
        <w:t xml:space="preserve"> </w:t>
      </w:r>
      <w:hyperlink r:id="rId388">
        <w:r>
          <w:rPr>
            <w:rFonts w:ascii="Arial" w:cs="Arial" w:eastAsia="Arial" w:hAnsi="Arial"/>
            <w:sz w:val="18"/>
            <w:szCs w:val="18"/>
            <w:u w:val="single" w:color="auto"/>
            <w:color w:val="0000FF"/>
          </w:rPr>
          <w:t>Through Trustee under each of the Pass Through Trust Agreements, Wilmington Trust Company, as Subordination Agent,</w:t>
        </w:r>
      </w:hyperlink>
    </w:p>
    <w:p>
      <w:pPr>
        <w:jc w:val="both"/>
        <w:ind w:left="920"/>
        <w:spacing w:after="0" w:line="229" w:lineRule="auto"/>
        <w:rPr>
          <w:rFonts w:ascii="Arial" w:cs="Arial" w:eastAsia="Arial" w:hAnsi="Arial"/>
          <w:sz w:val="18"/>
          <w:szCs w:val="18"/>
          <w:u w:val="single" w:color="auto"/>
          <w:color w:val="0000FF"/>
        </w:rPr>
      </w:pPr>
      <w:hyperlink r:id="rId388">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388">
        <w:r>
          <w:rPr>
            <w:rFonts w:ascii="Arial" w:cs="Arial" w:eastAsia="Arial" w:hAnsi="Arial"/>
            <w:sz w:val="18"/>
            <w:szCs w:val="18"/>
            <w:u w:val="single" w:color="auto"/>
            <w:color w:val="0000FF"/>
          </w:rPr>
          <w:t>reference to Exhibit 4.12 to American’s Current Report on Form 8-K filed on August 15, 2019 (Commission File No. 1-02691)).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4.162     </w:t>
      </w:r>
      <w:hyperlink r:id="rId388">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color w:val="auto"/>
        </w:rPr>
        <w:t xml:space="preserve"> </w:t>
      </w:r>
      <w:hyperlink r:id="rId388">
        <w:r>
          <w:rPr>
            <w:rFonts w:ascii="Arial" w:cs="Arial" w:eastAsia="Arial" w:hAnsi="Arial"/>
            <w:sz w:val="18"/>
            <w:szCs w:val="18"/>
            <w:u w:val="single" w:color="auto"/>
            <w:color w:val="0000FF"/>
          </w:rPr>
          <w:t>Through Trustee under each of the Pass Through Trust Agreements, Wilmington Trust Company, as Subordination Agent,</w:t>
        </w:r>
      </w:hyperlink>
    </w:p>
    <w:p>
      <w:pPr>
        <w:jc w:val="both"/>
        <w:ind w:left="920"/>
        <w:spacing w:after="0" w:line="220" w:lineRule="auto"/>
        <w:rPr>
          <w:rFonts w:ascii="Arial" w:cs="Arial" w:eastAsia="Arial" w:hAnsi="Arial"/>
          <w:sz w:val="18"/>
          <w:szCs w:val="18"/>
          <w:u w:val="single" w:color="auto"/>
          <w:color w:val="0000FF"/>
        </w:rPr>
      </w:pPr>
      <w:hyperlink r:id="rId388">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88">
        <w:r>
          <w:rPr>
            <w:rFonts w:ascii="Arial" w:cs="Arial" w:eastAsia="Arial" w:hAnsi="Arial"/>
            <w:sz w:val="18"/>
            <w:szCs w:val="18"/>
            <w:u w:val="single" w:color="auto"/>
            <w:color w:val="0000FF"/>
          </w:rPr>
          <w:t>(incorporated by reference to Exhibit B to Exhibit 4.12 to American’s Current Report on Form 8-K filed on August 15, 2019</w:t>
        </w:r>
      </w:hyperlink>
      <w:r>
        <w:rPr>
          <w:rFonts w:ascii="Arial" w:cs="Arial" w:eastAsia="Arial" w:hAnsi="Arial"/>
          <w:sz w:val="18"/>
          <w:szCs w:val="18"/>
          <w:u w:val="single" w:color="auto"/>
          <w:color w:val="0000FF"/>
        </w:rPr>
        <w:t xml:space="preserve"> </w:t>
      </w:r>
      <w:hyperlink r:id="rId388">
        <w:r>
          <w:rPr>
            <w:rFonts w:ascii="Arial" w:cs="Arial" w:eastAsia="Arial" w:hAnsi="Arial"/>
            <w:sz w:val="18"/>
            <w:szCs w:val="18"/>
            <w:u w:val="single" w:color="auto"/>
            <w:color w:val="0000FF"/>
          </w:rPr>
          <w:t>(Commission File No. 1-02691)).</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4.163     </w:t>
      </w:r>
      <w:hyperlink r:id="rId388">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color w:val="auto"/>
        </w:rPr>
        <w:t xml:space="preserve"> </w:t>
      </w:r>
      <w:hyperlink r:id="rId388">
        <w:r>
          <w:rPr>
            <w:rFonts w:ascii="Arial" w:cs="Arial" w:eastAsia="Arial" w:hAnsi="Arial"/>
            <w:sz w:val="18"/>
            <w:szCs w:val="18"/>
            <w:u w:val="single" w:color="auto"/>
            <w:color w:val="0000FF"/>
          </w:rPr>
          <w:t>Trust Company, as Loan Trustee) (incorporated by reference to Exhibit C to Exhibit 4.12 to American’s Current Report on Form 8-</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88">
        <w:r>
          <w:rPr>
            <w:rFonts w:ascii="Arial" w:cs="Arial" w:eastAsia="Arial" w:hAnsi="Arial"/>
            <w:sz w:val="18"/>
            <w:szCs w:val="18"/>
            <w:u w:val="single" w:color="auto"/>
            <w:color w:val="0000FF"/>
          </w:rPr>
          <w:t>K filed on August 15, 2019 (Commission File No. 1-02691)).</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4.164</w:t>
      </w:r>
      <w:r>
        <w:rPr>
          <w:sz w:val="20"/>
          <w:szCs w:val="20"/>
          <w:color w:val="auto"/>
        </w:rPr>
        <w:tab/>
      </w:r>
      <w:hyperlink r:id="rId384">
        <w:r>
          <w:rPr>
            <w:rFonts w:ascii="Arial" w:cs="Arial" w:eastAsia="Arial" w:hAnsi="Arial"/>
            <w:sz w:val="18"/>
            <w:szCs w:val="18"/>
            <w:u w:val="single" w:color="auto"/>
            <w:color w:val="0000FF"/>
          </w:rPr>
          <w:t>Form of Pass Through Trust Certificate, Series 2019-1AA (Aircraft EETC) (incorporated by reference to Exhibit A to Exhibit 4.2 to</w:t>
        </w:r>
      </w:hyperlink>
      <w:r>
        <w:rPr>
          <w:rFonts w:ascii="Arial" w:cs="Arial" w:eastAsia="Arial" w:hAnsi="Arial"/>
          <w:sz w:val="18"/>
          <w:szCs w:val="18"/>
          <w:u w:val="single" w:color="auto"/>
          <w:color w:val="0000FF"/>
        </w:rPr>
        <w:t xml:space="preserve"> </w:t>
      </w:r>
      <w:hyperlink r:id="rId384">
        <w:r>
          <w:rPr>
            <w:rFonts w:ascii="Arial" w:cs="Arial" w:eastAsia="Arial" w:hAnsi="Arial"/>
            <w:sz w:val="18"/>
            <w:szCs w:val="18"/>
            <w:u w:val="single" w:color="auto"/>
            <w:color w:val="0000FF"/>
          </w:rPr>
          <w:t>American’s Current Report on Form 8-K filed on August 15, 2019 (Commission File No. 1-02691)).</w:t>
        </w:r>
      </w:hyperlink>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89"/>
        <w:spacing w:after="0" w:line="230"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4.165</w:t>
      </w:r>
      <w:r>
        <w:rPr>
          <w:sz w:val="20"/>
          <w:szCs w:val="20"/>
          <w:color w:val="auto"/>
        </w:rPr>
        <w:tab/>
      </w:r>
      <w:hyperlink r:id="rId385">
        <w:r>
          <w:rPr>
            <w:rFonts w:ascii="Arial" w:cs="Arial" w:eastAsia="Arial" w:hAnsi="Arial"/>
            <w:sz w:val="18"/>
            <w:szCs w:val="18"/>
            <w:u w:val="single" w:color="auto"/>
            <w:color w:val="0000FF"/>
          </w:rPr>
          <w:t>Form of Pass Through Trust Certificate, Series 2019-1A (Aircraft EETC) (incorporated by reference to Exhibit A to Exhibit 4.3 to</w:t>
        </w:r>
      </w:hyperlink>
      <w:r>
        <w:rPr>
          <w:rFonts w:ascii="Arial" w:cs="Arial" w:eastAsia="Arial" w:hAnsi="Arial"/>
          <w:sz w:val="18"/>
          <w:szCs w:val="18"/>
          <w:u w:val="single" w:color="auto"/>
          <w:color w:val="0000FF"/>
        </w:rPr>
        <w:t xml:space="preserve"> </w:t>
      </w:r>
      <w:hyperlink r:id="rId385">
        <w:r>
          <w:rPr>
            <w:rFonts w:ascii="Arial" w:cs="Arial" w:eastAsia="Arial" w:hAnsi="Arial"/>
            <w:sz w:val="18"/>
            <w:szCs w:val="18"/>
            <w:u w:val="single" w:color="auto"/>
            <w:color w:val="0000FF"/>
          </w:rPr>
          <w:t>American’s Current Report on Form 8-K filed on August 15, 2019 (Commission File No. 1-02691)).</w:t>
        </w:r>
      </w:hyperlink>
    </w:p>
    <w:p>
      <w:pPr>
        <w:spacing w:after="0" w:line="4" w:lineRule="exact"/>
        <w:rPr>
          <w:sz w:val="20"/>
          <w:szCs w:val="20"/>
          <w:color w:val="auto"/>
        </w:rPr>
      </w:pPr>
    </w:p>
    <w:p>
      <w:pPr>
        <w:jc w:val="both"/>
        <w:ind w:left="920" w:hanging="889"/>
        <w:spacing w:after="0" w:line="23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4.166</w:t>
      </w:r>
      <w:r>
        <w:rPr>
          <w:sz w:val="20"/>
          <w:szCs w:val="20"/>
          <w:color w:val="auto"/>
        </w:rPr>
        <w:tab/>
      </w:r>
      <w:hyperlink r:id="rId386">
        <w:r>
          <w:rPr>
            <w:rFonts w:ascii="Arial" w:cs="Arial" w:eastAsia="Arial" w:hAnsi="Arial"/>
            <w:sz w:val="18"/>
            <w:szCs w:val="18"/>
            <w:u w:val="single" w:color="auto"/>
            <w:color w:val="0000FF"/>
          </w:rPr>
          <w:t>Form of Pass Through Trust Certificate, Series 2019-1B (Aircraft EETC) (incorporated by reference to Exhibit A to Exhibit 4.4 to</w:t>
        </w:r>
      </w:hyperlink>
      <w:r>
        <w:rPr>
          <w:rFonts w:ascii="Arial" w:cs="Arial" w:eastAsia="Arial" w:hAnsi="Arial"/>
          <w:sz w:val="18"/>
          <w:szCs w:val="18"/>
          <w:u w:val="single" w:color="auto"/>
          <w:color w:val="0000FF"/>
        </w:rPr>
        <w:t xml:space="preserve"> </w:t>
      </w:r>
      <w:hyperlink r:id="rId386">
        <w:r>
          <w:rPr>
            <w:rFonts w:ascii="Arial" w:cs="Arial" w:eastAsia="Arial" w:hAnsi="Arial"/>
            <w:sz w:val="18"/>
            <w:szCs w:val="18"/>
            <w:u w:val="single" w:color="auto"/>
            <w:color w:val="0000FF"/>
          </w:rPr>
          <w:t>American’s Current Report on Form 8-K filed on August 15, 2019 (Commission File No. 1-02691)).</w:t>
        </w:r>
      </w:hyperlink>
    </w:p>
    <w:p>
      <w:pPr>
        <w:spacing w:after="0" w:line="6"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4.167</w:t>
      </w:r>
      <w:r>
        <w:rPr>
          <w:sz w:val="20"/>
          <w:szCs w:val="20"/>
          <w:color w:val="auto"/>
        </w:rPr>
        <w:tab/>
      </w:r>
      <w:hyperlink r:id="rId390">
        <w:r>
          <w:rPr>
            <w:rFonts w:ascii="Arial" w:cs="Arial" w:eastAsia="Arial" w:hAnsi="Arial"/>
            <w:sz w:val="18"/>
            <w:szCs w:val="18"/>
            <w:u w:val="single" w:color="auto"/>
            <w:color w:val="0000FF"/>
          </w:rPr>
          <w:t>Revolving Credit Agreement (2019-1AA), dated as of August 15, 2019, between Wilmington Trust Company, as Subordination</w:t>
        </w:r>
      </w:hyperlink>
      <w:r>
        <w:rPr>
          <w:rFonts w:ascii="Arial" w:cs="Arial" w:eastAsia="Arial" w:hAnsi="Arial"/>
          <w:sz w:val="18"/>
          <w:szCs w:val="18"/>
          <w:u w:val="single" w:color="auto"/>
          <w:color w:val="0000FF"/>
        </w:rPr>
        <w:t xml:space="preserve"> </w:t>
      </w:r>
      <w:hyperlink r:id="rId390">
        <w:r>
          <w:rPr>
            <w:rFonts w:ascii="Arial" w:cs="Arial" w:eastAsia="Arial" w:hAnsi="Arial"/>
            <w:sz w:val="18"/>
            <w:szCs w:val="18"/>
            <w:u w:val="single" w:color="auto"/>
            <w:color w:val="0000FF"/>
          </w:rPr>
          <w:t>Agent, as agent and trustee for the trustee of the American Airlines Pass Through Trust 2019-1AA (Aircraft EETC), as Borrower,</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90">
        <w:r>
          <w:rPr>
            <w:rFonts w:ascii="Arial" w:cs="Arial" w:eastAsia="Arial" w:hAnsi="Arial"/>
            <w:sz w:val="18"/>
            <w:szCs w:val="18"/>
            <w:u w:val="single" w:color="auto"/>
            <w:color w:val="0000FF"/>
          </w:rPr>
          <w:t>and National Australia Bank Limited, as Liquidity Provider (incorporated by reference to Exhibit 4.18 to American’s Current Report</w:t>
        </w:r>
      </w:hyperlink>
      <w:r>
        <w:rPr>
          <w:rFonts w:ascii="Arial" w:cs="Arial" w:eastAsia="Arial" w:hAnsi="Arial"/>
          <w:sz w:val="18"/>
          <w:szCs w:val="18"/>
          <w:u w:val="single" w:color="auto"/>
          <w:color w:val="0000FF"/>
        </w:rPr>
        <w:t xml:space="preserve"> </w:t>
      </w:r>
      <w:hyperlink r:id="rId390">
        <w:r>
          <w:rPr>
            <w:rFonts w:ascii="Arial" w:cs="Arial" w:eastAsia="Arial" w:hAnsi="Arial"/>
            <w:sz w:val="18"/>
            <w:szCs w:val="18"/>
            <w:u w:val="single" w:color="auto"/>
            <w:color w:val="0000FF"/>
          </w:rPr>
          <w:t>on Form 8-K filed on August 15, 2019 (Commission File No. 1-02691)).</w:t>
        </w:r>
      </w:hyperlink>
    </w:p>
    <w:p>
      <w:pPr>
        <w:spacing w:after="0" w:line="1"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4.168</w:t>
      </w:r>
      <w:r>
        <w:rPr>
          <w:sz w:val="20"/>
          <w:szCs w:val="20"/>
          <w:color w:val="auto"/>
        </w:rPr>
        <w:tab/>
      </w:r>
      <w:hyperlink r:id="rId391">
        <w:r>
          <w:rPr>
            <w:rFonts w:ascii="Arial" w:cs="Arial" w:eastAsia="Arial" w:hAnsi="Arial"/>
            <w:sz w:val="18"/>
            <w:szCs w:val="18"/>
            <w:u w:val="single" w:color="auto"/>
            <w:color w:val="0000FF"/>
          </w:rPr>
          <w:t>Revolving Credit Agreement (2019-1A), dated as of August 15, 2019, between Wilmington Trust Company, as Subordination</w:t>
        </w:r>
      </w:hyperlink>
      <w:r>
        <w:rPr>
          <w:rFonts w:ascii="Arial" w:cs="Arial" w:eastAsia="Arial" w:hAnsi="Arial"/>
          <w:sz w:val="18"/>
          <w:szCs w:val="18"/>
          <w:u w:val="single" w:color="auto"/>
          <w:color w:val="0000FF"/>
        </w:rPr>
        <w:t xml:space="preserve"> </w:t>
      </w:r>
      <w:hyperlink r:id="rId391">
        <w:r>
          <w:rPr>
            <w:rFonts w:ascii="Arial" w:cs="Arial" w:eastAsia="Arial" w:hAnsi="Arial"/>
            <w:sz w:val="18"/>
            <w:szCs w:val="18"/>
            <w:u w:val="single" w:color="auto"/>
            <w:color w:val="0000FF"/>
          </w:rPr>
          <w:t>Agent, as agent and trustee for the trustee of the American Airlines Pass Through Trust 2019-1A (Aircraft EETC), as Borrower,</w:t>
        </w:r>
      </w:hyperlink>
    </w:p>
    <w:p>
      <w:pPr>
        <w:ind w:left="920"/>
        <w:spacing w:after="0" w:line="229" w:lineRule="auto"/>
        <w:rPr>
          <w:rFonts w:ascii="Arial" w:cs="Arial" w:eastAsia="Arial" w:hAnsi="Arial"/>
          <w:sz w:val="18"/>
          <w:szCs w:val="18"/>
          <w:u w:val="single" w:color="auto"/>
          <w:color w:val="0000FF"/>
        </w:rPr>
      </w:pPr>
      <w:hyperlink r:id="rId391">
        <w:r>
          <w:rPr>
            <w:rFonts w:ascii="Arial" w:cs="Arial" w:eastAsia="Arial" w:hAnsi="Arial"/>
            <w:sz w:val="18"/>
            <w:szCs w:val="18"/>
            <w:u w:val="single" w:color="auto"/>
            <w:color w:val="0000FF"/>
          </w:rPr>
          <w:t>and National Australia Bank Limited, as Liquidity Provider (incorporated by reference to Exhibit 4.19 to American’s Current Report</w:t>
        </w:r>
      </w:hyperlink>
      <w:r>
        <w:rPr>
          <w:rFonts w:ascii="Arial" w:cs="Arial" w:eastAsia="Arial" w:hAnsi="Arial"/>
          <w:sz w:val="18"/>
          <w:szCs w:val="18"/>
          <w:u w:val="single" w:color="auto"/>
          <w:color w:val="0000FF"/>
        </w:rPr>
        <w:t xml:space="preserve"> </w:t>
      </w:r>
      <w:hyperlink r:id="rId391">
        <w:r>
          <w:rPr>
            <w:rFonts w:ascii="Arial" w:cs="Arial" w:eastAsia="Arial" w:hAnsi="Arial"/>
            <w:sz w:val="18"/>
            <w:szCs w:val="18"/>
            <w:u w:val="single" w:color="auto"/>
            <w:color w:val="0000FF"/>
          </w:rPr>
          <w:t>on Form 8-K filed on August 15, 2019 (Commission File No. 1-02691)).</w:t>
        </w:r>
      </w:hyperlink>
    </w:p>
    <w:p>
      <w:pPr>
        <w:spacing w:after="0" w:line="1" w:lineRule="exact"/>
        <w:rPr>
          <w:sz w:val="20"/>
          <w:szCs w:val="20"/>
          <w:color w:val="auto"/>
        </w:rPr>
      </w:pPr>
    </w:p>
    <w:p>
      <w:pPr>
        <w:jc w:val="both"/>
        <w:ind w:left="920" w:hanging="889"/>
        <w:spacing w:after="0" w:line="24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4.169</w:t>
      </w:r>
      <w:r>
        <w:rPr>
          <w:sz w:val="20"/>
          <w:szCs w:val="20"/>
          <w:color w:val="auto"/>
        </w:rPr>
        <w:tab/>
      </w:r>
      <w:hyperlink r:id="rId378">
        <w:r>
          <w:rPr>
            <w:rFonts w:ascii="Arial" w:cs="Arial" w:eastAsia="Arial" w:hAnsi="Arial"/>
            <w:sz w:val="18"/>
            <w:szCs w:val="18"/>
            <w:u w:val="single" w:color="auto"/>
            <w:color w:val="0000FF"/>
          </w:rPr>
          <w:t>Trust Supplement No. 2021-1A, dated as of November 8, 2021, between American Airlines, Inc. and Wilmington Trust Company,</w:t>
        </w:r>
      </w:hyperlink>
      <w:r>
        <w:rPr>
          <w:rFonts w:ascii="Arial" w:cs="Arial" w:eastAsia="Arial" w:hAnsi="Arial"/>
          <w:sz w:val="18"/>
          <w:szCs w:val="18"/>
          <w:u w:val="single" w:color="auto"/>
          <w:color w:val="0000FF"/>
        </w:rPr>
        <w:t xml:space="preserve"> </w:t>
      </w:r>
      <w:hyperlink r:id="rId378">
        <w:r>
          <w:rPr>
            <w:rFonts w:ascii="Arial" w:cs="Arial" w:eastAsia="Arial" w:hAnsi="Arial"/>
            <w:sz w:val="18"/>
            <w:szCs w:val="18"/>
            <w:u w:val="single" w:color="auto"/>
            <w:color w:val="0000FF"/>
          </w:rPr>
          <w:t>as Trustee, to the Pass Through Trust Agreement, dated as of September 16, 2014 (incorporated by reference to Exhibit 4.2 to</w:t>
        </w:r>
      </w:hyperlink>
      <w:r>
        <w:rPr>
          <w:rFonts w:ascii="Arial" w:cs="Arial" w:eastAsia="Arial" w:hAnsi="Arial"/>
          <w:sz w:val="18"/>
          <w:szCs w:val="18"/>
          <w:u w:val="single" w:color="auto"/>
          <w:color w:val="0000FF"/>
        </w:rPr>
        <w:t xml:space="preserve"> </w:t>
      </w:r>
      <w:hyperlink r:id="rId378">
        <w:r>
          <w:rPr>
            <w:rFonts w:ascii="Arial" w:cs="Arial" w:eastAsia="Arial" w:hAnsi="Arial"/>
            <w:sz w:val="18"/>
            <w:szCs w:val="18"/>
            <w:u w:val="single" w:color="auto"/>
            <w:color w:val="0000FF"/>
          </w:rPr>
          <w:t>American’s Current Report on Form 8-K filed on November 12, 2021 (Commission File No. 1-02691)).</w:t>
        </w:r>
      </w:hyperlink>
    </w:p>
    <w:p>
      <w:pPr>
        <w:spacing w:after="0" w:line="12"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4.170</w:t>
      </w:r>
      <w:r>
        <w:rPr>
          <w:sz w:val="20"/>
          <w:szCs w:val="20"/>
          <w:color w:val="auto"/>
        </w:rPr>
        <w:tab/>
      </w:r>
      <w:hyperlink r:id="rId380">
        <w:r>
          <w:rPr>
            <w:rFonts w:ascii="Arial" w:cs="Arial" w:eastAsia="Arial" w:hAnsi="Arial"/>
            <w:sz w:val="18"/>
            <w:szCs w:val="18"/>
            <w:u w:val="single" w:color="auto"/>
            <w:color w:val="0000FF"/>
          </w:rPr>
          <w:t>Trust Supplement No. 2021-1B, dated as of November 8, 2021, between American Airlines, Inc. and Wilmington Trust Company,</w:t>
        </w:r>
      </w:hyperlink>
      <w:r>
        <w:rPr>
          <w:rFonts w:ascii="Arial" w:cs="Arial" w:eastAsia="Arial" w:hAnsi="Arial"/>
          <w:sz w:val="18"/>
          <w:szCs w:val="18"/>
          <w:u w:val="single" w:color="auto"/>
          <w:color w:val="0000FF"/>
        </w:rPr>
        <w:t xml:space="preserve"> </w:t>
      </w:r>
      <w:hyperlink r:id="rId380">
        <w:r>
          <w:rPr>
            <w:rFonts w:ascii="Arial" w:cs="Arial" w:eastAsia="Arial" w:hAnsi="Arial"/>
            <w:sz w:val="18"/>
            <w:szCs w:val="18"/>
            <w:u w:val="single" w:color="auto"/>
            <w:color w:val="0000FF"/>
          </w:rPr>
          <w:t>as Trustee, to the Pass Through Trust Agreement, dated as of September 16, 2014 (incorporated by reference to Exhibit 4.3 to</w:t>
        </w:r>
      </w:hyperlink>
      <w:r>
        <w:rPr>
          <w:rFonts w:ascii="Arial" w:cs="Arial" w:eastAsia="Arial" w:hAnsi="Arial"/>
          <w:sz w:val="18"/>
          <w:szCs w:val="18"/>
          <w:u w:val="single" w:color="auto"/>
          <w:color w:val="0000FF"/>
        </w:rPr>
        <w:t xml:space="preserve"> </w:t>
      </w:r>
      <w:hyperlink r:id="rId380">
        <w:r>
          <w:rPr>
            <w:rFonts w:ascii="Arial" w:cs="Arial" w:eastAsia="Arial" w:hAnsi="Arial"/>
            <w:sz w:val="18"/>
            <w:szCs w:val="18"/>
            <w:u w:val="single" w:color="auto"/>
            <w:color w:val="0000FF"/>
          </w:rPr>
          <w:t>American’s Current Report on Form 8-K filed on November 12, 2021 (Commission File No. 1-02691)).</w:t>
        </w:r>
      </w:hyperlink>
    </w:p>
    <w:p>
      <w:pPr>
        <w:spacing w:after="0" w:line="9" w:lineRule="exact"/>
        <w:rPr>
          <w:rFonts w:ascii="Arial" w:cs="Arial" w:eastAsia="Arial" w:hAnsi="Arial"/>
          <w:sz w:val="18"/>
          <w:szCs w:val="18"/>
          <w:u w:val="single" w:color="auto"/>
          <w:color w:val="0000FF"/>
        </w:rPr>
      </w:pPr>
    </w:p>
    <w:p>
      <w:pPr>
        <w:jc w:val="both"/>
        <w:ind w:left="920" w:hanging="889"/>
        <w:spacing w:after="0" w:line="24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4.171</w:t>
      </w:r>
      <w:r>
        <w:rPr>
          <w:sz w:val="20"/>
          <w:szCs w:val="20"/>
          <w:color w:val="auto"/>
        </w:rPr>
        <w:tab/>
      </w:r>
      <w:hyperlink r:id="rId392">
        <w:r>
          <w:rPr>
            <w:rFonts w:ascii="Arial" w:cs="Arial" w:eastAsia="Arial" w:hAnsi="Arial"/>
            <w:sz w:val="18"/>
            <w:szCs w:val="18"/>
            <w:u w:val="single" w:color="auto"/>
            <w:color w:val="0000FF"/>
          </w:rPr>
          <w:t>Intercreditor Agreement (2021-1), dated as of November 8, 2021, among Wilmington Trust Company, as Trustee of the American</w:t>
        </w:r>
      </w:hyperlink>
      <w:r>
        <w:rPr>
          <w:rFonts w:ascii="Arial" w:cs="Arial" w:eastAsia="Arial" w:hAnsi="Arial"/>
          <w:sz w:val="18"/>
          <w:szCs w:val="18"/>
          <w:u w:val="single" w:color="auto"/>
          <w:color w:val="0000FF"/>
        </w:rPr>
        <w:t xml:space="preserve"> </w:t>
      </w:r>
      <w:hyperlink r:id="rId392">
        <w:r>
          <w:rPr>
            <w:rFonts w:ascii="Arial" w:cs="Arial" w:eastAsia="Arial" w:hAnsi="Arial"/>
            <w:sz w:val="18"/>
            <w:szCs w:val="18"/>
            <w:u w:val="single" w:color="auto"/>
            <w:color w:val="0000FF"/>
          </w:rPr>
          <w:t>Airlines Pass Through Trust 2021-1A and as Trustee of the American Airlines Pass Through Trust 2021-1B, Crédit Agricole</w:t>
        </w:r>
      </w:hyperlink>
      <w:r>
        <w:rPr>
          <w:rFonts w:ascii="Arial" w:cs="Arial" w:eastAsia="Arial" w:hAnsi="Arial"/>
          <w:sz w:val="18"/>
          <w:szCs w:val="18"/>
          <w:u w:val="single" w:color="auto"/>
          <w:color w:val="0000FF"/>
        </w:rPr>
        <w:t xml:space="preserve"> </w:t>
      </w:r>
      <w:hyperlink r:id="rId392">
        <w:r>
          <w:rPr>
            <w:rFonts w:ascii="Arial" w:cs="Arial" w:eastAsia="Arial" w:hAnsi="Arial"/>
            <w:sz w:val="18"/>
            <w:szCs w:val="18"/>
            <w:u w:val="single" w:color="auto"/>
            <w:color w:val="0000FF"/>
          </w:rPr>
          <w:t>Corporate and Investment Bank, acting through its New York Branch, as Class A Liquidity Provider and Class B Liquidity</w:t>
        </w:r>
      </w:hyperlink>
      <w:r>
        <w:rPr>
          <w:rFonts w:ascii="Arial" w:cs="Arial" w:eastAsia="Arial" w:hAnsi="Arial"/>
          <w:sz w:val="18"/>
          <w:szCs w:val="18"/>
          <w:u w:val="single" w:color="auto"/>
          <w:color w:val="0000FF"/>
        </w:rPr>
        <w:t xml:space="preserve"> </w:t>
      </w:r>
      <w:hyperlink r:id="rId392">
        <w:r>
          <w:rPr>
            <w:rFonts w:ascii="Arial" w:cs="Arial" w:eastAsia="Arial" w:hAnsi="Arial"/>
            <w:sz w:val="18"/>
            <w:szCs w:val="18"/>
            <w:u w:val="single" w:color="auto"/>
            <w:color w:val="0000FF"/>
          </w:rPr>
          <w:t>Provider, and Wilmington Trust Company, as Subordination Agent (incorporated by reference to Exhibit 4.4 to American’s Current</w:t>
        </w:r>
      </w:hyperlink>
      <w:r>
        <w:rPr>
          <w:rFonts w:ascii="Arial" w:cs="Arial" w:eastAsia="Arial" w:hAnsi="Arial"/>
          <w:sz w:val="18"/>
          <w:szCs w:val="18"/>
          <w:u w:val="single" w:color="auto"/>
          <w:color w:val="0000FF"/>
        </w:rPr>
        <w:t xml:space="preserve"> </w:t>
      </w:r>
      <w:hyperlink r:id="rId392">
        <w:r>
          <w:rPr>
            <w:rFonts w:ascii="Arial" w:cs="Arial" w:eastAsia="Arial" w:hAnsi="Arial"/>
            <w:sz w:val="18"/>
            <w:szCs w:val="18"/>
            <w:u w:val="single" w:color="auto"/>
            <w:color w:val="0000FF"/>
          </w:rPr>
          <w:t>Report on Form 8-K filed on November 12, 2021 (Commission File No. 1-02691)).</w:t>
        </w:r>
      </w:hyperlink>
    </w:p>
    <w:p>
      <w:pPr>
        <w:spacing w:after="0" w:line="17"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4.172</w:t>
      </w:r>
      <w:r>
        <w:rPr>
          <w:sz w:val="20"/>
          <w:szCs w:val="20"/>
          <w:color w:val="auto"/>
        </w:rPr>
        <w:tab/>
      </w:r>
      <w:hyperlink r:id="rId393">
        <w:r>
          <w:rPr>
            <w:rFonts w:ascii="Arial" w:cs="Arial" w:eastAsia="Arial" w:hAnsi="Arial"/>
            <w:sz w:val="18"/>
            <w:szCs w:val="18"/>
            <w:u w:val="single" w:color="auto"/>
            <w:color w:val="0000FF"/>
          </w:rPr>
          <w:t>Note Purchase Agreement, dated as of November 8, 2021, among American Airlines, Inc., Wilmington Trust Company, as Pass</w:t>
        </w:r>
      </w:hyperlink>
      <w:r>
        <w:rPr>
          <w:rFonts w:ascii="Arial" w:cs="Arial" w:eastAsia="Arial" w:hAnsi="Arial"/>
          <w:sz w:val="18"/>
          <w:szCs w:val="18"/>
          <w:u w:val="single" w:color="auto"/>
          <w:color w:val="0000FF"/>
        </w:rPr>
        <w:t xml:space="preserve"> </w:t>
      </w:r>
      <w:hyperlink r:id="rId393">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393">
        <w:r>
          <w:rPr>
            <w:rFonts w:ascii="Arial" w:cs="Arial" w:eastAsia="Arial" w:hAnsi="Arial"/>
            <w:sz w:val="18"/>
            <w:szCs w:val="18"/>
            <w:u w:val="single" w:color="auto"/>
            <w:color w:val="0000FF"/>
          </w:rPr>
          <w:t>Wilmington Trust, National Association, as Escrow Agent, and Wilmington Trust Company, as Paying Agent (incorporated by</w:t>
        </w:r>
      </w:hyperlink>
      <w:r>
        <w:rPr>
          <w:rFonts w:ascii="Arial" w:cs="Arial" w:eastAsia="Arial" w:hAnsi="Arial"/>
          <w:sz w:val="18"/>
          <w:szCs w:val="18"/>
          <w:u w:val="single" w:color="auto"/>
          <w:color w:val="0000FF"/>
        </w:rPr>
        <w:t xml:space="preserve"> </w:t>
      </w:r>
      <w:hyperlink r:id="rId393">
        <w:r>
          <w:rPr>
            <w:rFonts w:ascii="Arial" w:cs="Arial" w:eastAsia="Arial" w:hAnsi="Arial"/>
            <w:sz w:val="18"/>
            <w:szCs w:val="18"/>
            <w:u w:val="single" w:color="auto"/>
            <w:color w:val="0000FF"/>
          </w:rPr>
          <w:t>reference to Exhibit 4.9 to American’s Current Report on Form 8-K filed on November 12, 2021 (Commission File No. 1-02691)).</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4.173</w:t>
      </w:r>
      <w:r>
        <w:rPr>
          <w:sz w:val="20"/>
          <w:szCs w:val="20"/>
          <w:color w:val="auto"/>
        </w:rPr>
        <w:tab/>
      </w:r>
      <w:hyperlink r:id="rId393">
        <w:r>
          <w:rPr>
            <w:rFonts w:ascii="Arial" w:cs="Arial" w:eastAsia="Arial" w:hAnsi="Arial"/>
            <w:sz w:val="18"/>
            <w:szCs w:val="18"/>
            <w:u w:val="single" w:color="auto"/>
            <w:color w:val="0000FF"/>
          </w:rPr>
          <w:t>Form of Participation Agreement (Participation Agreement among American Airlines, Inc., Wilmington Trust Company, as Pass</w:t>
        </w:r>
      </w:hyperlink>
      <w:r>
        <w:rPr>
          <w:rFonts w:ascii="Arial" w:cs="Arial" w:eastAsia="Arial" w:hAnsi="Arial"/>
          <w:sz w:val="18"/>
          <w:szCs w:val="18"/>
          <w:u w:val="single" w:color="auto"/>
          <w:color w:val="0000FF"/>
        </w:rPr>
        <w:t xml:space="preserve"> </w:t>
      </w:r>
      <w:hyperlink r:id="rId393">
        <w:r>
          <w:rPr>
            <w:rFonts w:ascii="Arial" w:cs="Arial" w:eastAsia="Arial" w:hAnsi="Arial"/>
            <w:sz w:val="18"/>
            <w:szCs w:val="18"/>
            <w:u w:val="single" w:color="auto"/>
            <w:color w:val="0000FF"/>
          </w:rPr>
          <w:t>Through Trustee under each of the Pass Through Trust Agreements, Wilmington Trust Company, as Subordination Agent,</w:t>
        </w:r>
      </w:hyperlink>
      <w:r>
        <w:rPr>
          <w:rFonts w:ascii="Arial" w:cs="Arial" w:eastAsia="Arial" w:hAnsi="Arial"/>
          <w:sz w:val="18"/>
          <w:szCs w:val="18"/>
          <w:u w:val="single" w:color="auto"/>
          <w:color w:val="0000FF"/>
        </w:rPr>
        <w:t xml:space="preserve"> </w:t>
      </w:r>
      <w:hyperlink r:id="rId393">
        <w:r>
          <w:rPr>
            <w:rFonts w:ascii="Arial" w:cs="Arial" w:eastAsia="Arial" w:hAnsi="Arial"/>
            <w:sz w:val="18"/>
            <w:szCs w:val="18"/>
            <w:u w:val="single" w:color="auto"/>
            <w:color w:val="0000FF"/>
          </w:rPr>
          <w:t>Wilmington Trust Company, as Loan Trustee, and Wilmington Trust Company, in its individual capacity as set forth therein)</w:t>
        </w:r>
      </w:hyperlink>
      <w:r>
        <w:rPr>
          <w:rFonts w:ascii="Arial" w:cs="Arial" w:eastAsia="Arial" w:hAnsi="Arial"/>
          <w:sz w:val="18"/>
          <w:szCs w:val="18"/>
          <w:u w:val="single" w:color="auto"/>
          <w:color w:val="0000FF"/>
        </w:rPr>
        <w:t xml:space="preserve"> </w:t>
      </w:r>
      <w:hyperlink r:id="rId393">
        <w:r>
          <w:rPr>
            <w:rFonts w:ascii="Arial" w:cs="Arial" w:eastAsia="Arial" w:hAnsi="Arial"/>
            <w:sz w:val="18"/>
            <w:szCs w:val="18"/>
            <w:u w:val="single" w:color="auto"/>
            <w:color w:val="0000FF"/>
          </w:rPr>
          <w:t>(incorporated by reference to Exhibit B to Exhibit 4.9 to American’s Current Report on Form 8-K filed on November 12, 2021</w:t>
        </w:r>
      </w:hyperlink>
      <w:r>
        <w:rPr>
          <w:rFonts w:ascii="Arial" w:cs="Arial" w:eastAsia="Arial" w:hAnsi="Arial"/>
          <w:sz w:val="18"/>
          <w:szCs w:val="18"/>
          <w:u w:val="single" w:color="auto"/>
          <w:color w:val="0000FF"/>
        </w:rPr>
        <w:t xml:space="preserve"> </w:t>
      </w:r>
      <w:hyperlink r:id="rId393">
        <w:r>
          <w:rPr>
            <w:rFonts w:ascii="Arial" w:cs="Arial" w:eastAsia="Arial" w:hAnsi="Arial"/>
            <w:sz w:val="18"/>
            <w:szCs w:val="18"/>
            <w:u w:val="single" w:color="auto"/>
            <w:color w:val="0000FF"/>
          </w:rPr>
          <w:t>(Commission File No. 1-02691)).</w:t>
        </w:r>
      </w:hyperlink>
    </w:p>
    <w:p>
      <w:pPr>
        <w:spacing w:after="0" w:line="17"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4.174</w:t>
      </w:r>
      <w:r>
        <w:rPr>
          <w:sz w:val="20"/>
          <w:szCs w:val="20"/>
          <w:color w:val="auto"/>
        </w:rPr>
        <w:tab/>
      </w:r>
      <w:hyperlink r:id="rId393">
        <w:r>
          <w:rPr>
            <w:rFonts w:ascii="Arial" w:cs="Arial" w:eastAsia="Arial" w:hAnsi="Arial"/>
            <w:sz w:val="18"/>
            <w:szCs w:val="18"/>
            <w:u w:val="single" w:color="auto"/>
            <w:color w:val="0000FF"/>
          </w:rPr>
          <w:t>Form of Indenture and Security Agreement (Indenture and Security Agreement between American Airlines, Inc., and Wilmington</w:t>
        </w:r>
      </w:hyperlink>
      <w:r>
        <w:rPr>
          <w:rFonts w:ascii="Arial" w:cs="Arial" w:eastAsia="Arial" w:hAnsi="Arial"/>
          <w:sz w:val="18"/>
          <w:szCs w:val="18"/>
          <w:u w:val="single" w:color="auto"/>
          <w:color w:val="0000FF"/>
        </w:rPr>
        <w:t xml:space="preserve"> </w:t>
      </w:r>
      <w:hyperlink r:id="rId393">
        <w:r>
          <w:rPr>
            <w:rFonts w:ascii="Arial" w:cs="Arial" w:eastAsia="Arial" w:hAnsi="Arial"/>
            <w:sz w:val="18"/>
            <w:szCs w:val="18"/>
            <w:u w:val="single" w:color="auto"/>
            <w:color w:val="0000FF"/>
          </w:rPr>
          <w:t>Trust Company, as Loan Trustee) (incorporated by reference to Exhibit C to Exhibit 4.9 to American’s Current Report on Form 8-K</w:t>
        </w:r>
      </w:hyperlink>
      <w:r>
        <w:rPr>
          <w:rFonts w:ascii="Arial" w:cs="Arial" w:eastAsia="Arial" w:hAnsi="Arial"/>
          <w:sz w:val="18"/>
          <w:szCs w:val="18"/>
          <w:u w:val="single" w:color="auto"/>
          <w:color w:val="0000FF"/>
        </w:rPr>
        <w:t xml:space="preserve"> </w:t>
      </w:r>
      <w:hyperlink r:id="rId393">
        <w:r>
          <w:rPr>
            <w:rFonts w:ascii="Arial" w:cs="Arial" w:eastAsia="Arial" w:hAnsi="Arial"/>
            <w:sz w:val="18"/>
            <w:szCs w:val="18"/>
            <w:u w:val="single" w:color="auto"/>
            <w:color w:val="0000FF"/>
          </w:rPr>
          <w:t>filed on November 12, 2021 (Commission File No. 1-02691)).</w:t>
        </w:r>
      </w:hyperlink>
    </w:p>
    <w:p>
      <w:pPr>
        <w:spacing w:after="0" w:line="9" w:lineRule="exact"/>
        <w:rPr>
          <w:rFonts w:ascii="Arial" w:cs="Arial" w:eastAsia="Arial" w:hAnsi="Arial"/>
          <w:sz w:val="18"/>
          <w:szCs w:val="18"/>
          <w:u w:val="single" w:color="auto"/>
          <w:color w:val="0000FF"/>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4.175</w:t>
      </w:r>
      <w:r>
        <w:rPr>
          <w:sz w:val="20"/>
          <w:szCs w:val="20"/>
          <w:color w:val="auto"/>
        </w:rPr>
        <w:tab/>
      </w:r>
      <w:hyperlink r:id="rId394">
        <w:r>
          <w:rPr>
            <w:rFonts w:ascii="Arial" w:cs="Arial" w:eastAsia="Arial" w:hAnsi="Arial"/>
            <w:sz w:val="18"/>
            <w:szCs w:val="18"/>
            <w:u w:val="single" w:color="auto"/>
            <w:color w:val="0000FF"/>
          </w:rPr>
          <w:t>Revolving Credit Agreement (2019-1B), dated as of August 15, 2019, between Wilmington Trust Company, as Subordination</w:t>
        </w:r>
      </w:hyperlink>
      <w:r>
        <w:rPr>
          <w:rFonts w:ascii="Arial" w:cs="Arial" w:eastAsia="Arial" w:hAnsi="Arial"/>
          <w:sz w:val="18"/>
          <w:szCs w:val="18"/>
          <w:u w:val="single" w:color="auto"/>
          <w:color w:val="0000FF"/>
        </w:rPr>
        <w:t xml:space="preserve"> </w:t>
      </w:r>
      <w:hyperlink r:id="rId394">
        <w:r>
          <w:rPr>
            <w:rFonts w:ascii="Arial" w:cs="Arial" w:eastAsia="Arial" w:hAnsi="Arial"/>
            <w:sz w:val="18"/>
            <w:szCs w:val="18"/>
            <w:u w:val="single" w:color="auto"/>
            <w:color w:val="0000FF"/>
          </w:rPr>
          <w:t>Agent, as agent and trustee for the trustee of the American Airlines Pass Through Trust 2019-1B (Aircraft EETC), as Borrower,</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394">
        <w:r>
          <w:rPr>
            <w:rFonts w:ascii="Arial" w:cs="Arial" w:eastAsia="Arial" w:hAnsi="Arial"/>
            <w:sz w:val="18"/>
            <w:szCs w:val="18"/>
            <w:u w:val="single" w:color="auto"/>
            <w:color w:val="0000FF"/>
          </w:rPr>
          <w:t>and National Australia Bank Limited, as Liquidity Provider (incorporated by reference to Exhibit 4.20 to American’s Current Report</w:t>
        </w:r>
      </w:hyperlink>
      <w:r>
        <w:rPr>
          <w:rFonts w:ascii="Arial" w:cs="Arial" w:eastAsia="Arial" w:hAnsi="Arial"/>
          <w:sz w:val="18"/>
          <w:szCs w:val="18"/>
          <w:u w:val="single" w:color="auto"/>
          <w:color w:val="0000FF"/>
        </w:rPr>
        <w:t xml:space="preserve"> </w:t>
      </w:r>
      <w:hyperlink r:id="rId394">
        <w:r>
          <w:rPr>
            <w:rFonts w:ascii="Arial" w:cs="Arial" w:eastAsia="Arial" w:hAnsi="Arial"/>
            <w:sz w:val="18"/>
            <w:szCs w:val="18"/>
            <w:u w:val="single" w:color="auto"/>
            <w:color w:val="0000FF"/>
          </w:rPr>
          <w:t>on Form 8-K filed on August 15, 2019 (Commission File No. 1-02691)).</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4.176     </w:t>
      </w:r>
      <w:hyperlink r:id="rId395">
        <w:r>
          <w:rPr>
            <w:rFonts w:ascii="Arial" w:cs="Arial" w:eastAsia="Arial" w:hAnsi="Arial"/>
            <w:sz w:val="18"/>
            <w:szCs w:val="18"/>
            <w:u w:val="single" w:color="auto"/>
            <w:color w:val="0000FF"/>
          </w:rPr>
          <w:t>Indenture, dated as of May 20, 2019, by and among American Airlines Group Inc., the Guarantor (as defined therein) and</w:t>
        </w:r>
      </w:hyperlink>
      <w:r>
        <w:rPr>
          <w:rFonts w:ascii="Arial" w:cs="Arial" w:eastAsia="Arial" w:hAnsi="Arial"/>
          <w:sz w:val="18"/>
          <w:szCs w:val="18"/>
          <w:color w:val="auto"/>
        </w:rPr>
        <w:t xml:space="preserve"> </w:t>
      </w:r>
      <w:hyperlink r:id="rId395">
        <w:r>
          <w:rPr>
            <w:rFonts w:ascii="Arial" w:cs="Arial" w:eastAsia="Arial" w:hAnsi="Arial"/>
            <w:sz w:val="18"/>
            <w:szCs w:val="18"/>
            <w:u w:val="single" w:color="auto"/>
            <w:color w:val="0000FF"/>
          </w:rPr>
          <w:t>Wilmington Trust, National Association, as trustee (incorporated by reference to Exhibit 4.1 to AAG’s Current Report on Form 8-K</w:t>
        </w:r>
      </w:hyperlink>
    </w:p>
    <w:p>
      <w:pPr>
        <w:ind w:left="920"/>
        <w:spacing w:after="0"/>
        <w:rPr>
          <w:rFonts w:ascii="Arial" w:cs="Arial" w:eastAsia="Arial" w:hAnsi="Arial"/>
          <w:sz w:val="18"/>
          <w:szCs w:val="18"/>
          <w:u w:val="single" w:color="auto"/>
          <w:color w:val="0000FF"/>
        </w:rPr>
      </w:pPr>
      <w:hyperlink r:id="rId395">
        <w:r>
          <w:rPr>
            <w:rFonts w:ascii="Arial" w:cs="Arial" w:eastAsia="Arial" w:hAnsi="Arial"/>
            <w:sz w:val="18"/>
            <w:szCs w:val="18"/>
            <w:u w:val="single" w:color="auto"/>
            <w:color w:val="0000FF"/>
          </w:rPr>
          <w:t>filed on May 21, 2019 (Commission File No. 1-8400)).</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4.177</w:t>
      </w:r>
      <w:r>
        <w:rPr>
          <w:sz w:val="20"/>
          <w:szCs w:val="20"/>
          <w:color w:val="auto"/>
        </w:rPr>
        <w:tab/>
      </w:r>
      <w:hyperlink r:id="rId395">
        <w:r>
          <w:rPr>
            <w:rFonts w:ascii="Arial" w:cs="Arial" w:eastAsia="Arial" w:hAnsi="Arial"/>
            <w:sz w:val="18"/>
            <w:szCs w:val="18"/>
            <w:u w:val="single" w:color="auto"/>
            <w:color w:val="0000FF"/>
          </w:rPr>
          <w:t>Form of 5.000% Senior Notes due 2022 (incorporated by reference to Exhibit A to Exhibit 4.1 to AAG’s Current Report on Form 8-</w:t>
        </w:r>
      </w:hyperlink>
      <w:hyperlink r:id="rId395">
        <w:r>
          <w:rPr>
            <w:rFonts w:ascii="Arial" w:cs="Arial" w:eastAsia="Arial" w:hAnsi="Arial"/>
            <w:sz w:val="18"/>
            <w:szCs w:val="18"/>
            <w:u w:val="single" w:color="auto"/>
            <w:color w:val="0000FF"/>
          </w:rPr>
          <w:t>K filed on May 21, 2019 (Commission File No. 1-8400)).</w:t>
        </w:r>
      </w:hyperlink>
    </w:p>
    <w:p>
      <w:pPr>
        <w:spacing w:after="0" w:line="5" w:lineRule="exact"/>
        <w:rPr>
          <w:sz w:val="20"/>
          <w:szCs w:val="20"/>
          <w:color w:val="auto"/>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4.178     </w:t>
      </w:r>
      <w:hyperlink r:id="rId396">
        <w:r>
          <w:rPr>
            <w:rFonts w:ascii="Arial" w:cs="Arial" w:eastAsia="Arial" w:hAnsi="Arial"/>
            <w:sz w:val="18"/>
            <w:szCs w:val="18"/>
            <w:u w:val="single" w:color="auto"/>
            <w:color w:val="0000FF"/>
          </w:rPr>
          <w:t>Indenture, dated as of February 25, 2020, by and among American Airlines Group Inc., the Guarantor (as defined therein) and</w:t>
        </w:r>
      </w:hyperlink>
      <w:r>
        <w:rPr>
          <w:rFonts w:ascii="Arial" w:cs="Arial" w:eastAsia="Arial" w:hAnsi="Arial"/>
          <w:sz w:val="18"/>
          <w:szCs w:val="18"/>
          <w:color w:val="auto"/>
        </w:rPr>
        <w:t xml:space="preserve"> </w:t>
      </w:r>
      <w:hyperlink r:id="rId396">
        <w:r>
          <w:rPr>
            <w:rFonts w:ascii="Arial" w:cs="Arial" w:eastAsia="Arial" w:hAnsi="Arial"/>
            <w:sz w:val="18"/>
            <w:szCs w:val="18"/>
            <w:u w:val="single" w:color="auto"/>
            <w:color w:val="0000FF"/>
          </w:rPr>
          <w:t>Wilmington Trust, National Association, as trustee (incorporated by reference to Exhibit 4.1 to AAG's Current Report on Form 8-K</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96">
        <w:r>
          <w:rPr>
            <w:rFonts w:ascii="Arial" w:cs="Arial" w:eastAsia="Arial" w:hAnsi="Arial"/>
            <w:sz w:val="18"/>
            <w:szCs w:val="18"/>
            <w:u w:val="single" w:color="auto"/>
            <w:color w:val="0000FF"/>
          </w:rPr>
          <w:t>filed on February 26, 2020 (Commission File No. 1-8400)).</w:t>
        </w:r>
      </w:hyperlink>
    </w:p>
    <w:p>
      <w:pPr>
        <w:spacing w:after="0" w:line="14"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4.179</w:t>
      </w:r>
      <w:r>
        <w:rPr>
          <w:sz w:val="20"/>
          <w:szCs w:val="20"/>
          <w:color w:val="auto"/>
        </w:rPr>
        <w:tab/>
      </w:r>
      <w:hyperlink r:id="rId396">
        <w:r>
          <w:rPr>
            <w:rFonts w:ascii="Arial" w:cs="Arial" w:eastAsia="Arial" w:hAnsi="Arial"/>
            <w:sz w:val="18"/>
            <w:szCs w:val="18"/>
            <w:u w:val="single" w:color="auto"/>
            <w:color w:val="0000FF"/>
          </w:rPr>
          <w:t>Form of 3.75% Senior Notes due 2025 (incorporated by reference to Exhibit A to Exhibit 4.1 to AAG's Current Report on Form 8-</w:t>
        </w:r>
      </w:hyperlink>
      <w:hyperlink r:id="rId396">
        <w:r>
          <w:rPr>
            <w:rFonts w:ascii="Arial" w:cs="Arial" w:eastAsia="Arial" w:hAnsi="Arial"/>
            <w:sz w:val="18"/>
            <w:szCs w:val="18"/>
            <w:u w:val="single" w:color="auto"/>
            <w:color w:val="0000FF"/>
          </w:rPr>
          <w:t>K filed on February 26, 2020 (Commission File No. 1-8400)).</w:t>
        </w:r>
      </w:hyperlink>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89"/>
        <w:spacing w:after="0" w:line="21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4.180</w:t>
      </w:r>
      <w:r>
        <w:rPr>
          <w:sz w:val="20"/>
          <w:szCs w:val="20"/>
          <w:color w:val="auto"/>
        </w:rPr>
        <w:tab/>
      </w:r>
      <w:hyperlink r:id="rId398">
        <w:r>
          <w:rPr>
            <w:rFonts w:ascii="Arial" w:cs="Arial" w:eastAsia="Arial" w:hAnsi="Arial"/>
            <w:sz w:val="18"/>
            <w:szCs w:val="18"/>
            <w:u w:val="single" w:color="auto"/>
            <w:color w:val="0000FF"/>
          </w:rPr>
          <w:t>Indenture, dated as of June 25, 2020, by and between American Airlines Group Inc. and Wilmington Trust, National Association,</w:t>
        </w:r>
      </w:hyperlink>
      <w:r>
        <w:rPr>
          <w:rFonts w:ascii="Arial" w:cs="Arial" w:eastAsia="Arial" w:hAnsi="Arial"/>
          <w:sz w:val="18"/>
          <w:szCs w:val="18"/>
          <w:u w:val="single" w:color="auto"/>
          <w:color w:val="0000FF"/>
        </w:rPr>
        <w:t xml:space="preserve"> </w:t>
      </w:r>
      <w:hyperlink r:id="rId398">
        <w:r>
          <w:rPr>
            <w:rFonts w:ascii="Arial" w:cs="Arial" w:eastAsia="Arial" w:hAnsi="Arial"/>
            <w:sz w:val="18"/>
            <w:szCs w:val="18"/>
            <w:u w:val="single" w:color="auto"/>
            <w:color w:val="0000FF"/>
          </w:rPr>
          <w:t>as trustee (incorporated by reference to Exhibit 4.1 to AAG’s Current Report on Form 8-K filed on June 25, 2020 (Commission</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98">
        <w:r>
          <w:rPr>
            <w:rFonts w:ascii="Arial" w:cs="Arial" w:eastAsia="Arial" w:hAnsi="Arial"/>
            <w:sz w:val="18"/>
            <w:szCs w:val="18"/>
            <w:u w:val="single" w:color="auto"/>
            <w:color w:val="0000FF"/>
          </w:rPr>
          <w:t>File No. 1-8400)).</w:t>
        </w:r>
      </w:hyperlink>
    </w:p>
    <w:p>
      <w:pPr>
        <w:spacing w:after="0" w:line="14" w:lineRule="exact"/>
        <w:rPr>
          <w:sz w:val="20"/>
          <w:szCs w:val="20"/>
          <w:color w:val="auto"/>
        </w:rPr>
      </w:pPr>
    </w:p>
    <w:p>
      <w:pPr>
        <w:jc w:val="both"/>
        <w:ind w:left="920" w:hanging="889"/>
        <w:spacing w:after="0" w:line="22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4.181</w:t>
      </w:r>
      <w:r>
        <w:rPr>
          <w:sz w:val="20"/>
          <w:szCs w:val="20"/>
          <w:color w:val="auto"/>
        </w:rPr>
        <w:tab/>
      </w:r>
      <w:hyperlink r:id="rId399">
        <w:r>
          <w:rPr>
            <w:rFonts w:ascii="Arial" w:cs="Arial" w:eastAsia="Arial" w:hAnsi="Arial"/>
            <w:sz w:val="17"/>
            <w:szCs w:val="17"/>
            <w:u w:val="single" w:color="auto"/>
            <w:color w:val="0000FF"/>
          </w:rPr>
          <w:t>First Supplemental Indenture, dated as of June 25, 2020, by and among American Airlines Group Inc., American Airlines, Inc. and</w:t>
        </w:r>
      </w:hyperlink>
      <w:r>
        <w:rPr>
          <w:rFonts w:ascii="Arial" w:cs="Arial" w:eastAsia="Arial" w:hAnsi="Arial"/>
          <w:sz w:val="17"/>
          <w:szCs w:val="17"/>
          <w:u w:val="single" w:color="auto"/>
          <w:color w:val="0000FF"/>
        </w:rPr>
        <w:t xml:space="preserve"> </w:t>
      </w:r>
      <w:hyperlink r:id="rId399">
        <w:r>
          <w:rPr>
            <w:rFonts w:ascii="Arial" w:cs="Arial" w:eastAsia="Arial" w:hAnsi="Arial"/>
            <w:sz w:val="17"/>
            <w:szCs w:val="17"/>
            <w:u w:val="single" w:color="auto"/>
            <w:color w:val="0000FF"/>
          </w:rPr>
          <w:t>Wilmington Trust, National Association, as trustee (incorporated by reference to Exhibit 4.2 to AAG’s Current Report on Form 8-K</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399">
        <w:r>
          <w:rPr>
            <w:rFonts w:ascii="Arial" w:cs="Arial" w:eastAsia="Arial" w:hAnsi="Arial"/>
            <w:sz w:val="18"/>
            <w:szCs w:val="18"/>
            <w:u w:val="single" w:color="auto"/>
            <w:color w:val="0000FF"/>
          </w:rPr>
          <w:t>filed on June 25, 2020 (Commission File No. 1-8400)).</w:t>
        </w:r>
      </w:hyperlink>
    </w:p>
    <w:p>
      <w:pPr>
        <w:spacing w:after="0" w:line="14" w:lineRule="exact"/>
        <w:rPr>
          <w:sz w:val="20"/>
          <w:szCs w:val="20"/>
          <w:color w:val="auto"/>
        </w:rPr>
      </w:pPr>
    </w:p>
    <w:p>
      <w:pPr>
        <w:jc w:val="both"/>
        <w:ind w:left="920" w:right="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4.182</w:t>
      </w:r>
      <w:r>
        <w:rPr>
          <w:sz w:val="20"/>
          <w:szCs w:val="20"/>
          <w:color w:val="auto"/>
        </w:rPr>
        <w:tab/>
      </w:r>
      <w:hyperlink r:id="rId399">
        <w:r>
          <w:rPr>
            <w:rFonts w:ascii="Arial" w:cs="Arial" w:eastAsia="Arial" w:hAnsi="Arial"/>
            <w:sz w:val="18"/>
            <w:szCs w:val="18"/>
            <w:u w:val="single" w:color="auto"/>
            <w:color w:val="0000FF"/>
          </w:rPr>
          <w:t>Form of 6.50% Convertible Senior Notes due 2025 (incorporated by reference to Exhibit A to Exhibit 4.2 to AAG’s Current Report</w:t>
        </w:r>
      </w:hyperlink>
      <w:r>
        <w:rPr>
          <w:rFonts w:ascii="Arial" w:cs="Arial" w:eastAsia="Arial" w:hAnsi="Arial"/>
          <w:sz w:val="18"/>
          <w:szCs w:val="18"/>
          <w:u w:val="single" w:color="auto"/>
          <w:color w:val="0000FF"/>
        </w:rPr>
        <w:t xml:space="preserve"> </w:t>
      </w:r>
      <w:hyperlink r:id="rId399">
        <w:r>
          <w:rPr>
            <w:rFonts w:ascii="Arial" w:cs="Arial" w:eastAsia="Arial" w:hAnsi="Arial"/>
            <w:sz w:val="18"/>
            <w:szCs w:val="18"/>
            <w:u w:val="single" w:color="auto"/>
            <w:color w:val="0000FF"/>
          </w:rPr>
          <w:t>on Form 8-K filed on June 25, 2020 (Commission File No. 1-8400)).</w:t>
        </w:r>
      </w:hyperlink>
    </w:p>
    <w:p>
      <w:pPr>
        <w:spacing w:after="0" w:line="5"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4.183</w:t>
      </w:r>
      <w:r>
        <w:rPr>
          <w:sz w:val="20"/>
          <w:szCs w:val="20"/>
          <w:color w:val="auto"/>
        </w:rPr>
        <w:tab/>
      </w:r>
      <w:hyperlink r:id="rId400">
        <w:r>
          <w:rPr>
            <w:rFonts w:ascii="Arial" w:cs="Arial" w:eastAsia="Arial" w:hAnsi="Arial"/>
            <w:sz w:val="18"/>
            <w:szCs w:val="18"/>
            <w:u w:val="single" w:color="auto"/>
            <w:color w:val="0000FF"/>
          </w:rPr>
          <w:t>Indenture, dated as of June 30, 2020, by and among American Airlines, Inc., American Airlines Group, Inc. and Wilmington Trust,</w:t>
        </w:r>
      </w:hyperlink>
      <w:r>
        <w:rPr>
          <w:rFonts w:ascii="Arial" w:cs="Arial" w:eastAsia="Arial" w:hAnsi="Arial"/>
          <w:sz w:val="18"/>
          <w:szCs w:val="18"/>
          <w:u w:val="single" w:color="auto"/>
          <w:color w:val="0000FF"/>
        </w:rPr>
        <w:t xml:space="preserve"> </w:t>
      </w:r>
      <w:hyperlink r:id="rId400">
        <w:r>
          <w:rPr>
            <w:rFonts w:ascii="Arial" w:cs="Arial" w:eastAsia="Arial" w:hAnsi="Arial"/>
            <w:sz w:val="18"/>
            <w:szCs w:val="18"/>
            <w:u w:val="single" w:color="auto"/>
            <w:color w:val="0000FF"/>
          </w:rPr>
          <w:t>National Association, as trustee (incorporated by reference to Exhibit 4.1 to AAG’s Current Report on Form 8-K filed on July 2,</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00">
        <w:r>
          <w:rPr>
            <w:rFonts w:ascii="Arial" w:cs="Arial" w:eastAsia="Arial" w:hAnsi="Arial"/>
            <w:sz w:val="18"/>
            <w:szCs w:val="18"/>
            <w:u w:val="single" w:color="auto"/>
            <w:color w:val="0000FF"/>
          </w:rPr>
          <w:t>2020 (Commission File No. 1-8400)).</w:t>
        </w:r>
      </w:hyperlink>
    </w:p>
    <w:p>
      <w:pPr>
        <w:spacing w:after="0" w:line="14" w:lineRule="exact"/>
        <w:rPr>
          <w:sz w:val="20"/>
          <w:szCs w:val="20"/>
          <w:color w:val="auto"/>
        </w:rPr>
      </w:pPr>
    </w:p>
    <w:p>
      <w:pPr>
        <w:jc w:val="both"/>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4.184</w:t>
      </w:r>
      <w:r>
        <w:rPr>
          <w:sz w:val="20"/>
          <w:szCs w:val="20"/>
          <w:color w:val="auto"/>
        </w:rPr>
        <w:tab/>
      </w:r>
      <w:hyperlink r:id="rId400">
        <w:r>
          <w:rPr>
            <w:rFonts w:ascii="Arial" w:cs="Arial" w:eastAsia="Arial" w:hAnsi="Arial"/>
            <w:sz w:val="18"/>
            <w:szCs w:val="18"/>
            <w:u w:val="single" w:color="auto"/>
            <w:color w:val="0000FF"/>
          </w:rPr>
          <w:t>Form of 11.75% Senior Notes due 2025 (incorporated by reference to Exhibit A to Exhibit 4.1 to AAG’s Current Report on Form 8-</w:t>
        </w:r>
      </w:hyperlink>
      <w:hyperlink r:id="rId400">
        <w:r>
          <w:rPr>
            <w:rFonts w:ascii="Arial" w:cs="Arial" w:eastAsia="Arial" w:hAnsi="Arial"/>
            <w:sz w:val="18"/>
            <w:szCs w:val="18"/>
            <w:u w:val="single" w:color="auto"/>
            <w:color w:val="0000FF"/>
          </w:rPr>
          <w:t>K filed on July 2, 2020 (Commission File Number 1-8400)).</w:t>
        </w:r>
      </w:hyperlink>
    </w:p>
    <w:p>
      <w:pPr>
        <w:spacing w:after="0" w:line="5"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4.185</w:t>
      </w:r>
      <w:r>
        <w:rPr>
          <w:sz w:val="20"/>
          <w:szCs w:val="20"/>
          <w:color w:val="auto"/>
        </w:rPr>
        <w:tab/>
      </w:r>
      <w:hyperlink r:id="rId401">
        <w:r>
          <w:rPr>
            <w:rFonts w:ascii="Arial" w:cs="Arial" w:eastAsia="Arial" w:hAnsi="Arial"/>
            <w:sz w:val="18"/>
            <w:szCs w:val="18"/>
            <w:u w:val="single" w:color="auto"/>
            <w:color w:val="0000FF"/>
          </w:rPr>
          <w:t>Indenture (IP Notes), dated as of September 25, 2020, by and among American Airlines, Inc., American Airlines Group Inc. and</w:t>
        </w:r>
      </w:hyperlink>
      <w:r>
        <w:rPr>
          <w:rFonts w:ascii="Arial" w:cs="Arial" w:eastAsia="Arial" w:hAnsi="Arial"/>
          <w:sz w:val="18"/>
          <w:szCs w:val="18"/>
          <w:u w:val="single" w:color="auto"/>
          <w:color w:val="0000FF"/>
        </w:rPr>
        <w:t xml:space="preserve"> </w:t>
      </w:r>
      <w:hyperlink r:id="rId401">
        <w:r>
          <w:rPr>
            <w:rFonts w:ascii="Arial" w:cs="Arial" w:eastAsia="Arial" w:hAnsi="Arial"/>
            <w:sz w:val="18"/>
            <w:szCs w:val="18"/>
            <w:u w:val="single" w:color="auto"/>
            <w:color w:val="0000FF"/>
          </w:rPr>
          <w:t>Wilmington Trust, National Association, as trustee and as collateral trustee (incorporated by reference to Exhibit 4.1 to AAG’s</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401">
        <w:r>
          <w:rPr>
            <w:rFonts w:ascii="Arial" w:cs="Arial" w:eastAsia="Arial" w:hAnsi="Arial"/>
            <w:sz w:val="18"/>
            <w:szCs w:val="18"/>
            <w:u w:val="single" w:color="auto"/>
            <w:color w:val="0000FF"/>
          </w:rPr>
          <w:t>Quarterly Report on Form 10-Q for the quarter ended September 30, 2020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4.186</w:t>
      </w:r>
      <w:r>
        <w:rPr>
          <w:sz w:val="20"/>
          <w:szCs w:val="20"/>
          <w:color w:val="auto"/>
        </w:rPr>
        <w:tab/>
      </w:r>
      <w:hyperlink r:id="rId401">
        <w:r>
          <w:rPr>
            <w:rFonts w:ascii="Arial" w:cs="Arial" w:eastAsia="Arial" w:hAnsi="Arial"/>
            <w:sz w:val="18"/>
            <w:szCs w:val="18"/>
            <w:u w:val="single" w:color="auto"/>
            <w:color w:val="0000FF"/>
          </w:rPr>
          <w:t>Form of 10.75%/12.00% PIK Senior Secured IP Notes due 2026 (incorporated by reference to Exhibit A to Exhibit 4.1 to AAG’s</w:t>
        </w:r>
      </w:hyperlink>
      <w:r>
        <w:rPr>
          <w:rFonts w:ascii="Arial" w:cs="Arial" w:eastAsia="Arial" w:hAnsi="Arial"/>
          <w:sz w:val="18"/>
          <w:szCs w:val="18"/>
          <w:u w:val="single" w:color="auto"/>
          <w:color w:val="0000FF"/>
        </w:rPr>
        <w:t xml:space="preserve"> </w:t>
      </w:r>
      <w:hyperlink r:id="rId401">
        <w:r>
          <w:rPr>
            <w:rFonts w:ascii="Arial" w:cs="Arial" w:eastAsia="Arial" w:hAnsi="Arial"/>
            <w:sz w:val="18"/>
            <w:szCs w:val="18"/>
            <w:u w:val="single" w:color="auto"/>
            <w:color w:val="0000FF"/>
          </w:rPr>
          <w:t>Quarterly Report on Form 10-Q for the quarter ended September 30, 2020 (Commission File No. 1-8400)).</w:t>
        </w:r>
      </w:hyperlink>
    </w:p>
    <w:p>
      <w:pPr>
        <w:spacing w:after="0" w:line="5"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4.187</w:t>
      </w:r>
      <w:r>
        <w:rPr>
          <w:sz w:val="20"/>
          <w:szCs w:val="20"/>
          <w:color w:val="auto"/>
        </w:rPr>
        <w:tab/>
      </w:r>
      <w:hyperlink r:id="rId402">
        <w:r>
          <w:rPr>
            <w:rFonts w:ascii="Arial" w:cs="Arial" w:eastAsia="Arial" w:hAnsi="Arial"/>
            <w:sz w:val="18"/>
            <w:szCs w:val="18"/>
            <w:u w:val="single" w:color="auto"/>
            <w:color w:val="0000FF"/>
          </w:rPr>
          <w:t>Indenture (LGA/DCA Notes), dated as of September 25, 2020, by and among American Airlines, Inc., American Airlines Group</w:t>
        </w:r>
      </w:hyperlink>
      <w:r>
        <w:rPr>
          <w:rFonts w:ascii="Arial" w:cs="Arial" w:eastAsia="Arial" w:hAnsi="Arial"/>
          <w:sz w:val="18"/>
          <w:szCs w:val="18"/>
          <w:u w:val="single" w:color="auto"/>
          <w:color w:val="0000FF"/>
        </w:rPr>
        <w:t xml:space="preserve"> </w:t>
      </w:r>
      <w:hyperlink r:id="rId402">
        <w:r>
          <w:rPr>
            <w:rFonts w:ascii="Arial" w:cs="Arial" w:eastAsia="Arial" w:hAnsi="Arial"/>
            <w:sz w:val="18"/>
            <w:szCs w:val="18"/>
            <w:u w:val="single" w:color="auto"/>
            <w:color w:val="0000FF"/>
          </w:rPr>
          <w:t>Inc. and Wilmington Trust, National Association, as trustee and as collateral trustee (incorporated by reference to Exhibit 4.3 to</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402">
        <w:r>
          <w:rPr>
            <w:rFonts w:ascii="Arial" w:cs="Arial" w:eastAsia="Arial" w:hAnsi="Arial"/>
            <w:sz w:val="18"/>
            <w:szCs w:val="18"/>
            <w:u w:val="single" w:color="auto"/>
            <w:color w:val="0000FF"/>
          </w:rPr>
          <w:t>AAG’s Quarterly Report on Form 10-Q for the quarter ended September 30, 2020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4.188</w:t>
      </w:r>
      <w:r>
        <w:rPr>
          <w:sz w:val="20"/>
          <w:szCs w:val="20"/>
          <w:color w:val="auto"/>
        </w:rPr>
        <w:tab/>
      </w:r>
      <w:hyperlink r:id="rId402">
        <w:r>
          <w:rPr>
            <w:rFonts w:ascii="Arial" w:cs="Arial" w:eastAsia="Arial" w:hAnsi="Arial"/>
            <w:sz w:val="18"/>
            <w:szCs w:val="18"/>
            <w:u w:val="single" w:color="auto"/>
            <w:color w:val="0000FF"/>
          </w:rPr>
          <w:t>Form of 10.75%/12.00% PIK Senior Secured Notes due 2026 (incorporated by reference to Exhibit A to Exhibit 4.3 to AAG’s</w:t>
        </w:r>
      </w:hyperlink>
      <w:r>
        <w:rPr>
          <w:rFonts w:ascii="Arial" w:cs="Arial" w:eastAsia="Arial" w:hAnsi="Arial"/>
          <w:sz w:val="18"/>
          <w:szCs w:val="18"/>
          <w:u w:val="single" w:color="auto"/>
          <w:color w:val="0000FF"/>
        </w:rPr>
        <w:t xml:space="preserve"> </w:t>
      </w:r>
      <w:hyperlink r:id="rId402">
        <w:r>
          <w:rPr>
            <w:rFonts w:ascii="Arial" w:cs="Arial" w:eastAsia="Arial" w:hAnsi="Arial"/>
            <w:sz w:val="18"/>
            <w:szCs w:val="18"/>
            <w:u w:val="single" w:color="auto"/>
            <w:color w:val="0000FF"/>
          </w:rPr>
          <w:t>Quarterly Report on Form 10-Q for the quarter ended September 30, 2020 (Commission File No. 1-8400)).</w:t>
        </w:r>
      </w:hyperlink>
    </w:p>
    <w:p>
      <w:pPr>
        <w:spacing w:after="0" w:line="5" w:lineRule="exact"/>
        <w:rPr>
          <w:sz w:val="20"/>
          <w:szCs w:val="20"/>
          <w:color w:val="auto"/>
        </w:rPr>
      </w:pPr>
    </w:p>
    <w:p>
      <w:pPr>
        <w:jc w:val="both"/>
        <w:ind w:left="920" w:hanging="889"/>
        <w:spacing w:after="0" w:line="234"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4.189</w:t>
      </w:r>
      <w:r>
        <w:rPr>
          <w:sz w:val="20"/>
          <w:szCs w:val="20"/>
          <w:color w:val="auto"/>
        </w:rPr>
        <w:tab/>
      </w:r>
      <w:hyperlink r:id="rId403">
        <w:r>
          <w:rPr>
            <w:rFonts w:ascii="Arial" w:cs="Arial" w:eastAsia="Arial" w:hAnsi="Arial"/>
            <w:sz w:val="17"/>
            <w:szCs w:val="17"/>
            <w:u w:val="single" w:color="auto"/>
            <w:color w:val="0000FF"/>
          </w:rPr>
          <w:t>Warrant Agreement, dated as of April 20, 2020, between American Airlines Group, Inc. and the United States Department of the</w:t>
        </w:r>
      </w:hyperlink>
      <w:r>
        <w:rPr>
          <w:rFonts w:ascii="Arial" w:cs="Arial" w:eastAsia="Arial" w:hAnsi="Arial"/>
          <w:sz w:val="17"/>
          <w:szCs w:val="17"/>
          <w:u w:val="single" w:color="auto"/>
          <w:color w:val="0000FF"/>
        </w:rPr>
        <w:t xml:space="preserve"> </w:t>
      </w:r>
      <w:hyperlink r:id="rId403">
        <w:r>
          <w:rPr>
            <w:rFonts w:ascii="Arial" w:cs="Arial" w:eastAsia="Arial" w:hAnsi="Arial"/>
            <w:sz w:val="17"/>
            <w:szCs w:val="17"/>
            <w:u w:val="single" w:color="auto"/>
            <w:color w:val="0000FF"/>
          </w:rPr>
          <w:t>Treasury (incorporated by reference to Exhibit 4.3 to AAG’s Quarterly Report on Form 10-Q for the quarter ended March 31, 2020</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03">
        <w:r>
          <w:rPr>
            <w:rFonts w:ascii="Arial" w:cs="Arial" w:eastAsia="Arial" w:hAnsi="Arial"/>
            <w:sz w:val="18"/>
            <w:szCs w:val="18"/>
            <w:u w:val="single" w:color="auto"/>
            <w:color w:val="0000FF"/>
          </w:rPr>
          <w:t>(Commission File No. 1-8400)).</w:t>
        </w:r>
      </w:hyperlink>
    </w:p>
    <w:p>
      <w:pPr>
        <w:spacing w:after="0" w:line="14" w:lineRule="exact"/>
        <w:rPr>
          <w:sz w:val="20"/>
          <w:szCs w:val="20"/>
          <w:color w:val="auto"/>
        </w:rPr>
      </w:pPr>
    </w:p>
    <w:p>
      <w:pPr>
        <w:jc w:val="both"/>
        <w:ind w:left="920" w:right="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4.190</w:t>
      </w:r>
      <w:r>
        <w:rPr>
          <w:sz w:val="20"/>
          <w:szCs w:val="20"/>
          <w:color w:val="auto"/>
        </w:rPr>
        <w:tab/>
      </w:r>
      <w:hyperlink r:id="rId403">
        <w:r>
          <w:rPr>
            <w:rFonts w:ascii="Arial" w:cs="Arial" w:eastAsia="Arial" w:hAnsi="Arial"/>
            <w:sz w:val="18"/>
            <w:szCs w:val="18"/>
            <w:u w:val="single" w:color="auto"/>
            <w:color w:val="0000FF"/>
          </w:rPr>
          <w:t>Form of PSP1 Warrant (incorporated by reference to Annex B to Exhibit 4.3 to AAG’s Quarterly Report on Form 10-Q for the</w:t>
        </w:r>
      </w:hyperlink>
      <w:r>
        <w:rPr>
          <w:rFonts w:ascii="Arial" w:cs="Arial" w:eastAsia="Arial" w:hAnsi="Arial"/>
          <w:sz w:val="18"/>
          <w:szCs w:val="18"/>
          <w:u w:val="single" w:color="auto"/>
          <w:color w:val="0000FF"/>
        </w:rPr>
        <w:t xml:space="preserve"> </w:t>
      </w:r>
      <w:hyperlink r:id="rId403">
        <w:r>
          <w:rPr>
            <w:rFonts w:ascii="Arial" w:cs="Arial" w:eastAsia="Arial" w:hAnsi="Arial"/>
            <w:sz w:val="18"/>
            <w:szCs w:val="18"/>
            <w:u w:val="single" w:color="auto"/>
            <w:color w:val="0000FF"/>
          </w:rPr>
          <w:t>quarter ended March 31, 2020 (Commission File No. 1-8400)).</w:t>
        </w:r>
      </w:hyperlink>
    </w:p>
    <w:p>
      <w:pPr>
        <w:spacing w:after="0" w:line="5"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4.191</w:t>
      </w:r>
      <w:r>
        <w:rPr>
          <w:sz w:val="20"/>
          <w:szCs w:val="20"/>
          <w:color w:val="auto"/>
        </w:rPr>
        <w:tab/>
      </w:r>
      <w:hyperlink r:id="rId404">
        <w:r>
          <w:rPr>
            <w:rFonts w:ascii="Arial" w:cs="Arial" w:eastAsia="Arial" w:hAnsi="Arial"/>
            <w:sz w:val="18"/>
            <w:szCs w:val="18"/>
            <w:u w:val="single" w:color="auto"/>
            <w:color w:val="0000FF"/>
          </w:rPr>
          <w:t>Warrant Agreement, dated as of September 25, 2020, between American Airlines Group, Inc. and the United States Department</w:t>
        </w:r>
      </w:hyperlink>
      <w:r>
        <w:rPr>
          <w:rFonts w:ascii="Arial" w:cs="Arial" w:eastAsia="Arial" w:hAnsi="Arial"/>
          <w:sz w:val="18"/>
          <w:szCs w:val="18"/>
          <w:u w:val="single" w:color="auto"/>
          <w:color w:val="0000FF"/>
        </w:rPr>
        <w:t xml:space="preserve"> </w:t>
      </w:r>
      <w:hyperlink r:id="rId404">
        <w:r>
          <w:rPr>
            <w:rFonts w:ascii="Arial" w:cs="Arial" w:eastAsia="Arial" w:hAnsi="Arial"/>
            <w:sz w:val="18"/>
            <w:szCs w:val="18"/>
            <w:u w:val="single" w:color="auto"/>
            <w:color w:val="0000FF"/>
          </w:rPr>
          <w:t>of the Treasury (incorporated by reference to Exhibit 4.5 to AAG’s Quarterly Report on Form 10-Q for the quarter ended</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04">
        <w:r>
          <w:rPr>
            <w:rFonts w:ascii="Arial" w:cs="Arial" w:eastAsia="Arial" w:hAnsi="Arial"/>
            <w:sz w:val="18"/>
            <w:szCs w:val="18"/>
            <w:u w:val="single" w:color="auto"/>
            <w:color w:val="0000FF"/>
          </w:rPr>
          <w:t>September 30, 2020 (Commission File No. 1-8400)).</w:t>
        </w:r>
      </w:hyperlink>
    </w:p>
    <w:p>
      <w:pPr>
        <w:spacing w:after="0" w:line="14" w:lineRule="exact"/>
        <w:rPr>
          <w:sz w:val="20"/>
          <w:szCs w:val="20"/>
          <w:color w:val="auto"/>
        </w:rPr>
      </w:pPr>
    </w:p>
    <w:p>
      <w:pPr>
        <w:jc w:val="both"/>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4.192</w:t>
      </w:r>
      <w:r>
        <w:rPr>
          <w:sz w:val="20"/>
          <w:szCs w:val="20"/>
          <w:color w:val="auto"/>
        </w:rPr>
        <w:tab/>
      </w:r>
      <w:hyperlink r:id="rId404">
        <w:r>
          <w:rPr>
            <w:rFonts w:ascii="Arial" w:cs="Arial" w:eastAsia="Arial" w:hAnsi="Arial"/>
            <w:sz w:val="18"/>
            <w:szCs w:val="18"/>
            <w:u w:val="single" w:color="auto"/>
            <w:color w:val="0000FF"/>
          </w:rPr>
          <w:t>Form of Treasury Loan Warrant (incorporated by reference to Annex B to Exhibit 4.5 to AAG’s Quarterly Report on Form 10-Q for</w:t>
        </w:r>
      </w:hyperlink>
      <w:r>
        <w:rPr>
          <w:rFonts w:ascii="Arial" w:cs="Arial" w:eastAsia="Arial" w:hAnsi="Arial"/>
          <w:sz w:val="18"/>
          <w:szCs w:val="18"/>
          <w:u w:val="single" w:color="auto"/>
          <w:color w:val="0000FF"/>
        </w:rPr>
        <w:t xml:space="preserve"> </w:t>
      </w:r>
      <w:hyperlink r:id="rId404">
        <w:r>
          <w:rPr>
            <w:rFonts w:ascii="Arial" w:cs="Arial" w:eastAsia="Arial" w:hAnsi="Arial"/>
            <w:sz w:val="18"/>
            <w:szCs w:val="18"/>
            <w:u w:val="single" w:color="auto"/>
            <w:color w:val="0000FF"/>
          </w:rPr>
          <w:t>the quarter ended September 30, 2020 (Commission File No. 1-8400)).</w:t>
        </w:r>
      </w:hyperlink>
    </w:p>
    <w:p>
      <w:pPr>
        <w:spacing w:after="0" w:line="5" w:lineRule="exact"/>
        <w:rPr>
          <w:sz w:val="20"/>
          <w:szCs w:val="20"/>
          <w:color w:val="auto"/>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4.193</w:t>
      </w:r>
      <w:r>
        <w:rPr>
          <w:sz w:val="20"/>
          <w:szCs w:val="20"/>
          <w:color w:val="auto"/>
        </w:rPr>
        <w:tab/>
      </w:r>
      <w:hyperlink r:id="rId405">
        <w:r>
          <w:rPr>
            <w:rFonts w:ascii="Arial" w:cs="Arial" w:eastAsia="Arial" w:hAnsi="Arial"/>
            <w:sz w:val="18"/>
            <w:szCs w:val="18"/>
            <w:u w:val="single" w:color="auto"/>
            <w:color w:val="0000FF"/>
          </w:rPr>
          <w:t>Warrant Agreement, dated as of January 15, 2021, between American Airlines Group, Inc. and the United States Department of</w:t>
        </w:r>
      </w:hyperlink>
      <w:r>
        <w:rPr>
          <w:rFonts w:ascii="Arial" w:cs="Arial" w:eastAsia="Arial" w:hAnsi="Arial"/>
          <w:sz w:val="18"/>
          <w:szCs w:val="18"/>
          <w:u w:val="single" w:color="auto"/>
          <w:color w:val="0000FF"/>
        </w:rPr>
        <w:t xml:space="preserve"> </w:t>
      </w:r>
      <w:hyperlink r:id="rId405">
        <w:r>
          <w:rPr>
            <w:rFonts w:ascii="Arial" w:cs="Arial" w:eastAsia="Arial" w:hAnsi="Arial"/>
            <w:sz w:val="18"/>
            <w:szCs w:val="18"/>
            <w:u w:val="single" w:color="auto"/>
            <w:color w:val="0000FF"/>
          </w:rPr>
          <w:t>the Treasury (incorporated by reference to Exhibit 4.182 to AAG’s Annual Report on Form 10-K for the year ended December 31,</w:t>
        </w:r>
      </w:hyperlink>
      <w:r>
        <w:rPr>
          <w:rFonts w:ascii="Arial" w:cs="Arial" w:eastAsia="Arial" w:hAnsi="Arial"/>
          <w:sz w:val="18"/>
          <w:szCs w:val="18"/>
          <w:u w:val="single" w:color="auto"/>
          <w:color w:val="0000FF"/>
        </w:rPr>
        <w:t xml:space="preserve"> </w:t>
      </w:r>
      <w:hyperlink r:id="rId405">
        <w:r>
          <w:rPr>
            <w:rFonts w:ascii="Arial" w:cs="Arial" w:eastAsia="Arial" w:hAnsi="Arial"/>
            <w:sz w:val="18"/>
            <w:szCs w:val="18"/>
            <w:u w:val="single" w:color="auto"/>
            <w:color w:val="0000FF"/>
          </w:rPr>
          <w:t>2020 (Commission File No. 1-8400)).</w:t>
        </w:r>
      </w:hyperlink>
    </w:p>
    <w:p>
      <w:pPr>
        <w:spacing w:after="0" w:line="9" w:lineRule="exact"/>
        <w:rPr>
          <w:rFonts w:ascii="Arial" w:cs="Arial" w:eastAsia="Arial" w:hAnsi="Arial"/>
          <w:sz w:val="18"/>
          <w:szCs w:val="18"/>
          <w:u w:val="single" w:color="auto"/>
          <w:color w:val="0000FF"/>
        </w:rPr>
      </w:pPr>
    </w:p>
    <w:p>
      <w:pPr>
        <w:ind w:left="20"/>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4.194</w:t>
      </w:r>
      <w:r>
        <w:rPr>
          <w:sz w:val="20"/>
          <w:szCs w:val="20"/>
          <w:color w:val="auto"/>
        </w:rPr>
        <w:tab/>
      </w:r>
      <w:hyperlink r:id="rId405">
        <w:r>
          <w:rPr>
            <w:rFonts w:ascii="Arial" w:cs="Arial" w:eastAsia="Arial" w:hAnsi="Arial"/>
            <w:sz w:val="17"/>
            <w:szCs w:val="17"/>
            <w:u w:val="single" w:color="auto"/>
            <w:color w:val="0000FF"/>
          </w:rPr>
          <w:t>Form of PSP2 Warrant (incorporated by reference to Annex B to Exhibit 4.182).</w:t>
        </w:r>
      </w:hyperlink>
    </w:p>
    <w:p>
      <w:pPr>
        <w:spacing w:after="0" w:line="32" w:lineRule="exact"/>
        <w:rPr>
          <w:rFonts w:ascii="Arial" w:cs="Arial" w:eastAsia="Arial" w:hAnsi="Arial"/>
          <w:sz w:val="18"/>
          <w:szCs w:val="18"/>
          <w:u w:val="single" w:color="auto"/>
          <w:color w:val="0000FF"/>
        </w:rPr>
      </w:pPr>
    </w:p>
    <w:p>
      <w:pPr>
        <w:jc w:val="both"/>
        <w:ind w:left="920" w:hanging="889"/>
        <w:spacing w:after="0" w:line="24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4.195</w:t>
      </w:r>
      <w:r>
        <w:rPr>
          <w:sz w:val="20"/>
          <w:szCs w:val="20"/>
          <w:color w:val="auto"/>
        </w:rPr>
        <w:tab/>
      </w:r>
      <w:hyperlink r:id="rId406">
        <w:r>
          <w:rPr>
            <w:rFonts w:ascii="Arial" w:cs="Arial" w:eastAsia="Arial" w:hAnsi="Arial"/>
            <w:sz w:val="18"/>
            <w:szCs w:val="18"/>
            <w:u w:val="single" w:color="auto"/>
            <w:color w:val="0000FF"/>
          </w:rPr>
          <w:t>Warrant Agreement, dated as of April 23, 2021, between American Airlines Group Inc. and the United States Department of the</w:t>
        </w:r>
      </w:hyperlink>
      <w:r>
        <w:rPr>
          <w:rFonts w:ascii="Arial" w:cs="Arial" w:eastAsia="Arial" w:hAnsi="Arial"/>
          <w:sz w:val="18"/>
          <w:szCs w:val="18"/>
          <w:u w:val="single" w:color="auto"/>
          <w:color w:val="0000FF"/>
        </w:rPr>
        <w:t xml:space="preserve"> </w:t>
      </w:r>
      <w:hyperlink r:id="rId406">
        <w:r>
          <w:rPr>
            <w:rFonts w:ascii="Arial" w:cs="Arial" w:eastAsia="Arial" w:hAnsi="Arial"/>
            <w:sz w:val="18"/>
            <w:szCs w:val="18"/>
            <w:u w:val="single" w:color="auto"/>
            <w:color w:val="0000FF"/>
          </w:rPr>
          <w:t>Treasury (incorporated by reference to Exhibit 4.1 to AAG’s Quarterly Report on Form 10-Q for the quarter ended June 30, 2021</w:t>
        </w:r>
      </w:hyperlink>
      <w:r>
        <w:rPr>
          <w:rFonts w:ascii="Arial" w:cs="Arial" w:eastAsia="Arial" w:hAnsi="Arial"/>
          <w:sz w:val="18"/>
          <w:szCs w:val="18"/>
          <w:u w:val="single" w:color="auto"/>
          <w:color w:val="0000FF"/>
        </w:rPr>
        <w:t xml:space="preserve"> </w:t>
      </w:r>
      <w:hyperlink r:id="rId406">
        <w:r>
          <w:rPr>
            <w:rFonts w:ascii="Arial" w:cs="Arial" w:eastAsia="Arial" w:hAnsi="Arial"/>
            <w:sz w:val="18"/>
            <w:szCs w:val="18"/>
            <w:u w:val="single" w:color="auto"/>
            <w:color w:val="0000FF"/>
          </w:rPr>
          <w:t>(Commission File No. 1-8400)).</w:t>
        </w:r>
      </w:hyperlink>
    </w:p>
    <w:p>
      <w:pPr>
        <w:spacing w:after="0" w:line="12" w:lineRule="exact"/>
        <w:rPr>
          <w:rFonts w:ascii="Arial" w:cs="Arial" w:eastAsia="Arial" w:hAnsi="Arial"/>
          <w:sz w:val="18"/>
          <w:szCs w:val="18"/>
          <w:u w:val="single" w:color="auto"/>
          <w:color w:val="0000FF"/>
        </w:rPr>
      </w:pPr>
    </w:p>
    <w:p>
      <w:pPr>
        <w:jc w:val="both"/>
        <w:ind w:left="920" w:right="20" w:hanging="889"/>
        <w:spacing w:after="0" w:line="265"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4.196</w:t>
      </w:r>
      <w:r>
        <w:rPr>
          <w:sz w:val="20"/>
          <w:szCs w:val="20"/>
          <w:color w:val="auto"/>
        </w:rPr>
        <w:tab/>
      </w:r>
      <w:hyperlink r:id="rId406">
        <w:r>
          <w:rPr>
            <w:rFonts w:ascii="Arial" w:cs="Arial" w:eastAsia="Arial" w:hAnsi="Arial"/>
            <w:sz w:val="18"/>
            <w:szCs w:val="18"/>
            <w:u w:val="single" w:color="auto"/>
            <w:color w:val="0000FF"/>
          </w:rPr>
          <w:t>Form of PSP3 Warrant (incorporated by reference to Annex B to Exhibit 4.1 to AAG’s Quarterly Report on Form 10-Q for the</w:t>
        </w:r>
      </w:hyperlink>
      <w:r>
        <w:rPr>
          <w:rFonts w:ascii="Arial" w:cs="Arial" w:eastAsia="Arial" w:hAnsi="Arial"/>
          <w:sz w:val="18"/>
          <w:szCs w:val="18"/>
          <w:u w:val="single" w:color="auto"/>
          <w:color w:val="0000FF"/>
        </w:rPr>
        <w:t xml:space="preserve"> </w:t>
      </w:r>
      <w:hyperlink r:id="rId406">
        <w:r>
          <w:rPr>
            <w:rFonts w:ascii="Arial" w:cs="Arial" w:eastAsia="Arial" w:hAnsi="Arial"/>
            <w:sz w:val="18"/>
            <w:szCs w:val="18"/>
            <w:u w:val="single" w:color="auto"/>
            <w:color w:val="0000FF"/>
          </w:rPr>
          <w:t>quarter ended June 30, 2021 (Commission File No. 1-8400)).</w:t>
        </w:r>
      </w:hyperlink>
    </w:p>
    <w:p>
      <w:pPr>
        <w:spacing w:after="0" w:line="1" w:lineRule="exact"/>
        <w:rPr>
          <w:sz w:val="20"/>
          <w:szCs w:val="20"/>
          <w:color w:val="auto"/>
        </w:rPr>
      </w:pPr>
    </w:p>
    <w:p>
      <w:pPr>
        <w:jc w:val="both"/>
        <w:ind w:left="920" w:hanging="889"/>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4.197</w:t>
      </w:r>
      <w:r>
        <w:rPr>
          <w:sz w:val="20"/>
          <w:szCs w:val="20"/>
          <w:color w:val="auto"/>
        </w:rPr>
        <w:tab/>
      </w:r>
      <w:hyperlink r:id="rId407">
        <w:r>
          <w:rPr>
            <w:rFonts w:ascii="Arial" w:cs="Arial" w:eastAsia="Arial" w:hAnsi="Arial"/>
            <w:sz w:val="18"/>
            <w:szCs w:val="18"/>
            <w:u w:val="single" w:color="auto"/>
            <w:color w:val="0000FF"/>
          </w:rPr>
          <w:t>Indenture, dated as of March 24, 2021, by and among American Airlines, Inc., AAdvantage Loyalty IP Ltd., American Airlines</w:t>
        </w:r>
      </w:hyperlink>
      <w:r>
        <w:rPr>
          <w:rFonts w:ascii="Arial" w:cs="Arial" w:eastAsia="Arial" w:hAnsi="Arial"/>
          <w:sz w:val="18"/>
          <w:szCs w:val="18"/>
          <w:u w:val="single" w:color="auto"/>
          <w:color w:val="0000FF"/>
        </w:rPr>
        <w:t xml:space="preserve"> </w:t>
      </w:r>
      <w:hyperlink r:id="rId407">
        <w:r>
          <w:rPr>
            <w:rFonts w:ascii="Arial" w:cs="Arial" w:eastAsia="Arial" w:hAnsi="Arial"/>
            <w:sz w:val="18"/>
            <w:szCs w:val="18"/>
            <w:u w:val="single" w:color="auto"/>
            <w:color w:val="0000FF"/>
          </w:rPr>
          <w:t>Group Inc., AAdvantage Holdings 1, Ltd. and AAdvantage Holdings 2, Ltd. and Wilmington Trust, National Association, as trustee</w:t>
        </w:r>
      </w:hyperlink>
      <w:r>
        <w:rPr>
          <w:rFonts w:ascii="Arial" w:cs="Arial" w:eastAsia="Arial" w:hAnsi="Arial"/>
          <w:sz w:val="18"/>
          <w:szCs w:val="18"/>
          <w:u w:val="single" w:color="auto"/>
          <w:color w:val="0000FF"/>
        </w:rPr>
        <w:t xml:space="preserve"> </w:t>
      </w:r>
      <w:hyperlink r:id="rId407">
        <w:r>
          <w:rPr>
            <w:rFonts w:ascii="Arial" w:cs="Arial" w:eastAsia="Arial" w:hAnsi="Arial"/>
            <w:sz w:val="18"/>
            <w:szCs w:val="18"/>
            <w:u w:val="single" w:color="auto"/>
            <w:color w:val="0000FF"/>
          </w:rPr>
          <w:t>(incorporated by reference to Exhibit 4.3 to AAG’s Quarterly Report on Form 10-Q for the quarter ended March 31, 2021</w:t>
        </w:r>
      </w:hyperlink>
      <w:r>
        <w:rPr>
          <w:rFonts w:ascii="Arial" w:cs="Arial" w:eastAsia="Arial" w:hAnsi="Arial"/>
          <w:sz w:val="18"/>
          <w:szCs w:val="18"/>
          <w:u w:val="single" w:color="auto"/>
          <w:color w:val="0000FF"/>
        </w:rPr>
        <w:t xml:space="preserve"> </w:t>
      </w:r>
      <w:hyperlink r:id="rId407">
        <w:r>
          <w:rPr>
            <w:rFonts w:ascii="Arial" w:cs="Arial" w:eastAsia="Arial" w:hAnsi="Arial"/>
            <w:sz w:val="18"/>
            <w:szCs w:val="18"/>
            <w:u w:val="single" w:color="auto"/>
            <w:color w:val="0000FF"/>
          </w:rPr>
          <w:t>(Commission File No. 1-8400)).</w:t>
        </w:r>
      </w:hyperlink>
    </w:p>
    <w:p>
      <w:pPr>
        <w:spacing w:after="0" w:line="14" w:lineRule="exact"/>
        <w:rPr>
          <w:rFonts w:ascii="Arial" w:cs="Arial" w:eastAsia="Arial" w:hAnsi="Arial"/>
          <w:sz w:val="18"/>
          <w:szCs w:val="18"/>
          <w:u w:val="single" w:color="auto"/>
          <w:color w:val="0000FF"/>
        </w:rPr>
      </w:pPr>
    </w:p>
    <w:p>
      <w:pPr>
        <w:jc w:val="both"/>
        <w:ind w:left="920" w:hanging="889"/>
        <w:spacing w:after="0" w:line="265"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4.198</w:t>
      </w:r>
      <w:r>
        <w:rPr>
          <w:sz w:val="20"/>
          <w:szCs w:val="20"/>
          <w:color w:val="auto"/>
        </w:rPr>
        <w:tab/>
      </w:r>
      <w:hyperlink r:id="rId407">
        <w:r>
          <w:rPr>
            <w:rFonts w:ascii="Arial" w:cs="Arial" w:eastAsia="Arial" w:hAnsi="Arial"/>
            <w:sz w:val="18"/>
            <w:szCs w:val="18"/>
            <w:u w:val="single" w:color="auto"/>
            <w:color w:val="0000FF"/>
          </w:rPr>
          <w:t>Form of 5.50% Senior Secured Notes due 2026 (incorporated by reference as Exhibit A-1 to Exhibit 4.3 to AAG’s Quarterly</w:t>
        </w:r>
      </w:hyperlink>
      <w:r>
        <w:rPr>
          <w:rFonts w:ascii="Arial" w:cs="Arial" w:eastAsia="Arial" w:hAnsi="Arial"/>
          <w:sz w:val="18"/>
          <w:szCs w:val="18"/>
          <w:u w:val="single" w:color="auto"/>
          <w:color w:val="0000FF"/>
        </w:rPr>
        <w:t xml:space="preserve"> </w:t>
      </w:r>
      <w:hyperlink r:id="rId407">
        <w:r>
          <w:rPr>
            <w:rFonts w:ascii="Arial" w:cs="Arial" w:eastAsia="Arial" w:hAnsi="Arial"/>
            <w:sz w:val="18"/>
            <w:szCs w:val="18"/>
            <w:u w:val="single" w:color="auto"/>
            <w:color w:val="0000FF"/>
          </w:rPr>
          <w:t>Report on Form 10-Q for the quarter ended March 31, 2021 (Commission File No. 1-8400)).</w:t>
        </w:r>
      </w:hyperlink>
    </w:p>
    <w:p>
      <w:pPr>
        <w:spacing w:after="0" w:line="1" w:lineRule="exact"/>
        <w:rPr>
          <w:sz w:val="20"/>
          <w:szCs w:val="20"/>
          <w:color w:val="auto"/>
        </w:rPr>
      </w:pPr>
    </w:p>
    <w:p>
      <w:pPr>
        <w:jc w:val="both"/>
        <w:ind w:left="920" w:hanging="889"/>
        <w:spacing w:after="0" w:line="265"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4.199</w:t>
      </w:r>
      <w:r>
        <w:rPr>
          <w:sz w:val="20"/>
          <w:szCs w:val="20"/>
          <w:color w:val="auto"/>
        </w:rPr>
        <w:tab/>
      </w:r>
      <w:hyperlink r:id="rId407">
        <w:r>
          <w:rPr>
            <w:rFonts w:ascii="Arial" w:cs="Arial" w:eastAsia="Arial" w:hAnsi="Arial"/>
            <w:sz w:val="18"/>
            <w:szCs w:val="18"/>
            <w:u w:val="single" w:color="auto"/>
            <w:color w:val="0000FF"/>
          </w:rPr>
          <w:t>Form of 5.75% Senior Secured Notes due 2029 (incorporated by reference as Exhibit A-2 to Exhibit 4.3 to AAG’s Quarterly</w:t>
        </w:r>
      </w:hyperlink>
      <w:r>
        <w:rPr>
          <w:rFonts w:ascii="Arial" w:cs="Arial" w:eastAsia="Arial" w:hAnsi="Arial"/>
          <w:sz w:val="18"/>
          <w:szCs w:val="18"/>
          <w:u w:val="single" w:color="auto"/>
          <w:color w:val="0000FF"/>
        </w:rPr>
        <w:t xml:space="preserve"> </w:t>
      </w:r>
      <w:hyperlink r:id="rId407">
        <w:r>
          <w:rPr>
            <w:rFonts w:ascii="Arial" w:cs="Arial" w:eastAsia="Arial" w:hAnsi="Arial"/>
            <w:sz w:val="18"/>
            <w:szCs w:val="18"/>
            <w:u w:val="single" w:color="auto"/>
            <w:color w:val="0000FF"/>
          </w:rPr>
          <w:t>Report on Form 10-Q for the quarter ended March 31, 2021 (Commission File No. 1-8400)).</w:t>
        </w:r>
      </w:hyperlink>
    </w:p>
    <w:p>
      <w:pPr>
        <w:spacing w:after="0" w:line="1"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4.200</w:t>
      </w:r>
      <w:r>
        <w:rPr>
          <w:sz w:val="20"/>
          <w:szCs w:val="20"/>
          <w:color w:val="auto"/>
        </w:rPr>
        <w:tab/>
      </w:r>
      <w:hyperlink r:id="rId408">
        <w:r>
          <w:rPr>
            <w:rFonts w:ascii="Arial" w:cs="Arial" w:eastAsia="Arial" w:hAnsi="Arial"/>
            <w:sz w:val="18"/>
            <w:szCs w:val="18"/>
            <w:u w:val="single" w:color="auto"/>
            <w:color w:val="0000FF"/>
          </w:rPr>
          <w:t>Indenture, dated as of February 15, 2023, by and among American Airlines, Inc., American Airlines Group Inc. and Wilmington</w:t>
        </w:r>
      </w:hyperlink>
      <w:r>
        <w:rPr>
          <w:rFonts w:ascii="Arial" w:cs="Arial" w:eastAsia="Arial" w:hAnsi="Arial"/>
          <w:sz w:val="18"/>
          <w:szCs w:val="18"/>
          <w:u w:val="single" w:color="auto"/>
          <w:color w:val="0000FF"/>
        </w:rPr>
        <w:t xml:space="preserve"> </w:t>
      </w:r>
      <w:hyperlink r:id="rId408">
        <w:r>
          <w:rPr>
            <w:rFonts w:ascii="Arial" w:cs="Arial" w:eastAsia="Arial" w:hAnsi="Arial"/>
            <w:sz w:val="18"/>
            <w:szCs w:val="18"/>
            <w:u w:val="single" w:color="auto"/>
            <w:color w:val="0000FF"/>
          </w:rPr>
          <w:t>Trust, National Association, as trustee and as collateral agent (incorporated by reference to Exhibit 4.1 to AAG’s Current Report</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08">
        <w:r>
          <w:rPr>
            <w:rFonts w:ascii="Arial" w:cs="Arial" w:eastAsia="Arial" w:hAnsi="Arial"/>
            <w:sz w:val="18"/>
            <w:szCs w:val="18"/>
            <w:u w:val="single" w:color="auto"/>
            <w:color w:val="0000FF"/>
          </w:rPr>
          <w:t>on Form 8-K filed on February 15, 2023 (Commission File No. 1-8400)).</w:t>
        </w:r>
      </w:hyperlink>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89"/>
        <w:spacing w:after="0" w:line="230"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4.201</w:t>
      </w:r>
      <w:r>
        <w:rPr>
          <w:sz w:val="20"/>
          <w:szCs w:val="20"/>
          <w:color w:val="auto"/>
        </w:rPr>
        <w:tab/>
      </w:r>
      <w:hyperlink r:id="rId408">
        <w:r>
          <w:rPr>
            <w:rFonts w:ascii="Arial" w:cs="Arial" w:eastAsia="Arial" w:hAnsi="Arial"/>
            <w:sz w:val="18"/>
            <w:szCs w:val="18"/>
            <w:u w:val="single" w:color="auto"/>
            <w:color w:val="0000FF"/>
          </w:rPr>
          <w:t>Form of 7.25% Senior Secured Notes due 2028 (incorporated by reference to Exhibit A to Exhibit 4.1 of AAG’s Current Report on</w:t>
        </w:r>
      </w:hyperlink>
      <w:r>
        <w:rPr>
          <w:rFonts w:ascii="Arial" w:cs="Arial" w:eastAsia="Arial" w:hAnsi="Arial"/>
          <w:sz w:val="18"/>
          <w:szCs w:val="18"/>
          <w:u w:val="single" w:color="auto"/>
          <w:color w:val="0000FF"/>
        </w:rPr>
        <w:t xml:space="preserve"> </w:t>
      </w:r>
      <w:hyperlink r:id="rId408">
        <w:r>
          <w:rPr>
            <w:rFonts w:ascii="Arial" w:cs="Arial" w:eastAsia="Arial" w:hAnsi="Arial"/>
            <w:sz w:val="18"/>
            <w:szCs w:val="18"/>
            <w:u w:val="single" w:color="auto"/>
            <w:color w:val="0000FF"/>
          </w:rPr>
          <w:t>Form 8-K filed on February 15, 2023 (Commission File No. 1-8400)).</w:t>
        </w:r>
      </w:hyperlink>
    </w:p>
    <w:p>
      <w:pPr>
        <w:spacing w:after="0" w:line="4"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4.202</w:t>
      </w:r>
      <w:r>
        <w:rPr>
          <w:sz w:val="20"/>
          <w:szCs w:val="20"/>
          <w:color w:val="auto"/>
        </w:rPr>
        <w:tab/>
      </w:r>
      <w:hyperlink r:id="rId410">
        <w:r>
          <w:rPr>
            <w:rFonts w:ascii="Arial" w:cs="Arial" w:eastAsia="Arial" w:hAnsi="Arial"/>
            <w:sz w:val="18"/>
            <w:szCs w:val="18"/>
            <w:u w:val="single" w:color="auto"/>
            <w:color w:val="0000FF"/>
          </w:rPr>
          <w:t>Indenture, dated as of December 4, 2023, by and among American Airlines, Inc., American Airlines Group Inc. and Wilmington</w:t>
        </w:r>
      </w:hyperlink>
      <w:r>
        <w:rPr>
          <w:rFonts w:ascii="Arial" w:cs="Arial" w:eastAsia="Arial" w:hAnsi="Arial"/>
          <w:sz w:val="18"/>
          <w:szCs w:val="18"/>
          <w:u w:val="single" w:color="auto"/>
          <w:color w:val="0000FF"/>
        </w:rPr>
        <w:t xml:space="preserve"> </w:t>
      </w:r>
      <w:hyperlink r:id="rId410">
        <w:r>
          <w:rPr>
            <w:rFonts w:ascii="Arial" w:cs="Arial" w:eastAsia="Arial" w:hAnsi="Arial"/>
            <w:sz w:val="18"/>
            <w:szCs w:val="18"/>
            <w:u w:val="single" w:color="auto"/>
            <w:color w:val="0000FF"/>
          </w:rPr>
          <w:t>Trust, National Association, as trustee and as collateral trustee (incorporated by reference to Exhibit 4.1 to AAG’s Current Report</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10">
        <w:r>
          <w:rPr>
            <w:rFonts w:ascii="Arial" w:cs="Arial" w:eastAsia="Arial" w:hAnsi="Arial"/>
            <w:sz w:val="18"/>
            <w:szCs w:val="18"/>
            <w:u w:val="single" w:color="auto"/>
            <w:color w:val="0000FF"/>
          </w:rPr>
          <w:t>on Form 8-K filed on December 4, 2023 (Commission File No. 1-8400)).</w:t>
        </w:r>
      </w:hyperlink>
    </w:p>
    <w:p>
      <w:pPr>
        <w:spacing w:after="0" w:line="14" w:lineRule="exact"/>
        <w:rPr>
          <w:sz w:val="20"/>
          <w:szCs w:val="20"/>
          <w:color w:val="auto"/>
        </w:rPr>
      </w:pPr>
    </w:p>
    <w:p>
      <w:pPr>
        <w:jc w:val="both"/>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4.203</w:t>
      </w:r>
      <w:r>
        <w:rPr>
          <w:sz w:val="20"/>
          <w:szCs w:val="20"/>
          <w:color w:val="auto"/>
        </w:rPr>
        <w:tab/>
      </w:r>
      <w:hyperlink r:id="rId410">
        <w:r>
          <w:rPr>
            <w:rFonts w:ascii="Arial" w:cs="Arial" w:eastAsia="Arial" w:hAnsi="Arial"/>
            <w:sz w:val="18"/>
            <w:szCs w:val="18"/>
            <w:u w:val="single" w:color="auto"/>
            <w:color w:val="0000FF"/>
          </w:rPr>
          <w:t>Form of 8.50% Senior Secured Notes due 2029 (incorporated by reference to Exhibit A to Exhibit 4.1 of AAG’s Current Report on</w:t>
        </w:r>
      </w:hyperlink>
      <w:r>
        <w:rPr>
          <w:rFonts w:ascii="Arial" w:cs="Arial" w:eastAsia="Arial" w:hAnsi="Arial"/>
          <w:sz w:val="18"/>
          <w:szCs w:val="18"/>
          <w:u w:val="single" w:color="auto"/>
          <w:color w:val="0000FF"/>
        </w:rPr>
        <w:t xml:space="preserve"> </w:t>
      </w:r>
      <w:hyperlink r:id="rId410">
        <w:r>
          <w:rPr>
            <w:rFonts w:ascii="Arial" w:cs="Arial" w:eastAsia="Arial" w:hAnsi="Arial"/>
            <w:sz w:val="18"/>
            <w:szCs w:val="18"/>
            <w:u w:val="single" w:color="auto"/>
            <w:color w:val="0000FF"/>
          </w:rPr>
          <w:t>Form 8-K filed on December 4, 2023 (Commission File No. 1-8400)).</w:t>
        </w:r>
      </w:hyperlink>
    </w:p>
    <w:p>
      <w:pPr>
        <w:spacing w:after="0" w:line="5"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411">
        <w:r>
          <w:rPr>
            <w:rFonts w:ascii="Arial" w:cs="Arial" w:eastAsia="Arial" w:hAnsi="Arial"/>
            <w:sz w:val="18"/>
            <w:szCs w:val="18"/>
            <w:u w:val="single" w:color="auto"/>
            <w:color w:val="0000FF"/>
          </w:rPr>
          <w:t>Payroll Support Program Agreement, dated as of April 20, 2020, between American Airlines, Inc. and the United States</w:t>
        </w:r>
      </w:hyperlink>
      <w:r>
        <w:rPr>
          <w:rFonts w:ascii="Arial" w:cs="Arial" w:eastAsia="Arial" w:hAnsi="Arial"/>
          <w:sz w:val="18"/>
          <w:szCs w:val="18"/>
          <w:u w:val="single" w:color="auto"/>
          <w:color w:val="0000FF"/>
        </w:rPr>
        <w:t xml:space="preserve"> </w:t>
      </w:r>
      <w:hyperlink r:id="rId411">
        <w:r>
          <w:rPr>
            <w:rFonts w:ascii="Arial" w:cs="Arial" w:eastAsia="Arial" w:hAnsi="Arial"/>
            <w:sz w:val="18"/>
            <w:szCs w:val="18"/>
            <w:u w:val="single" w:color="auto"/>
            <w:color w:val="0000FF"/>
          </w:rPr>
          <w:t>Department of the Treasury (incorporated by reference to Exhibit 10.5 to AAG’s Quarterly Report on Form 10-Q for the quarter</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11">
        <w:r>
          <w:rPr>
            <w:rFonts w:ascii="Arial" w:cs="Arial" w:eastAsia="Arial" w:hAnsi="Arial"/>
            <w:sz w:val="18"/>
            <w:szCs w:val="18"/>
            <w:u w:val="single" w:color="auto"/>
            <w:color w:val="0000FF"/>
          </w:rPr>
          <w:t>ended March 31, 2020 (Commission File No. 1-8400)).</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412">
        <w:r>
          <w:rPr>
            <w:rFonts w:ascii="Arial" w:cs="Arial" w:eastAsia="Arial" w:hAnsi="Arial"/>
            <w:sz w:val="18"/>
            <w:szCs w:val="18"/>
            <w:u w:val="single" w:color="auto"/>
            <w:color w:val="0000FF"/>
          </w:rPr>
          <w:t>Promissory Note, dated as of April 20, 2020, issued by American Airlines Group Inc. in the name of the United States Department</w:t>
        </w:r>
      </w:hyperlink>
      <w:r>
        <w:rPr>
          <w:rFonts w:ascii="Arial" w:cs="Arial" w:eastAsia="Arial" w:hAnsi="Arial"/>
          <w:sz w:val="18"/>
          <w:szCs w:val="18"/>
          <w:u w:val="single" w:color="auto"/>
          <w:color w:val="0000FF"/>
        </w:rPr>
        <w:t xml:space="preserve"> </w:t>
      </w:r>
      <w:hyperlink r:id="rId412">
        <w:r>
          <w:rPr>
            <w:rFonts w:ascii="Arial" w:cs="Arial" w:eastAsia="Arial" w:hAnsi="Arial"/>
            <w:sz w:val="18"/>
            <w:szCs w:val="18"/>
            <w:u w:val="single" w:color="auto"/>
            <w:color w:val="0000FF"/>
          </w:rPr>
          <w:t>of the Treasury and guaranteed by American Airlines, Inc., Envoy Air Inc., Piedmont Airlines, Inc. and PSA Airlines, Inc.</w:t>
        </w:r>
      </w:hyperlink>
    </w:p>
    <w:p>
      <w:pPr>
        <w:ind w:left="920"/>
        <w:spacing w:after="0" w:line="229" w:lineRule="auto"/>
        <w:rPr>
          <w:rFonts w:ascii="Arial" w:cs="Arial" w:eastAsia="Arial" w:hAnsi="Arial"/>
          <w:sz w:val="18"/>
          <w:szCs w:val="18"/>
          <w:u w:val="single" w:color="auto"/>
          <w:color w:val="0000FF"/>
        </w:rPr>
      </w:pPr>
      <w:hyperlink r:id="rId412">
        <w:r>
          <w:rPr>
            <w:rFonts w:ascii="Arial" w:cs="Arial" w:eastAsia="Arial" w:hAnsi="Arial"/>
            <w:sz w:val="18"/>
            <w:szCs w:val="18"/>
            <w:u w:val="single" w:color="auto"/>
            <w:color w:val="0000FF"/>
          </w:rPr>
          <w:t>(incorporated by reference to Exhibit 10.6 to AAG’s Quarterly Report on Form 10-Q for the quarter ended March 31, 2020</w:t>
        </w:r>
      </w:hyperlink>
      <w:r>
        <w:rPr>
          <w:rFonts w:ascii="Arial" w:cs="Arial" w:eastAsia="Arial" w:hAnsi="Arial"/>
          <w:sz w:val="18"/>
          <w:szCs w:val="18"/>
          <w:u w:val="single" w:color="auto"/>
          <w:color w:val="0000FF"/>
        </w:rPr>
        <w:t xml:space="preserve"> </w:t>
      </w:r>
      <w:hyperlink r:id="rId412">
        <w:r>
          <w:rPr>
            <w:rFonts w:ascii="Arial" w:cs="Arial" w:eastAsia="Arial" w:hAnsi="Arial"/>
            <w:sz w:val="18"/>
            <w:szCs w:val="18"/>
            <w:u w:val="single" w:color="auto"/>
            <w:color w:val="0000FF"/>
          </w:rPr>
          <w:t>(Commission File No. 1-8400)).</w:t>
        </w:r>
      </w:hyperlink>
    </w:p>
    <w:p>
      <w:pPr>
        <w:spacing w:after="0" w:line="1" w:lineRule="exact"/>
        <w:rPr>
          <w:sz w:val="20"/>
          <w:szCs w:val="20"/>
          <w:color w:val="auto"/>
        </w:rPr>
      </w:pPr>
    </w:p>
    <w:p>
      <w:pPr>
        <w:jc w:val="both"/>
        <w:ind w:left="920" w:hanging="889"/>
        <w:spacing w:after="0" w:line="24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413">
        <w:r>
          <w:rPr>
            <w:rFonts w:ascii="Arial" w:cs="Arial" w:eastAsia="Arial" w:hAnsi="Arial"/>
            <w:sz w:val="18"/>
            <w:szCs w:val="18"/>
            <w:u w:val="single" w:color="auto"/>
            <w:color w:val="0000FF"/>
          </w:rPr>
          <w:t>Payroll Support Program Extension Agreement, dated as of January 15, 2021, between American Airlines, Inc. and the United</w:t>
        </w:r>
      </w:hyperlink>
      <w:r>
        <w:rPr>
          <w:rFonts w:ascii="Arial" w:cs="Arial" w:eastAsia="Arial" w:hAnsi="Arial"/>
          <w:sz w:val="18"/>
          <w:szCs w:val="18"/>
          <w:u w:val="single" w:color="auto"/>
          <w:color w:val="0000FF"/>
        </w:rPr>
        <w:t xml:space="preserve"> </w:t>
      </w:r>
      <w:hyperlink r:id="rId413">
        <w:r>
          <w:rPr>
            <w:rFonts w:ascii="Arial" w:cs="Arial" w:eastAsia="Arial" w:hAnsi="Arial"/>
            <w:sz w:val="18"/>
            <w:szCs w:val="18"/>
            <w:u w:val="single" w:color="auto"/>
            <w:color w:val="0000FF"/>
          </w:rPr>
          <w:t>States Department of the Treasury (incorporated by reference to Exhibit 10.3 to AAG’s Annual Report on Form 10-K for the year</w:t>
        </w:r>
      </w:hyperlink>
      <w:r>
        <w:rPr>
          <w:rFonts w:ascii="Arial" w:cs="Arial" w:eastAsia="Arial" w:hAnsi="Arial"/>
          <w:sz w:val="18"/>
          <w:szCs w:val="18"/>
          <w:u w:val="single" w:color="auto"/>
          <w:color w:val="0000FF"/>
        </w:rPr>
        <w:t xml:space="preserve"> </w:t>
      </w:r>
      <w:hyperlink r:id="rId413">
        <w:r>
          <w:rPr>
            <w:rFonts w:ascii="Arial" w:cs="Arial" w:eastAsia="Arial" w:hAnsi="Arial"/>
            <w:sz w:val="18"/>
            <w:szCs w:val="18"/>
            <w:u w:val="single" w:color="auto"/>
            <w:color w:val="0000FF"/>
          </w:rPr>
          <w:t>ended December 31, 2020 (Commission File No. 1-8400)).</w:t>
        </w:r>
      </w:hyperlink>
    </w:p>
    <w:p>
      <w:pPr>
        <w:spacing w:after="0" w:line="12" w:lineRule="exact"/>
        <w:rPr>
          <w:rFonts w:ascii="Arial" w:cs="Arial" w:eastAsia="Arial" w:hAnsi="Arial"/>
          <w:sz w:val="18"/>
          <w:szCs w:val="18"/>
          <w:u w:val="single" w:color="auto"/>
          <w:color w:val="0000FF"/>
        </w:rPr>
      </w:pPr>
    </w:p>
    <w:p>
      <w:pPr>
        <w:jc w:val="both"/>
        <w:ind w:left="920" w:hanging="889"/>
        <w:spacing w:after="0" w:line="25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414">
        <w:r>
          <w:rPr>
            <w:rFonts w:ascii="Arial" w:cs="Arial" w:eastAsia="Arial" w:hAnsi="Arial"/>
            <w:sz w:val="18"/>
            <w:szCs w:val="18"/>
            <w:u w:val="single" w:color="auto"/>
            <w:color w:val="0000FF"/>
          </w:rPr>
          <w:t>Promissory Note, dated as of January 15, 2021, issued by American Airlines Group Inc. in the name of the United States</w:t>
        </w:r>
      </w:hyperlink>
      <w:r>
        <w:rPr>
          <w:rFonts w:ascii="Arial" w:cs="Arial" w:eastAsia="Arial" w:hAnsi="Arial"/>
          <w:sz w:val="18"/>
          <w:szCs w:val="18"/>
          <w:u w:val="single" w:color="auto"/>
          <w:color w:val="0000FF"/>
        </w:rPr>
        <w:t xml:space="preserve"> </w:t>
      </w:r>
      <w:hyperlink r:id="rId414">
        <w:r>
          <w:rPr>
            <w:rFonts w:ascii="Arial" w:cs="Arial" w:eastAsia="Arial" w:hAnsi="Arial"/>
            <w:sz w:val="18"/>
            <w:szCs w:val="18"/>
            <w:u w:val="single" w:color="auto"/>
            <w:color w:val="0000FF"/>
          </w:rPr>
          <w:t>Department of the Treasury and guaranteed by American Airlines, Inc., Envoy Air Inc., Piedmont Airlines, Inc. and PSA Airlines,</w:t>
        </w:r>
      </w:hyperlink>
      <w:r>
        <w:rPr>
          <w:rFonts w:ascii="Arial" w:cs="Arial" w:eastAsia="Arial" w:hAnsi="Arial"/>
          <w:sz w:val="18"/>
          <w:szCs w:val="18"/>
          <w:u w:val="single" w:color="auto"/>
          <w:color w:val="0000FF"/>
        </w:rPr>
        <w:t xml:space="preserve"> </w:t>
      </w:r>
      <w:hyperlink r:id="rId414">
        <w:r>
          <w:rPr>
            <w:rFonts w:ascii="Arial" w:cs="Arial" w:eastAsia="Arial" w:hAnsi="Arial"/>
            <w:sz w:val="18"/>
            <w:szCs w:val="18"/>
            <w:u w:val="single" w:color="auto"/>
            <w:color w:val="0000FF"/>
          </w:rPr>
          <w:t>Inc. (incorporated by reference to Exhibit 10.4 to AAG’s Annual Report on Form 10-K for the year ended December 31, 2020</w:t>
        </w:r>
      </w:hyperlink>
      <w:r>
        <w:rPr>
          <w:rFonts w:ascii="Arial" w:cs="Arial" w:eastAsia="Arial" w:hAnsi="Arial"/>
          <w:sz w:val="18"/>
          <w:szCs w:val="18"/>
          <w:u w:val="single" w:color="auto"/>
          <w:color w:val="0000FF"/>
        </w:rPr>
        <w:t xml:space="preserve"> </w:t>
      </w:r>
      <w:hyperlink r:id="rId414">
        <w:r>
          <w:rPr>
            <w:rFonts w:ascii="Arial" w:cs="Arial" w:eastAsia="Arial" w:hAnsi="Arial"/>
            <w:sz w:val="18"/>
            <w:szCs w:val="18"/>
            <w:u w:val="single" w:color="auto"/>
            <w:color w:val="0000FF"/>
          </w:rPr>
          <w:t>(Commission File No. 1-8400)).</w:t>
        </w:r>
      </w:hyperlink>
    </w:p>
    <w:p>
      <w:pPr>
        <w:spacing w:after="0" w:line="11" w:lineRule="exact"/>
        <w:rPr>
          <w:rFonts w:ascii="Arial" w:cs="Arial" w:eastAsia="Arial" w:hAnsi="Arial"/>
          <w:sz w:val="18"/>
          <w:szCs w:val="18"/>
          <w:u w:val="single" w:color="auto"/>
          <w:color w:val="0000FF"/>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415">
        <w:r>
          <w:rPr>
            <w:rFonts w:ascii="Arial" w:cs="Arial" w:eastAsia="Arial" w:hAnsi="Arial"/>
            <w:sz w:val="18"/>
            <w:szCs w:val="18"/>
            <w:u w:val="single" w:color="auto"/>
            <w:color w:val="0000FF"/>
          </w:rPr>
          <w:t>Amendment, dated as of June 30, 2022, to the Promissory Notes and the Warrants issued by American Airlines Group Inc. to the</w:t>
        </w:r>
      </w:hyperlink>
      <w:r>
        <w:rPr>
          <w:rFonts w:ascii="Arial" w:cs="Arial" w:eastAsia="Arial" w:hAnsi="Arial"/>
          <w:sz w:val="18"/>
          <w:szCs w:val="18"/>
          <w:u w:val="single" w:color="auto"/>
          <w:color w:val="0000FF"/>
        </w:rPr>
        <w:t xml:space="preserve"> </w:t>
      </w:r>
      <w:hyperlink r:id="rId415">
        <w:r>
          <w:rPr>
            <w:rFonts w:ascii="Arial" w:cs="Arial" w:eastAsia="Arial" w:hAnsi="Arial"/>
            <w:sz w:val="18"/>
            <w:szCs w:val="18"/>
            <w:u w:val="single" w:color="auto"/>
            <w:color w:val="0000FF"/>
          </w:rPr>
          <w:t>United States Department of the Treasury (incorporated by reference to Exhibit 10.3 to AAG’s Quarterly Report on Form 10-Q for</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415">
        <w:r>
          <w:rPr>
            <w:rFonts w:ascii="Arial" w:cs="Arial" w:eastAsia="Arial" w:hAnsi="Arial"/>
            <w:sz w:val="18"/>
            <w:szCs w:val="18"/>
            <w:u w:val="single" w:color="auto"/>
            <w:color w:val="0000FF"/>
          </w:rPr>
          <w:t>the quarter ended June 30, 2022 (Commission File No. 1-8400)).</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416">
        <w:r>
          <w:rPr>
            <w:rFonts w:ascii="Arial" w:cs="Arial" w:eastAsia="Arial" w:hAnsi="Arial"/>
            <w:sz w:val="18"/>
            <w:szCs w:val="18"/>
            <w:u w:val="single" w:color="auto"/>
            <w:color w:val="0000FF"/>
          </w:rPr>
          <w:t>Loan and Guarantee Agreement, dated as of September 25, 2020, among American Airlines, Inc., American Airlines Group Inc.,</w:t>
        </w:r>
      </w:hyperlink>
      <w:r>
        <w:rPr>
          <w:rFonts w:ascii="Arial" w:cs="Arial" w:eastAsia="Arial" w:hAnsi="Arial"/>
          <w:sz w:val="18"/>
          <w:szCs w:val="18"/>
          <w:u w:val="single" w:color="auto"/>
          <w:color w:val="0000FF"/>
        </w:rPr>
        <w:t xml:space="preserve"> </w:t>
      </w:r>
      <w:hyperlink r:id="rId416">
        <w:r>
          <w:rPr>
            <w:rFonts w:ascii="Arial" w:cs="Arial" w:eastAsia="Arial" w:hAnsi="Arial"/>
            <w:sz w:val="18"/>
            <w:szCs w:val="18"/>
            <w:u w:val="single" w:color="auto"/>
            <w:color w:val="0000FF"/>
          </w:rPr>
          <w:t>the other guarantors party thereto from time to time, the United States Department of the Treasury and the Bank of New York</w:t>
        </w:r>
      </w:hyperlink>
    </w:p>
    <w:p>
      <w:pPr>
        <w:ind w:left="920"/>
        <w:spacing w:after="0" w:line="229" w:lineRule="auto"/>
        <w:rPr>
          <w:rFonts w:ascii="Arial" w:cs="Arial" w:eastAsia="Arial" w:hAnsi="Arial"/>
          <w:sz w:val="18"/>
          <w:szCs w:val="18"/>
          <w:u w:val="single" w:color="auto"/>
          <w:color w:val="0000FF"/>
        </w:rPr>
      </w:pPr>
      <w:hyperlink r:id="rId416">
        <w:r>
          <w:rPr>
            <w:rFonts w:ascii="Arial" w:cs="Arial" w:eastAsia="Arial" w:hAnsi="Arial"/>
            <w:sz w:val="18"/>
            <w:szCs w:val="18"/>
            <w:u w:val="single" w:color="auto"/>
            <w:color w:val="0000FF"/>
          </w:rPr>
          <w:t>Mellon, as administrative and collateral agent (incorporated by reference to Exhibit 10.1 to AAG’s Quarterly Report on Form 10-Q</w:t>
        </w:r>
      </w:hyperlink>
      <w:r>
        <w:rPr>
          <w:rFonts w:ascii="Arial" w:cs="Arial" w:eastAsia="Arial" w:hAnsi="Arial"/>
          <w:sz w:val="18"/>
          <w:szCs w:val="18"/>
          <w:u w:val="single" w:color="auto"/>
          <w:color w:val="0000FF"/>
        </w:rPr>
        <w:t xml:space="preserve"> </w:t>
      </w:r>
      <w:hyperlink r:id="rId416">
        <w:r>
          <w:rPr>
            <w:rFonts w:ascii="Arial" w:cs="Arial" w:eastAsia="Arial" w:hAnsi="Arial"/>
            <w:sz w:val="18"/>
            <w:szCs w:val="18"/>
            <w:u w:val="single" w:color="auto"/>
            <w:color w:val="0000FF"/>
          </w:rPr>
          <w:t>for the quarter ended September 30, 2020 (Commission File No. 1-8400).</w:t>
        </w:r>
      </w:hyperlink>
    </w:p>
    <w:p>
      <w:pPr>
        <w:spacing w:after="0" w:line="1" w:lineRule="exact"/>
        <w:rPr>
          <w:sz w:val="20"/>
          <w:szCs w:val="20"/>
          <w:color w:val="auto"/>
        </w:rPr>
      </w:pPr>
    </w:p>
    <w:p>
      <w:pPr>
        <w:jc w:val="both"/>
        <w:ind w:left="920" w:hanging="889"/>
        <w:spacing w:after="0"/>
        <w:tabs>
          <w:tab w:leader="none" w:pos="900" w:val="left"/>
        </w:tabs>
        <w:rPr>
          <w:rFonts w:ascii="Arial" w:cs="Arial" w:eastAsia="Arial" w:hAnsi="Arial"/>
          <w:sz w:val="18"/>
          <w:szCs w:val="18"/>
          <w:color w:val="0000FF"/>
        </w:rPr>
      </w:pPr>
      <w:r>
        <w:rPr>
          <w:rFonts w:ascii="Arial" w:cs="Arial" w:eastAsia="Arial" w:hAnsi="Arial"/>
          <w:sz w:val="18"/>
          <w:szCs w:val="18"/>
          <w:color w:val="auto"/>
        </w:rPr>
        <w:t>10.7</w:t>
      </w:r>
      <w:r>
        <w:rPr>
          <w:sz w:val="20"/>
          <w:szCs w:val="20"/>
          <w:color w:val="auto"/>
        </w:rPr>
        <w:tab/>
      </w:r>
      <w:hyperlink r:id="rId417">
        <w:r>
          <w:rPr>
            <w:rFonts w:ascii="Arial" w:cs="Arial" w:eastAsia="Arial" w:hAnsi="Arial"/>
            <w:sz w:val="18"/>
            <w:szCs w:val="18"/>
            <w:u w:val="single" w:color="auto"/>
            <w:color w:val="0000FF"/>
          </w:rPr>
          <w:t>Restatement Agreement, dated as of October 21, 2020, to Loan and Guarantee Agreement, dated as of September 25, 2020,</w:t>
        </w:r>
      </w:hyperlink>
      <w:r>
        <w:rPr>
          <w:rFonts w:ascii="Arial" w:cs="Arial" w:eastAsia="Arial" w:hAnsi="Arial"/>
          <w:sz w:val="18"/>
          <w:szCs w:val="18"/>
          <w:u w:val="single" w:color="auto"/>
          <w:color w:val="0000FF"/>
        </w:rPr>
        <w:t xml:space="preserve"> </w:t>
      </w:r>
      <w:hyperlink r:id="rId417">
        <w:r>
          <w:rPr>
            <w:rFonts w:ascii="Arial" w:cs="Arial" w:eastAsia="Arial" w:hAnsi="Arial"/>
            <w:sz w:val="18"/>
            <w:szCs w:val="18"/>
            <w:u w:val="single" w:color="auto"/>
            <w:color w:val="0000FF"/>
          </w:rPr>
          <w:t>among American Airlines, Inc., American Airlines Group Inc., the other guarantors party thereto from time to time, the United</w:t>
        </w:r>
      </w:hyperlink>
      <w:r>
        <w:rPr>
          <w:rFonts w:ascii="Arial" w:cs="Arial" w:eastAsia="Arial" w:hAnsi="Arial"/>
          <w:sz w:val="18"/>
          <w:szCs w:val="18"/>
          <w:u w:val="single" w:color="auto"/>
          <w:color w:val="0000FF"/>
        </w:rPr>
        <w:t xml:space="preserve"> </w:t>
      </w:r>
      <w:hyperlink r:id="rId417">
        <w:r>
          <w:rPr>
            <w:rFonts w:ascii="Arial" w:cs="Arial" w:eastAsia="Arial" w:hAnsi="Arial"/>
            <w:sz w:val="18"/>
            <w:szCs w:val="18"/>
            <w:u w:val="single" w:color="auto"/>
            <w:color w:val="0000FF"/>
          </w:rPr>
          <w:t>States Department of the Treasury and the Bank of New York Mellon, as administrative and collateral agent (incorporated by</w:t>
        </w:r>
      </w:hyperlink>
      <w:r>
        <w:rPr>
          <w:rFonts w:ascii="Arial" w:cs="Arial" w:eastAsia="Arial" w:hAnsi="Arial"/>
          <w:sz w:val="18"/>
          <w:szCs w:val="18"/>
          <w:u w:val="single" w:color="auto"/>
          <w:color w:val="0000FF"/>
        </w:rPr>
        <w:t xml:space="preserve"> </w:t>
      </w:r>
      <w:hyperlink r:id="rId417">
        <w:r>
          <w:rPr>
            <w:rFonts w:ascii="Arial" w:cs="Arial" w:eastAsia="Arial" w:hAnsi="Arial"/>
            <w:sz w:val="18"/>
            <w:szCs w:val="18"/>
            <w:u w:val="single" w:color="auto"/>
            <w:color w:val="0000FF"/>
          </w:rPr>
          <w:t>reference to Exhibit 10.6 to AAG’s Annual Report on Form 10-K for the year ended December 31, 2020 (Commission File No. 1-</w:t>
        </w:r>
      </w:hyperlink>
      <w:hyperlink r:id="rId417">
        <w:r>
          <w:rPr>
            <w:rFonts w:ascii="Arial" w:cs="Arial" w:eastAsia="Arial" w:hAnsi="Arial"/>
            <w:sz w:val="18"/>
            <w:szCs w:val="18"/>
            <w:u w:val="single" w:color="auto"/>
            <w:color w:val="0000FF"/>
          </w:rPr>
          <w:t>8400)).</w:t>
        </w:r>
        <w:r>
          <w:rPr>
            <w:rFonts w:ascii="Arial" w:cs="Arial" w:eastAsia="Arial" w:hAnsi="Arial"/>
            <w:sz w:val="18"/>
            <w:szCs w:val="18"/>
            <w:color w:val="000000"/>
          </w:rPr>
          <w:t>**</w:t>
        </w:r>
      </w:hyperlink>
    </w:p>
    <w:p>
      <w:pPr>
        <w:spacing w:after="0" w:line="21"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418">
        <w:r>
          <w:rPr>
            <w:rFonts w:ascii="Arial" w:cs="Arial" w:eastAsia="Arial" w:hAnsi="Arial"/>
            <w:sz w:val="18"/>
            <w:szCs w:val="18"/>
            <w:u w:val="single" w:color="auto"/>
            <w:color w:val="0000FF"/>
          </w:rPr>
          <w:t>Letter Agreement, dated as of January 15, 2021, to Loan and Guarantee Agreement, dated as of September 25, 2020, among</w:t>
        </w:r>
      </w:hyperlink>
      <w:r>
        <w:rPr>
          <w:rFonts w:ascii="Arial" w:cs="Arial" w:eastAsia="Arial" w:hAnsi="Arial"/>
          <w:sz w:val="18"/>
          <w:szCs w:val="18"/>
          <w:u w:val="single" w:color="auto"/>
          <w:color w:val="0000FF"/>
        </w:rPr>
        <w:t xml:space="preserve"> </w:t>
      </w:r>
      <w:hyperlink r:id="rId418">
        <w:r>
          <w:rPr>
            <w:rFonts w:ascii="Arial" w:cs="Arial" w:eastAsia="Arial" w:hAnsi="Arial"/>
            <w:sz w:val="18"/>
            <w:szCs w:val="18"/>
            <w:u w:val="single" w:color="auto"/>
            <w:color w:val="0000FF"/>
          </w:rPr>
          <w:t>American Airlines, Inc., American Airlines Group Inc., the other guarantors party thereto from time to time, the United States</w:t>
        </w:r>
      </w:hyperlink>
      <w:r>
        <w:rPr>
          <w:rFonts w:ascii="Arial" w:cs="Arial" w:eastAsia="Arial" w:hAnsi="Arial"/>
          <w:sz w:val="18"/>
          <w:szCs w:val="18"/>
          <w:u w:val="single" w:color="auto"/>
          <w:color w:val="0000FF"/>
        </w:rPr>
        <w:t xml:space="preserve"> </w:t>
      </w:r>
      <w:hyperlink r:id="rId418">
        <w:r>
          <w:rPr>
            <w:rFonts w:ascii="Arial" w:cs="Arial" w:eastAsia="Arial" w:hAnsi="Arial"/>
            <w:sz w:val="18"/>
            <w:szCs w:val="18"/>
            <w:u w:val="single" w:color="auto"/>
            <w:color w:val="0000FF"/>
          </w:rPr>
          <w:t>Department of the Treasury and the Bank of New York Mellon, as administrative and collateral agent (incorporated by reference</w:t>
        </w:r>
      </w:hyperlink>
      <w:r>
        <w:rPr>
          <w:rFonts w:ascii="Arial" w:cs="Arial" w:eastAsia="Arial" w:hAnsi="Arial"/>
          <w:sz w:val="18"/>
          <w:szCs w:val="18"/>
          <w:u w:val="single" w:color="auto"/>
          <w:color w:val="0000FF"/>
        </w:rPr>
        <w:t xml:space="preserve"> </w:t>
      </w:r>
      <w:hyperlink r:id="rId418">
        <w:r>
          <w:rPr>
            <w:rFonts w:ascii="Arial" w:cs="Arial" w:eastAsia="Arial" w:hAnsi="Arial"/>
            <w:sz w:val="18"/>
            <w:szCs w:val="18"/>
            <w:u w:val="single" w:color="auto"/>
            <w:color w:val="0000FF"/>
          </w:rPr>
          <w:t>to Exhibit 10.7 to AAG’s Annual Report on Form 10-K for the year ended December 31, 2020 (Commission File No. 1-8400)).</w:t>
        </w:r>
      </w:hyperlink>
    </w:p>
    <w:p>
      <w:pPr>
        <w:spacing w:after="0" w:line="14" w:lineRule="exact"/>
        <w:rPr>
          <w:rFonts w:ascii="Arial" w:cs="Arial" w:eastAsia="Arial" w:hAnsi="Arial"/>
          <w:sz w:val="18"/>
          <w:szCs w:val="18"/>
          <w:u w:val="single" w:color="auto"/>
          <w:color w:val="0000FF"/>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419">
        <w:r>
          <w:rPr>
            <w:rFonts w:ascii="Arial" w:cs="Arial" w:eastAsia="Arial" w:hAnsi="Arial"/>
            <w:sz w:val="18"/>
            <w:szCs w:val="18"/>
            <w:u w:val="single" w:color="auto"/>
            <w:color w:val="0000FF"/>
          </w:rPr>
          <w:t>Amended and Restated Credit and Guaranty Agreement, dated as of December 15, 2016, amending the Loan Agreement, dated</w:t>
        </w:r>
      </w:hyperlink>
      <w:r>
        <w:rPr>
          <w:rFonts w:ascii="Arial" w:cs="Arial" w:eastAsia="Arial" w:hAnsi="Arial"/>
          <w:sz w:val="18"/>
          <w:szCs w:val="18"/>
          <w:u w:val="single" w:color="auto"/>
          <w:color w:val="0000FF"/>
        </w:rPr>
        <w:t xml:space="preserve"> </w:t>
      </w:r>
      <w:hyperlink r:id="rId419">
        <w:r>
          <w:rPr>
            <w:rFonts w:ascii="Arial" w:cs="Arial" w:eastAsia="Arial" w:hAnsi="Arial"/>
            <w:sz w:val="18"/>
            <w:szCs w:val="18"/>
            <w:u w:val="single" w:color="auto"/>
            <w:color w:val="0000FF"/>
          </w:rPr>
          <w:t>as of May 23, 2013, among American Airlines, Inc. (as successor in interest to US Airways, Inc., as borrower), as the borrower,</w:t>
        </w:r>
      </w:hyperlink>
    </w:p>
    <w:p>
      <w:pPr>
        <w:spacing w:after="0" w:line="1" w:lineRule="exact"/>
        <w:rPr>
          <w:sz w:val="20"/>
          <w:szCs w:val="20"/>
          <w:color w:val="auto"/>
        </w:rPr>
      </w:pPr>
    </w:p>
    <w:p>
      <w:pPr>
        <w:jc w:val="both"/>
        <w:ind w:left="920"/>
        <w:spacing w:after="0" w:line="208" w:lineRule="auto"/>
        <w:rPr>
          <w:rFonts w:ascii="Arial" w:cs="Arial" w:eastAsia="Arial" w:hAnsi="Arial"/>
          <w:sz w:val="18"/>
          <w:szCs w:val="18"/>
          <w:u w:val="single" w:color="auto"/>
          <w:color w:val="0000FF"/>
        </w:rPr>
      </w:pPr>
      <w:hyperlink r:id="rId419">
        <w:r>
          <w:rPr>
            <w:rFonts w:ascii="Arial" w:cs="Arial" w:eastAsia="Arial" w:hAnsi="Arial"/>
            <w:sz w:val="18"/>
            <w:szCs w:val="18"/>
            <w:u w:val="single" w:color="auto"/>
            <w:color w:val="0000FF"/>
          </w:rPr>
          <w:t>American Airlines Group Inc., as parent and guarantor (as successor in interest to US Airways Group, Inc., as parent and</w:t>
        </w:r>
      </w:hyperlink>
      <w:r>
        <w:rPr>
          <w:rFonts w:ascii="Arial" w:cs="Arial" w:eastAsia="Arial" w:hAnsi="Arial"/>
          <w:sz w:val="18"/>
          <w:szCs w:val="18"/>
          <w:u w:val="single" w:color="auto"/>
          <w:color w:val="0000FF"/>
        </w:rPr>
        <w:t xml:space="preserve"> </w:t>
      </w:r>
      <w:hyperlink r:id="rId419">
        <w:r>
          <w:rPr>
            <w:rFonts w:ascii="Arial" w:cs="Arial" w:eastAsia="Arial" w:hAnsi="Arial"/>
            <w:sz w:val="18"/>
            <w:szCs w:val="18"/>
            <w:u w:val="single" w:color="auto"/>
            <w:color w:val="0000FF"/>
          </w:rPr>
          <w:t>guarantor), the lenders from time to time party thereto, Citibank N.A., as administrative agent and collateral agent (as successor</w:t>
        </w:r>
      </w:hyperlink>
      <w:r>
        <w:rPr>
          <w:rFonts w:ascii="Arial" w:cs="Arial" w:eastAsia="Arial" w:hAnsi="Arial"/>
          <w:sz w:val="18"/>
          <w:szCs w:val="18"/>
          <w:u w:val="single" w:color="auto"/>
          <w:color w:val="0000FF"/>
        </w:rPr>
        <w:t xml:space="preserve"> </w:t>
      </w:r>
      <w:hyperlink r:id="rId419">
        <w:r>
          <w:rPr>
            <w:rFonts w:ascii="Arial" w:cs="Arial" w:eastAsia="Arial" w:hAnsi="Arial"/>
            <w:sz w:val="18"/>
            <w:szCs w:val="18"/>
            <w:u w:val="single" w:color="auto"/>
            <w:color w:val="0000FF"/>
          </w:rPr>
          <w:t>in interest to Citicorp North America Inc., as administrative agent and collateral agent), and certain other parties thereto.</w:t>
        </w:r>
      </w:hyperlink>
    </w:p>
    <w:p>
      <w:pPr>
        <w:spacing w:after="0" w:line="1" w:lineRule="exact"/>
        <w:rPr>
          <w:rFonts w:ascii="Arial" w:cs="Arial" w:eastAsia="Arial" w:hAnsi="Arial"/>
          <w:sz w:val="18"/>
          <w:szCs w:val="18"/>
          <w:u w:val="single" w:color="auto"/>
          <w:color w:val="0000FF"/>
        </w:rPr>
      </w:pPr>
    </w:p>
    <w:p>
      <w:pPr>
        <w:jc w:val="both"/>
        <w:ind w:left="920"/>
        <w:spacing w:after="0" w:line="229" w:lineRule="auto"/>
        <w:rPr>
          <w:rFonts w:ascii="Arial" w:cs="Arial" w:eastAsia="Arial" w:hAnsi="Arial"/>
          <w:sz w:val="18"/>
          <w:szCs w:val="18"/>
          <w:u w:val="single" w:color="auto"/>
          <w:color w:val="0000FF"/>
        </w:rPr>
      </w:pPr>
      <w:hyperlink r:id="rId419">
        <w:r>
          <w:rPr>
            <w:rFonts w:ascii="Arial" w:cs="Arial" w:eastAsia="Arial" w:hAnsi="Arial"/>
            <w:sz w:val="18"/>
            <w:szCs w:val="18"/>
            <w:u w:val="single" w:color="auto"/>
            <w:color w:val="0000FF"/>
          </w:rPr>
          <w:t>(incorporated by reference to Exhibit 10.1 to AAG’s Annual Report on Form 10-K for the year ended December 31, 2016</w:t>
        </w:r>
      </w:hyperlink>
      <w:r>
        <w:rPr>
          <w:rFonts w:ascii="Arial" w:cs="Arial" w:eastAsia="Arial" w:hAnsi="Arial"/>
          <w:sz w:val="18"/>
          <w:szCs w:val="18"/>
          <w:u w:val="single" w:color="auto"/>
          <w:color w:val="0000FF"/>
        </w:rPr>
        <w:t xml:space="preserve"> </w:t>
      </w:r>
      <w:hyperlink r:id="rId419">
        <w:r>
          <w:rPr>
            <w:rFonts w:ascii="Arial" w:cs="Arial" w:eastAsia="Arial" w:hAnsi="Arial"/>
            <w:sz w:val="18"/>
            <w:szCs w:val="18"/>
            <w:u w:val="single" w:color="auto"/>
            <w:color w:val="0000FF"/>
          </w:rPr>
          <w:t>(Commission File No. 1-8400)).</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10.10     </w:t>
      </w:r>
      <w:hyperlink r:id="rId420">
        <w:r>
          <w:rPr>
            <w:rFonts w:ascii="Arial" w:cs="Arial" w:eastAsia="Arial" w:hAnsi="Arial"/>
            <w:sz w:val="18"/>
            <w:szCs w:val="18"/>
            <w:u w:val="single" w:color="auto"/>
            <w:color w:val="0000FF"/>
          </w:rPr>
          <w:t>First Amendment to Amended and Restated Credit and Guaranty Agreement, dated as of November 14, 2017, amending the</w:t>
        </w:r>
      </w:hyperlink>
      <w:r>
        <w:rPr>
          <w:rFonts w:ascii="Arial" w:cs="Arial" w:eastAsia="Arial" w:hAnsi="Arial"/>
          <w:sz w:val="18"/>
          <w:szCs w:val="18"/>
          <w:color w:val="auto"/>
        </w:rPr>
        <w:t xml:space="preserve"> </w:t>
      </w:r>
      <w:hyperlink r:id="rId420">
        <w:r>
          <w:rPr>
            <w:rFonts w:ascii="Arial" w:cs="Arial" w:eastAsia="Arial" w:hAnsi="Arial"/>
            <w:sz w:val="18"/>
            <w:szCs w:val="18"/>
            <w:u w:val="single" w:color="auto"/>
            <w:color w:val="0000FF"/>
          </w:rPr>
          <w:t>Amended and Restated Credit and Guaranty Agreement, dated as of December 15, 2016, amending the Loan Agreement, dated</w:t>
        </w:r>
      </w:hyperlink>
    </w:p>
    <w:p>
      <w:pPr>
        <w:jc w:val="both"/>
        <w:ind w:left="920"/>
        <w:spacing w:after="0" w:line="208" w:lineRule="auto"/>
        <w:rPr>
          <w:rFonts w:ascii="Arial" w:cs="Arial" w:eastAsia="Arial" w:hAnsi="Arial"/>
          <w:sz w:val="18"/>
          <w:szCs w:val="18"/>
          <w:u w:val="single" w:color="auto"/>
          <w:color w:val="0000FF"/>
        </w:rPr>
      </w:pPr>
      <w:hyperlink r:id="rId420">
        <w:r>
          <w:rPr>
            <w:rFonts w:ascii="Arial" w:cs="Arial" w:eastAsia="Arial" w:hAnsi="Arial"/>
            <w:sz w:val="18"/>
            <w:szCs w:val="18"/>
            <w:u w:val="single" w:color="auto"/>
            <w:color w:val="0000FF"/>
          </w:rPr>
          <w:t>as of May 23, 2013, among American Airlines, Inc. (as successor in interest to US Airways, Inc., as borrower), as the borrower,</w:t>
        </w:r>
      </w:hyperlink>
      <w:r>
        <w:rPr>
          <w:rFonts w:ascii="Arial" w:cs="Arial" w:eastAsia="Arial" w:hAnsi="Arial"/>
          <w:sz w:val="18"/>
          <w:szCs w:val="18"/>
          <w:u w:val="single" w:color="auto"/>
          <w:color w:val="0000FF"/>
        </w:rPr>
        <w:t xml:space="preserve"> </w:t>
      </w:r>
      <w:hyperlink r:id="rId420">
        <w:r>
          <w:rPr>
            <w:rFonts w:ascii="Arial" w:cs="Arial" w:eastAsia="Arial" w:hAnsi="Arial"/>
            <w:sz w:val="18"/>
            <w:szCs w:val="18"/>
            <w:u w:val="single" w:color="auto"/>
            <w:color w:val="0000FF"/>
          </w:rPr>
          <w:t>American Airlines Group Inc., as parent and guarantor (as successor in interest to US Airways Group, Inc., as parent and</w:t>
        </w:r>
      </w:hyperlink>
      <w:r>
        <w:rPr>
          <w:rFonts w:ascii="Arial" w:cs="Arial" w:eastAsia="Arial" w:hAnsi="Arial"/>
          <w:sz w:val="18"/>
          <w:szCs w:val="18"/>
          <w:u w:val="single" w:color="auto"/>
          <w:color w:val="0000FF"/>
        </w:rPr>
        <w:t xml:space="preserve"> </w:t>
      </w:r>
      <w:hyperlink r:id="rId420">
        <w:r>
          <w:rPr>
            <w:rFonts w:ascii="Arial" w:cs="Arial" w:eastAsia="Arial" w:hAnsi="Arial"/>
            <w:sz w:val="18"/>
            <w:szCs w:val="18"/>
            <w:u w:val="single" w:color="auto"/>
            <w:color w:val="0000FF"/>
          </w:rPr>
          <w:t>guarantor), the lenders from time to time party thereto, Citibank N.A., as administrative agent and collateral agent (as successor</w:t>
        </w:r>
      </w:hyperlink>
    </w:p>
    <w:p>
      <w:pPr>
        <w:spacing w:after="0" w:line="1" w:lineRule="exact"/>
        <w:rPr>
          <w:rFonts w:ascii="Arial" w:cs="Arial" w:eastAsia="Arial" w:hAnsi="Arial"/>
          <w:sz w:val="18"/>
          <w:szCs w:val="18"/>
          <w:u w:val="single" w:color="auto"/>
          <w:color w:val="0000FF"/>
        </w:rPr>
      </w:pPr>
    </w:p>
    <w:p>
      <w:pPr>
        <w:jc w:val="both"/>
        <w:ind w:left="920"/>
        <w:spacing w:after="0" w:line="220" w:lineRule="auto"/>
        <w:rPr>
          <w:rFonts w:ascii="Arial" w:cs="Arial" w:eastAsia="Arial" w:hAnsi="Arial"/>
          <w:sz w:val="18"/>
          <w:szCs w:val="18"/>
          <w:u w:val="single" w:color="auto"/>
          <w:color w:val="0000FF"/>
        </w:rPr>
      </w:pPr>
      <w:hyperlink r:id="rId420">
        <w:r>
          <w:rPr>
            <w:rFonts w:ascii="Arial" w:cs="Arial" w:eastAsia="Arial" w:hAnsi="Arial"/>
            <w:sz w:val="18"/>
            <w:szCs w:val="18"/>
            <w:u w:val="single" w:color="auto"/>
            <w:color w:val="0000FF"/>
          </w:rPr>
          <w:t>in interest to Citicorp North America Inc., as administrative agent and collateral agent), and certain other parties thereto</w:t>
        </w:r>
      </w:hyperlink>
      <w:r>
        <w:rPr>
          <w:rFonts w:ascii="Arial" w:cs="Arial" w:eastAsia="Arial" w:hAnsi="Arial"/>
          <w:sz w:val="18"/>
          <w:szCs w:val="18"/>
          <w:u w:val="single" w:color="auto"/>
          <w:color w:val="0000FF"/>
        </w:rPr>
        <w:t xml:space="preserve"> </w:t>
      </w:r>
      <w:hyperlink r:id="rId420">
        <w:r>
          <w:rPr>
            <w:rFonts w:ascii="Arial" w:cs="Arial" w:eastAsia="Arial" w:hAnsi="Arial"/>
            <w:sz w:val="18"/>
            <w:szCs w:val="18"/>
            <w:u w:val="single" w:color="auto"/>
            <w:color w:val="0000FF"/>
          </w:rPr>
          <w:t>(incorporated by reference to Exhibit 10.2 to AAG’s Annual Report on Form 10-K for the year ended December 31, 2017</w:t>
        </w:r>
      </w:hyperlink>
      <w:r>
        <w:rPr>
          <w:rFonts w:ascii="Arial" w:cs="Arial" w:eastAsia="Arial" w:hAnsi="Arial"/>
          <w:sz w:val="18"/>
          <w:szCs w:val="18"/>
          <w:u w:val="single" w:color="auto"/>
          <w:color w:val="0000FF"/>
        </w:rPr>
        <w:t xml:space="preserve"> </w:t>
      </w:r>
      <w:hyperlink r:id="rId420">
        <w:r>
          <w:rPr>
            <w:rFonts w:ascii="Arial" w:cs="Arial" w:eastAsia="Arial" w:hAnsi="Arial"/>
            <w:sz w:val="18"/>
            <w:szCs w:val="18"/>
            <w:u w:val="single" w:color="auto"/>
            <w:color w:val="0000FF"/>
          </w:rPr>
          <w:t>(Commission File No. 1-8400)).</w:t>
        </w:r>
      </w:hyperlink>
    </w:p>
    <w:p>
      <w:pPr>
        <w:spacing w:after="0" w:line="200" w:lineRule="exact"/>
        <w:rPr>
          <w:rFonts w:ascii="Arial" w:cs="Arial" w:eastAsia="Arial" w:hAnsi="Arial"/>
          <w:sz w:val="18"/>
          <w:szCs w:val="18"/>
          <w:u w:val="single" w:color="auto"/>
          <w:color w:val="0000FF"/>
        </w:rPr>
      </w:pPr>
    </w:p>
    <w:p>
      <w:pPr>
        <w:spacing w:after="0" w:line="318"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10.11     </w:t>
      </w:r>
      <w:hyperlink r:id="rId422">
        <w:r>
          <w:rPr>
            <w:rFonts w:ascii="Arial" w:cs="Arial" w:eastAsia="Arial" w:hAnsi="Arial"/>
            <w:sz w:val="18"/>
            <w:szCs w:val="18"/>
            <w:u w:val="single" w:color="auto"/>
            <w:color w:val="0000FF"/>
          </w:rPr>
          <w:t>First Amendment and Restatement Agreement, dated as of April 20, 2015, in relation to the Credit and Guaranty Agreement,</w:t>
        </w:r>
      </w:hyperlink>
      <w:r>
        <w:rPr>
          <w:rFonts w:ascii="Arial" w:cs="Arial" w:eastAsia="Arial" w:hAnsi="Arial"/>
          <w:sz w:val="18"/>
          <w:szCs w:val="18"/>
          <w:color w:val="auto"/>
        </w:rPr>
        <w:t xml:space="preserve"> </w:t>
      </w:r>
      <w:hyperlink r:id="rId422">
        <w:r>
          <w:rPr>
            <w:rFonts w:ascii="Arial" w:cs="Arial" w:eastAsia="Arial" w:hAnsi="Arial"/>
            <w:sz w:val="18"/>
            <w:szCs w:val="18"/>
            <w:u w:val="single" w:color="auto"/>
            <w:color w:val="0000FF"/>
          </w:rPr>
          <w:t>dated as of October 10, 2014 (as amended), among American Airlines Group Inc. (as successor in interest to US Airways Group,</w:t>
        </w:r>
      </w:hyperlink>
    </w:p>
    <w:p>
      <w:pPr>
        <w:spacing w:after="0" w:line="1" w:lineRule="exact"/>
        <w:rPr>
          <w:sz w:val="20"/>
          <w:szCs w:val="20"/>
          <w:color w:val="auto"/>
        </w:rPr>
      </w:pPr>
    </w:p>
    <w:p>
      <w:pPr>
        <w:jc w:val="both"/>
        <w:ind w:left="920"/>
        <w:spacing w:after="0" w:line="208" w:lineRule="auto"/>
        <w:rPr>
          <w:rFonts w:ascii="Arial" w:cs="Arial" w:eastAsia="Arial" w:hAnsi="Arial"/>
          <w:sz w:val="18"/>
          <w:szCs w:val="18"/>
          <w:u w:val="single" w:color="auto"/>
          <w:color w:val="0000FF"/>
        </w:rPr>
      </w:pPr>
      <w:hyperlink r:id="rId422">
        <w:r>
          <w:rPr>
            <w:rFonts w:ascii="Arial" w:cs="Arial" w:eastAsia="Arial" w:hAnsi="Arial"/>
            <w:sz w:val="18"/>
            <w:szCs w:val="18"/>
            <w:u w:val="single" w:color="auto"/>
            <w:color w:val="0000FF"/>
          </w:rPr>
          <w:t>Inc.), American Airlines, Inc. (as successor in interest to US Airways, Inc.), the Revolving Lenders (as defined therein) party</w:t>
        </w:r>
      </w:hyperlink>
      <w:r>
        <w:rPr>
          <w:rFonts w:ascii="Arial" w:cs="Arial" w:eastAsia="Arial" w:hAnsi="Arial"/>
          <w:sz w:val="18"/>
          <w:szCs w:val="18"/>
          <w:u w:val="single" w:color="auto"/>
          <w:color w:val="0000FF"/>
        </w:rPr>
        <w:t xml:space="preserve"> </w:t>
      </w:r>
      <w:hyperlink r:id="rId422">
        <w:r>
          <w:rPr>
            <w:rFonts w:ascii="Arial" w:cs="Arial" w:eastAsia="Arial" w:hAnsi="Arial"/>
            <w:sz w:val="18"/>
            <w:szCs w:val="18"/>
            <w:u w:val="single" w:color="auto"/>
            <w:color w:val="0000FF"/>
          </w:rPr>
          <w:t>thereto, the 2015 Term Loan Lenders (as defined therein) party thereto and Citibank N.A., as administrative agent and collateral</w:t>
        </w:r>
      </w:hyperlink>
      <w:r>
        <w:rPr>
          <w:rFonts w:ascii="Arial" w:cs="Arial" w:eastAsia="Arial" w:hAnsi="Arial"/>
          <w:sz w:val="18"/>
          <w:szCs w:val="18"/>
          <w:u w:val="single" w:color="auto"/>
          <w:color w:val="0000FF"/>
        </w:rPr>
        <w:t xml:space="preserve"> </w:t>
      </w:r>
      <w:hyperlink r:id="rId422">
        <w:r>
          <w:rPr>
            <w:rFonts w:ascii="Arial" w:cs="Arial" w:eastAsia="Arial" w:hAnsi="Arial"/>
            <w:sz w:val="18"/>
            <w:szCs w:val="18"/>
            <w:u w:val="single" w:color="auto"/>
            <w:color w:val="0000FF"/>
          </w:rPr>
          <w:t>agent (incorporated by reference to Exhibit 10.4 to AAG’s Quarterly Report on Form 10-Q for the quarter ended June 30, 2015</w:t>
        </w:r>
      </w:hyperlink>
    </w:p>
    <w:p>
      <w:pPr>
        <w:spacing w:after="0" w:line="1"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422">
        <w:r>
          <w:rPr>
            <w:rFonts w:ascii="Arial" w:cs="Arial" w:eastAsia="Arial" w:hAnsi="Arial"/>
            <w:sz w:val="18"/>
            <w:szCs w:val="18"/>
            <w:u w:val="single" w:color="auto"/>
            <w:color w:val="0000FF"/>
          </w:rPr>
          <w:t>(Commission File No. 1-8400)).</w:t>
        </w:r>
      </w:hyperlink>
    </w:p>
    <w:p>
      <w:pPr>
        <w:spacing w:after="0" w:line="14" w:lineRule="exact"/>
        <w:rPr>
          <w:rFonts w:ascii="Arial" w:cs="Arial" w:eastAsia="Arial" w:hAnsi="Arial"/>
          <w:sz w:val="18"/>
          <w:szCs w:val="18"/>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10.12     </w:t>
      </w:r>
      <w:hyperlink r:id="rId423">
        <w:r>
          <w:rPr>
            <w:rFonts w:ascii="Arial" w:cs="Arial" w:eastAsia="Arial" w:hAnsi="Arial"/>
            <w:sz w:val="18"/>
            <w:szCs w:val="18"/>
            <w:u w:val="single" w:color="auto"/>
            <w:color w:val="0000FF"/>
          </w:rPr>
          <w:t>First Amendment to Amended and Restated Credit and Guaranty Agreement, dated as of October 26, 2015, amending the</w:t>
        </w:r>
      </w:hyperlink>
      <w:r>
        <w:rPr>
          <w:rFonts w:ascii="Arial" w:cs="Arial" w:eastAsia="Arial" w:hAnsi="Arial"/>
          <w:sz w:val="18"/>
          <w:szCs w:val="18"/>
          <w:color w:val="auto"/>
        </w:rPr>
        <w:t xml:space="preserve"> </w:t>
      </w:r>
      <w:hyperlink r:id="rId423">
        <w:r>
          <w:rPr>
            <w:rFonts w:ascii="Arial" w:cs="Arial" w:eastAsia="Arial" w:hAnsi="Arial"/>
            <w:sz w:val="18"/>
            <w:szCs w:val="18"/>
            <w:u w:val="single" w:color="auto"/>
            <w:color w:val="0000FF"/>
          </w:rPr>
          <w:t>Amended and Restated Credit and Guaranty Agreement, dated as of April 20, 2015, among American Airlines, Inc. (as successor</w:t>
        </w:r>
      </w:hyperlink>
    </w:p>
    <w:p>
      <w:pPr>
        <w:jc w:val="both"/>
        <w:ind w:left="920"/>
        <w:spacing w:after="0" w:line="233" w:lineRule="auto"/>
        <w:rPr>
          <w:rFonts w:ascii="Arial" w:cs="Arial" w:eastAsia="Arial" w:hAnsi="Arial"/>
          <w:sz w:val="17"/>
          <w:szCs w:val="17"/>
          <w:u w:val="single" w:color="auto"/>
          <w:color w:val="0000FF"/>
        </w:rPr>
      </w:pPr>
      <w:hyperlink r:id="rId423">
        <w:r>
          <w:rPr>
            <w:rFonts w:ascii="Arial" w:cs="Arial" w:eastAsia="Arial" w:hAnsi="Arial"/>
            <w:sz w:val="17"/>
            <w:szCs w:val="17"/>
            <w:u w:val="single" w:color="auto"/>
            <w:color w:val="0000FF"/>
          </w:rPr>
          <w:t>in interest to US Airways, Inc.), American Airlines Group Inc. (as successor in interest to US Airways Group, Inc.), the lenders</w:t>
        </w:r>
      </w:hyperlink>
      <w:r>
        <w:rPr>
          <w:rFonts w:ascii="Arial" w:cs="Arial" w:eastAsia="Arial" w:hAnsi="Arial"/>
          <w:sz w:val="17"/>
          <w:szCs w:val="17"/>
          <w:u w:val="single" w:color="auto"/>
          <w:color w:val="0000FF"/>
        </w:rPr>
        <w:t xml:space="preserve"> </w:t>
      </w:r>
      <w:hyperlink r:id="rId423">
        <w:r>
          <w:rPr>
            <w:rFonts w:ascii="Arial" w:cs="Arial" w:eastAsia="Arial" w:hAnsi="Arial"/>
            <w:sz w:val="17"/>
            <w:szCs w:val="17"/>
            <w:u w:val="single" w:color="auto"/>
            <w:color w:val="0000FF"/>
          </w:rPr>
          <w:t>from time to time party thereto, Citibank N.A., as administrative agent, and certain other parties thereto (incorporated by reference</w:t>
        </w:r>
      </w:hyperlink>
      <w:r>
        <w:rPr>
          <w:rFonts w:ascii="Arial" w:cs="Arial" w:eastAsia="Arial" w:hAnsi="Arial"/>
          <w:sz w:val="17"/>
          <w:szCs w:val="17"/>
          <w:u w:val="single" w:color="auto"/>
          <w:color w:val="0000FF"/>
        </w:rPr>
        <w:t xml:space="preserve"> </w:t>
      </w:r>
      <w:hyperlink r:id="rId423">
        <w:r>
          <w:rPr>
            <w:rFonts w:ascii="Arial" w:cs="Arial" w:eastAsia="Arial" w:hAnsi="Arial"/>
            <w:sz w:val="17"/>
            <w:szCs w:val="17"/>
            <w:u w:val="single" w:color="auto"/>
            <w:color w:val="0000FF"/>
          </w:rPr>
          <w:t>to Exhibit 10.6 to AAG’s Annual Report on Form 10-K for the year ended December 31, 2015 (Commission File No. 1-8400)).</w:t>
        </w:r>
      </w:hyperlink>
    </w:p>
    <w:p>
      <w:pPr>
        <w:spacing w:after="0" w:line="6" w:lineRule="exact"/>
        <w:rPr>
          <w:rFonts w:ascii="Arial" w:cs="Arial" w:eastAsia="Arial" w:hAnsi="Arial"/>
          <w:sz w:val="17"/>
          <w:szCs w:val="17"/>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10.13     </w:t>
      </w:r>
      <w:hyperlink r:id="rId424">
        <w:r>
          <w:rPr>
            <w:rFonts w:ascii="Arial" w:cs="Arial" w:eastAsia="Arial" w:hAnsi="Arial"/>
            <w:sz w:val="18"/>
            <w:szCs w:val="18"/>
            <w:u w:val="single" w:color="auto"/>
            <w:color w:val="0000FF"/>
          </w:rPr>
          <w:t>Second Amendment to Amended and Restated Credit and Guaranty Agreement, dated as of September 22, 2016, amending the</w:t>
        </w:r>
      </w:hyperlink>
      <w:r>
        <w:rPr>
          <w:rFonts w:ascii="Arial" w:cs="Arial" w:eastAsia="Arial" w:hAnsi="Arial"/>
          <w:sz w:val="18"/>
          <w:szCs w:val="18"/>
          <w:color w:val="auto"/>
        </w:rPr>
        <w:t xml:space="preserve"> </w:t>
      </w:r>
      <w:hyperlink r:id="rId424">
        <w:r>
          <w:rPr>
            <w:rFonts w:ascii="Arial" w:cs="Arial" w:eastAsia="Arial" w:hAnsi="Arial"/>
            <w:sz w:val="18"/>
            <w:szCs w:val="18"/>
            <w:u w:val="single" w:color="auto"/>
            <w:color w:val="0000FF"/>
          </w:rPr>
          <w:t>Amended and Restated Credit and Guaranty Agreement, dated as of April 20, 2015, among American Airlines, Inc., American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424">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424">
        <w:r>
          <w:rPr>
            <w:rFonts w:ascii="Arial" w:cs="Arial" w:eastAsia="Arial" w:hAnsi="Arial"/>
            <w:sz w:val="18"/>
            <w:szCs w:val="18"/>
            <w:u w:val="single" w:color="auto"/>
            <w:color w:val="0000FF"/>
          </w:rPr>
          <w:t>thereto (incorporated by reference to Exhibit 10.1 to AAG’s Quarterly Report on Form 10-Q for the quarter ended September 30,</w:t>
        </w:r>
      </w:hyperlink>
      <w:r>
        <w:rPr>
          <w:rFonts w:ascii="Arial" w:cs="Arial" w:eastAsia="Arial" w:hAnsi="Arial"/>
          <w:sz w:val="18"/>
          <w:szCs w:val="18"/>
          <w:u w:val="single" w:color="auto"/>
          <w:color w:val="0000FF"/>
        </w:rPr>
        <w:t xml:space="preserve"> </w:t>
      </w:r>
      <w:hyperlink r:id="rId424">
        <w:r>
          <w:rPr>
            <w:rFonts w:ascii="Arial" w:cs="Arial" w:eastAsia="Arial" w:hAnsi="Arial"/>
            <w:sz w:val="18"/>
            <w:szCs w:val="18"/>
            <w:u w:val="single" w:color="auto"/>
            <w:color w:val="0000FF"/>
          </w:rPr>
          <w:t>2016 (Commission File No. 1-8400)).</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10.14     </w:t>
      </w:r>
      <w:hyperlink r:id="rId425">
        <w:r>
          <w:rPr>
            <w:rFonts w:ascii="Arial" w:cs="Arial" w:eastAsia="Arial" w:hAnsi="Arial"/>
            <w:sz w:val="18"/>
            <w:szCs w:val="18"/>
            <w:u w:val="single" w:color="auto"/>
            <w:color w:val="0000FF"/>
          </w:rPr>
          <w:t>Letter Agreement No. AAL-LA-2100511, dated as of March 9, 2021, to Purchase Agreement No. 3219 by and between American</w:t>
        </w:r>
      </w:hyperlink>
      <w:r>
        <w:rPr>
          <w:rFonts w:ascii="Arial" w:cs="Arial" w:eastAsia="Arial" w:hAnsi="Arial"/>
          <w:sz w:val="18"/>
          <w:szCs w:val="18"/>
          <w:color w:val="auto"/>
        </w:rPr>
        <w:t xml:space="preserve"> </w:t>
      </w:r>
      <w:hyperlink r:id="rId425">
        <w:r>
          <w:rPr>
            <w:rFonts w:ascii="Arial" w:cs="Arial" w:eastAsia="Arial" w:hAnsi="Arial"/>
            <w:sz w:val="18"/>
            <w:szCs w:val="18"/>
            <w:u w:val="single" w:color="auto"/>
            <w:color w:val="0000FF"/>
          </w:rPr>
          <w:t>Airlines, Inc. and The Boeing Company (incorporated by reference to Exhibit 10.8 to AAG’s Quarterly Report on Form 10-Q for</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425">
        <w:r>
          <w:rPr>
            <w:rFonts w:ascii="Arial" w:cs="Arial" w:eastAsia="Arial" w:hAnsi="Arial"/>
            <w:sz w:val="18"/>
            <w:szCs w:val="18"/>
            <w:u w:val="single" w:color="auto"/>
            <w:color w:val="0000FF"/>
          </w:rPr>
          <w:t>the quarter ended March 31, 2021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10.15     </w:t>
      </w:r>
      <w:hyperlink r:id="rId426">
        <w:r>
          <w:rPr>
            <w:rFonts w:ascii="Arial" w:cs="Arial" w:eastAsia="Arial" w:hAnsi="Arial"/>
            <w:sz w:val="18"/>
            <w:szCs w:val="18"/>
            <w:u w:val="single" w:color="auto"/>
            <w:color w:val="0000FF"/>
          </w:rPr>
          <w:t>Amendment 1, dated as of March 25, 2021, to the Letter Agreement No. AAL-LA-2100511, dated as of March 9, 2021, to</w:t>
        </w:r>
      </w:hyperlink>
      <w:r>
        <w:rPr>
          <w:rFonts w:ascii="Arial" w:cs="Arial" w:eastAsia="Arial" w:hAnsi="Arial"/>
          <w:sz w:val="18"/>
          <w:szCs w:val="18"/>
          <w:color w:val="auto"/>
        </w:rPr>
        <w:t xml:space="preserve"> </w:t>
      </w:r>
      <w:hyperlink r:id="rId426">
        <w:r>
          <w:rPr>
            <w:rFonts w:ascii="Arial" w:cs="Arial" w:eastAsia="Arial" w:hAnsi="Arial"/>
            <w:sz w:val="18"/>
            <w:szCs w:val="18"/>
            <w:u w:val="single" w:color="auto"/>
            <w:color w:val="0000FF"/>
          </w:rPr>
          <w:t>Purchase Agreement No. 3219 by and between American Airlines, Inc. and The Boeing Company (incorporated by reference to</w:t>
        </w:r>
      </w:hyperlink>
    </w:p>
    <w:p>
      <w:pPr>
        <w:ind w:left="920"/>
        <w:spacing w:after="0"/>
        <w:rPr>
          <w:rFonts w:ascii="Arial" w:cs="Arial" w:eastAsia="Arial" w:hAnsi="Arial"/>
          <w:sz w:val="18"/>
          <w:szCs w:val="18"/>
          <w:color w:val="0000FF"/>
        </w:rPr>
      </w:pPr>
      <w:hyperlink r:id="rId426">
        <w:r>
          <w:rPr>
            <w:rFonts w:ascii="Arial" w:cs="Arial" w:eastAsia="Arial" w:hAnsi="Arial"/>
            <w:sz w:val="18"/>
            <w:szCs w:val="18"/>
            <w:u w:val="single" w:color="auto"/>
            <w:color w:val="0000FF"/>
          </w:rPr>
          <w:t>Exhibit 10.9 to AAG’s Quarterly Report on Form 10-Q for the quarter ended March 31, 2021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10.16     </w:t>
      </w:r>
      <w:hyperlink r:id="rId427">
        <w:r>
          <w:rPr>
            <w:rFonts w:ascii="Arial" w:cs="Arial" w:eastAsia="Arial" w:hAnsi="Arial"/>
            <w:sz w:val="18"/>
            <w:szCs w:val="18"/>
            <w:u w:val="single" w:color="auto"/>
            <w:color w:val="0000FF"/>
          </w:rPr>
          <w:t>Amendment 2, dated as of June 28, 2021, to the Letter Agreement No. AAL-LA-2100511, dated as of March 9, 2021, to Purchase</w:t>
        </w:r>
      </w:hyperlink>
      <w:r>
        <w:rPr>
          <w:rFonts w:ascii="Arial" w:cs="Arial" w:eastAsia="Arial" w:hAnsi="Arial"/>
          <w:sz w:val="18"/>
          <w:szCs w:val="18"/>
          <w:color w:val="auto"/>
        </w:rPr>
        <w:t xml:space="preserve"> </w:t>
      </w:r>
      <w:hyperlink r:id="rId427">
        <w:r>
          <w:rPr>
            <w:rFonts w:ascii="Arial" w:cs="Arial" w:eastAsia="Arial" w:hAnsi="Arial"/>
            <w:sz w:val="18"/>
            <w:szCs w:val="18"/>
            <w:u w:val="single" w:color="auto"/>
            <w:color w:val="0000FF"/>
          </w:rPr>
          <w:t>Agreement No. 3219 by and between American Airlines, Inc. and The Boeing Company (incorporated by reference to Exhibit 10.3</w:t>
        </w:r>
      </w:hyperlink>
    </w:p>
    <w:p>
      <w:pPr>
        <w:ind w:left="920"/>
        <w:spacing w:after="0"/>
        <w:rPr>
          <w:rFonts w:ascii="Arial" w:cs="Arial" w:eastAsia="Arial" w:hAnsi="Arial"/>
          <w:sz w:val="18"/>
          <w:szCs w:val="18"/>
          <w:color w:val="0000FF"/>
        </w:rPr>
      </w:pPr>
      <w:hyperlink r:id="rId427">
        <w:r>
          <w:rPr>
            <w:rFonts w:ascii="Arial" w:cs="Arial" w:eastAsia="Arial" w:hAnsi="Arial"/>
            <w:sz w:val="18"/>
            <w:szCs w:val="18"/>
            <w:u w:val="single" w:color="auto"/>
            <w:color w:val="0000FF"/>
          </w:rPr>
          <w:t>to AAG’s Quarterly Report on Form 10-Q for the quarter ended June 30, 2021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10.17     </w:t>
      </w:r>
      <w:hyperlink r:id="rId428">
        <w:r>
          <w:rPr>
            <w:rFonts w:ascii="Arial" w:cs="Arial" w:eastAsia="Arial" w:hAnsi="Arial"/>
            <w:sz w:val="18"/>
            <w:szCs w:val="18"/>
            <w:u w:val="single" w:color="auto"/>
            <w:color w:val="0000FF"/>
          </w:rPr>
          <w:t>Amendment No. 3, dated as of September 24, 2021, to the Letter Agreement No. AAL-LA-2100511, dated as of March 9, 2021, to</w:t>
        </w:r>
      </w:hyperlink>
      <w:r>
        <w:rPr>
          <w:rFonts w:ascii="Arial" w:cs="Arial" w:eastAsia="Arial" w:hAnsi="Arial"/>
          <w:sz w:val="18"/>
          <w:szCs w:val="18"/>
          <w:color w:val="auto"/>
        </w:rPr>
        <w:t xml:space="preserve"> </w:t>
      </w:r>
      <w:hyperlink r:id="rId428">
        <w:r>
          <w:rPr>
            <w:rFonts w:ascii="Arial" w:cs="Arial" w:eastAsia="Arial" w:hAnsi="Arial"/>
            <w:sz w:val="18"/>
            <w:szCs w:val="18"/>
            <w:u w:val="single" w:color="auto"/>
            <w:color w:val="0000FF"/>
          </w:rPr>
          <w:t>Purchase Agreement No. 3219 by and between American Airlines, Inc. and The Boeing Company (incorporated by reference to</w:t>
        </w:r>
      </w:hyperlink>
    </w:p>
    <w:p>
      <w:pPr>
        <w:jc w:val="both"/>
        <w:ind w:left="920"/>
        <w:spacing w:after="0" w:line="229" w:lineRule="auto"/>
        <w:rPr>
          <w:rFonts w:ascii="Arial" w:cs="Arial" w:eastAsia="Arial" w:hAnsi="Arial"/>
          <w:sz w:val="18"/>
          <w:szCs w:val="18"/>
          <w:color w:val="0000FF"/>
        </w:rPr>
      </w:pPr>
      <w:hyperlink r:id="rId428">
        <w:r>
          <w:rPr>
            <w:rFonts w:ascii="Arial" w:cs="Arial" w:eastAsia="Arial" w:hAnsi="Arial"/>
            <w:sz w:val="18"/>
            <w:szCs w:val="18"/>
            <w:u w:val="single" w:color="auto"/>
            <w:color w:val="0000FF"/>
          </w:rPr>
          <w:t>Exhibit 10.1 to AAG’s Quarterly Report on Form 10-Q for the quarter ended September 30, 2021 (Commission File No. 1-</w:t>
        </w:r>
      </w:hyperlink>
      <w:hyperlink r:id="rId428">
        <w:r>
          <w:rPr>
            <w:rFonts w:ascii="Arial" w:cs="Arial" w:eastAsia="Arial" w:hAnsi="Arial"/>
            <w:sz w:val="18"/>
            <w:szCs w:val="18"/>
            <w:u w:val="single" w:color="auto"/>
            <w:color w:val="0000FF"/>
          </w:rPr>
          <w:t>8400)).</w:t>
        </w:r>
        <w:r>
          <w:rPr>
            <w:rFonts w:ascii="Arial" w:cs="Arial" w:eastAsia="Arial" w:hAnsi="Arial"/>
            <w:sz w:val="18"/>
            <w:szCs w:val="18"/>
            <w:color w:val="000000"/>
          </w:rPr>
          <w:t>**</w:t>
        </w:r>
      </w:hyperlink>
    </w:p>
    <w:p>
      <w:pPr>
        <w:spacing w:after="0" w:line="1"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10.18     </w:t>
      </w:r>
      <w:hyperlink r:id="rId429">
        <w:r>
          <w:rPr>
            <w:rFonts w:ascii="Arial" w:cs="Arial" w:eastAsia="Arial" w:hAnsi="Arial"/>
            <w:sz w:val="18"/>
            <w:szCs w:val="18"/>
            <w:u w:val="single" w:color="auto"/>
            <w:color w:val="0000FF"/>
          </w:rPr>
          <w:t>Letter Agreement No. AAL LA 2100530, dated as of March 9, 2021, to Purchase Agreement No. 3219 by and between American</w:t>
        </w:r>
      </w:hyperlink>
      <w:r>
        <w:rPr>
          <w:rFonts w:ascii="Arial" w:cs="Arial" w:eastAsia="Arial" w:hAnsi="Arial"/>
          <w:sz w:val="18"/>
          <w:szCs w:val="18"/>
          <w:color w:val="auto"/>
        </w:rPr>
        <w:t xml:space="preserve"> </w:t>
      </w:r>
      <w:hyperlink r:id="rId429">
        <w:r>
          <w:rPr>
            <w:rFonts w:ascii="Arial" w:cs="Arial" w:eastAsia="Arial" w:hAnsi="Arial"/>
            <w:sz w:val="18"/>
            <w:szCs w:val="18"/>
            <w:u w:val="single" w:color="auto"/>
            <w:color w:val="0000FF"/>
          </w:rPr>
          <w:t>Airlines, Inc. and The Boeing Company (incorporated by reference to Exhibit 10.10 to AAG’s Quarterly Report on Form 10-Q for</w:t>
        </w:r>
      </w:hyperlink>
    </w:p>
    <w:p>
      <w:pPr>
        <w:ind w:left="920"/>
        <w:spacing w:after="0"/>
        <w:rPr>
          <w:rFonts w:ascii="Arial" w:cs="Arial" w:eastAsia="Arial" w:hAnsi="Arial"/>
          <w:sz w:val="18"/>
          <w:szCs w:val="18"/>
          <w:color w:val="0000FF"/>
        </w:rPr>
      </w:pPr>
      <w:hyperlink r:id="rId429">
        <w:r>
          <w:rPr>
            <w:rFonts w:ascii="Arial" w:cs="Arial" w:eastAsia="Arial" w:hAnsi="Arial"/>
            <w:sz w:val="18"/>
            <w:szCs w:val="18"/>
            <w:u w:val="single" w:color="auto"/>
            <w:color w:val="0000FF"/>
          </w:rPr>
          <w:t>the quarter ended March 31, 2021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10.19     </w:t>
      </w:r>
      <w:hyperlink r:id="rId430">
        <w:r>
          <w:rPr>
            <w:rFonts w:ascii="Arial" w:cs="Arial" w:eastAsia="Arial" w:hAnsi="Arial"/>
            <w:sz w:val="18"/>
            <w:szCs w:val="18"/>
            <w:u w:val="single" w:color="auto"/>
            <w:color w:val="0000FF"/>
          </w:rPr>
          <w:t>Amendment No. 4, dated as of December 15, 2021, to the Letter Agreement No. AAL-LA-2100511, dated as of March 9, 2021, to</w:t>
        </w:r>
      </w:hyperlink>
      <w:r>
        <w:rPr>
          <w:rFonts w:ascii="Arial" w:cs="Arial" w:eastAsia="Arial" w:hAnsi="Arial"/>
          <w:sz w:val="18"/>
          <w:szCs w:val="18"/>
          <w:color w:val="auto"/>
        </w:rPr>
        <w:t xml:space="preserve"> </w:t>
      </w:r>
      <w:hyperlink r:id="rId430">
        <w:r>
          <w:rPr>
            <w:rFonts w:ascii="Arial" w:cs="Arial" w:eastAsia="Arial" w:hAnsi="Arial"/>
            <w:sz w:val="18"/>
            <w:szCs w:val="18"/>
            <w:u w:val="single" w:color="auto"/>
            <w:color w:val="0000FF"/>
          </w:rPr>
          <w:t>Purchase Agreement No. 3219 by and between American Airlines, Inc. and The Boeing Company (incorporated by reference to</w:t>
        </w:r>
      </w:hyperlink>
    </w:p>
    <w:p>
      <w:pPr>
        <w:ind w:left="920"/>
        <w:spacing w:after="0"/>
        <w:rPr>
          <w:rFonts w:ascii="Arial" w:cs="Arial" w:eastAsia="Arial" w:hAnsi="Arial"/>
          <w:sz w:val="18"/>
          <w:szCs w:val="18"/>
          <w:color w:val="0000FF"/>
        </w:rPr>
      </w:pPr>
      <w:hyperlink r:id="rId430">
        <w:r>
          <w:rPr>
            <w:rFonts w:ascii="Arial" w:cs="Arial" w:eastAsia="Arial" w:hAnsi="Arial"/>
            <w:sz w:val="18"/>
            <w:szCs w:val="18"/>
            <w:u w:val="single" w:color="auto"/>
            <w:color w:val="0000FF"/>
          </w:rPr>
          <w:t>Exhibit 10.19 to AAG’s Annual Report on Form 10-K for the year ended December 31, 2021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10.20     </w:t>
      </w:r>
      <w:hyperlink r:id="rId431">
        <w:r>
          <w:rPr>
            <w:rFonts w:ascii="Arial" w:cs="Arial" w:eastAsia="Arial" w:hAnsi="Arial"/>
            <w:sz w:val="18"/>
            <w:szCs w:val="18"/>
            <w:u w:val="single" w:color="auto"/>
            <w:color w:val="0000FF"/>
          </w:rPr>
          <w:t>Letter Agreement, dated as of January 19, 2023, to Purchase Agreement No. 3219 dated as of October 15, 2008, by and</w:t>
        </w:r>
      </w:hyperlink>
      <w:r>
        <w:rPr>
          <w:rFonts w:ascii="Arial" w:cs="Arial" w:eastAsia="Arial" w:hAnsi="Arial"/>
          <w:sz w:val="18"/>
          <w:szCs w:val="18"/>
          <w:color w:val="auto"/>
        </w:rPr>
        <w:t xml:space="preserve"> </w:t>
      </w:r>
      <w:hyperlink r:id="rId431">
        <w:r>
          <w:rPr>
            <w:rFonts w:ascii="Arial" w:cs="Arial" w:eastAsia="Arial" w:hAnsi="Arial"/>
            <w:sz w:val="18"/>
            <w:szCs w:val="18"/>
            <w:u w:val="single" w:color="auto"/>
            <w:color w:val="0000FF"/>
          </w:rPr>
          <w:t>between American Airlines, Inc. and The Boeing Company (incorporated by reference to Exhibit 10.1 to AAG’s Quarterly Report</w:t>
        </w:r>
      </w:hyperlink>
    </w:p>
    <w:p>
      <w:pPr>
        <w:ind w:left="920"/>
        <w:spacing w:after="0"/>
        <w:rPr>
          <w:rFonts w:ascii="Arial" w:cs="Arial" w:eastAsia="Arial" w:hAnsi="Arial"/>
          <w:sz w:val="18"/>
          <w:szCs w:val="18"/>
          <w:u w:val="single" w:color="auto"/>
          <w:color w:val="0000FF"/>
        </w:rPr>
      </w:pPr>
      <w:hyperlink r:id="rId431">
        <w:r>
          <w:rPr>
            <w:rFonts w:ascii="Arial" w:cs="Arial" w:eastAsia="Arial" w:hAnsi="Arial"/>
            <w:sz w:val="18"/>
            <w:szCs w:val="18"/>
            <w:u w:val="single" w:color="auto"/>
            <w:color w:val="0000FF"/>
          </w:rPr>
          <w:t>on Form 10-Q for the quarter ended March 31, 2023 (Commission File No. 1-8400)).**</w:t>
        </w:r>
      </w:hyperlink>
    </w:p>
    <w:p>
      <w:pPr>
        <w:spacing w:after="0" w:line="14" w:lineRule="exact"/>
        <w:rPr>
          <w:sz w:val="20"/>
          <w:szCs w:val="20"/>
          <w:color w:val="auto"/>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10.21     </w:t>
      </w:r>
      <w:hyperlink r:id="rId432">
        <w:r>
          <w:rPr>
            <w:rFonts w:ascii="Arial" w:cs="Arial" w:eastAsia="Arial" w:hAnsi="Arial"/>
            <w:sz w:val="18"/>
            <w:szCs w:val="18"/>
            <w:u w:val="single" w:color="auto"/>
            <w:color w:val="0000FF"/>
          </w:rPr>
          <w:t>Third Amendment to the Amended and Restated Credit and Guaranty Agreement, dated as of June 14, 2017, amending the</w:t>
        </w:r>
      </w:hyperlink>
      <w:r>
        <w:rPr>
          <w:rFonts w:ascii="Arial" w:cs="Arial" w:eastAsia="Arial" w:hAnsi="Arial"/>
          <w:sz w:val="18"/>
          <w:szCs w:val="18"/>
          <w:color w:val="auto"/>
        </w:rPr>
        <w:t xml:space="preserve"> </w:t>
      </w:r>
      <w:hyperlink r:id="rId432">
        <w:r>
          <w:rPr>
            <w:rFonts w:ascii="Arial" w:cs="Arial" w:eastAsia="Arial" w:hAnsi="Arial"/>
            <w:sz w:val="18"/>
            <w:szCs w:val="18"/>
            <w:u w:val="single" w:color="auto"/>
            <w:color w:val="0000FF"/>
          </w:rPr>
          <w:t>Amended and Restated Credit and Guaranty Agreement, dated as of April 20, 2015, among American Airlines, Inc., American</w:t>
        </w:r>
      </w:hyperlink>
    </w:p>
    <w:p>
      <w:pPr>
        <w:jc w:val="both"/>
        <w:ind w:left="920"/>
        <w:spacing w:after="0" w:line="220" w:lineRule="auto"/>
        <w:rPr>
          <w:rFonts w:ascii="Arial" w:cs="Arial" w:eastAsia="Arial" w:hAnsi="Arial"/>
          <w:sz w:val="18"/>
          <w:szCs w:val="18"/>
          <w:u w:val="single" w:color="auto"/>
          <w:color w:val="0000FF"/>
        </w:rPr>
      </w:pPr>
      <w:hyperlink r:id="rId432">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432">
        <w:r>
          <w:rPr>
            <w:rFonts w:ascii="Arial" w:cs="Arial" w:eastAsia="Arial" w:hAnsi="Arial"/>
            <w:sz w:val="18"/>
            <w:szCs w:val="18"/>
            <w:u w:val="single" w:color="auto"/>
            <w:color w:val="0000FF"/>
          </w:rPr>
          <w:t>thereto (incorporated by reference to Exhibit 10.2 to AAG’s Quarterly Report on Form 10-Q for the quarter ended June 30, 2017</w:t>
        </w:r>
      </w:hyperlink>
      <w:r>
        <w:rPr>
          <w:rFonts w:ascii="Arial" w:cs="Arial" w:eastAsia="Arial" w:hAnsi="Arial"/>
          <w:sz w:val="18"/>
          <w:szCs w:val="18"/>
          <w:u w:val="single" w:color="auto"/>
          <w:color w:val="0000FF"/>
        </w:rPr>
        <w:t xml:space="preserve"> </w:t>
      </w:r>
      <w:hyperlink r:id="rId432">
        <w:r>
          <w:rPr>
            <w:rFonts w:ascii="Arial" w:cs="Arial" w:eastAsia="Arial" w:hAnsi="Arial"/>
            <w:sz w:val="18"/>
            <w:szCs w:val="18"/>
            <w:u w:val="single" w:color="auto"/>
            <w:color w:val="0000FF"/>
          </w:rPr>
          <w:t>(Commission File No. 1-8400)).</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10.22     </w:t>
      </w:r>
      <w:hyperlink r:id="rId433">
        <w:r>
          <w:rPr>
            <w:rFonts w:ascii="Arial" w:cs="Arial" w:eastAsia="Arial" w:hAnsi="Arial"/>
            <w:sz w:val="18"/>
            <w:szCs w:val="18"/>
            <w:u w:val="single" w:color="auto"/>
            <w:color w:val="0000FF"/>
          </w:rPr>
          <w:t>Fourth Amendment to the Amended and Restated Credit and Guaranty Agreement, dated as of August 21, 2017, amending the</w:t>
        </w:r>
      </w:hyperlink>
      <w:r>
        <w:rPr>
          <w:rFonts w:ascii="Arial" w:cs="Arial" w:eastAsia="Arial" w:hAnsi="Arial"/>
          <w:sz w:val="18"/>
          <w:szCs w:val="18"/>
          <w:color w:val="auto"/>
        </w:rPr>
        <w:t xml:space="preserve"> </w:t>
      </w:r>
      <w:hyperlink r:id="rId433">
        <w:r>
          <w:rPr>
            <w:rFonts w:ascii="Arial" w:cs="Arial" w:eastAsia="Arial" w:hAnsi="Arial"/>
            <w:sz w:val="18"/>
            <w:szCs w:val="18"/>
            <w:u w:val="single" w:color="auto"/>
            <w:color w:val="0000FF"/>
          </w:rPr>
          <w:t>Amended and Restated Credit and Guaranty Agreement, dated as of April 20, 2015, among American Airlines, Inc., American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color w:val="0000FF"/>
        </w:rPr>
      </w:pPr>
      <w:hyperlink r:id="rId433">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433">
        <w:r>
          <w:rPr>
            <w:rFonts w:ascii="Arial" w:cs="Arial" w:eastAsia="Arial" w:hAnsi="Arial"/>
            <w:sz w:val="18"/>
            <w:szCs w:val="18"/>
            <w:u w:val="single" w:color="auto"/>
            <w:color w:val="0000FF"/>
          </w:rPr>
          <w:t>thereto (incorporated by reference to Exhibit 10.1 to AAG’s Quarterly Report on Form 10-Q for the quarter ended March 31, 2018</w:t>
        </w:r>
      </w:hyperlink>
      <w:r>
        <w:rPr>
          <w:rFonts w:ascii="Arial" w:cs="Arial" w:eastAsia="Arial" w:hAnsi="Arial"/>
          <w:sz w:val="18"/>
          <w:szCs w:val="18"/>
          <w:u w:val="single" w:color="auto"/>
          <w:color w:val="0000FF"/>
        </w:rPr>
        <w:t xml:space="preserve"> </w:t>
      </w:r>
      <w:hyperlink r:id="rId433">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200" w:lineRule="exact"/>
        <w:rPr>
          <w:rFonts w:ascii="Arial" w:cs="Arial" w:eastAsia="Arial" w:hAnsi="Arial"/>
          <w:sz w:val="18"/>
          <w:szCs w:val="18"/>
          <w:u w:val="single" w:color="auto"/>
          <w:color w:val="0000FF"/>
        </w:rPr>
      </w:pPr>
    </w:p>
    <w:p>
      <w:pPr>
        <w:spacing w:after="0" w:line="318"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right"/>
        <w:ind w:left="20"/>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10.23     </w:t>
      </w:r>
      <w:hyperlink r:id="rId435">
        <w:r>
          <w:rPr>
            <w:rFonts w:ascii="Arial" w:cs="Arial" w:eastAsia="Arial" w:hAnsi="Arial"/>
            <w:sz w:val="18"/>
            <w:szCs w:val="18"/>
            <w:u w:val="single" w:color="auto"/>
            <w:color w:val="0000FF"/>
          </w:rPr>
          <w:t>Fifth Amendment to the Amended and Restated Credit and Guaranty Agreement, dated as of September 17, 2018, amending the</w:t>
        </w:r>
      </w:hyperlink>
      <w:r>
        <w:rPr>
          <w:rFonts w:ascii="Arial" w:cs="Arial" w:eastAsia="Arial" w:hAnsi="Arial"/>
          <w:sz w:val="18"/>
          <w:szCs w:val="18"/>
          <w:color w:val="auto"/>
        </w:rPr>
        <w:t xml:space="preserve"> </w:t>
      </w:r>
      <w:hyperlink r:id="rId435">
        <w:r>
          <w:rPr>
            <w:rFonts w:ascii="Arial" w:cs="Arial" w:eastAsia="Arial" w:hAnsi="Arial"/>
            <w:sz w:val="18"/>
            <w:szCs w:val="18"/>
            <w:u w:val="single" w:color="auto"/>
            <w:color w:val="0000FF"/>
          </w:rPr>
          <w:t>Amended and Restated Credit and Guaranty Agreement, dated as of April 20, 2015, among American Airlines, Inc., American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435">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435">
        <w:r>
          <w:rPr>
            <w:rFonts w:ascii="Arial" w:cs="Arial" w:eastAsia="Arial" w:hAnsi="Arial"/>
            <w:sz w:val="18"/>
            <w:szCs w:val="18"/>
            <w:u w:val="single" w:color="auto"/>
            <w:color w:val="0000FF"/>
          </w:rPr>
          <w:t>thereto (incorporated by reference to Exhibit 10.1 to AAG’s Quarterly Report on Form 10-Q for the quarter ended September 30,</w:t>
        </w:r>
      </w:hyperlink>
      <w:r>
        <w:rPr>
          <w:rFonts w:ascii="Arial" w:cs="Arial" w:eastAsia="Arial" w:hAnsi="Arial"/>
          <w:sz w:val="18"/>
          <w:szCs w:val="18"/>
          <w:u w:val="single" w:color="auto"/>
          <w:color w:val="0000FF"/>
        </w:rPr>
        <w:t xml:space="preserve"> </w:t>
      </w:r>
      <w:hyperlink r:id="rId435">
        <w:r>
          <w:rPr>
            <w:rFonts w:ascii="Arial" w:cs="Arial" w:eastAsia="Arial" w:hAnsi="Arial"/>
            <w:sz w:val="18"/>
            <w:szCs w:val="18"/>
            <w:u w:val="single" w:color="auto"/>
            <w:color w:val="0000FF"/>
          </w:rPr>
          <w:t>2018 (Commission File No. 1-8400)).</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sz w:val="20"/>
          <w:szCs w:val="20"/>
          <w:color w:val="auto"/>
        </w:rPr>
      </w:pPr>
      <w:r>
        <w:rPr>
          <w:rFonts w:ascii="Arial" w:cs="Arial" w:eastAsia="Arial" w:hAnsi="Arial"/>
          <w:sz w:val="18"/>
          <w:szCs w:val="18"/>
          <w:color w:val="auto"/>
        </w:rPr>
        <w:t xml:space="preserve">10.24     </w:t>
      </w:r>
      <w:r>
        <w:rPr>
          <w:rFonts w:ascii="Arial" w:cs="Arial" w:eastAsia="Arial" w:hAnsi="Arial"/>
          <w:sz w:val="18"/>
          <w:szCs w:val="18"/>
          <w:u w:val="single" w:color="auto"/>
          <w:color w:val="0000FF"/>
        </w:rPr>
        <w:t>Sixth Amendment to the Amended and Restated Credit and Guaranty Agreement, dated as of December 10, 2018, amending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Amended and Restated Credit and Guaranty Agreement, dated as of April 20, 2015, among American Airlines, Inc., American</w:t>
      </w:r>
    </w:p>
    <w:p>
      <w:pPr>
        <w:spacing w:after="0" w:line="1" w:lineRule="exact"/>
        <w:rPr>
          <w:rFonts w:ascii="Arial" w:cs="Arial" w:eastAsia="Arial" w:hAnsi="Arial"/>
          <w:sz w:val="18"/>
          <w:szCs w:val="18"/>
          <w:u w:val="single" w:color="auto"/>
          <w:color w:val="0000FF"/>
        </w:rPr>
      </w:pPr>
    </w:p>
    <w:p>
      <w:pPr>
        <w:jc w:val="both"/>
        <w:ind w:left="920"/>
        <w:spacing w:after="0" w:line="229" w:lineRule="auto"/>
        <w:rPr>
          <w:sz w:val="20"/>
          <w:szCs w:val="20"/>
          <w:color w:val="auto"/>
        </w:rPr>
      </w:pPr>
      <w:r>
        <w:rPr>
          <w:rFonts w:ascii="Arial" w:cs="Arial" w:eastAsia="Arial" w:hAnsi="Arial"/>
          <w:sz w:val="18"/>
          <w:szCs w:val="18"/>
          <w:u w:val="single" w:color="auto"/>
          <w:color w:val="0000FF"/>
        </w:rPr>
        <w:t>Airlines Group Inc., the lenders from time to time party thereto, Citibank N.A., as administrative agent, and certain other parties thereto.</w:t>
      </w:r>
      <w:r>
        <w:rPr>
          <w:rFonts w:ascii="Arial" w:cs="Arial" w:eastAsia="Arial" w:hAnsi="Arial"/>
          <w:sz w:val="18"/>
          <w:szCs w:val="18"/>
          <w:color w:val="000000"/>
        </w:rPr>
        <w:t>**</w:t>
      </w:r>
    </w:p>
    <w:p>
      <w:pPr>
        <w:spacing w:after="0" w:line="1" w:lineRule="exact"/>
        <w:rPr>
          <w:rFonts w:ascii="Arial" w:cs="Arial" w:eastAsia="Arial" w:hAnsi="Arial"/>
          <w:sz w:val="18"/>
          <w:szCs w:val="18"/>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10.25     </w:t>
      </w:r>
      <w:hyperlink r:id="rId436">
        <w:r>
          <w:rPr>
            <w:rFonts w:ascii="Arial" w:cs="Arial" w:eastAsia="Arial" w:hAnsi="Arial"/>
            <w:sz w:val="18"/>
            <w:szCs w:val="18"/>
            <w:u w:val="single" w:color="auto"/>
            <w:color w:val="0000FF"/>
          </w:rPr>
          <w:t>Seventh Amendment to the Amended and Restated Credit and Guaranty Agreement, dated as of November 8, 2019, amending</w:t>
        </w:r>
      </w:hyperlink>
      <w:r>
        <w:rPr>
          <w:rFonts w:ascii="Arial" w:cs="Arial" w:eastAsia="Arial" w:hAnsi="Arial"/>
          <w:sz w:val="18"/>
          <w:szCs w:val="18"/>
          <w:color w:val="auto"/>
        </w:rPr>
        <w:t xml:space="preserve"> </w:t>
      </w:r>
      <w:hyperlink r:id="rId436">
        <w:r>
          <w:rPr>
            <w:rFonts w:ascii="Arial" w:cs="Arial" w:eastAsia="Arial" w:hAnsi="Arial"/>
            <w:sz w:val="18"/>
            <w:szCs w:val="18"/>
            <w:u w:val="single" w:color="auto"/>
            <w:color w:val="0000FF"/>
          </w:rPr>
          <w:t>the Amended and Restated Credit and Guaranty Agreement, dated as of April 20, 2015, among American Airlines, Inc., American</w:t>
        </w:r>
      </w:hyperlink>
    </w:p>
    <w:p>
      <w:pPr>
        <w:jc w:val="both"/>
        <w:ind w:left="920"/>
        <w:spacing w:after="0" w:line="220" w:lineRule="auto"/>
        <w:rPr>
          <w:rFonts w:ascii="Arial" w:cs="Arial" w:eastAsia="Arial" w:hAnsi="Arial"/>
          <w:sz w:val="18"/>
          <w:szCs w:val="18"/>
          <w:color w:val="0000FF"/>
        </w:rPr>
      </w:pPr>
      <w:hyperlink r:id="rId436">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r:id="rId436">
        <w:r>
          <w:rPr>
            <w:rFonts w:ascii="Arial" w:cs="Arial" w:eastAsia="Arial" w:hAnsi="Arial"/>
            <w:sz w:val="18"/>
            <w:szCs w:val="18"/>
            <w:u w:val="single" w:color="auto"/>
            <w:color w:val="0000FF"/>
          </w:rPr>
          <w:t>thereto (incorporated by reference to Exhibit 10.10 to AAG’s Annual Report on Form 10-K for the year ended December 31, 2019</w:t>
        </w:r>
      </w:hyperlink>
      <w:r>
        <w:rPr>
          <w:rFonts w:ascii="Arial" w:cs="Arial" w:eastAsia="Arial" w:hAnsi="Arial"/>
          <w:sz w:val="18"/>
          <w:szCs w:val="18"/>
          <w:u w:val="single" w:color="auto"/>
          <w:color w:val="0000FF"/>
        </w:rPr>
        <w:t xml:space="preserve"> </w:t>
      </w:r>
      <w:hyperlink r:id="rId436">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10.26     </w:t>
      </w:r>
      <w:hyperlink r:id="rId437">
        <w:r>
          <w:rPr>
            <w:rFonts w:ascii="Arial" w:cs="Arial" w:eastAsia="Arial" w:hAnsi="Arial"/>
            <w:sz w:val="18"/>
            <w:szCs w:val="18"/>
            <w:u w:val="single" w:color="auto"/>
            <w:color w:val="0000FF"/>
          </w:rPr>
          <w:t>First Amendment and Restatement Agreement, dated as of May 21, 2015, in relation to the Credit and Guaranty Agreement,</w:t>
        </w:r>
      </w:hyperlink>
      <w:r>
        <w:rPr>
          <w:rFonts w:ascii="Arial" w:cs="Arial" w:eastAsia="Arial" w:hAnsi="Arial"/>
          <w:sz w:val="18"/>
          <w:szCs w:val="18"/>
          <w:color w:val="auto"/>
        </w:rPr>
        <w:t xml:space="preserve"> </w:t>
      </w:r>
      <w:hyperlink r:id="rId437">
        <w:r>
          <w:rPr>
            <w:rFonts w:ascii="Arial" w:cs="Arial" w:eastAsia="Arial" w:hAnsi="Arial"/>
            <w:sz w:val="18"/>
            <w:szCs w:val="18"/>
            <w:u w:val="single" w:color="auto"/>
            <w:color w:val="0000FF"/>
          </w:rPr>
          <w:t>dated as of June 27, 2013 (as amended), among American Airlines Group Inc. (as successor in interest to US Airways Group,</w:t>
        </w:r>
      </w:hyperlink>
    </w:p>
    <w:p>
      <w:pPr>
        <w:spacing w:after="0" w:line="1" w:lineRule="exact"/>
        <w:rPr>
          <w:sz w:val="20"/>
          <w:szCs w:val="20"/>
          <w:color w:val="auto"/>
        </w:rPr>
      </w:pPr>
    </w:p>
    <w:p>
      <w:pPr>
        <w:jc w:val="both"/>
        <w:ind w:left="920"/>
        <w:spacing w:after="0" w:line="208" w:lineRule="auto"/>
        <w:rPr>
          <w:rFonts w:ascii="Arial" w:cs="Arial" w:eastAsia="Arial" w:hAnsi="Arial"/>
          <w:sz w:val="18"/>
          <w:szCs w:val="18"/>
          <w:u w:val="single" w:color="auto"/>
          <w:color w:val="0000FF"/>
        </w:rPr>
      </w:pPr>
      <w:hyperlink r:id="rId437">
        <w:r>
          <w:rPr>
            <w:rFonts w:ascii="Arial" w:cs="Arial" w:eastAsia="Arial" w:hAnsi="Arial"/>
            <w:sz w:val="18"/>
            <w:szCs w:val="18"/>
            <w:u w:val="single" w:color="auto"/>
            <w:color w:val="0000FF"/>
          </w:rPr>
          <w:t>Inc.), American Airlines, Inc. (as successor in interest to US Airways, Inc.), the Revolving Lenders (as defined therein) party</w:t>
        </w:r>
      </w:hyperlink>
      <w:r>
        <w:rPr>
          <w:rFonts w:ascii="Arial" w:cs="Arial" w:eastAsia="Arial" w:hAnsi="Arial"/>
          <w:sz w:val="18"/>
          <w:szCs w:val="18"/>
          <w:u w:val="single" w:color="auto"/>
          <w:color w:val="0000FF"/>
        </w:rPr>
        <w:t xml:space="preserve"> </w:t>
      </w:r>
      <w:hyperlink r:id="rId437">
        <w:r>
          <w:rPr>
            <w:rFonts w:ascii="Arial" w:cs="Arial" w:eastAsia="Arial" w:hAnsi="Arial"/>
            <w:sz w:val="18"/>
            <w:szCs w:val="18"/>
            <w:u w:val="single" w:color="auto"/>
            <w:color w:val="0000FF"/>
          </w:rPr>
          <w:t>thereto, the 2015 Term Loan Lenders (as defined therein) party thereto and Deutsche Bank AG New York Branch, as</w:t>
        </w:r>
      </w:hyperlink>
      <w:r>
        <w:rPr>
          <w:rFonts w:ascii="Arial" w:cs="Arial" w:eastAsia="Arial" w:hAnsi="Arial"/>
          <w:sz w:val="18"/>
          <w:szCs w:val="18"/>
          <w:u w:val="single" w:color="auto"/>
          <w:color w:val="0000FF"/>
        </w:rPr>
        <w:t xml:space="preserve"> </w:t>
      </w:r>
      <w:hyperlink r:id="rId437">
        <w:r>
          <w:rPr>
            <w:rFonts w:ascii="Arial" w:cs="Arial" w:eastAsia="Arial" w:hAnsi="Arial"/>
            <w:sz w:val="18"/>
            <w:szCs w:val="18"/>
            <w:u w:val="single" w:color="auto"/>
            <w:color w:val="0000FF"/>
          </w:rPr>
          <w:t>administrative agent and collateral agent (incorporated by reference to Exhibit 10.5 to AAG’s Quarterly Report on Form 10-Q for</w:t>
        </w:r>
      </w:hyperlink>
    </w:p>
    <w:p>
      <w:pPr>
        <w:spacing w:after="0" w:line="1"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437">
        <w:r>
          <w:rPr>
            <w:rFonts w:ascii="Arial" w:cs="Arial" w:eastAsia="Arial" w:hAnsi="Arial"/>
            <w:sz w:val="18"/>
            <w:szCs w:val="18"/>
            <w:u w:val="single" w:color="auto"/>
            <w:color w:val="0000FF"/>
          </w:rPr>
          <w:t>the quarter ended June 30, 2015 (Commission File No. 1-8400)).</w:t>
        </w:r>
      </w:hyperlink>
    </w:p>
    <w:p>
      <w:pPr>
        <w:spacing w:after="0" w:line="14" w:lineRule="exact"/>
        <w:rPr>
          <w:rFonts w:ascii="Arial" w:cs="Arial" w:eastAsia="Arial" w:hAnsi="Arial"/>
          <w:sz w:val="18"/>
          <w:szCs w:val="18"/>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10.27     </w:t>
      </w:r>
      <w:hyperlink r:id="rId438">
        <w:r>
          <w:rPr>
            <w:rFonts w:ascii="Arial" w:cs="Arial" w:eastAsia="Arial" w:hAnsi="Arial"/>
            <w:sz w:val="18"/>
            <w:szCs w:val="18"/>
            <w:u w:val="single" w:color="auto"/>
            <w:color w:val="0000FF"/>
          </w:rPr>
          <w:t>First Amendment to Amended and Restated Credit and Guaranty Agreement, dated as of October 26, 2015, amending the</w:t>
        </w:r>
      </w:hyperlink>
      <w:r>
        <w:rPr>
          <w:rFonts w:ascii="Arial" w:cs="Arial" w:eastAsia="Arial" w:hAnsi="Arial"/>
          <w:sz w:val="18"/>
          <w:szCs w:val="18"/>
          <w:color w:val="auto"/>
        </w:rPr>
        <w:t xml:space="preserve"> </w:t>
      </w:r>
      <w:hyperlink r:id="rId438">
        <w:r>
          <w:rPr>
            <w:rFonts w:ascii="Arial" w:cs="Arial" w:eastAsia="Arial" w:hAnsi="Arial"/>
            <w:sz w:val="18"/>
            <w:szCs w:val="18"/>
            <w:u w:val="single" w:color="auto"/>
            <w:color w:val="0000FF"/>
          </w:rPr>
          <w:t>Amended and Restated Credit and Guaranty Agreement, dated as of May 21, 2015, among American Airlines, Inc. (as successor</w:t>
        </w:r>
      </w:hyperlink>
    </w:p>
    <w:p>
      <w:pPr>
        <w:jc w:val="both"/>
        <w:ind w:left="920"/>
        <w:spacing w:after="0" w:line="208" w:lineRule="auto"/>
        <w:rPr>
          <w:rFonts w:ascii="Arial" w:cs="Arial" w:eastAsia="Arial" w:hAnsi="Arial"/>
          <w:sz w:val="18"/>
          <w:szCs w:val="18"/>
          <w:u w:val="single" w:color="auto"/>
          <w:color w:val="0000FF"/>
        </w:rPr>
      </w:pPr>
      <w:hyperlink r:id="rId438">
        <w:r>
          <w:rPr>
            <w:rFonts w:ascii="Arial" w:cs="Arial" w:eastAsia="Arial" w:hAnsi="Arial"/>
            <w:sz w:val="18"/>
            <w:szCs w:val="18"/>
            <w:u w:val="single" w:color="auto"/>
            <w:color w:val="0000FF"/>
          </w:rPr>
          <w:t>in interest to US Airways, Inc.), American Airlines Group Inc., (as successor in interest to US Airways Group, Inc.), the lenders</w:t>
        </w:r>
      </w:hyperlink>
      <w:r>
        <w:rPr>
          <w:rFonts w:ascii="Arial" w:cs="Arial" w:eastAsia="Arial" w:hAnsi="Arial"/>
          <w:sz w:val="18"/>
          <w:szCs w:val="18"/>
          <w:u w:val="single" w:color="auto"/>
          <w:color w:val="0000FF"/>
        </w:rPr>
        <w:t xml:space="preserve"> </w:t>
      </w:r>
      <w:hyperlink r:id="rId438">
        <w:r>
          <w:rPr>
            <w:rFonts w:ascii="Arial" w:cs="Arial" w:eastAsia="Arial" w:hAnsi="Arial"/>
            <w:sz w:val="18"/>
            <w:szCs w:val="18"/>
            <w:u w:val="single" w:color="auto"/>
            <w:color w:val="0000FF"/>
          </w:rPr>
          <w:t>from time to time party thereto, Deutsche Bank AG New York Branch, as administrative agent, and certain other parties thereto</w:t>
        </w:r>
      </w:hyperlink>
      <w:r>
        <w:rPr>
          <w:rFonts w:ascii="Arial" w:cs="Arial" w:eastAsia="Arial" w:hAnsi="Arial"/>
          <w:sz w:val="18"/>
          <w:szCs w:val="18"/>
          <w:u w:val="single" w:color="auto"/>
          <w:color w:val="0000FF"/>
        </w:rPr>
        <w:t xml:space="preserve"> </w:t>
      </w:r>
      <w:hyperlink r:id="rId438">
        <w:r>
          <w:rPr>
            <w:rFonts w:ascii="Arial" w:cs="Arial" w:eastAsia="Arial" w:hAnsi="Arial"/>
            <w:sz w:val="18"/>
            <w:szCs w:val="18"/>
            <w:u w:val="single" w:color="auto"/>
            <w:color w:val="0000FF"/>
          </w:rPr>
          <w:t>(incorporated by reference to Exhibit 10.8 to AAG’s Annual Report on Form 10-K for the year ended December 31, 2015</w:t>
        </w:r>
      </w:hyperlink>
    </w:p>
    <w:p>
      <w:pPr>
        <w:spacing w:after="0" w:line="1" w:lineRule="exact"/>
        <w:rPr>
          <w:rFonts w:ascii="Arial" w:cs="Arial" w:eastAsia="Arial" w:hAnsi="Arial"/>
          <w:sz w:val="18"/>
          <w:szCs w:val="18"/>
          <w:u w:val="single" w:color="auto"/>
          <w:color w:val="0000FF"/>
        </w:rPr>
      </w:pPr>
    </w:p>
    <w:p>
      <w:pPr>
        <w:ind w:left="920"/>
        <w:spacing w:after="0"/>
        <w:rPr>
          <w:rFonts w:ascii="Arial" w:cs="Arial" w:eastAsia="Arial" w:hAnsi="Arial"/>
          <w:sz w:val="18"/>
          <w:szCs w:val="18"/>
          <w:u w:val="single" w:color="auto"/>
          <w:color w:val="0000FF"/>
        </w:rPr>
      </w:pPr>
      <w:hyperlink r:id="rId438">
        <w:r>
          <w:rPr>
            <w:rFonts w:ascii="Arial" w:cs="Arial" w:eastAsia="Arial" w:hAnsi="Arial"/>
            <w:sz w:val="18"/>
            <w:szCs w:val="18"/>
            <w:u w:val="single" w:color="auto"/>
            <w:color w:val="0000FF"/>
          </w:rPr>
          <w:t>(Commission File No. 1-8400)).</w:t>
        </w:r>
      </w:hyperlink>
    </w:p>
    <w:p>
      <w:pPr>
        <w:spacing w:after="0" w:line="14" w:lineRule="exact"/>
        <w:rPr>
          <w:rFonts w:ascii="Arial" w:cs="Arial" w:eastAsia="Arial" w:hAnsi="Arial"/>
          <w:sz w:val="18"/>
          <w:szCs w:val="18"/>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10.28     </w:t>
      </w:r>
      <w:hyperlink r:id="rId439">
        <w:r>
          <w:rPr>
            <w:rFonts w:ascii="Arial" w:cs="Arial" w:eastAsia="Arial" w:hAnsi="Arial"/>
            <w:sz w:val="18"/>
            <w:szCs w:val="18"/>
            <w:u w:val="single" w:color="auto"/>
            <w:color w:val="0000FF"/>
          </w:rPr>
          <w:t>Second Amendment to Amended and Restated Credit and Guaranty Agreement, dated as of March 14, 2017, amending the</w:t>
        </w:r>
      </w:hyperlink>
      <w:r>
        <w:rPr>
          <w:rFonts w:ascii="Arial" w:cs="Arial" w:eastAsia="Arial" w:hAnsi="Arial"/>
          <w:sz w:val="18"/>
          <w:szCs w:val="18"/>
          <w:color w:val="auto"/>
        </w:rPr>
        <w:t xml:space="preserve"> </w:t>
      </w:r>
      <w:hyperlink r:id="rId439">
        <w:r>
          <w:rPr>
            <w:rFonts w:ascii="Arial" w:cs="Arial" w:eastAsia="Arial" w:hAnsi="Arial"/>
            <w:sz w:val="18"/>
            <w:szCs w:val="18"/>
            <w:u w:val="single" w:color="auto"/>
            <w:color w:val="0000FF"/>
          </w:rPr>
          <w:t>Amended and Restated Credit and Guaranty Agreement, dated as of May 21, 2015, among American Airlines, Inc., American</w:t>
        </w:r>
      </w:hyperlink>
    </w:p>
    <w:p>
      <w:pPr>
        <w:jc w:val="both"/>
        <w:ind w:left="920"/>
        <w:spacing w:after="0" w:line="220" w:lineRule="auto"/>
        <w:rPr>
          <w:rFonts w:ascii="Arial" w:cs="Arial" w:eastAsia="Arial" w:hAnsi="Arial"/>
          <w:sz w:val="18"/>
          <w:szCs w:val="18"/>
          <w:u w:val="single" w:color="auto"/>
          <w:color w:val="0000FF"/>
        </w:rPr>
      </w:pPr>
      <w:hyperlink r:id="rId439">
        <w:r>
          <w:rPr>
            <w:rFonts w:ascii="Arial" w:cs="Arial" w:eastAsia="Arial" w:hAnsi="Arial"/>
            <w:sz w:val="18"/>
            <w:szCs w:val="18"/>
            <w:u w:val="single" w:color="auto"/>
            <w:color w:val="0000FF"/>
          </w:rPr>
          <w:t>Airlines Group Inc., the lenders from time to time party thereto, Deutsche Bank AG New York Branch, as administrative agent,</w:t>
        </w:r>
      </w:hyperlink>
      <w:r>
        <w:rPr>
          <w:rFonts w:ascii="Arial" w:cs="Arial" w:eastAsia="Arial" w:hAnsi="Arial"/>
          <w:sz w:val="18"/>
          <w:szCs w:val="18"/>
          <w:u w:val="single" w:color="auto"/>
          <w:color w:val="0000FF"/>
        </w:rPr>
        <w:t xml:space="preserve"> </w:t>
      </w:r>
      <w:hyperlink r:id="rId439">
        <w:r>
          <w:rPr>
            <w:rFonts w:ascii="Arial" w:cs="Arial" w:eastAsia="Arial" w:hAnsi="Arial"/>
            <w:sz w:val="18"/>
            <w:szCs w:val="18"/>
            <w:u w:val="single" w:color="auto"/>
            <w:color w:val="0000FF"/>
          </w:rPr>
          <w:t>and certain other parties thereto (incorporated by reference to Exhibit 10.2 to AAG’s Quarterly Report on Form 10-Q for the</w:t>
        </w:r>
      </w:hyperlink>
      <w:r>
        <w:rPr>
          <w:rFonts w:ascii="Arial" w:cs="Arial" w:eastAsia="Arial" w:hAnsi="Arial"/>
          <w:sz w:val="18"/>
          <w:szCs w:val="18"/>
          <w:u w:val="single" w:color="auto"/>
          <w:color w:val="0000FF"/>
        </w:rPr>
        <w:t xml:space="preserve"> </w:t>
      </w:r>
      <w:hyperlink r:id="rId439">
        <w:r>
          <w:rPr>
            <w:rFonts w:ascii="Arial" w:cs="Arial" w:eastAsia="Arial" w:hAnsi="Arial"/>
            <w:sz w:val="18"/>
            <w:szCs w:val="18"/>
            <w:u w:val="single" w:color="auto"/>
            <w:color w:val="0000FF"/>
          </w:rPr>
          <w:t>quarter ended March 31, 2017 (Commission File No. 1-8400)).</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10.29     </w:t>
      </w:r>
      <w:hyperlink r:id="rId440">
        <w:r>
          <w:rPr>
            <w:rFonts w:ascii="Arial" w:cs="Arial" w:eastAsia="Arial" w:hAnsi="Arial"/>
            <w:sz w:val="18"/>
            <w:szCs w:val="18"/>
            <w:u w:val="single" w:color="auto"/>
            <w:color w:val="0000FF"/>
          </w:rPr>
          <w:t>Third Amendment to the Amended and Restated Credit And Guaranty Agreement, dated as of August 21, 2017, amending the</w:t>
        </w:r>
      </w:hyperlink>
      <w:r>
        <w:rPr>
          <w:rFonts w:ascii="Arial" w:cs="Arial" w:eastAsia="Arial" w:hAnsi="Arial"/>
          <w:sz w:val="18"/>
          <w:szCs w:val="18"/>
          <w:color w:val="auto"/>
        </w:rPr>
        <w:t xml:space="preserve"> </w:t>
      </w:r>
      <w:hyperlink r:id="rId440">
        <w:r>
          <w:rPr>
            <w:rFonts w:ascii="Arial" w:cs="Arial" w:eastAsia="Arial" w:hAnsi="Arial"/>
            <w:sz w:val="18"/>
            <w:szCs w:val="18"/>
            <w:u w:val="single" w:color="auto"/>
            <w:color w:val="0000FF"/>
          </w:rPr>
          <w:t>Amended and Restated Credit and Guaranty Agreement, dated as of May 21, 2015, among American Airlines, Inc., American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color w:val="0000FF"/>
        </w:rPr>
      </w:pPr>
      <w:hyperlink r:id="rId440">
        <w:r>
          <w:rPr>
            <w:rFonts w:ascii="Arial" w:cs="Arial" w:eastAsia="Arial" w:hAnsi="Arial"/>
            <w:sz w:val="18"/>
            <w:szCs w:val="18"/>
            <w:u w:val="single" w:color="auto"/>
            <w:color w:val="0000FF"/>
          </w:rPr>
          <w:t>Airlines Group Inc., the lenders from time to time party thereto, Deutsche Bank AG New York Branch, as administrative agent,</w:t>
        </w:r>
      </w:hyperlink>
      <w:r>
        <w:rPr>
          <w:rFonts w:ascii="Arial" w:cs="Arial" w:eastAsia="Arial" w:hAnsi="Arial"/>
          <w:sz w:val="18"/>
          <w:szCs w:val="18"/>
          <w:u w:val="single" w:color="auto"/>
          <w:color w:val="0000FF"/>
        </w:rPr>
        <w:t xml:space="preserve"> </w:t>
      </w:r>
      <w:hyperlink r:id="rId440">
        <w:r>
          <w:rPr>
            <w:rFonts w:ascii="Arial" w:cs="Arial" w:eastAsia="Arial" w:hAnsi="Arial"/>
            <w:sz w:val="18"/>
            <w:szCs w:val="18"/>
            <w:u w:val="single" w:color="auto"/>
            <w:color w:val="0000FF"/>
          </w:rPr>
          <w:t>and certain other parties thereto (incorporated by reference to Exhibit 10.11 to AAG’s Annual Report on Form 10-K for the year</w:t>
        </w:r>
      </w:hyperlink>
      <w:r>
        <w:rPr>
          <w:rFonts w:ascii="Arial" w:cs="Arial" w:eastAsia="Arial" w:hAnsi="Arial"/>
          <w:sz w:val="18"/>
          <w:szCs w:val="18"/>
          <w:u w:val="single" w:color="auto"/>
          <w:color w:val="0000FF"/>
        </w:rPr>
        <w:t xml:space="preserve"> </w:t>
      </w:r>
      <w:hyperlink r:id="rId440">
        <w:r>
          <w:rPr>
            <w:rFonts w:ascii="Arial" w:cs="Arial" w:eastAsia="Arial" w:hAnsi="Arial"/>
            <w:sz w:val="18"/>
            <w:szCs w:val="18"/>
            <w:u w:val="single" w:color="auto"/>
            <w:color w:val="0000FF"/>
          </w:rPr>
          <w:t>ended December 31, 2017 (Commission File No. 1-8400)).</w:t>
        </w:r>
        <w:r>
          <w:rPr>
            <w:rFonts w:ascii="Arial" w:cs="Arial" w:eastAsia="Arial" w:hAnsi="Arial"/>
            <w:sz w:val="18"/>
            <w:szCs w:val="18"/>
            <w:color w:val="000000"/>
          </w:rPr>
          <w:t>*</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10.30     </w:t>
      </w:r>
      <w:hyperlink r:id="rId441">
        <w:r>
          <w:rPr>
            <w:rFonts w:ascii="Arial" w:cs="Arial" w:eastAsia="Arial" w:hAnsi="Arial"/>
            <w:sz w:val="18"/>
            <w:szCs w:val="18"/>
            <w:u w:val="single" w:color="auto"/>
            <w:color w:val="0000FF"/>
          </w:rPr>
          <w:t>Fourth Amendment to Amended and Restated Credit and Guaranty Agreement, dated as of May 15, 2018, amending the</w:t>
        </w:r>
      </w:hyperlink>
      <w:r>
        <w:rPr>
          <w:rFonts w:ascii="Arial" w:cs="Arial" w:eastAsia="Arial" w:hAnsi="Arial"/>
          <w:sz w:val="18"/>
          <w:szCs w:val="18"/>
          <w:color w:val="auto"/>
        </w:rPr>
        <w:t xml:space="preserve"> </w:t>
      </w:r>
      <w:hyperlink r:id="rId441">
        <w:r>
          <w:rPr>
            <w:rFonts w:ascii="Arial" w:cs="Arial" w:eastAsia="Arial" w:hAnsi="Arial"/>
            <w:sz w:val="18"/>
            <w:szCs w:val="18"/>
            <w:u w:val="single" w:color="auto"/>
            <w:color w:val="0000FF"/>
          </w:rPr>
          <w:t>Amended and Restated Credit and Guaranty Agreement, dated as of May 21, 2015, among American Airlines, Inc., American</w:t>
        </w:r>
      </w:hyperlink>
    </w:p>
    <w:p>
      <w:pPr>
        <w:spacing w:after="0" w:line="1" w:lineRule="exact"/>
        <w:rPr>
          <w:sz w:val="20"/>
          <w:szCs w:val="20"/>
          <w:color w:val="auto"/>
        </w:rPr>
      </w:pPr>
    </w:p>
    <w:p>
      <w:pPr>
        <w:jc w:val="both"/>
        <w:ind w:left="920"/>
        <w:spacing w:after="0" w:line="220" w:lineRule="auto"/>
        <w:rPr>
          <w:rFonts w:ascii="Arial" w:cs="Arial" w:eastAsia="Arial" w:hAnsi="Arial"/>
          <w:sz w:val="18"/>
          <w:szCs w:val="18"/>
          <w:u w:val="single" w:color="auto"/>
          <w:color w:val="0000FF"/>
        </w:rPr>
      </w:pPr>
      <w:hyperlink r:id="rId441">
        <w:r>
          <w:rPr>
            <w:rFonts w:ascii="Arial" w:cs="Arial" w:eastAsia="Arial" w:hAnsi="Arial"/>
            <w:sz w:val="18"/>
            <w:szCs w:val="18"/>
            <w:u w:val="single" w:color="auto"/>
            <w:color w:val="0000FF"/>
          </w:rPr>
          <w:t>Airlines Group Inc., the lenders from time to time party thereto, Deutsche Bank AG New York Branch, as administrative agent,</w:t>
        </w:r>
      </w:hyperlink>
      <w:r>
        <w:rPr>
          <w:rFonts w:ascii="Arial" w:cs="Arial" w:eastAsia="Arial" w:hAnsi="Arial"/>
          <w:sz w:val="18"/>
          <w:szCs w:val="18"/>
          <w:u w:val="single" w:color="auto"/>
          <w:color w:val="0000FF"/>
        </w:rPr>
        <w:t xml:space="preserve"> </w:t>
      </w:r>
      <w:hyperlink r:id="rId441">
        <w:r>
          <w:rPr>
            <w:rFonts w:ascii="Arial" w:cs="Arial" w:eastAsia="Arial" w:hAnsi="Arial"/>
            <w:sz w:val="18"/>
            <w:szCs w:val="18"/>
            <w:u w:val="single" w:color="auto"/>
            <w:color w:val="0000FF"/>
          </w:rPr>
          <w:t>and Barclays Bank PLC, as designated replacement term lender (incorporated by reference to Exhibit 10.3 to AAG’s Quarterly</w:t>
        </w:r>
      </w:hyperlink>
      <w:r>
        <w:rPr>
          <w:rFonts w:ascii="Arial" w:cs="Arial" w:eastAsia="Arial" w:hAnsi="Arial"/>
          <w:sz w:val="18"/>
          <w:szCs w:val="18"/>
          <w:u w:val="single" w:color="auto"/>
          <w:color w:val="0000FF"/>
        </w:rPr>
        <w:t xml:space="preserve"> </w:t>
      </w:r>
      <w:hyperlink r:id="rId441">
        <w:r>
          <w:rPr>
            <w:rFonts w:ascii="Arial" w:cs="Arial" w:eastAsia="Arial" w:hAnsi="Arial"/>
            <w:sz w:val="18"/>
            <w:szCs w:val="18"/>
            <w:u w:val="single" w:color="auto"/>
            <w:color w:val="0000FF"/>
          </w:rPr>
          <w:t>Report on Form 10-Q for the quarter ended June 30, 2018 (Commission File No. 1-8400)).</w:t>
        </w:r>
      </w:hyperlink>
    </w:p>
    <w:p>
      <w:pPr>
        <w:spacing w:after="0" w:line="6" w:lineRule="exact"/>
        <w:rPr>
          <w:rFonts w:ascii="Arial" w:cs="Arial" w:eastAsia="Arial" w:hAnsi="Arial"/>
          <w:sz w:val="18"/>
          <w:szCs w:val="18"/>
          <w:u w:val="single" w:color="auto"/>
          <w:color w:val="0000FF"/>
        </w:rPr>
      </w:pPr>
    </w:p>
    <w:p>
      <w:pPr>
        <w:jc w:val="right"/>
        <w:ind w:left="20"/>
        <w:spacing w:after="0" w:line="221" w:lineRule="auto"/>
        <w:rPr>
          <w:sz w:val="20"/>
          <w:szCs w:val="20"/>
          <w:color w:val="auto"/>
        </w:rPr>
      </w:pPr>
      <w:r>
        <w:rPr>
          <w:rFonts w:ascii="Arial" w:cs="Arial" w:eastAsia="Arial" w:hAnsi="Arial"/>
          <w:sz w:val="18"/>
          <w:szCs w:val="18"/>
          <w:color w:val="auto"/>
        </w:rPr>
        <w:t xml:space="preserve">10.31     </w:t>
      </w:r>
      <w:r>
        <w:rPr>
          <w:rFonts w:ascii="Arial" w:cs="Arial" w:eastAsia="Arial" w:hAnsi="Arial"/>
          <w:sz w:val="18"/>
          <w:szCs w:val="18"/>
          <w:u w:val="single" w:color="auto"/>
          <w:color w:val="0000FF"/>
        </w:rPr>
        <w:t>Fifth Amendment to Amended and Restated Credit and Guaranty Agreement, dated as of December 10, 2018, amending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Amended and Restated Credit and Guaranty Agreement, dated as of May 21, 2015, among American Airlines, Inc., American</w:t>
      </w:r>
    </w:p>
    <w:p>
      <w:pPr>
        <w:spacing w:after="0" w:line="1" w:lineRule="exact"/>
        <w:rPr>
          <w:rFonts w:ascii="Arial" w:cs="Arial" w:eastAsia="Arial" w:hAnsi="Arial"/>
          <w:sz w:val="18"/>
          <w:szCs w:val="18"/>
          <w:u w:val="single" w:color="auto"/>
          <w:color w:val="0000FF"/>
        </w:rPr>
      </w:pPr>
    </w:p>
    <w:p>
      <w:pPr>
        <w:jc w:val="both"/>
        <w:ind w:left="920"/>
        <w:spacing w:after="0" w:line="229" w:lineRule="auto"/>
        <w:rPr>
          <w:sz w:val="20"/>
          <w:szCs w:val="20"/>
          <w:color w:val="auto"/>
        </w:rPr>
      </w:pPr>
      <w:r>
        <w:rPr>
          <w:rFonts w:ascii="Arial" w:cs="Arial" w:eastAsia="Arial" w:hAnsi="Arial"/>
          <w:sz w:val="18"/>
          <w:szCs w:val="18"/>
          <w:u w:val="single" w:color="auto"/>
          <w:color w:val="0000FF"/>
        </w:rPr>
        <w:t>Airlines Group Inc., the lenders from time to time party thereto, Deutsche Bank AG New York Branch, as administrative agent, and Barclays Bank PLC, as designated replacement term lender.</w:t>
      </w:r>
      <w:r>
        <w:rPr>
          <w:rFonts w:ascii="Arial" w:cs="Arial" w:eastAsia="Arial" w:hAnsi="Arial"/>
          <w:sz w:val="18"/>
          <w:szCs w:val="18"/>
          <w:color w:val="000000"/>
        </w:rPr>
        <w:t>**</w:t>
      </w:r>
    </w:p>
    <w:p>
      <w:pPr>
        <w:spacing w:after="0" w:line="1" w:lineRule="exact"/>
        <w:rPr>
          <w:rFonts w:ascii="Arial" w:cs="Arial" w:eastAsia="Arial" w:hAnsi="Arial"/>
          <w:sz w:val="18"/>
          <w:szCs w:val="18"/>
          <w:u w:val="single" w:color="auto"/>
          <w:color w:val="0000FF"/>
        </w:rPr>
      </w:pPr>
    </w:p>
    <w:p>
      <w:pPr>
        <w:jc w:val="right"/>
        <w:ind w:left="20"/>
        <w:spacing w:after="0" w:line="216"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10.32     </w:t>
      </w:r>
      <w:hyperlink r:id="rId442">
        <w:r>
          <w:rPr>
            <w:rFonts w:ascii="Arial" w:cs="Arial" w:eastAsia="Arial" w:hAnsi="Arial"/>
            <w:sz w:val="18"/>
            <w:szCs w:val="18"/>
            <w:u w:val="single" w:color="auto"/>
            <w:color w:val="0000FF"/>
          </w:rPr>
          <w:t>Sixth Amendment to Amended and Restated Credit and Guaranty Agreement, dated as of November 8, 2019, amending the</w:t>
        </w:r>
      </w:hyperlink>
      <w:r>
        <w:rPr>
          <w:rFonts w:ascii="Arial" w:cs="Arial" w:eastAsia="Arial" w:hAnsi="Arial"/>
          <w:sz w:val="18"/>
          <w:szCs w:val="18"/>
          <w:color w:val="auto"/>
        </w:rPr>
        <w:t xml:space="preserve"> </w:t>
      </w:r>
      <w:hyperlink r:id="rId442">
        <w:r>
          <w:rPr>
            <w:rFonts w:ascii="Arial" w:cs="Arial" w:eastAsia="Arial" w:hAnsi="Arial"/>
            <w:sz w:val="18"/>
            <w:szCs w:val="18"/>
            <w:u w:val="single" w:color="auto"/>
            <w:color w:val="0000FF"/>
          </w:rPr>
          <w:t>Amended and Restated Credit and Guaranty Agreement, dated as of May 21, 2015, among American Airlines, Inc., American</w:t>
        </w:r>
      </w:hyperlink>
    </w:p>
    <w:p>
      <w:pPr>
        <w:jc w:val="both"/>
        <w:ind w:left="920"/>
        <w:spacing w:after="0" w:line="220" w:lineRule="auto"/>
        <w:rPr>
          <w:rFonts w:ascii="Arial" w:cs="Arial" w:eastAsia="Arial" w:hAnsi="Arial"/>
          <w:sz w:val="18"/>
          <w:szCs w:val="18"/>
          <w:color w:val="0000FF"/>
        </w:rPr>
      </w:pPr>
      <w:hyperlink r:id="rId442">
        <w:r>
          <w:rPr>
            <w:rFonts w:ascii="Arial" w:cs="Arial" w:eastAsia="Arial" w:hAnsi="Arial"/>
            <w:sz w:val="18"/>
            <w:szCs w:val="18"/>
            <w:u w:val="single" w:color="auto"/>
            <w:color w:val="0000FF"/>
          </w:rPr>
          <w:t>Airlines Group Inc., the lenders from time to time party thereto, Deutsche Bank AG New York Branch, as administrative agent,</w:t>
        </w:r>
      </w:hyperlink>
      <w:r>
        <w:rPr>
          <w:rFonts w:ascii="Arial" w:cs="Arial" w:eastAsia="Arial" w:hAnsi="Arial"/>
          <w:sz w:val="18"/>
          <w:szCs w:val="18"/>
          <w:u w:val="single" w:color="auto"/>
          <w:color w:val="0000FF"/>
        </w:rPr>
        <w:t xml:space="preserve"> </w:t>
      </w:r>
      <w:hyperlink r:id="rId442">
        <w:r>
          <w:rPr>
            <w:rFonts w:ascii="Arial" w:cs="Arial" w:eastAsia="Arial" w:hAnsi="Arial"/>
            <w:sz w:val="18"/>
            <w:szCs w:val="18"/>
            <w:u w:val="single" w:color="auto"/>
            <w:color w:val="0000FF"/>
          </w:rPr>
          <w:t>and Barclays Bank PLC, as designated replacement term lender (incorporated by reference to Exhibit 10.17 to AAG’s Annual</w:t>
        </w:r>
      </w:hyperlink>
      <w:r>
        <w:rPr>
          <w:rFonts w:ascii="Arial" w:cs="Arial" w:eastAsia="Arial" w:hAnsi="Arial"/>
          <w:sz w:val="18"/>
          <w:szCs w:val="18"/>
          <w:u w:val="single" w:color="auto"/>
          <w:color w:val="0000FF"/>
        </w:rPr>
        <w:t xml:space="preserve"> </w:t>
      </w:r>
      <w:hyperlink r:id="rId442">
        <w:r>
          <w:rPr>
            <w:rFonts w:ascii="Arial" w:cs="Arial" w:eastAsia="Arial" w:hAnsi="Arial"/>
            <w:sz w:val="18"/>
            <w:szCs w:val="18"/>
            <w:u w:val="single" w:color="auto"/>
            <w:color w:val="0000FF"/>
          </w:rPr>
          <w:t>Report on Form 10-K for the year ended December 31, 2019 (Commission File No. 1-8400)).</w:t>
        </w:r>
        <w:r>
          <w:rPr>
            <w:rFonts w:ascii="Arial" w:cs="Arial" w:eastAsia="Arial" w:hAnsi="Arial"/>
            <w:sz w:val="18"/>
            <w:szCs w:val="18"/>
            <w:color w:val="000000"/>
          </w:rPr>
          <w:t>**</w:t>
        </w:r>
      </w:hyperlink>
    </w:p>
    <w:p>
      <w:pPr>
        <w:spacing w:after="0" w:line="200" w:lineRule="exact"/>
        <w:rPr>
          <w:rFonts w:ascii="Arial" w:cs="Arial" w:eastAsia="Arial" w:hAnsi="Arial"/>
          <w:sz w:val="18"/>
          <w:szCs w:val="18"/>
          <w:u w:val="single" w:color="auto"/>
          <w:color w:val="0000FF"/>
        </w:rPr>
      </w:pPr>
    </w:p>
    <w:p>
      <w:pPr>
        <w:spacing w:after="0" w:line="318"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89"/>
        <w:spacing w:after="0" w:line="21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hyperlink r:id="rId444">
        <w:r>
          <w:rPr>
            <w:rFonts w:ascii="Arial" w:cs="Arial" w:eastAsia="Arial" w:hAnsi="Arial"/>
            <w:sz w:val="18"/>
            <w:szCs w:val="18"/>
            <w:u w:val="single" w:color="auto"/>
            <w:color w:val="0000FF"/>
          </w:rPr>
          <w:t>Credit and Guaranty Agreement, dated as of April 29, 2016, among American Airlines, Inc. as borrower, American Airlines Group</w:t>
        </w:r>
      </w:hyperlink>
      <w:r>
        <w:rPr>
          <w:rFonts w:ascii="Arial" w:cs="Arial" w:eastAsia="Arial" w:hAnsi="Arial"/>
          <w:sz w:val="18"/>
          <w:szCs w:val="18"/>
          <w:u w:val="single" w:color="auto"/>
          <w:color w:val="0000FF"/>
        </w:rPr>
        <w:t xml:space="preserve"> </w:t>
      </w:r>
      <w:hyperlink r:id="rId444">
        <w:r>
          <w:rPr>
            <w:rFonts w:ascii="Arial" w:cs="Arial" w:eastAsia="Arial" w:hAnsi="Arial"/>
            <w:sz w:val="18"/>
            <w:szCs w:val="18"/>
            <w:u w:val="single" w:color="auto"/>
            <w:color w:val="0000FF"/>
          </w:rPr>
          <w:t>Inc., as parent and guarantor, certain other subsidiaries of American Airlines Group Inc., as guarantors, the lenders party thereto,</w:t>
        </w:r>
      </w:hyperlink>
    </w:p>
    <w:p>
      <w:pPr>
        <w:spacing w:after="0" w:line="1" w:lineRule="exact"/>
        <w:rPr>
          <w:sz w:val="20"/>
          <w:szCs w:val="20"/>
          <w:color w:val="auto"/>
        </w:rPr>
      </w:pPr>
    </w:p>
    <w:p>
      <w:pPr>
        <w:ind w:left="920"/>
        <w:spacing w:after="0" w:line="229" w:lineRule="auto"/>
        <w:rPr>
          <w:rFonts w:ascii="Arial" w:cs="Arial" w:eastAsia="Arial" w:hAnsi="Arial"/>
          <w:sz w:val="18"/>
          <w:szCs w:val="18"/>
          <w:u w:val="single" w:color="auto"/>
          <w:color w:val="0000FF"/>
        </w:rPr>
      </w:pPr>
      <w:hyperlink r:id="rId444">
        <w:r>
          <w:rPr>
            <w:rFonts w:ascii="Arial" w:cs="Arial" w:eastAsia="Arial" w:hAnsi="Arial"/>
            <w:sz w:val="18"/>
            <w:szCs w:val="18"/>
            <w:u w:val="single" w:color="auto"/>
            <w:color w:val="0000FF"/>
          </w:rPr>
          <w:t>Barclays Bank PLC, as administrative agent and collateral agent, and certain other parties thereto (incorporated by reference to</w:t>
        </w:r>
      </w:hyperlink>
      <w:r>
        <w:rPr>
          <w:rFonts w:ascii="Arial" w:cs="Arial" w:eastAsia="Arial" w:hAnsi="Arial"/>
          <w:sz w:val="18"/>
          <w:szCs w:val="18"/>
          <w:u w:val="single" w:color="auto"/>
          <w:color w:val="0000FF"/>
        </w:rPr>
        <w:t xml:space="preserve"> </w:t>
      </w:r>
      <w:hyperlink r:id="rId444">
        <w:r>
          <w:rPr>
            <w:rFonts w:ascii="Arial" w:cs="Arial" w:eastAsia="Arial" w:hAnsi="Arial"/>
            <w:sz w:val="18"/>
            <w:szCs w:val="18"/>
            <w:u w:val="single" w:color="auto"/>
            <w:color w:val="0000FF"/>
          </w:rPr>
          <w:t>Exhibit 10.2 to AAG’s Quarterly Report on Form 10-Q filed on July 22, 2016 (Commission File No. 1-8400)).</w:t>
        </w:r>
      </w:hyperlink>
    </w:p>
    <w:p>
      <w:pPr>
        <w:spacing w:after="0" w:line="1"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445">
        <w:r>
          <w:rPr>
            <w:rFonts w:ascii="Arial" w:cs="Arial" w:eastAsia="Arial" w:hAnsi="Arial"/>
            <w:sz w:val="18"/>
            <w:szCs w:val="18"/>
            <w:u w:val="single" w:color="auto"/>
            <w:color w:val="0000FF"/>
          </w:rPr>
          <w:t>First Amendment to Credit and Guaranty Agreement, dated as of October 31, 2016, amending the Credit and Guaranty</w:t>
        </w:r>
      </w:hyperlink>
      <w:r>
        <w:rPr>
          <w:rFonts w:ascii="Arial" w:cs="Arial" w:eastAsia="Arial" w:hAnsi="Arial"/>
          <w:sz w:val="18"/>
          <w:szCs w:val="18"/>
          <w:u w:val="single" w:color="auto"/>
          <w:color w:val="0000FF"/>
        </w:rPr>
        <w:t xml:space="preserve"> </w:t>
      </w:r>
      <w:hyperlink r:id="rId445">
        <w:r>
          <w:rPr>
            <w:rFonts w:ascii="Arial" w:cs="Arial" w:eastAsia="Arial" w:hAnsi="Arial"/>
            <w:sz w:val="18"/>
            <w:szCs w:val="18"/>
            <w:u w:val="single" w:color="auto"/>
            <w:color w:val="0000FF"/>
          </w:rPr>
          <w:t>Agreement, dated as of April 29, 2016, among American Airlines, Inc. as borrower, American Airlines Group Inc., as parent and</w:t>
        </w:r>
      </w:hyperlink>
    </w:p>
    <w:p>
      <w:pPr>
        <w:ind w:left="920"/>
        <w:spacing w:after="0" w:line="229" w:lineRule="auto"/>
        <w:rPr>
          <w:rFonts w:ascii="Arial" w:cs="Arial" w:eastAsia="Arial" w:hAnsi="Arial"/>
          <w:sz w:val="18"/>
          <w:szCs w:val="18"/>
          <w:u w:val="single" w:color="auto"/>
          <w:color w:val="0000FF"/>
        </w:rPr>
      </w:pPr>
      <w:hyperlink r:id="rId445">
        <w:r>
          <w:rPr>
            <w:rFonts w:ascii="Arial" w:cs="Arial" w:eastAsia="Arial" w:hAnsi="Arial"/>
            <w:sz w:val="18"/>
            <w:szCs w:val="18"/>
            <w:u w:val="single" w:color="auto"/>
            <w:color w:val="0000FF"/>
          </w:rPr>
          <w:t>guarantor, the lenders party thereto, Barclays Bank PLC, as administrative agent (incorporated by reference to Exhibit 10.81 to</w:t>
        </w:r>
      </w:hyperlink>
      <w:r>
        <w:rPr>
          <w:rFonts w:ascii="Arial" w:cs="Arial" w:eastAsia="Arial" w:hAnsi="Arial"/>
          <w:sz w:val="18"/>
          <w:szCs w:val="18"/>
          <w:u w:val="single" w:color="auto"/>
          <w:color w:val="0000FF"/>
        </w:rPr>
        <w:t xml:space="preserve"> </w:t>
      </w:r>
      <w:hyperlink r:id="rId445">
        <w:r>
          <w:rPr>
            <w:rFonts w:ascii="Arial" w:cs="Arial" w:eastAsia="Arial" w:hAnsi="Arial"/>
            <w:sz w:val="18"/>
            <w:szCs w:val="18"/>
            <w:u w:val="single" w:color="auto"/>
            <w:color w:val="0000FF"/>
          </w:rPr>
          <w:t>AAG’s Annual Report on Form 10-K for the year ended December 31, 2016 (Commission File No. 1-8400)).</w:t>
        </w:r>
      </w:hyperlink>
    </w:p>
    <w:p>
      <w:pPr>
        <w:spacing w:after="0" w:line="1" w:lineRule="exact"/>
        <w:rPr>
          <w:sz w:val="20"/>
          <w:szCs w:val="20"/>
          <w:color w:val="auto"/>
        </w:rPr>
      </w:pPr>
    </w:p>
    <w:p>
      <w:pPr>
        <w:jc w:val="both"/>
        <w:ind w:left="920" w:hanging="889"/>
        <w:spacing w:after="0" w:line="24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10.35</w:t>
      </w:r>
      <w:r>
        <w:rPr>
          <w:sz w:val="20"/>
          <w:szCs w:val="20"/>
          <w:color w:val="auto"/>
        </w:rPr>
        <w:tab/>
      </w:r>
      <w:hyperlink r:id="rId446">
        <w:r>
          <w:rPr>
            <w:rFonts w:ascii="Arial" w:cs="Arial" w:eastAsia="Arial" w:hAnsi="Arial"/>
            <w:sz w:val="18"/>
            <w:szCs w:val="18"/>
            <w:u w:val="single" w:color="auto"/>
            <w:color w:val="0000FF"/>
          </w:rPr>
          <w:t>Second Amendment to the Credit and Guaranty Agreement, dated as of August 21, 2017, amending the Credit and Guaranty</w:t>
        </w:r>
      </w:hyperlink>
      <w:r>
        <w:rPr>
          <w:rFonts w:ascii="Arial" w:cs="Arial" w:eastAsia="Arial" w:hAnsi="Arial"/>
          <w:sz w:val="18"/>
          <w:szCs w:val="18"/>
          <w:u w:val="single" w:color="auto"/>
          <w:color w:val="0000FF"/>
        </w:rPr>
        <w:t xml:space="preserve"> </w:t>
      </w:r>
      <w:hyperlink r:id="rId446">
        <w:r>
          <w:rPr>
            <w:rFonts w:ascii="Arial" w:cs="Arial" w:eastAsia="Arial" w:hAnsi="Arial"/>
            <w:sz w:val="18"/>
            <w:szCs w:val="18"/>
            <w:u w:val="single" w:color="auto"/>
            <w:color w:val="0000FF"/>
          </w:rPr>
          <w:t>Agreement, dated as of April 29, 2016, among American Airlines, Inc., American Airlines Group Inc., the lenders from time to time</w:t>
        </w:r>
      </w:hyperlink>
      <w:r>
        <w:rPr>
          <w:rFonts w:ascii="Arial" w:cs="Arial" w:eastAsia="Arial" w:hAnsi="Arial"/>
          <w:sz w:val="18"/>
          <w:szCs w:val="18"/>
          <w:u w:val="single" w:color="auto"/>
          <w:color w:val="0000FF"/>
        </w:rPr>
        <w:t xml:space="preserve"> </w:t>
      </w:r>
      <w:hyperlink r:id="rId446">
        <w:r>
          <w:rPr>
            <w:rFonts w:ascii="Arial" w:cs="Arial" w:eastAsia="Arial" w:hAnsi="Arial"/>
            <w:sz w:val="18"/>
            <w:szCs w:val="18"/>
            <w:u w:val="single" w:color="auto"/>
            <w:color w:val="0000FF"/>
          </w:rPr>
          <w:t>party thereto, Barclays Bank PLC, as administrative agent, and certain other parties thereto (incorporated by reference to Exhibit</w:t>
        </w:r>
      </w:hyperlink>
      <w:r>
        <w:rPr>
          <w:rFonts w:ascii="Arial" w:cs="Arial" w:eastAsia="Arial" w:hAnsi="Arial"/>
          <w:sz w:val="18"/>
          <w:szCs w:val="18"/>
          <w:u w:val="single" w:color="auto"/>
          <w:color w:val="0000FF"/>
        </w:rPr>
        <w:t xml:space="preserve"> </w:t>
      </w:r>
      <w:hyperlink r:id="rId446">
        <w:r>
          <w:rPr>
            <w:rFonts w:ascii="Arial" w:cs="Arial" w:eastAsia="Arial" w:hAnsi="Arial"/>
            <w:sz w:val="18"/>
            <w:szCs w:val="18"/>
            <w:u w:val="single" w:color="auto"/>
            <w:color w:val="0000FF"/>
          </w:rPr>
          <w:t>10.15 to AAG’s Annual Report on Form 10-K for the year ended December 31, 2017 (Commission File No. 1-8400)).</w:t>
        </w:r>
        <w:r>
          <w:rPr>
            <w:rFonts w:ascii="Arial" w:cs="Arial" w:eastAsia="Arial" w:hAnsi="Arial"/>
            <w:sz w:val="18"/>
            <w:szCs w:val="18"/>
            <w:color w:val="000000"/>
          </w:rPr>
          <w:t>*</w:t>
        </w:r>
      </w:hyperlink>
    </w:p>
    <w:p>
      <w:pPr>
        <w:spacing w:after="0" w:line="15"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hyperlink r:id="rId447">
        <w:r>
          <w:rPr>
            <w:rFonts w:ascii="Arial" w:cs="Arial" w:eastAsia="Arial" w:hAnsi="Arial"/>
            <w:sz w:val="18"/>
            <w:szCs w:val="18"/>
            <w:u w:val="single" w:color="auto"/>
            <w:color w:val="0000FF"/>
          </w:rPr>
          <w:t>Third Amendment to Credit and Guaranty Agreement, dated as of November 1, 2017, amending the Credit and Guaranty</w:t>
        </w:r>
      </w:hyperlink>
      <w:r>
        <w:rPr>
          <w:rFonts w:ascii="Arial" w:cs="Arial" w:eastAsia="Arial" w:hAnsi="Arial"/>
          <w:sz w:val="18"/>
          <w:szCs w:val="18"/>
          <w:u w:val="single" w:color="auto"/>
          <w:color w:val="0000FF"/>
        </w:rPr>
        <w:t xml:space="preserve"> </w:t>
      </w:r>
      <w:hyperlink r:id="rId447">
        <w:r>
          <w:rPr>
            <w:rFonts w:ascii="Arial" w:cs="Arial" w:eastAsia="Arial" w:hAnsi="Arial"/>
            <w:sz w:val="18"/>
            <w:szCs w:val="18"/>
            <w:u w:val="single" w:color="auto"/>
            <w:color w:val="0000FF"/>
          </w:rPr>
          <w:t>Agreement, dated as of April 29, 2016, among American Airlines, Inc. as borrower, American Airlines Group Inc., as parent and</w:t>
        </w:r>
      </w:hyperlink>
      <w:r>
        <w:rPr>
          <w:rFonts w:ascii="Arial" w:cs="Arial" w:eastAsia="Arial" w:hAnsi="Arial"/>
          <w:sz w:val="18"/>
          <w:szCs w:val="18"/>
          <w:u w:val="single" w:color="auto"/>
          <w:color w:val="0000FF"/>
        </w:rPr>
        <w:t xml:space="preserve"> </w:t>
      </w:r>
      <w:hyperlink r:id="rId447">
        <w:r>
          <w:rPr>
            <w:rFonts w:ascii="Arial" w:cs="Arial" w:eastAsia="Arial" w:hAnsi="Arial"/>
            <w:sz w:val="18"/>
            <w:szCs w:val="18"/>
            <w:u w:val="single" w:color="auto"/>
            <w:color w:val="0000FF"/>
          </w:rPr>
          <w:t>guarantor, the lenders party thereto, Barclays Bank PLC, as administrative agent (incorporated by reference to Exhibit 10.16 to</w:t>
        </w:r>
      </w:hyperlink>
      <w:r>
        <w:rPr>
          <w:rFonts w:ascii="Arial" w:cs="Arial" w:eastAsia="Arial" w:hAnsi="Arial"/>
          <w:sz w:val="18"/>
          <w:szCs w:val="18"/>
          <w:u w:val="single" w:color="auto"/>
          <w:color w:val="0000FF"/>
        </w:rPr>
        <w:t xml:space="preserve"> </w:t>
      </w:r>
      <w:hyperlink r:id="rId447">
        <w:r>
          <w:rPr>
            <w:rFonts w:ascii="Arial" w:cs="Arial" w:eastAsia="Arial" w:hAnsi="Arial"/>
            <w:sz w:val="18"/>
            <w:szCs w:val="18"/>
            <w:u w:val="single" w:color="auto"/>
            <w:color w:val="0000FF"/>
          </w:rPr>
          <w:t>AAG’s Annual Report on Form 10-K for the year ended December 31, 2017 (Commission File No. 1-8400)).</w:t>
        </w:r>
      </w:hyperlink>
    </w:p>
    <w:p>
      <w:pPr>
        <w:spacing w:after="0" w:line="14"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u w:val="single" w:color="auto"/>
          <w:color w:val="0000FF"/>
        </w:rPr>
        <w:t>Fourth Amendment to Credit and Guaranty Agreement, dated as of December 10, 2018, amending the Credit and Guaranty Agreement, dated as of April 29, 2016, among American Airlines, Inc. as borrower, American Airlines Group Inc., as parent and guarantor, the lenders party thereto, Barclays Bank PLC, as administrative agent.</w:t>
      </w:r>
      <w:r>
        <w:rPr>
          <w:rFonts w:ascii="Arial" w:cs="Arial" w:eastAsia="Arial" w:hAnsi="Arial"/>
          <w:sz w:val="18"/>
          <w:szCs w:val="18"/>
          <w:color w:val="000000"/>
        </w:rPr>
        <w:t>**</w:t>
      </w:r>
    </w:p>
    <w:p>
      <w:pPr>
        <w:spacing w:after="0" w:line="9"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10.38</w:t>
      </w:r>
      <w:r>
        <w:rPr>
          <w:sz w:val="20"/>
          <w:szCs w:val="20"/>
          <w:color w:val="auto"/>
        </w:rPr>
        <w:tab/>
      </w:r>
      <w:hyperlink r:id="rId448">
        <w:r>
          <w:rPr>
            <w:rFonts w:ascii="Arial" w:cs="Arial" w:eastAsia="Arial" w:hAnsi="Arial"/>
            <w:sz w:val="18"/>
            <w:szCs w:val="18"/>
            <w:u w:val="single" w:color="auto"/>
            <w:color w:val="0000FF"/>
          </w:rPr>
          <w:t>Fifth Amendment to Credit and Guaranty Agreement, dated as of November 8, 2019, amending the Credit and Guaranty</w:t>
        </w:r>
      </w:hyperlink>
      <w:r>
        <w:rPr>
          <w:rFonts w:ascii="Arial" w:cs="Arial" w:eastAsia="Arial" w:hAnsi="Arial"/>
          <w:sz w:val="18"/>
          <w:szCs w:val="18"/>
          <w:u w:val="single" w:color="auto"/>
          <w:color w:val="0000FF"/>
        </w:rPr>
        <w:t xml:space="preserve"> </w:t>
      </w:r>
      <w:hyperlink r:id="rId448">
        <w:r>
          <w:rPr>
            <w:rFonts w:ascii="Arial" w:cs="Arial" w:eastAsia="Arial" w:hAnsi="Arial"/>
            <w:sz w:val="18"/>
            <w:szCs w:val="18"/>
            <w:u w:val="single" w:color="auto"/>
            <w:color w:val="0000FF"/>
          </w:rPr>
          <w:t>Agreement, dated as of April 29, 2016, among American Airlines, Inc. as borrower, American Airlines Group Inc., as parent and</w:t>
        </w:r>
      </w:hyperlink>
      <w:r>
        <w:rPr>
          <w:rFonts w:ascii="Arial" w:cs="Arial" w:eastAsia="Arial" w:hAnsi="Arial"/>
          <w:sz w:val="18"/>
          <w:szCs w:val="18"/>
          <w:u w:val="single" w:color="auto"/>
          <w:color w:val="0000FF"/>
        </w:rPr>
        <w:t xml:space="preserve"> </w:t>
      </w:r>
      <w:hyperlink r:id="rId448">
        <w:r>
          <w:rPr>
            <w:rFonts w:ascii="Arial" w:cs="Arial" w:eastAsia="Arial" w:hAnsi="Arial"/>
            <w:sz w:val="18"/>
            <w:szCs w:val="18"/>
            <w:u w:val="single" w:color="auto"/>
            <w:color w:val="0000FF"/>
          </w:rPr>
          <w:t>guarantor, the lenders party thereto, Barclays Bank PLC, as administrative agent (incorporated by reference to Exhibit 10.23 to</w:t>
        </w:r>
      </w:hyperlink>
      <w:r>
        <w:rPr>
          <w:rFonts w:ascii="Arial" w:cs="Arial" w:eastAsia="Arial" w:hAnsi="Arial"/>
          <w:sz w:val="18"/>
          <w:szCs w:val="18"/>
          <w:u w:val="single" w:color="auto"/>
          <w:color w:val="0000FF"/>
        </w:rPr>
        <w:t xml:space="preserve"> </w:t>
      </w:r>
      <w:hyperlink r:id="rId448">
        <w:r>
          <w:rPr>
            <w:rFonts w:ascii="Arial" w:cs="Arial" w:eastAsia="Arial" w:hAnsi="Arial"/>
            <w:sz w:val="18"/>
            <w:szCs w:val="18"/>
            <w:u w:val="single" w:color="auto"/>
            <w:color w:val="0000FF"/>
          </w:rPr>
          <w:t>AAG’s Annual Report on Form 10-K for the year ended December 31, 2019 (Commission File No. 1-8400)).</w:t>
        </w:r>
        <w:r>
          <w:rPr>
            <w:rFonts w:ascii="Arial" w:cs="Arial" w:eastAsia="Arial" w:hAnsi="Arial"/>
            <w:sz w:val="18"/>
            <w:szCs w:val="18"/>
            <w:color w:val="0000FF"/>
          </w:rPr>
          <w:t xml:space="preserve"> </w:t>
        </w:r>
        <w:r>
          <w:rPr>
            <w:rFonts w:ascii="Arial" w:cs="Arial" w:eastAsia="Arial" w:hAnsi="Arial"/>
            <w:sz w:val="18"/>
            <w:szCs w:val="18"/>
            <w:color w:val="000000"/>
          </w:rPr>
          <w:t>*</w:t>
        </w:r>
      </w:hyperlink>
    </w:p>
    <w:p>
      <w:pPr>
        <w:spacing w:after="0" w:line="14"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10.39</w:t>
      </w:r>
      <w:r>
        <w:rPr>
          <w:sz w:val="20"/>
          <w:szCs w:val="20"/>
          <w:color w:val="auto"/>
        </w:rPr>
        <w:tab/>
      </w:r>
      <w:hyperlink r:id="rId449">
        <w:r>
          <w:rPr>
            <w:rFonts w:ascii="Arial" w:cs="Arial" w:eastAsia="Arial" w:hAnsi="Arial"/>
            <w:sz w:val="18"/>
            <w:szCs w:val="18"/>
            <w:u w:val="single" w:color="auto"/>
            <w:color w:val="0000FF"/>
          </w:rPr>
          <w:t>Purchase Agreement No. 3219, dated as of October 15, 2008, between American Airlines, Inc. and The Boeing Company</w:t>
        </w:r>
      </w:hyperlink>
      <w:r>
        <w:rPr>
          <w:rFonts w:ascii="Arial" w:cs="Arial" w:eastAsia="Arial" w:hAnsi="Arial"/>
          <w:sz w:val="18"/>
          <w:szCs w:val="18"/>
          <w:u w:val="single" w:color="auto"/>
          <w:color w:val="0000FF"/>
        </w:rPr>
        <w:t xml:space="preserve"> </w:t>
      </w:r>
      <w:hyperlink r:id="rId449">
        <w:r>
          <w:rPr>
            <w:rFonts w:ascii="Arial" w:cs="Arial" w:eastAsia="Arial" w:hAnsi="Arial"/>
            <w:sz w:val="18"/>
            <w:szCs w:val="18"/>
            <w:u w:val="single" w:color="auto"/>
            <w:color w:val="0000FF"/>
          </w:rPr>
          <w:t>(incorporated by reference to Exhibit 10.38 to AAG’s Annual Report on Form 10-K for the year ended December 31, 2021</w:t>
        </w:r>
      </w:hyperlink>
      <w:r>
        <w:rPr>
          <w:rFonts w:ascii="Arial" w:cs="Arial" w:eastAsia="Arial" w:hAnsi="Arial"/>
          <w:sz w:val="18"/>
          <w:szCs w:val="18"/>
          <w:u w:val="single" w:color="auto"/>
          <w:color w:val="0000FF"/>
        </w:rPr>
        <w:t xml:space="preserve"> </w:t>
      </w:r>
      <w:hyperlink r:id="rId449">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10.40</w:t>
      </w:r>
      <w:r>
        <w:rPr>
          <w:sz w:val="20"/>
          <w:szCs w:val="20"/>
          <w:color w:val="auto"/>
        </w:rPr>
        <w:tab/>
      </w:r>
      <w:hyperlink r:id="rId450">
        <w:r>
          <w:rPr>
            <w:rFonts w:ascii="Arial" w:cs="Arial" w:eastAsia="Arial" w:hAnsi="Arial"/>
            <w:sz w:val="18"/>
            <w:szCs w:val="18"/>
            <w:u w:val="single" w:color="auto"/>
            <w:color w:val="0000FF"/>
          </w:rPr>
          <w:t>Supplemental Agreement No. 2, dated as of July 21, 2010, to Purchase Agreement No. 3219 between American Airlines, Inc. and</w:t>
        </w:r>
      </w:hyperlink>
      <w:r>
        <w:rPr>
          <w:rFonts w:ascii="Arial" w:cs="Arial" w:eastAsia="Arial" w:hAnsi="Arial"/>
          <w:sz w:val="18"/>
          <w:szCs w:val="18"/>
          <w:u w:val="single" w:color="auto"/>
          <w:color w:val="0000FF"/>
        </w:rPr>
        <w:t xml:space="preserve"> </w:t>
      </w:r>
      <w:hyperlink r:id="rId450">
        <w:r>
          <w:rPr>
            <w:rFonts w:ascii="Arial" w:cs="Arial" w:eastAsia="Arial" w:hAnsi="Arial"/>
            <w:sz w:val="18"/>
            <w:szCs w:val="18"/>
            <w:u w:val="single" w:color="auto"/>
            <w:color w:val="0000FF"/>
          </w:rPr>
          <w:t>The Boeing Company (incorporated by reference to Exhibit 10.39 to AAG’s Annual Report on Form 10-K for the year ended</w:t>
        </w:r>
      </w:hyperlink>
      <w:r>
        <w:rPr>
          <w:rFonts w:ascii="Arial" w:cs="Arial" w:eastAsia="Arial" w:hAnsi="Arial"/>
          <w:sz w:val="18"/>
          <w:szCs w:val="18"/>
          <w:u w:val="single" w:color="auto"/>
          <w:color w:val="0000FF"/>
        </w:rPr>
        <w:t xml:space="preserve"> </w:t>
      </w:r>
      <w:hyperlink r:id="rId450">
        <w:r>
          <w:rPr>
            <w:rFonts w:ascii="Arial" w:cs="Arial" w:eastAsia="Arial" w:hAnsi="Arial"/>
            <w:sz w:val="18"/>
            <w:szCs w:val="18"/>
            <w:u w:val="single" w:color="auto"/>
            <w:color w:val="0000FF"/>
          </w:rPr>
          <w:t>December 31, 2021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10.41</w:t>
      </w:r>
      <w:r>
        <w:rPr>
          <w:sz w:val="20"/>
          <w:szCs w:val="20"/>
          <w:color w:val="auto"/>
        </w:rPr>
        <w:tab/>
      </w:r>
      <w:hyperlink r:id="rId451">
        <w:r>
          <w:rPr>
            <w:rFonts w:ascii="Arial" w:cs="Arial" w:eastAsia="Arial" w:hAnsi="Arial"/>
            <w:sz w:val="18"/>
            <w:szCs w:val="18"/>
            <w:u w:val="single" w:color="auto"/>
            <w:color w:val="0000FF"/>
          </w:rPr>
          <w:t>Supplemental Agreement No. 3, dated as of February 1, 2013, to Purchase Agreement No. 3219 between American Airlines, Inc.,</w:t>
        </w:r>
      </w:hyperlink>
      <w:r>
        <w:rPr>
          <w:rFonts w:ascii="Arial" w:cs="Arial" w:eastAsia="Arial" w:hAnsi="Arial"/>
          <w:sz w:val="18"/>
          <w:szCs w:val="18"/>
          <w:u w:val="single" w:color="auto"/>
          <w:color w:val="0000FF"/>
        </w:rPr>
        <w:t xml:space="preserve"> </w:t>
      </w:r>
      <w:hyperlink r:id="rId451">
        <w:r>
          <w:rPr>
            <w:rFonts w:ascii="Arial" w:cs="Arial" w:eastAsia="Arial" w:hAnsi="Arial"/>
            <w:sz w:val="18"/>
            <w:szCs w:val="18"/>
            <w:u w:val="single" w:color="auto"/>
            <w:color w:val="0000FF"/>
          </w:rPr>
          <w:t>and The Boeing Company (incorporated by reference to Exhibit 10.40 to AAG’s Annual Report on Form 10-K for the year ended</w:t>
        </w:r>
      </w:hyperlink>
      <w:r>
        <w:rPr>
          <w:rFonts w:ascii="Arial" w:cs="Arial" w:eastAsia="Arial" w:hAnsi="Arial"/>
          <w:sz w:val="18"/>
          <w:szCs w:val="18"/>
          <w:u w:val="single" w:color="auto"/>
          <w:color w:val="0000FF"/>
        </w:rPr>
        <w:t xml:space="preserve"> </w:t>
      </w:r>
      <w:hyperlink r:id="rId451">
        <w:r>
          <w:rPr>
            <w:rFonts w:ascii="Arial" w:cs="Arial" w:eastAsia="Arial" w:hAnsi="Arial"/>
            <w:sz w:val="18"/>
            <w:szCs w:val="18"/>
            <w:u w:val="single" w:color="auto"/>
            <w:color w:val="0000FF"/>
          </w:rPr>
          <w:t>December 31, 2021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10.42</w:t>
      </w:r>
      <w:r>
        <w:rPr>
          <w:sz w:val="20"/>
          <w:szCs w:val="20"/>
          <w:color w:val="auto"/>
        </w:rPr>
        <w:tab/>
      </w:r>
      <w:hyperlink r:id="rId452">
        <w:r>
          <w:rPr>
            <w:rFonts w:ascii="Arial" w:cs="Arial" w:eastAsia="Arial" w:hAnsi="Arial"/>
            <w:sz w:val="18"/>
            <w:szCs w:val="18"/>
            <w:u w:val="single" w:color="auto"/>
            <w:color w:val="0000FF"/>
          </w:rPr>
          <w:t>Supplemental Agreement No. 4, dated as of June 9, 2014, to Purchase Agreement No. 3219 between The Boeing Company and</w:t>
        </w:r>
      </w:hyperlink>
      <w:r>
        <w:rPr>
          <w:rFonts w:ascii="Arial" w:cs="Arial" w:eastAsia="Arial" w:hAnsi="Arial"/>
          <w:sz w:val="18"/>
          <w:szCs w:val="18"/>
          <w:u w:val="single" w:color="auto"/>
          <w:color w:val="0000FF"/>
        </w:rPr>
        <w:t xml:space="preserve"> </w:t>
      </w:r>
      <w:hyperlink r:id="rId452">
        <w:r>
          <w:rPr>
            <w:rFonts w:ascii="Arial" w:cs="Arial" w:eastAsia="Arial" w:hAnsi="Arial"/>
            <w:sz w:val="18"/>
            <w:szCs w:val="18"/>
            <w:u w:val="single" w:color="auto"/>
            <w:color w:val="0000FF"/>
          </w:rPr>
          <w:t>American Airlines, Inc. dated as of October 15, 2008, relating to Boeing Model 787 Aircraft, as amended, restated, amended and</w:t>
        </w:r>
      </w:hyperlink>
      <w:r>
        <w:rPr>
          <w:rFonts w:ascii="Arial" w:cs="Arial" w:eastAsia="Arial" w:hAnsi="Arial"/>
          <w:sz w:val="18"/>
          <w:szCs w:val="18"/>
          <w:u w:val="single" w:color="auto"/>
          <w:color w:val="0000FF"/>
        </w:rPr>
        <w:t xml:space="preserve"> </w:t>
      </w:r>
      <w:hyperlink r:id="rId452">
        <w:r>
          <w:rPr>
            <w:rFonts w:ascii="Arial" w:cs="Arial" w:eastAsia="Arial" w:hAnsi="Arial"/>
            <w:sz w:val="18"/>
            <w:szCs w:val="18"/>
            <w:u w:val="single" w:color="auto"/>
            <w:color w:val="0000FF"/>
          </w:rPr>
          <w:t>restated, supplemented or otherwise modified (incorporated by reference to Exhibit 10.41 to AAG’s Annual Report on Form 10-K</w:t>
        </w:r>
      </w:hyperlink>
      <w:r>
        <w:rPr>
          <w:rFonts w:ascii="Arial" w:cs="Arial" w:eastAsia="Arial" w:hAnsi="Arial"/>
          <w:sz w:val="18"/>
          <w:szCs w:val="18"/>
          <w:u w:val="single" w:color="auto"/>
          <w:color w:val="0000FF"/>
        </w:rPr>
        <w:t xml:space="preserve"> </w:t>
      </w:r>
      <w:hyperlink r:id="rId452">
        <w:r>
          <w:rPr>
            <w:rFonts w:ascii="Arial" w:cs="Arial" w:eastAsia="Arial" w:hAnsi="Arial"/>
            <w:sz w:val="18"/>
            <w:szCs w:val="18"/>
            <w:u w:val="single" w:color="auto"/>
            <w:color w:val="0000FF"/>
          </w:rPr>
          <w:t>for the year ended December 31, 2021 (Commission File No. 1-8400)).</w:t>
        </w:r>
        <w:r>
          <w:rPr>
            <w:rFonts w:ascii="Arial" w:cs="Arial" w:eastAsia="Arial" w:hAnsi="Arial"/>
            <w:sz w:val="18"/>
            <w:szCs w:val="18"/>
            <w:color w:val="000000"/>
          </w:rPr>
          <w:t>**</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10.43</w:t>
      </w:r>
      <w:r>
        <w:rPr>
          <w:sz w:val="20"/>
          <w:szCs w:val="20"/>
          <w:color w:val="auto"/>
        </w:rPr>
        <w:tab/>
      </w:r>
      <w:hyperlink r:id="rId453">
        <w:r>
          <w:rPr>
            <w:rFonts w:ascii="Arial" w:cs="Arial" w:eastAsia="Arial" w:hAnsi="Arial"/>
            <w:sz w:val="18"/>
            <w:szCs w:val="18"/>
            <w:u w:val="single" w:color="auto"/>
            <w:color w:val="0000FF"/>
          </w:rPr>
          <w:t>Supplemental Agreement No. 5, dated as of January 20, 2015, to Purchase Agreement No. 3219 between The Boeing Company</w:t>
        </w:r>
      </w:hyperlink>
      <w:r>
        <w:rPr>
          <w:rFonts w:ascii="Arial" w:cs="Arial" w:eastAsia="Arial" w:hAnsi="Arial"/>
          <w:sz w:val="18"/>
          <w:szCs w:val="18"/>
          <w:u w:val="single" w:color="auto"/>
          <w:color w:val="0000FF"/>
        </w:rPr>
        <w:t xml:space="preserve"> </w:t>
      </w:r>
      <w:hyperlink r:id="rId453">
        <w:r>
          <w:rPr>
            <w:rFonts w:ascii="Arial" w:cs="Arial" w:eastAsia="Arial" w:hAnsi="Arial"/>
            <w:sz w:val="18"/>
            <w:szCs w:val="18"/>
            <w:u w:val="single" w:color="auto"/>
            <w:color w:val="0000FF"/>
          </w:rPr>
          <w:t>and American Airlines, Inc., dated as of October 15, 2008, relating to Boeing Model 787 Aircraft, as amended, restated, amended</w:t>
        </w:r>
      </w:hyperlink>
      <w:r>
        <w:rPr>
          <w:rFonts w:ascii="Arial" w:cs="Arial" w:eastAsia="Arial" w:hAnsi="Arial"/>
          <w:sz w:val="18"/>
          <w:szCs w:val="18"/>
          <w:u w:val="single" w:color="auto"/>
          <w:color w:val="0000FF"/>
        </w:rPr>
        <w:t xml:space="preserve"> </w:t>
      </w:r>
      <w:hyperlink r:id="rId453">
        <w:r>
          <w:rPr>
            <w:rFonts w:ascii="Arial" w:cs="Arial" w:eastAsia="Arial" w:hAnsi="Arial"/>
            <w:sz w:val="18"/>
            <w:szCs w:val="18"/>
            <w:u w:val="single" w:color="auto"/>
            <w:color w:val="0000FF"/>
          </w:rPr>
          <w:t>and restated, supplemented or otherwise modified (incorporated by reference to Exhibit 10.42 to AAG’s Annual Report on Form</w:t>
        </w:r>
      </w:hyperlink>
      <w:r>
        <w:rPr>
          <w:rFonts w:ascii="Arial" w:cs="Arial" w:eastAsia="Arial" w:hAnsi="Arial"/>
          <w:sz w:val="18"/>
          <w:szCs w:val="18"/>
          <w:u w:val="single" w:color="auto"/>
          <w:color w:val="0000FF"/>
        </w:rPr>
        <w:t xml:space="preserve"> </w:t>
      </w:r>
      <w:hyperlink r:id="rId453">
        <w:r>
          <w:rPr>
            <w:rFonts w:ascii="Arial" w:cs="Arial" w:eastAsia="Arial" w:hAnsi="Arial"/>
            <w:sz w:val="18"/>
            <w:szCs w:val="18"/>
            <w:u w:val="single" w:color="auto"/>
            <w:color w:val="0000FF"/>
          </w:rPr>
          <w:t>10-K for the year ended December 31, 2021 (Commission File No. 1-8400)).</w:t>
        </w:r>
        <w:r>
          <w:rPr>
            <w:rFonts w:ascii="Arial" w:cs="Arial" w:eastAsia="Arial" w:hAnsi="Arial"/>
            <w:sz w:val="18"/>
            <w:szCs w:val="18"/>
            <w:color w:val="000000"/>
          </w:rPr>
          <w:t>**</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10.44</w:t>
      </w:r>
      <w:r>
        <w:rPr>
          <w:sz w:val="20"/>
          <w:szCs w:val="20"/>
          <w:color w:val="auto"/>
        </w:rPr>
        <w:tab/>
      </w:r>
      <w:hyperlink r:id="rId454">
        <w:r>
          <w:rPr>
            <w:rFonts w:ascii="Arial" w:cs="Arial" w:eastAsia="Arial" w:hAnsi="Arial"/>
            <w:sz w:val="18"/>
            <w:szCs w:val="18"/>
            <w:u w:val="single" w:color="auto"/>
            <w:color w:val="0000FF"/>
          </w:rPr>
          <w:t>Supplemental Agreement No. 6, dated as of April 21, 2015, to Purchase Agreement No. 3219 between American Airlines, Inc.</w:t>
        </w:r>
      </w:hyperlink>
      <w:r>
        <w:rPr>
          <w:rFonts w:ascii="Arial" w:cs="Arial" w:eastAsia="Arial" w:hAnsi="Arial"/>
          <w:sz w:val="18"/>
          <w:szCs w:val="18"/>
          <w:u w:val="single" w:color="auto"/>
          <w:color w:val="0000FF"/>
        </w:rPr>
        <w:t xml:space="preserve"> </w:t>
      </w:r>
      <w:hyperlink r:id="rId454">
        <w:r>
          <w:rPr>
            <w:rFonts w:ascii="Arial" w:cs="Arial" w:eastAsia="Arial" w:hAnsi="Arial"/>
            <w:sz w:val="18"/>
            <w:szCs w:val="18"/>
            <w:u w:val="single" w:color="auto"/>
            <w:color w:val="0000FF"/>
          </w:rPr>
          <w:t>and The Boeing Company, dated as of October 15, 2008, as amended, restated, amended and restated, supplemented or</w:t>
        </w:r>
      </w:hyperlink>
      <w:r>
        <w:rPr>
          <w:rFonts w:ascii="Arial" w:cs="Arial" w:eastAsia="Arial" w:hAnsi="Arial"/>
          <w:sz w:val="18"/>
          <w:szCs w:val="18"/>
          <w:u w:val="single" w:color="auto"/>
          <w:color w:val="0000FF"/>
        </w:rPr>
        <w:t xml:space="preserve"> </w:t>
      </w:r>
      <w:hyperlink r:id="rId454">
        <w:r>
          <w:rPr>
            <w:rFonts w:ascii="Arial" w:cs="Arial" w:eastAsia="Arial" w:hAnsi="Arial"/>
            <w:sz w:val="18"/>
            <w:szCs w:val="18"/>
            <w:u w:val="single" w:color="auto"/>
            <w:color w:val="0000FF"/>
          </w:rPr>
          <w:t>otherwise modified (incorporated by reference to Exhibit 10.43 to AAG’s Annual Report on Form 10-K for the year ended</w:t>
        </w:r>
      </w:hyperlink>
      <w:r>
        <w:rPr>
          <w:rFonts w:ascii="Arial" w:cs="Arial" w:eastAsia="Arial" w:hAnsi="Arial"/>
          <w:sz w:val="18"/>
          <w:szCs w:val="18"/>
          <w:u w:val="single" w:color="auto"/>
          <w:color w:val="0000FF"/>
        </w:rPr>
        <w:t xml:space="preserve"> </w:t>
      </w:r>
      <w:hyperlink r:id="rId454">
        <w:r>
          <w:rPr>
            <w:rFonts w:ascii="Arial" w:cs="Arial" w:eastAsia="Arial" w:hAnsi="Arial"/>
            <w:sz w:val="18"/>
            <w:szCs w:val="18"/>
            <w:u w:val="single" w:color="auto"/>
            <w:color w:val="0000FF"/>
          </w:rPr>
          <w:t>December 31, 2021 (Commission File No. 1-8400)).</w:t>
        </w:r>
        <w:r>
          <w:rPr>
            <w:rFonts w:ascii="Arial" w:cs="Arial" w:eastAsia="Arial" w:hAnsi="Arial"/>
            <w:sz w:val="18"/>
            <w:szCs w:val="18"/>
            <w:color w:val="000000"/>
          </w:rPr>
          <w:t>**</w:t>
        </w:r>
      </w:hyperlink>
    </w:p>
    <w:p>
      <w:pPr>
        <w:spacing w:after="0" w:line="14"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10.45</w:t>
      </w:r>
      <w:r>
        <w:rPr>
          <w:sz w:val="20"/>
          <w:szCs w:val="20"/>
          <w:color w:val="auto"/>
        </w:rPr>
        <w:tab/>
      </w:r>
      <w:hyperlink r:id="rId455">
        <w:r>
          <w:rPr>
            <w:rFonts w:ascii="Arial" w:cs="Arial" w:eastAsia="Arial" w:hAnsi="Arial"/>
            <w:sz w:val="18"/>
            <w:szCs w:val="18"/>
            <w:u w:val="single" w:color="auto"/>
            <w:color w:val="0000FF"/>
          </w:rPr>
          <w:t>Supplemental Agreement No. 7, dated as of September 12, 2016, to Purchase Agreement No. 3219 dated as of October 15,</w:t>
        </w:r>
      </w:hyperlink>
      <w:r>
        <w:rPr>
          <w:rFonts w:ascii="Arial" w:cs="Arial" w:eastAsia="Arial" w:hAnsi="Arial"/>
          <w:sz w:val="18"/>
          <w:szCs w:val="18"/>
          <w:u w:val="single" w:color="auto"/>
          <w:color w:val="0000FF"/>
        </w:rPr>
        <w:t xml:space="preserve"> </w:t>
      </w:r>
      <w:hyperlink r:id="rId455">
        <w:r>
          <w:rPr>
            <w:rFonts w:ascii="Arial" w:cs="Arial" w:eastAsia="Arial" w:hAnsi="Arial"/>
            <w:sz w:val="18"/>
            <w:szCs w:val="18"/>
            <w:u w:val="single" w:color="auto"/>
            <w:color w:val="0000FF"/>
          </w:rPr>
          <w:t>2008, between American Airlines, Inc. and The Boeing Company (incorporated by reference to Exhibit 10.44 to AAG’s Annual</w:t>
        </w:r>
      </w:hyperlink>
      <w:r>
        <w:rPr>
          <w:rFonts w:ascii="Arial" w:cs="Arial" w:eastAsia="Arial" w:hAnsi="Arial"/>
          <w:sz w:val="18"/>
          <w:szCs w:val="18"/>
          <w:u w:val="single" w:color="auto"/>
          <w:color w:val="0000FF"/>
        </w:rPr>
        <w:t xml:space="preserve"> </w:t>
      </w:r>
      <w:hyperlink r:id="rId455">
        <w:r>
          <w:rPr>
            <w:rFonts w:ascii="Arial" w:cs="Arial" w:eastAsia="Arial" w:hAnsi="Arial"/>
            <w:sz w:val="18"/>
            <w:szCs w:val="18"/>
            <w:u w:val="single" w:color="auto"/>
            <w:color w:val="0000FF"/>
          </w:rPr>
          <w:t>Report on Form 10-K for the year ended December 31, 2021 (Commission File No. 1-8400)).</w:t>
        </w:r>
        <w:r>
          <w:rPr>
            <w:rFonts w:ascii="Arial" w:cs="Arial" w:eastAsia="Arial" w:hAnsi="Arial"/>
            <w:sz w:val="18"/>
            <w:szCs w:val="18"/>
            <w:color w:val="000000"/>
          </w:rPr>
          <w:t>**</w:t>
        </w:r>
      </w:hyperlink>
    </w:p>
    <w:p>
      <w:pPr>
        <w:spacing w:after="0" w:line="200" w:lineRule="exact"/>
        <w:rPr>
          <w:rFonts w:ascii="Arial" w:cs="Arial" w:eastAsia="Arial" w:hAnsi="Arial"/>
          <w:sz w:val="18"/>
          <w:szCs w:val="18"/>
          <w:u w:val="single" w:color="auto"/>
          <w:color w:val="0000FF"/>
        </w:rPr>
      </w:pPr>
    </w:p>
    <w:p>
      <w:pPr>
        <w:spacing w:after="0" w:line="321"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89"/>
        <w:spacing w:after="0" w:line="24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10.46</w:t>
      </w:r>
      <w:r>
        <w:rPr>
          <w:sz w:val="20"/>
          <w:szCs w:val="20"/>
          <w:color w:val="auto"/>
        </w:rPr>
        <w:tab/>
      </w:r>
      <w:hyperlink r:id="rId457">
        <w:r>
          <w:rPr>
            <w:rFonts w:ascii="Arial" w:cs="Arial" w:eastAsia="Arial" w:hAnsi="Arial"/>
            <w:sz w:val="18"/>
            <w:szCs w:val="18"/>
            <w:u w:val="single" w:color="auto"/>
            <w:color w:val="0000FF"/>
          </w:rPr>
          <w:t>Supplemental Agreement No. 8, dated as of January 26, 2017, to Purchase Agreement No. 3219 dated as of October 15, 2008,</w:t>
        </w:r>
      </w:hyperlink>
      <w:r>
        <w:rPr>
          <w:rFonts w:ascii="Arial" w:cs="Arial" w:eastAsia="Arial" w:hAnsi="Arial"/>
          <w:sz w:val="18"/>
          <w:szCs w:val="18"/>
          <w:u w:val="single" w:color="auto"/>
          <w:color w:val="0000FF"/>
        </w:rPr>
        <w:t xml:space="preserve"> </w:t>
      </w:r>
      <w:hyperlink r:id="rId457">
        <w:r>
          <w:rPr>
            <w:rFonts w:ascii="Arial" w:cs="Arial" w:eastAsia="Arial" w:hAnsi="Arial"/>
            <w:sz w:val="18"/>
            <w:szCs w:val="18"/>
            <w:u w:val="single" w:color="auto"/>
            <w:color w:val="0000FF"/>
          </w:rPr>
          <w:t>between American Airlines, Inc. and The Boeing Company (incorporated by reference to Exhibit 10.45 to AAG’s Annual Report on</w:t>
        </w:r>
      </w:hyperlink>
      <w:r>
        <w:rPr>
          <w:rFonts w:ascii="Arial" w:cs="Arial" w:eastAsia="Arial" w:hAnsi="Arial"/>
          <w:sz w:val="18"/>
          <w:szCs w:val="18"/>
          <w:u w:val="single" w:color="auto"/>
          <w:color w:val="0000FF"/>
        </w:rPr>
        <w:t xml:space="preserve"> </w:t>
      </w:r>
      <w:hyperlink r:id="rId457">
        <w:r>
          <w:rPr>
            <w:rFonts w:ascii="Arial" w:cs="Arial" w:eastAsia="Arial" w:hAnsi="Arial"/>
            <w:sz w:val="18"/>
            <w:szCs w:val="18"/>
            <w:u w:val="single" w:color="auto"/>
            <w:color w:val="0000FF"/>
          </w:rPr>
          <w:t>Form 10-K for the year ended December 31, 2021 (Commission File No. 1-8400)).</w:t>
        </w:r>
        <w:r>
          <w:rPr>
            <w:rFonts w:ascii="Arial" w:cs="Arial" w:eastAsia="Arial" w:hAnsi="Arial"/>
            <w:sz w:val="18"/>
            <w:szCs w:val="18"/>
            <w:color w:val="000000"/>
          </w:rPr>
          <w:t>**</w:t>
        </w:r>
      </w:hyperlink>
    </w:p>
    <w:p>
      <w:pPr>
        <w:spacing w:after="0" w:line="15"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10.47</w:t>
      </w:r>
      <w:r>
        <w:rPr>
          <w:sz w:val="20"/>
          <w:szCs w:val="20"/>
          <w:color w:val="auto"/>
        </w:rPr>
        <w:tab/>
      </w:r>
      <w:hyperlink r:id="rId458">
        <w:r>
          <w:rPr>
            <w:rFonts w:ascii="Arial" w:cs="Arial" w:eastAsia="Arial" w:hAnsi="Arial"/>
            <w:sz w:val="18"/>
            <w:szCs w:val="18"/>
            <w:u w:val="single" w:color="auto"/>
            <w:color w:val="0000FF"/>
          </w:rPr>
          <w:t>Supplemental Agreement No. 9, dated as of April 24, 2017, to Purchase Agreement No. 3219 dated as of October 15, 2008, by</w:t>
        </w:r>
      </w:hyperlink>
      <w:r>
        <w:rPr>
          <w:rFonts w:ascii="Arial" w:cs="Arial" w:eastAsia="Arial" w:hAnsi="Arial"/>
          <w:sz w:val="18"/>
          <w:szCs w:val="18"/>
          <w:u w:val="single" w:color="auto"/>
          <w:color w:val="0000FF"/>
        </w:rPr>
        <w:t xml:space="preserve"> </w:t>
      </w:r>
      <w:hyperlink r:id="rId458">
        <w:r>
          <w:rPr>
            <w:rFonts w:ascii="Arial" w:cs="Arial" w:eastAsia="Arial" w:hAnsi="Arial"/>
            <w:sz w:val="18"/>
            <w:szCs w:val="18"/>
            <w:u w:val="single" w:color="auto"/>
            <w:color w:val="0000FF"/>
          </w:rPr>
          <w:t>and between American Airlines, Inc. and The Boeing Company (incorporated by reference to Exhibit 10.46 to AAG’s Annual</w:t>
        </w:r>
      </w:hyperlink>
      <w:r>
        <w:rPr>
          <w:rFonts w:ascii="Arial" w:cs="Arial" w:eastAsia="Arial" w:hAnsi="Arial"/>
          <w:sz w:val="18"/>
          <w:szCs w:val="18"/>
          <w:u w:val="single" w:color="auto"/>
          <w:color w:val="0000FF"/>
        </w:rPr>
        <w:t xml:space="preserve"> </w:t>
      </w:r>
      <w:hyperlink r:id="rId458">
        <w:r>
          <w:rPr>
            <w:rFonts w:ascii="Arial" w:cs="Arial" w:eastAsia="Arial" w:hAnsi="Arial"/>
            <w:sz w:val="18"/>
            <w:szCs w:val="18"/>
            <w:u w:val="single" w:color="auto"/>
            <w:color w:val="0000FF"/>
          </w:rPr>
          <w:t>Report on Form 10-K for the year ended December 31, 2021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10.48</w:t>
      </w:r>
      <w:r>
        <w:rPr>
          <w:sz w:val="20"/>
          <w:szCs w:val="20"/>
          <w:color w:val="auto"/>
        </w:rPr>
        <w:tab/>
      </w:r>
      <w:hyperlink r:id="rId459">
        <w:r>
          <w:rPr>
            <w:rFonts w:ascii="Arial" w:cs="Arial" w:eastAsia="Arial" w:hAnsi="Arial"/>
            <w:sz w:val="18"/>
            <w:szCs w:val="18"/>
            <w:u w:val="single" w:color="auto"/>
            <w:color w:val="0000FF"/>
          </w:rPr>
          <w:t>Supplemental Agreement No. 10, dated as of May 11, 2017, to Purchase Agreement No. 3219 dated as of October 15, 2008, by</w:t>
        </w:r>
      </w:hyperlink>
      <w:r>
        <w:rPr>
          <w:rFonts w:ascii="Arial" w:cs="Arial" w:eastAsia="Arial" w:hAnsi="Arial"/>
          <w:sz w:val="18"/>
          <w:szCs w:val="18"/>
          <w:u w:val="single" w:color="auto"/>
          <w:color w:val="0000FF"/>
        </w:rPr>
        <w:t xml:space="preserve"> </w:t>
      </w:r>
      <w:hyperlink r:id="rId459">
        <w:r>
          <w:rPr>
            <w:rFonts w:ascii="Arial" w:cs="Arial" w:eastAsia="Arial" w:hAnsi="Arial"/>
            <w:sz w:val="18"/>
            <w:szCs w:val="18"/>
            <w:u w:val="single" w:color="auto"/>
            <w:color w:val="0000FF"/>
          </w:rPr>
          <w:t>and between American Airlines, Inc. and The Boeing Company (incorporated by reference to Exhibit 10.47 to AAG’s Annual</w:t>
        </w:r>
      </w:hyperlink>
      <w:r>
        <w:rPr>
          <w:rFonts w:ascii="Arial" w:cs="Arial" w:eastAsia="Arial" w:hAnsi="Arial"/>
          <w:sz w:val="18"/>
          <w:szCs w:val="18"/>
          <w:u w:val="single" w:color="auto"/>
          <w:color w:val="0000FF"/>
        </w:rPr>
        <w:t xml:space="preserve"> </w:t>
      </w:r>
      <w:hyperlink r:id="rId459">
        <w:r>
          <w:rPr>
            <w:rFonts w:ascii="Arial" w:cs="Arial" w:eastAsia="Arial" w:hAnsi="Arial"/>
            <w:sz w:val="18"/>
            <w:szCs w:val="18"/>
            <w:u w:val="single" w:color="auto"/>
            <w:color w:val="0000FF"/>
          </w:rPr>
          <w:t>Report on Form 10-K for the year ended December 31, 2021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10.49</w:t>
      </w:r>
      <w:r>
        <w:rPr>
          <w:sz w:val="20"/>
          <w:szCs w:val="20"/>
          <w:color w:val="auto"/>
        </w:rPr>
        <w:tab/>
      </w:r>
      <w:hyperlink r:id="rId460">
        <w:r>
          <w:rPr>
            <w:rFonts w:ascii="Arial" w:cs="Arial" w:eastAsia="Arial" w:hAnsi="Arial"/>
            <w:sz w:val="18"/>
            <w:szCs w:val="18"/>
            <w:u w:val="single" w:color="auto"/>
            <w:color w:val="0000FF"/>
          </w:rPr>
          <w:t>Supplemental Agreement No. 11, dated as of April 6, 2018, to Purchase Agreement No. 3219 dated as of October 15, 2008, by</w:t>
        </w:r>
      </w:hyperlink>
      <w:r>
        <w:rPr>
          <w:rFonts w:ascii="Arial" w:cs="Arial" w:eastAsia="Arial" w:hAnsi="Arial"/>
          <w:sz w:val="18"/>
          <w:szCs w:val="18"/>
          <w:u w:val="single" w:color="auto"/>
          <w:color w:val="0000FF"/>
        </w:rPr>
        <w:t xml:space="preserve"> </w:t>
      </w:r>
      <w:hyperlink r:id="rId460">
        <w:r>
          <w:rPr>
            <w:rFonts w:ascii="Arial" w:cs="Arial" w:eastAsia="Arial" w:hAnsi="Arial"/>
            <w:sz w:val="18"/>
            <w:szCs w:val="18"/>
            <w:u w:val="single" w:color="auto"/>
            <w:color w:val="0000FF"/>
          </w:rPr>
          <w:t>and between American Airlines, Inc. and The Boeing Company (incorporated by reference to Exhibit 10.1 to AAG’s Quarterly</w:t>
        </w:r>
      </w:hyperlink>
      <w:r>
        <w:rPr>
          <w:rFonts w:ascii="Arial" w:cs="Arial" w:eastAsia="Arial" w:hAnsi="Arial"/>
          <w:sz w:val="18"/>
          <w:szCs w:val="18"/>
          <w:u w:val="single" w:color="auto"/>
          <w:color w:val="0000FF"/>
        </w:rPr>
        <w:t xml:space="preserve"> </w:t>
      </w:r>
      <w:hyperlink r:id="rId460">
        <w:r>
          <w:rPr>
            <w:rFonts w:ascii="Arial" w:cs="Arial" w:eastAsia="Arial" w:hAnsi="Arial"/>
            <w:sz w:val="18"/>
            <w:szCs w:val="18"/>
            <w:u w:val="single" w:color="auto"/>
            <w:color w:val="0000FF"/>
          </w:rPr>
          <w:t>Report on Form 10-Q for the quarter ended June 30, 2018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10.50</w:t>
      </w:r>
      <w:r>
        <w:rPr>
          <w:sz w:val="20"/>
          <w:szCs w:val="20"/>
          <w:color w:val="auto"/>
        </w:rPr>
        <w:tab/>
      </w:r>
      <w:hyperlink r:id="rId461">
        <w:r>
          <w:rPr>
            <w:rFonts w:ascii="Arial" w:cs="Arial" w:eastAsia="Arial" w:hAnsi="Arial"/>
            <w:sz w:val="18"/>
            <w:szCs w:val="18"/>
            <w:u w:val="single" w:color="auto"/>
            <w:color w:val="0000FF"/>
          </w:rPr>
          <w:t>Supplemental Agreement No. 12, dated as of May 29, 2019, to Purchase Agreement No. 3219 dated as of October 15, 2008, by</w:t>
        </w:r>
      </w:hyperlink>
      <w:r>
        <w:rPr>
          <w:rFonts w:ascii="Arial" w:cs="Arial" w:eastAsia="Arial" w:hAnsi="Arial"/>
          <w:sz w:val="18"/>
          <w:szCs w:val="18"/>
          <w:u w:val="single" w:color="auto"/>
          <w:color w:val="0000FF"/>
        </w:rPr>
        <w:t xml:space="preserve"> </w:t>
      </w:r>
      <w:hyperlink r:id="rId461">
        <w:r>
          <w:rPr>
            <w:rFonts w:ascii="Arial" w:cs="Arial" w:eastAsia="Arial" w:hAnsi="Arial"/>
            <w:sz w:val="18"/>
            <w:szCs w:val="18"/>
            <w:u w:val="single" w:color="auto"/>
            <w:color w:val="0000FF"/>
          </w:rPr>
          <w:t>and between American Airlines, Inc. and The Boeing Company (incorporated by reference to Exhibit 10.1 to AAG’s Quarterly</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461">
        <w:r>
          <w:rPr>
            <w:rFonts w:ascii="Arial" w:cs="Arial" w:eastAsia="Arial" w:hAnsi="Arial"/>
            <w:sz w:val="18"/>
            <w:szCs w:val="18"/>
            <w:u w:val="single" w:color="auto"/>
            <w:color w:val="0000FF"/>
          </w:rPr>
          <w:t>Report on Form 10-Q for the quarter ended June 30, 2019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10.51</w:t>
      </w:r>
      <w:r>
        <w:rPr>
          <w:sz w:val="20"/>
          <w:szCs w:val="20"/>
          <w:color w:val="auto"/>
        </w:rPr>
        <w:tab/>
      </w:r>
      <w:hyperlink r:id="rId462">
        <w:r>
          <w:rPr>
            <w:rFonts w:ascii="Arial" w:cs="Arial" w:eastAsia="Arial" w:hAnsi="Arial"/>
            <w:sz w:val="18"/>
            <w:szCs w:val="18"/>
            <w:u w:val="single" w:color="auto"/>
            <w:color w:val="0000FF"/>
          </w:rPr>
          <w:t>Supplemental Agreement No. 13, dated as of August 20, 2019, to Purchase Agreement No. 3219 dated as of October 15, 2008,</w:t>
        </w:r>
      </w:hyperlink>
      <w:r>
        <w:rPr>
          <w:rFonts w:ascii="Arial" w:cs="Arial" w:eastAsia="Arial" w:hAnsi="Arial"/>
          <w:sz w:val="18"/>
          <w:szCs w:val="18"/>
          <w:u w:val="single" w:color="auto"/>
          <w:color w:val="0000FF"/>
        </w:rPr>
        <w:t xml:space="preserve"> </w:t>
      </w:r>
      <w:hyperlink r:id="rId462">
        <w:r>
          <w:rPr>
            <w:rFonts w:ascii="Arial" w:cs="Arial" w:eastAsia="Arial" w:hAnsi="Arial"/>
            <w:sz w:val="18"/>
            <w:szCs w:val="18"/>
            <w:u w:val="single" w:color="auto"/>
            <w:color w:val="0000FF"/>
          </w:rPr>
          <w:t>by and between American Airlines, Inc. and The Boeing Company (incorporated by reference to Exhibit 10.1 to AAG’s Quarterly</w:t>
        </w:r>
      </w:hyperlink>
    </w:p>
    <w:p>
      <w:pPr>
        <w:ind w:left="920"/>
        <w:spacing w:after="0"/>
        <w:rPr>
          <w:rFonts w:ascii="Arial" w:cs="Arial" w:eastAsia="Arial" w:hAnsi="Arial"/>
          <w:sz w:val="18"/>
          <w:szCs w:val="18"/>
          <w:color w:val="0000FF"/>
        </w:rPr>
      </w:pPr>
      <w:hyperlink r:id="rId462">
        <w:r>
          <w:rPr>
            <w:rFonts w:ascii="Arial" w:cs="Arial" w:eastAsia="Arial" w:hAnsi="Arial"/>
            <w:sz w:val="18"/>
            <w:szCs w:val="18"/>
            <w:u w:val="single" w:color="auto"/>
            <w:color w:val="0000FF"/>
          </w:rPr>
          <w:t>Report on Form 10-Q for the quarter ended September 30, 2019 (Commission File No. 1-8400)).</w:t>
        </w:r>
        <w:r>
          <w:rPr>
            <w:rFonts w:ascii="Arial" w:cs="Arial" w:eastAsia="Arial" w:hAnsi="Arial"/>
            <w:sz w:val="18"/>
            <w:szCs w:val="18"/>
            <w:color w:val="000000"/>
          </w:rPr>
          <w:t>**</w:t>
        </w:r>
      </w:hyperlink>
    </w:p>
    <w:p>
      <w:pPr>
        <w:ind w:left="20"/>
        <w:spacing w:after="0" w:line="22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10.52</w:t>
      </w:r>
      <w:r>
        <w:rPr>
          <w:sz w:val="20"/>
          <w:szCs w:val="20"/>
          <w:color w:val="auto"/>
        </w:rPr>
        <w:tab/>
      </w:r>
      <w:hyperlink r:id="rId463">
        <w:r>
          <w:rPr>
            <w:rFonts w:ascii="Arial" w:cs="Arial" w:eastAsia="Arial" w:hAnsi="Arial"/>
            <w:sz w:val="18"/>
            <w:szCs w:val="18"/>
            <w:u w:val="single" w:color="auto"/>
            <w:color w:val="0000FF"/>
          </w:rPr>
          <w:t>Supplemental Agreement No. 14, dated as of February 24, 2020, to Purchase Agreement No. 3219 dated as of October 15,</w:t>
        </w:r>
      </w:hyperlink>
    </w:p>
    <w:p>
      <w:pPr>
        <w:ind w:left="920"/>
        <w:spacing w:after="0" w:line="218" w:lineRule="auto"/>
        <w:rPr>
          <w:rFonts w:ascii="Arial" w:cs="Arial" w:eastAsia="Arial" w:hAnsi="Arial"/>
          <w:sz w:val="18"/>
          <w:szCs w:val="18"/>
          <w:u w:val="single" w:color="auto"/>
          <w:color w:val="0000FF"/>
        </w:rPr>
      </w:pPr>
      <w:hyperlink r:id="rId463">
        <w:r>
          <w:rPr>
            <w:rFonts w:ascii="Arial" w:cs="Arial" w:eastAsia="Arial" w:hAnsi="Arial"/>
            <w:sz w:val="18"/>
            <w:szCs w:val="18"/>
            <w:u w:val="single" w:color="auto"/>
            <w:color w:val="0000FF"/>
          </w:rPr>
          <w:t>2008, by and between American Airlines, Inc. and The Boeing Company (incorporated by reference to Exhibit 10.1 to AAG’s</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463">
        <w:r>
          <w:rPr>
            <w:rFonts w:ascii="Arial" w:cs="Arial" w:eastAsia="Arial" w:hAnsi="Arial"/>
            <w:sz w:val="18"/>
            <w:szCs w:val="18"/>
            <w:u w:val="single" w:color="auto"/>
            <w:color w:val="0000FF"/>
          </w:rPr>
          <w:t>Quarterly Report on Form 10-Q for the quarter ended March 31, 2020 (Commission File No. 1-8400)).</w:t>
        </w:r>
        <w:r>
          <w:rPr>
            <w:rFonts w:ascii="Times New Roman" w:cs="Times New Roman" w:eastAsia="Times New Roman" w:hAnsi="Times New Roman"/>
            <w:sz w:val="18"/>
            <w:szCs w:val="18"/>
            <w:color w:val="000000"/>
          </w:rPr>
          <w:t>**</w:t>
        </w:r>
      </w:hyperlink>
    </w:p>
    <w:p>
      <w:pPr>
        <w:spacing w:after="0" w:line="13"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10.53</w:t>
      </w:r>
      <w:r>
        <w:rPr>
          <w:sz w:val="20"/>
          <w:szCs w:val="20"/>
          <w:color w:val="auto"/>
        </w:rPr>
        <w:tab/>
      </w:r>
      <w:hyperlink r:id="rId464">
        <w:r>
          <w:rPr>
            <w:rFonts w:ascii="Arial" w:cs="Arial" w:eastAsia="Arial" w:hAnsi="Arial"/>
            <w:sz w:val="18"/>
            <w:szCs w:val="18"/>
            <w:u w:val="single" w:color="auto"/>
            <w:color w:val="0000FF"/>
          </w:rPr>
          <w:t>Supplemental Agreement No. 15, dated as of March 16, 2020, to Purchase Agreement No. 3219 dated as of October 15, 2008,</w:t>
        </w:r>
      </w:hyperlink>
      <w:r>
        <w:rPr>
          <w:rFonts w:ascii="Arial" w:cs="Arial" w:eastAsia="Arial" w:hAnsi="Arial"/>
          <w:sz w:val="18"/>
          <w:szCs w:val="18"/>
          <w:u w:val="single" w:color="auto"/>
          <w:color w:val="0000FF"/>
        </w:rPr>
        <w:t xml:space="preserve"> </w:t>
      </w:r>
      <w:hyperlink r:id="rId464">
        <w:r>
          <w:rPr>
            <w:rFonts w:ascii="Arial" w:cs="Arial" w:eastAsia="Arial" w:hAnsi="Arial"/>
            <w:sz w:val="18"/>
            <w:szCs w:val="18"/>
            <w:u w:val="single" w:color="auto"/>
            <w:color w:val="0000FF"/>
          </w:rPr>
          <w:t>by and between American Airlines, Inc. and The Boeing Company (incorporated by reference to Exhibit 10.2 to AAG’s Quarterly</w:t>
        </w:r>
      </w:hyperlink>
    </w:p>
    <w:p>
      <w:pPr>
        <w:ind w:left="920"/>
        <w:spacing w:after="0"/>
        <w:rPr>
          <w:rFonts w:ascii="Arial" w:cs="Arial" w:eastAsia="Arial" w:hAnsi="Arial"/>
          <w:sz w:val="18"/>
          <w:szCs w:val="18"/>
          <w:color w:val="0000FF"/>
        </w:rPr>
      </w:pPr>
      <w:hyperlink r:id="rId464">
        <w:r>
          <w:rPr>
            <w:rFonts w:ascii="Arial" w:cs="Arial" w:eastAsia="Arial" w:hAnsi="Arial"/>
            <w:sz w:val="18"/>
            <w:szCs w:val="18"/>
            <w:u w:val="single" w:color="auto"/>
            <w:color w:val="0000FF"/>
          </w:rPr>
          <w:t>Report on Form 10-Q for the quarter ended March 31, 2020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10.54</w:t>
      </w:r>
      <w:r>
        <w:rPr>
          <w:sz w:val="20"/>
          <w:szCs w:val="20"/>
          <w:color w:val="auto"/>
        </w:rPr>
        <w:tab/>
      </w:r>
      <w:hyperlink r:id="rId465">
        <w:r>
          <w:rPr>
            <w:rFonts w:ascii="Arial" w:cs="Arial" w:eastAsia="Arial" w:hAnsi="Arial"/>
            <w:sz w:val="18"/>
            <w:szCs w:val="18"/>
            <w:u w:val="single" w:color="auto"/>
            <w:color w:val="0000FF"/>
          </w:rPr>
          <w:t>Supplemental Agreement No. 16, dated as of May 21, 2021, to Purchase Agreement No. 3219 dated as of October 15, 2008, by</w:t>
        </w:r>
      </w:hyperlink>
      <w:r>
        <w:rPr>
          <w:rFonts w:ascii="Arial" w:cs="Arial" w:eastAsia="Arial" w:hAnsi="Arial"/>
          <w:sz w:val="18"/>
          <w:szCs w:val="18"/>
          <w:u w:val="single" w:color="auto"/>
          <w:color w:val="0000FF"/>
        </w:rPr>
        <w:t xml:space="preserve"> </w:t>
      </w:r>
      <w:hyperlink r:id="rId465">
        <w:r>
          <w:rPr>
            <w:rFonts w:ascii="Arial" w:cs="Arial" w:eastAsia="Arial" w:hAnsi="Arial"/>
            <w:sz w:val="18"/>
            <w:szCs w:val="18"/>
            <w:u w:val="single" w:color="auto"/>
            <w:color w:val="0000FF"/>
          </w:rPr>
          <w:t>and between American Airlines, Inc. and The Boeing Company (incorporated by reference to Exhibit 10.4 to AAG’s Quarterly</w:t>
        </w:r>
      </w:hyperlink>
    </w:p>
    <w:p>
      <w:pPr>
        <w:ind w:left="920"/>
        <w:spacing w:after="0"/>
        <w:rPr>
          <w:rFonts w:ascii="Arial" w:cs="Arial" w:eastAsia="Arial" w:hAnsi="Arial"/>
          <w:sz w:val="18"/>
          <w:szCs w:val="18"/>
          <w:color w:val="0000FF"/>
        </w:rPr>
      </w:pPr>
      <w:hyperlink r:id="rId465">
        <w:r>
          <w:rPr>
            <w:rFonts w:ascii="Arial" w:cs="Arial" w:eastAsia="Arial" w:hAnsi="Arial"/>
            <w:sz w:val="18"/>
            <w:szCs w:val="18"/>
            <w:u w:val="single" w:color="auto"/>
            <w:color w:val="0000FF"/>
          </w:rPr>
          <w:t>Report on Form 10-Q for the quarter ended June 30, 2021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10.55</w:t>
      </w:r>
      <w:r>
        <w:rPr>
          <w:sz w:val="20"/>
          <w:szCs w:val="20"/>
          <w:color w:val="auto"/>
        </w:rPr>
        <w:tab/>
      </w:r>
      <w:hyperlink r:id="rId466">
        <w:r>
          <w:rPr>
            <w:rFonts w:ascii="Arial" w:cs="Arial" w:eastAsia="Arial" w:hAnsi="Arial"/>
            <w:sz w:val="18"/>
            <w:szCs w:val="18"/>
            <w:u w:val="single" w:color="auto"/>
            <w:color w:val="0000FF"/>
          </w:rPr>
          <w:t>Supplemental Agreement No. 17, dated as of January 31, 2022, to Purchase Agreement No. 3219 dated as of October 15, 2008,</w:t>
        </w:r>
      </w:hyperlink>
      <w:r>
        <w:rPr>
          <w:rFonts w:ascii="Arial" w:cs="Arial" w:eastAsia="Arial" w:hAnsi="Arial"/>
          <w:sz w:val="18"/>
          <w:szCs w:val="18"/>
          <w:u w:val="single" w:color="auto"/>
          <w:color w:val="0000FF"/>
        </w:rPr>
        <w:t xml:space="preserve"> </w:t>
      </w:r>
      <w:hyperlink r:id="rId466">
        <w:r>
          <w:rPr>
            <w:rFonts w:ascii="Arial" w:cs="Arial" w:eastAsia="Arial" w:hAnsi="Arial"/>
            <w:sz w:val="18"/>
            <w:szCs w:val="18"/>
            <w:u w:val="single" w:color="auto"/>
            <w:color w:val="0000FF"/>
          </w:rPr>
          <w:t>by and between American Airlines, Inc. and The Boeing Company (incorporated by reference to Exhibit 10.1 to AAG’s Quarterly</w:t>
        </w:r>
      </w:hyperlink>
    </w:p>
    <w:p>
      <w:pPr>
        <w:ind w:left="920"/>
        <w:spacing w:after="0"/>
        <w:rPr>
          <w:rFonts w:ascii="Arial" w:cs="Arial" w:eastAsia="Arial" w:hAnsi="Arial"/>
          <w:sz w:val="18"/>
          <w:szCs w:val="18"/>
          <w:u w:val="single" w:color="auto"/>
          <w:color w:val="0000FF"/>
        </w:rPr>
      </w:pPr>
      <w:hyperlink r:id="rId466">
        <w:r>
          <w:rPr>
            <w:rFonts w:ascii="Arial" w:cs="Arial" w:eastAsia="Arial" w:hAnsi="Arial"/>
            <w:sz w:val="18"/>
            <w:szCs w:val="18"/>
            <w:u w:val="single" w:color="auto"/>
            <w:color w:val="0000FF"/>
          </w:rPr>
          <w:t>Report on Form 10-Q for the quarter ended March 31, 2022 (Commission File No. 1-8400)).**</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10.56</w:t>
      </w:r>
      <w:r>
        <w:rPr>
          <w:sz w:val="20"/>
          <w:szCs w:val="20"/>
          <w:color w:val="auto"/>
        </w:rPr>
        <w:tab/>
      </w:r>
      <w:hyperlink r:id="rId467">
        <w:r>
          <w:rPr>
            <w:rFonts w:ascii="Arial" w:cs="Arial" w:eastAsia="Arial" w:hAnsi="Arial"/>
            <w:sz w:val="18"/>
            <w:szCs w:val="18"/>
            <w:u w:val="single" w:color="auto"/>
            <w:color w:val="0000FF"/>
          </w:rPr>
          <w:t>Supplemental Agreement No. 18, dated as of February 9, 2023, to Purchase Agreement No. 3219 dated as of October 15, 2008,</w:t>
        </w:r>
      </w:hyperlink>
      <w:r>
        <w:rPr>
          <w:rFonts w:ascii="Arial" w:cs="Arial" w:eastAsia="Arial" w:hAnsi="Arial"/>
          <w:sz w:val="18"/>
          <w:szCs w:val="18"/>
          <w:u w:val="single" w:color="auto"/>
          <w:color w:val="0000FF"/>
        </w:rPr>
        <w:t xml:space="preserve"> </w:t>
      </w:r>
      <w:hyperlink r:id="rId467">
        <w:r>
          <w:rPr>
            <w:rFonts w:ascii="Arial" w:cs="Arial" w:eastAsia="Arial" w:hAnsi="Arial"/>
            <w:sz w:val="18"/>
            <w:szCs w:val="18"/>
            <w:u w:val="single" w:color="auto"/>
            <w:color w:val="0000FF"/>
          </w:rPr>
          <w:t>by and between American Airlines, Inc. and The Boeing Company (incorporated by reference to Exhibit 10.2 to AAG’s Quarterly</w:t>
        </w:r>
      </w:hyperlink>
    </w:p>
    <w:p>
      <w:pPr>
        <w:ind w:left="920"/>
        <w:spacing w:after="0"/>
        <w:rPr>
          <w:rFonts w:ascii="Arial" w:cs="Arial" w:eastAsia="Arial" w:hAnsi="Arial"/>
          <w:sz w:val="18"/>
          <w:szCs w:val="18"/>
          <w:u w:val="single" w:color="auto"/>
          <w:color w:val="0000FF"/>
        </w:rPr>
      </w:pPr>
      <w:hyperlink r:id="rId467">
        <w:r>
          <w:rPr>
            <w:rFonts w:ascii="Arial" w:cs="Arial" w:eastAsia="Arial" w:hAnsi="Arial"/>
            <w:sz w:val="18"/>
            <w:szCs w:val="18"/>
            <w:u w:val="single" w:color="auto"/>
            <w:color w:val="0000FF"/>
          </w:rPr>
          <w:t>Report on Form 10-Q for the quarter ended March 31, 2023 (Commission File No. 1-8400)).**</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10.57</w:t>
      </w:r>
      <w:r>
        <w:rPr>
          <w:sz w:val="20"/>
          <w:szCs w:val="20"/>
          <w:color w:val="auto"/>
        </w:rPr>
        <w:tab/>
      </w:r>
      <w:hyperlink r:id="rId468">
        <w:r>
          <w:rPr>
            <w:rFonts w:ascii="Arial" w:cs="Arial" w:eastAsia="Arial" w:hAnsi="Arial"/>
            <w:sz w:val="18"/>
            <w:szCs w:val="18"/>
            <w:u w:val="single" w:color="auto"/>
            <w:color w:val="0000FF"/>
          </w:rPr>
          <w:t>Supplemental Agreement No. 19, dated as of April 23, 2023, to Purchase Agreement No. 3219 dated as of October 15, 2008, by</w:t>
        </w:r>
      </w:hyperlink>
      <w:r>
        <w:rPr>
          <w:rFonts w:ascii="Arial" w:cs="Arial" w:eastAsia="Arial" w:hAnsi="Arial"/>
          <w:sz w:val="18"/>
          <w:szCs w:val="18"/>
          <w:u w:val="single" w:color="auto"/>
          <w:color w:val="0000FF"/>
        </w:rPr>
        <w:t xml:space="preserve"> </w:t>
      </w:r>
      <w:hyperlink r:id="rId468">
        <w:r>
          <w:rPr>
            <w:rFonts w:ascii="Arial" w:cs="Arial" w:eastAsia="Arial" w:hAnsi="Arial"/>
            <w:sz w:val="18"/>
            <w:szCs w:val="18"/>
            <w:u w:val="single" w:color="auto"/>
            <w:color w:val="0000FF"/>
          </w:rPr>
          <w:t>and between American Airlines, Inc. and The Boeing Company (incorporated by reference to Exhibit 10.1 to AAG’s Quarterly</w:t>
        </w:r>
      </w:hyperlink>
    </w:p>
    <w:p>
      <w:pPr>
        <w:ind w:left="920"/>
        <w:spacing w:after="0"/>
        <w:rPr>
          <w:rFonts w:ascii="Arial" w:cs="Arial" w:eastAsia="Arial" w:hAnsi="Arial"/>
          <w:sz w:val="18"/>
          <w:szCs w:val="18"/>
          <w:u w:val="single" w:color="auto"/>
          <w:color w:val="0000FF"/>
        </w:rPr>
      </w:pPr>
      <w:hyperlink r:id="rId468">
        <w:r>
          <w:rPr>
            <w:rFonts w:ascii="Arial" w:cs="Arial" w:eastAsia="Arial" w:hAnsi="Arial"/>
            <w:sz w:val="18"/>
            <w:szCs w:val="18"/>
            <w:u w:val="single" w:color="auto"/>
            <w:color w:val="0000FF"/>
          </w:rPr>
          <w:t>Report on Form 10-Q for the quarter ended June 30, 2023 (Commission File No. 1-8400)).**</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10.58</w:t>
      </w:r>
      <w:r>
        <w:rPr>
          <w:sz w:val="20"/>
          <w:szCs w:val="20"/>
          <w:color w:val="auto"/>
        </w:rPr>
        <w:tab/>
      </w:r>
      <w:hyperlink r:id="rId469">
        <w:r>
          <w:rPr>
            <w:rFonts w:ascii="Arial" w:cs="Arial" w:eastAsia="Arial" w:hAnsi="Arial"/>
            <w:sz w:val="18"/>
            <w:szCs w:val="18"/>
            <w:u w:val="single" w:color="auto"/>
            <w:color w:val="0000FF"/>
          </w:rPr>
          <w:t>Supplemental Agreement No. 20, dated as of August 31, 2023, to Purchase Agreement No. 3219 dated as of October 15, 2008,</w:t>
        </w:r>
      </w:hyperlink>
      <w:r>
        <w:rPr>
          <w:rFonts w:ascii="Arial" w:cs="Arial" w:eastAsia="Arial" w:hAnsi="Arial"/>
          <w:sz w:val="18"/>
          <w:szCs w:val="18"/>
          <w:u w:val="single" w:color="auto"/>
          <w:color w:val="0000FF"/>
        </w:rPr>
        <w:t xml:space="preserve"> </w:t>
      </w:r>
      <w:hyperlink r:id="rId469">
        <w:r>
          <w:rPr>
            <w:rFonts w:ascii="Arial" w:cs="Arial" w:eastAsia="Arial" w:hAnsi="Arial"/>
            <w:sz w:val="18"/>
            <w:szCs w:val="18"/>
            <w:u w:val="single" w:color="auto"/>
            <w:color w:val="0000FF"/>
          </w:rPr>
          <w:t>by and between American Airlines, Inc. and The Boeing Company (incorporated by reference to Exhibit 10.2 to AAG’s Quarterly</w:t>
        </w:r>
      </w:hyperlink>
    </w:p>
    <w:p>
      <w:pPr>
        <w:ind w:left="920"/>
        <w:spacing w:after="0"/>
        <w:rPr>
          <w:rFonts w:ascii="Arial" w:cs="Arial" w:eastAsia="Arial" w:hAnsi="Arial"/>
          <w:sz w:val="18"/>
          <w:szCs w:val="18"/>
          <w:u w:val="single" w:color="auto"/>
          <w:color w:val="0000FF"/>
        </w:rPr>
      </w:pPr>
      <w:hyperlink r:id="rId469">
        <w:r>
          <w:rPr>
            <w:rFonts w:ascii="Arial" w:cs="Arial" w:eastAsia="Arial" w:hAnsi="Arial"/>
            <w:sz w:val="18"/>
            <w:szCs w:val="18"/>
            <w:u w:val="single" w:color="auto"/>
            <w:color w:val="0000FF"/>
          </w:rPr>
          <w:t>Report on Form 10-Q for the quarter ended September 30, 2023 (Commission File No. 1-8400)).**</w:t>
        </w:r>
      </w:hyperlink>
    </w:p>
    <w:p>
      <w:pPr>
        <w:spacing w:after="0" w:line="14" w:lineRule="exact"/>
        <w:rPr>
          <w:sz w:val="20"/>
          <w:szCs w:val="20"/>
          <w:color w:val="auto"/>
        </w:rPr>
      </w:pPr>
    </w:p>
    <w:p>
      <w:pPr>
        <w:jc w:val="both"/>
        <w:ind w:left="920" w:hanging="889"/>
        <w:spacing w:after="0" w:line="24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10.59</w:t>
      </w:r>
      <w:r>
        <w:rPr>
          <w:sz w:val="20"/>
          <w:szCs w:val="20"/>
          <w:color w:val="auto"/>
        </w:rPr>
        <w:tab/>
      </w:r>
      <w:hyperlink r:id="rId470">
        <w:r>
          <w:rPr>
            <w:rFonts w:ascii="Arial" w:cs="Arial" w:eastAsia="Arial" w:hAnsi="Arial"/>
            <w:sz w:val="18"/>
            <w:szCs w:val="18"/>
            <w:u w:val="single" w:color="auto"/>
            <w:color w:val="0000FF"/>
          </w:rPr>
          <w:t>A320 Family Aircraft Purchase Agreement, dated as of July 20, 2011, between American Airlines, Inc. and Airbus S.A.S</w:t>
        </w:r>
      </w:hyperlink>
      <w:r>
        <w:rPr>
          <w:rFonts w:ascii="Arial" w:cs="Arial" w:eastAsia="Arial" w:hAnsi="Arial"/>
          <w:sz w:val="18"/>
          <w:szCs w:val="18"/>
          <w:u w:val="single" w:color="auto"/>
          <w:color w:val="0000FF"/>
        </w:rPr>
        <w:t xml:space="preserve"> </w:t>
      </w:r>
      <w:hyperlink r:id="rId470">
        <w:r>
          <w:rPr>
            <w:rFonts w:ascii="Arial" w:cs="Arial" w:eastAsia="Arial" w:hAnsi="Arial"/>
            <w:sz w:val="18"/>
            <w:szCs w:val="18"/>
            <w:u w:val="single" w:color="auto"/>
            <w:color w:val="0000FF"/>
          </w:rPr>
          <w:t>(incorporated by reference to Exhibit 10.46 to AAG’s Annual Report on Form 10-K for the year ended December 31, 2020</w:t>
        </w:r>
      </w:hyperlink>
      <w:r>
        <w:rPr>
          <w:rFonts w:ascii="Arial" w:cs="Arial" w:eastAsia="Arial" w:hAnsi="Arial"/>
          <w:sz w:val="18"/>
          <w:szCs w:val="18"/>
          <w:u w:val="single" w:color="auto"/>
          <w:color w:val="0000FF"/>
        </w:rPr>
        <w:t xml:space="preserve"> </w:t>
      </w:r>
      <w:hyperlink r:id="rId470">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12"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10.60</w:t>
      </w:r>
      <w:r>
        <w:rPr>
          <w:sz w:val="20"/>
          <w:szCs w:val="20"/>
          <w:color w:val="auto"/>
        </w:rPr>
        <w:tab/>
      </w:r>
      <w:hyperlink r:id="rId471">
        <w:r>
          <w:rPr>
            <w:rFonts w:ascii="Arial" w:cs="Arial" w:eastAsia="Arial" w:hAnsi="Arial"/>
            <w:sz w:val="18"/>
            <w:szCs w:val="18"/>
            <w:u w:val="single" w:color="auto"/>
            <w:color w:val="0000FF"/>
          </w:rPr>
          <w:t>Amendment No. 1, dated as of January 11, 2013, to A320 Family Aircraft Purchase Agreement between American Airlines, Inc.</w:t>
        </w:r>
      </w:hyperlink>
      <w:r>
        <w:rPr>
          <w:rFonts w:ascii="Arial" w:cs="Arial" w:eastAsia="Arial" w:hAnsi="Arial"/>
          <w:sz w:val="18"/>
          <w:szCs w:val="18"/>
          <w:u w:val="single" w:color="auto"/>
          <w:color w:val="0000FF"/>
        </w:rPr>
        <w:t xml:space="preserve"> </w:t>
      </w:r>
      <w:hyperlink r:id="rId471">
        <w:r>
          <w:rPr>
            <w:rFonts w:ascii="Arial" w:cs="Arial" w:eastAsia="Arial" w:hAnsi="Arial"/>
            <w:sz w:val="18"/>
            <w:szCs w:val="18"/>
            <w:u w:val="single" w:color="auto"/>
            <w:color w:val="0000FF"/>
          </w:rPr>
          <w:t>and Airbus S.A.S., dated as of July 20, 2011 (incorporated by reference to Exhibit 10.47 to AAG’s Annual Report on Form 10-K</w:t>
        </w:r>
      </w:hyperlink>
      <w:r>
        <w:rPr>
          <w:rFonts w:ascii="Arial" w:cs="Arial" w:eastAsia="Arial" w:hAnsi="Arial"/>
          <w:sz w:val="18"/>
          <w:szCs w:val="18"/>
          <w:u w:val="single" w:color="auto"/>
          <w:color w:val="0000FF"/>
        </w:rPr>
        <w:t xml:space="preserve"> </w:t>
      </w:r>
      <w:hyperlink r:id="rId471">
        <w:r>
          <w:rPr>
            <w:rFonts w:ascii="Arial" w:cs="Arial" w:eastAsia="Arial" w:hAnsi="Arial"/>
            <w:sz w:val="18"/>
            <w:szCs w:val="18"/>
            <w:u w:val="single" w:color="auto"/>
            <w:color w:val="0000FF"/>
          </w:rPr>
          <w:t>for the year ended December 31, 2020 (Commission File No. 1-8400)).</w:t>
        </w:r>
        <w:r>
          <w:rPr>
            <w:rFonts w:ascii="Arial" w:cs="Arial" w:eastAsia="Arial" w:hAnsi="Arial"/>
            <w:sz w:val="18"/>
            <w:szCs w:val="18"/>
            <w:color w:val="000000"/>
          </w:rPr>
          <w:t>**</w:t>
        </w:r>
      </w:hyperlink>
    </w:p>
    <w:p>
      <w:pPr>
        <w:spacing w:after="0" w:line="200" w:lineRule="exact"/>
        <w:rPr>
          <w:rFonts w:ascii="Arial" w:cs="Arial" w:eastAsia="Arial" w:hAnsi="Arial"/>
          <w:sz w:val="18"/>
          <w:szCs w:val="18"/>
          <w:u w:val="single" w:color="auto"/>
          <w:color w:val="0000FF"/>
        </w:rPr>
      </w:pPr>
    </w:p>
    <w:p>
      <w:pPr>
        <w:spacing w:after="0" w:line="321"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89"/>
        <w:spacing w:after="0" w:line="24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10.61</w:t>
      </w:r>
      <w:r>
        <w:rPr>
          <w:sz w:val="20"/>
          <w:szCs w:val="20"/>
          <w:color w:val="auto"/>
        </w:rPr>
        <w:tab/>
      </w:r>
      <w:hyperlink r:id="rId473">
        <w:r>
          <w:rPr>
            <w:rFonts w:ascii="Arial" w:cs="Arial" w:eastAsia="Arial" w:hAnsi="Arial"/>
            <w:sz w:val="18"/>
            <w:szCs w:val="18"/>
            <w:u w:val="single" w:color="auto"/>
            <w:color w:val="0000FF"/>
          </w:rPr>
          <w:t>Amendment No. 2, dated as of May 30, 2013, to A320 Family Aircraft Purchase Agreement between American Airlines, Inc. and</w:t>
        </w:r>
      </w:hyperlink>
      <w:r>
        <w:rPr>
          <w:rFonts w:ascii="Arial" w:cs="Arial" w:eastAsia="Arial" w:hAnsi="Arial"/>
          <w:sz w:val="18"/>
          <w:szCs w:val="18"/>
          <w:u w:val="single" w:color="auto"/>
          <w:color w:val="0000FF"/>
        </w:rPr>
        <w:t xml:space="preserve"> </w:t>
      </w:r>
      <w:hyperlink r:id="rId473">
        <w:r>
          <w:rPr>
            <w:rFonts w:ascii="Arial" w:cs="Arial" w:eastAsia="Arial" w:hAnsi="Arial"/>
            <w:sz w:val="18"/>
            <w:szCs w:val="18"/>
            <w:u w:val="single" w:color="auto"/>
            <w:color w:val="0000FF"/>
          </w:rPr>
          <w:t>Airbus S.A.S, dated as of July 20, 2011 (incorporated by reference to Exhibit 10.48 to AAG’s Annual Report on Form 10-K for the</w:t>
        </w:r>
      </w:hyperlink>
      <w:r>
        <w:rPr>
          <w:rFonts w:ascii="Arial" w:cs="Arial" w:eastAsia="Arial" w:hAnsi="Arial"/>
          <w:sz w:val="18"/>
          <w:szCs w:val="18"/>
          <w:u w:val="single" w:color="auto"/>
          <w:color w:val="0000FF"/>
        </w:rPr>
        <w:t xml:space="preserve"> </w:t>
      </w:r>
      <w:hyperlink r:id="rId473">
        <w:r>
          <w:rPr>
            <w:rFonts w:ascii="Arial" w:cs="Arial" w:eastAsia="Arial" w:hAnsi="Arial"/>
            <w:sz w:val="18"/>
            <w:szCs w:val="18"/>
            <w:u w:val="single" w:color="auto"/>
            <w:color w:val="0000FF"/>
          </w:rPr>
          <w:t>year ended December 31, 2020 (Commission File No. 1-8400)).</w:t>
        </w:r>
        <w:r>
          <w:rPr>
            <w:rFonts w:ascii="Arial" w:cs="Arial" w:eastAsia="Arial" w:hAnsi="Arial"/>
            <w:sz w:val="18"/>
            <w:szCs w:val="18"/>
            <w:color w:val="000000"/>
          </w:rPr>
          <w:t>**</w:t>
        </w:r>
      </w:hyperlink>
    </w:p>
    <w:p>
      <w:pPr>
        <w:spacing w:after="0" w:line="15"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10.62</w:t>
      </w:r>
      <w:r>
        <w:rPr>
          <w:sz w:val="20"/>
          <w:szCs w:val="20"/>
          <w:color w:val="auto"/>
        </w:rPr>
        <w:tab/>
      </w:r>
      <w:hyperlink r:id="rId474">
        <w:r>
          <w:rPr>
            <w:rFonts w:ascii="Arial" w:cs="Arial" w:eastAsia="Arial" w:hAnsi="Arial"/>
            <w:sz w:val="18"/>
            <w:szCs w:val="18"/>
            <w:u w:val="single" w:color="auto"/>
            <w:color w:val="0000FF"/>
          </w:rPr>
          <w:t>Amendment No. 3, dated as of November 20, 2013, to A320 Family Aircraft Purchase Agreement between American Airlines, Inc.</w:t>
        </w:r>
      </w:hyperlink>
      <w:r>
        <w:rPr>
          <w:rFonts w:ascii="Arial" w:cs="Arial" w:eastAsia="Arial" w:hAnsi="Arial"/>
          <w:sz w:val="18"/>
          <w:szCs w:val="18"/>
          <w:u w:val="single" w:color="auto"/>
          <w:color w:val="0000FF"/>
        </w:rPr>
        <w:t xml:space="preserve"> </w:t>
      </w:r>
      <w:hyperlink r:id="rId474">
        <w:r>
          <w:rPr>
            <w:rFonts w:ascii="Arial" w:cs="Arial" w:eastAsia="Arial" w:hAnsi="Arial"/>
            <w:sz w:val="18"/>
            <w:szCs w:val="18"/>
            <w:u w:val="single" w:color="auto"/>
            <w:color w:val="0000FF"/>
          </w:rPr>
          <w:t>and Airbus S.A.S., dated as of July 20, 2011 (incorporated by reference to Exhibit 10.49 to AAG’s Annual Report on Form 10-K</w:t>
        </w:r>
      </w:hyperlink>
      <w:r>
        <w:rPr>
          <w:rFonts w:ascii="Arial" w:cs="Arial" w:eastAsia="Arial" w:hAnsi="Arial"/>
          <w:sz w:val="18"/>
          <w:szCs w:val="18"/>
          <w:u w:val="single" w:color="auto"/>
          <w:color w:val="0000FF"/>
        </w:rPr>
        <w:t xml:space="preserve"> </w:t>
      </w:r>
      <w:hyperlink r:id="rId474">
        <w:r>
          <w:rPr>
            <w:rFonts w:ascii="Arial" w:cs="Arial" w:eastAsia="Arial" w:hAnsi="Arial"/>
            <w:sz w:val="18"/>
            <w:szCs w:val="18"/>
            <w:u w:val="single" w:color="auto"/>
            <w:color w:val="0000FF"/>
          </w:rPr>
          <w:t>for the year ended December 31, 2020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10.63</w:t>
      </w:r>
      <w:r>
        <w:rPr>
          <w:sz w:val="20"/>
          <w:szCs w:val="20"/>
          <w:color w:val="auto"/>
        </w:rPr>
        <w:tab/>
      </w:r>
      <w:hyperlink r:id="rId475">
        <w:r>
          <w:rPr>
            <w:rFonts w:ascii="Arial" w:cs="Arial" w:eastAsia="Arial" w:hAnsi="Arial"/>
            <w:sz w:val="18"/>
            <w:szCs w:val="18"/>
            <w:u w:val="single" w:color="auto"/>
            <w:color w:val="0000FF"/>
          </w:rPr>
          <w:t>Amendment No. 4, dated as of June 18, 2014, to the A320 Family Aircraft Purchase Agreement between Airbus S.A.S., as seller,</w:t>
        </w:r>
      </w:hyperlink>
      <w:r>
        <w:rPr>
          <w:rFonts w:ascii="Arial" w:cs="Arial" w:eastAsia="Arial" w:hAnsi="Arial"/>
          <w:sz w:val="18"/>
          <w:szCs w:val="18"/>
          <w:u w:val="single" w:color="auto"/>
          <w:color w:val="0000FF"/>
        </w:rPr>
        <w:t xml:space="preserve"> </w:t>
      </w:r>
      <w:hyperlink r:id="rId475">
        <w:r>
          <w:rPr>
            <w:rFonts w:ascii="Arial" w:cs="Arial" w:eastAsia="Arial" w:hAnsi="Arial"/>
            <w:sz w:val="18"/>
            <w:szCs w:val="18"/>
            <w:u w:val="single" w:color="auto"/>
            <w:color w:val="0000FF"/>
          </w:rPr>
          <w:t>and American Airlines, Inc., as buyer, dated as of July 20, 2011, as amended, restated, amended and restated, supplemented or</w:t>
        </w:r>
      </w:hyperlink>
      <w:r>
        <w:rPr>
          <w:rFonts w:ascii="Arial" w:cs="Arial" w:eastAsia="Arial" w:hAnsi="Arial"/>
          <w:sz w:val="18"/>
          <w:szCs w:val="18"/>
          <w:u w:val="single" w:color="auto"/>
          <w:color w:val="0000FF"/>
        </w:rPr>
        <w:t xml:space="preserve"> </w:t>
      </w:r>
      <w:hyperlink r:id="rId475">
        <w:r>
          <w:rPr>
            <w:rFonts w:ascii="Arial" w:cs="Arial" w:eastAsia="Arial" w:hAnsi="Arial"/>
            <w:sz w:val="18"/>
            <w:szCs w:val="18"/>
            <w:u w:val="single" w:color="auto"/>
            <w:color w:val="0000FF"/>
          </w:rPr>
          <w:t>otherwise modified (incorporated by reference to Exhibit 10.50 to AAG’s Annual Report on Form 10-K for the year ended</w:t>
        </w:r>
      </w:hyperlink>
      <w:r>
        <w:rPr>
          <w:rFonts w:ascii="Arial" w:cs="Arial" w:eastAsia="Arial" w:hAnsi="Arial"/>
          <w:sz w:val="18"/>
          <w:szCs w:val="18"/>
          <w:u w:val="single" w:color="auto"/>
          <w:color w:val="0000FF"/>
        </w:rPr>
        <w:t xml:space="preserve"> </w:t>
      </w:r>
      <w:hyperlink r:id="rId475">
        <w:r>
          <w:rPr>
            <w:rFonts w:ascii="Arial" w:cs="Arial" w:eastAsia="Arial" w:hAnsi="Arial"/>
            <w:sz w:val="18"/>
            <w:szCs w:val="18"/>
            <w:u w:val="single" w:color="auto"/>
            <w:color w:val="0000FF"/>
          </w:rPr>
          <w:t>December 31, 2020 (Commission File No. 1-8400)).</w:t>
        </w:r>
        <w:r>
          <w:rPr>
            <w:rFonts w:ascii="Arial" w:cs="Arial" w:eastAsia="Arial" w:hAnsi="Arial"/>
            <w:sz w:val="18"/>
            <w:szCs w:val="18"/>
            <w:color w:val="000000"/>
          </w:rPr>
          <w:t>**</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10.64</w:t>
      </w:r>
      <w:r>
        <w:rPr>
          <w:sz w:val="20"/>
          <w:szCs w:val="20"/>
          <w:color w:val="auto"/>
        </w:rPr>
        <w:tab/>
      </w:r>
      <w:hyperlink r:id="rId476">
        <w:r>
          <w:rPr>
            <w:rFonts w:ascii="Arial" w:cs="Arial" w:eastAsia="Arial" w:hAnsi="Arial"/>
            <w:sz w:val="18"/>
            <w:szCs w:val="18"/>
            <w:u w:val="single" w:color="auto"/>
            <w:color w:val="0000FF"/>
          </w:rPr>
          <w:t>Amendment No. 5, dated as of June 24, 2014, to the A320 Family Aircraft Purchase Agreement between Airbus S.A.S., as seller,</w:t>
        </w:r>
      </w:hyperlink>
      <w:r>
        <w:rPr>
          <w:rFonts w:ascii="Arial" w:cs="Arial" w:eastAsia="Arial" w:hAnsi="Arial"/>
          <w:sz w:val="18"/>
          <w:szCs w:val="18"/>
          <w:u w:val="single" w:color="auto"/>
          <w:color w:val="0000FF"/>
        </w:rPr>
        <w:t xml:space="preserve"> </w:t>
      </w:r>
      <w:hyperlink r:id="rId476">
        <w:r>
          <w:rPr>
            <w:rFonts w:ascii="Arial" w:cs="Arial" w:eastAsia="Arial" w:hAnsi="Arial"/>
            <w:sz w:val="18"/>
            <w:szCs w:val="18"/>
            <w:u w:val="single" w:color="auto"/>
            <w:color w:val="0000FF"/>
          </w:rPr>
          <w:t>and American Airlines, Inc., as buyer, dated as of July 20, 2011, as amended, restated, amended and restated, supplemented or</w:t>
        </w:r>
      </w:hyperlink>
      <w:r>
        <w:rPr>
          <w:rFonts w:ascii="Arial" w:cs="Arial" w:eastAsia="Arial" w:hAnsi="Arial"/>
          <w:sz w:val="18"/>
          <w:szCs w:val="18"/>
          <w:u w:val="single" w:color="auto"/>
          <w:color w:val="0000FF"/>
        </w:rPr>
        <w:t xml:space="preserve"> </w:t>
      </w:r>
      <w:hyperlink r:id="rId476">
        <w:r>
          <w:rPr>
            <w:rFonts w:ascii="Arial" w:cs="Arial" w:eastAsia="Arial" w:hAnsi="Arial"/>
            <w:sz w:val="18"/>
            <w:szCs w:val="18"/>
            <w:u w:val="single" w:color="auto"/>
            <w:color w:val="0000FF"/>
          </w:rPr>
          <w:t>otherwise modified (incorporated by reference to Exhibit 10.51 to AAG’s Annual Report on Form 10-K for the year ended</w:t>
        </w:r>
      </w:hyperlink>
      <w:r>
        <w:rPr>
          <w:rFonts w:ascii="Arial" w:cs="Arial" w:eastAsia="Arial" w:hAnsi="Arial"/>
          <w:sz w:val="18"/>
          <w:szCs w:val="18"/>
          <w:u w:val="single" w:color="auto"/>
          <w:color w:val="0000FF"/>
        </w:rPr>
        <w:t xml:space="preserve"> </w:t>
      </w:r>
      <w:hyperlink r:id="rId476">
        <w:r>
          <w:rPr>
            <w:rFonts w:ascii="Arial" w:cs="Arial" w:eastAsia="Arial" w:hAnsi="Arial"/>
            <w:sz w:val="18"/>
            <w:szCs w:val="18"/>
            <w:u w:val="single" w:color="auto"/>
            <w:color w:val="0000FF"/>
          </w:rPr>
          <w:t>December 31, 2020 (Commission File No. 1-8400)).</w:t>
        </w:r>
        <w:r>
          <w:rPr>
            <w:rFonts w:ascii="Arial" w:cs="Arial" w:eastAsia="Arial" w:hAnsi="Arial"/>
            <w:sz w:val="18"/>
            <w:szCs w:val="18"/>
            <w:color w:val="000000"/>
          </w:rPr>
          <w:t>**</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10.65</w:t>
      </w:r>
      <w:r>
        <w:rPr>
          <w:sz w:val="20"/>
          <w:szCs w:val="20"/>
          <w:color w:val="auto"/>
        </w:rPr>
        <w:tab/>
      </w:r>
      <w:hyperlink r:id="rId477">
        <w:r>
          <w:rPr>
            <w:rFonts w:ascii="Arial" w:cs="Arial" w:eastAsia="Arial" w:hAnsi="Arial"/>
            <w:sz w:val="18"/>
            <w:szCs w:val="18"/>
            <w:u w:val="single" w:color="auto"/>
            <w:color w:val="0000FF"/>
          </w:rPr>
          <w:t>Amendment No. 6, dated as of July 1, 2014, to the A320 Family Aircraft Purchase Agreement between Airbus S.A.S., as seller,</w:t>
        </w:r>
      </w:hyperlink>
      <w:r>
        <w:rPr>
          <w:rFonts w:ascii="Arial" w:cs="Arial" w:eastAsia="Arial" w:hAnsi="Arial"/>
          <w:sz w:val="18"/>
          <w:szCs w:val="18"/>
          <w:u w:val="single" w:color="auto"/>
          <w:color w:val="0000FF"/>
        </w:rPr>
        <w:t xml:space="preserve"> </w:t>
      </w:r>
      <w:hyperlink r:id="rId477">
        <w:r>
          <w:rPr>
            <w:rFonts w:ascii="Arial" w:cs="Arial" w:eastAsia="Arial" w:hAnsi="Arial"/>
            <w:sz w:val="18"/>
            <w:szCs w:val="18"/>
            <w:u w:val="single" w:color="auto"/>
            <w:color w:val="0000FF"/>
          </w:rPr>
          <w:t>and American Airlines, Inc., as buyer, dated as of July 20, 2011, as amended, restated, amended and restated, supplemented or</w:t>
        </w:r>
      </w:hyperlink>
      <w:r>
        <w:rPr>
          <w:rFonts w:ascii="Arial" w:cs="Arial" w:eastAsia="Arial" w:hAnsi="Arial"/>
          <w:sz w:val="18"/>
          <w:szCs w:val="18"/>
          <w:u w:val="single" w:color="auto"/>
          <w:color w:val="0000FF"/>
        </w:rPr>
        <w:t xml:space="preserve"> </w:t>
      </w:r>
      <w:hyperlink r:id="rId477">
        <w:r>
          <w:rPr>
            <w:rFonts w:ascii="Arial" w:cs="Arial" w:eastAsia="Arial" w:hAnsi="Arial"/>
            <w:sz w:val="18"/>
            <w:szCs w:val="18"/>
            <w:u w:val="single" w:color="auto"/>
            <w:color w:val="0000FF"/>
          </w:rPr>
          <w:t>otherwise modified (incorporated by reference to Exhibit 10.52 to AAG’s Annual Report on Form 10-K for the year ended</w:t>
        </w:r>
      </w:hyperlink>
      <w:r>
        <w:rPr>
          <w:rFonts w:ascii="Arial" w:cs="Arial" w:eastAsia="Arial" w:hAnsi="Arial"/>
          <w:sz w:val="18"/>
          <w:szCs w:val="18"/>
          <w:u w:val="single" w:color="auto"/>
          <w:color w:val="0000FF"/>
        </w:rPr>
        <w:t xml:space="preserve"> </w:t>
      </w:r>
      <w:hyperlink r:id="rId477">
        <w:r>
          <w:rPr>
            <w:rFonts w:ascii="Arial" w:cs="Arial" w:eastAsia="Arial" w:hAnsi="Arial"/>
            <w:sz w:val="18"/>
            <w:szCs w:val="18"/>
            <w:u w:val="single" w:color="auto"/>
            <w:color w:val="0000FF"/>
          </w:rPr>
          <w:t>December 31, 2020 (Commission File No. 1-8400)).</w:t>
        </w:r>
        <w:r>
          <w:rPr>
            <w:rFonts w:ascii="Arial" w:cs="Arial" w:eastAsia="Arial" w:hAnsi="Arial"/>
            <w:sz w:val="18"/>
            <w:szCs w:val="18"/>
            <w:color w:val="000000"/>
          </w:rPr>
          <w:t>**</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10.66</w:t>
      </w:r>
      <w:r>
        <w:rPr>
          <w:sz w:val="20"/>
          <w:szCs w:val="20"/>
          <w:color w:val="auto"/>
        </w:rPr>
        <w:tab/>
      </w:r>
      <w:hyperlink r:id="rId478">
        <w:r>
          <w:rPr>
            <w:rFonts w:ascii="Arial" w:cs="Arial" w:eastAsia="Arial" w:hAnsi="Arial"/>
            <w:sz w:val="18"/>
            <w:szCs w:val="18"/>
            <w:u w:val="single" w:color="auto"/>
            <w:color w:val="0000FF"/>
          </w:rPr>
          <w:t>Amendment No. 7, dated as of November 25, 2014, to the A320 Family Aircraft Purchase Agreement between Airbus S.A.S., as</w:t>
        </w:r>
      </w:hyperlink>
      <w:r>
        <w:rPr>
          <w:rFonts w:ascii="Arial" w:cs="Arial" w:eastAsia="Arial" w:hAnsi="Arial"/>
          <w:sz w:val="18"/>
          <w:szCs w:val="18"/>
          <w:u w:val="single" w:color="auto"/>
          <w:color w:val="0000FF"/>
        </w:rPr>
        <w:t xml:space="preserve"> </w:t>
      </w:r>
      <w:hyperlink r:id="rId478">
        <w:r>
          <w:rPr>
            <w:rFonts w:ascii="Arial" w:cs="Arial" w:eastAsia="Arial" w:hAnsi="Arial"/>
            <w:sz w:val="18"/>
            <w:szCs w:val="18"/>
            <w:u w:val="single" w:color="auto"/>
            <w:color w:val="0000FF"/>
          </w:rPr>
          <w:t>seller, and American Airlines, Inc., as buyer, dated as of July 20, 2011, as amended, restated, amended and restated,</w:t>
        </w:r>
      </w:hyperlink>
      <w:r>
        <w:rPr>
          <w:rFonts w:ascii="Arial" w:cs="Arial" w:eastAsia="Arial" w:hAnsi="Arial"/>
          <w:sz w:val="18"/>
          <w:szCs w:val="18"/>
          <w:u w:val="single" w:color="auto"/>
          <w:color w:val="0000FF"/>
        </w:rPr>
        <w:t xml:space="preserve"> </w:t>
      </w:r>
      <w:hyperlink r:id="rId478">
        <w:r>
          <w:rPr>
            <w:rFonts w:ascii="Arial" w:cs="Arial" w:eastAsia="Arial" w:hAnsi="Arial"/>
            <w:sz w:val="18"/>
            <w:szCs w:val="18"/>
            <w:u w:val="single" w:color="auto"/>
            <w:color w:val="0000FF"/>
          </w:rPr>
          <w:t>supplemented or otherwise (incorporated by reference to Exhibit 10.53 to AAG’s Annual Report on Form 10-K for the year ended</w:t>
        </w:r>
      </w:hyperlink>
      <w:r>
        <w:rPr>
          <w:rFonts w:ascii="Arial" w:cs="Arial" w:eastAsia="Arial" w:hAnsi="Arial"/>
          <w:sz w:val="18"/>
          <w:szCs w:val="18"/>
          <w:u w:val="single" w:color="auto"/>
          <w:color w:val="0000FF"/>
        </w:rPr>
        <w:t xml:space="preserve"> </w:t>
      </w:r>
      <w:hyperlink r:id="rId478">
        <w:r>
          <w:rPr>
            <w:rFonts w:ascii="Arial" w:cs="Arial" w:eastAsia="Arial" w:hAnsi="Arial"/>
            <w:sz w:val="18"/>
            <w:szCs w:val="18"/>
            <w:u w:val="single" w:color="auto"/>
            <w:color w:val="0000FF"/>
          </w:rPr>
          <w:t>December 31, 2020 (Commission File No. 1-8400)).</w:t>
        </w:r>
        <w:r>
          <w:rPr>
            <w:rFonts w:ascii="Arial" w:cs="Arial" w:eastAsia="Arial" w:hAnsi="Arial"/>
            <w:sz w:val="18"/>
            <w:szCs w:val="18"/>
            <w:color w:val="000000"/>
          </w:rPr>
          <w:t>**</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10.67</w:t>
      </w:r>
      <w:r>
        <w:rPr>
          <w:sz w:val="20"/>
          <w:szCs w:val="20"/>
          <w:color w:val="auto"/>
        </w:rPr>
        <w:tab/>
      </w:r>
      <w:hyperlink r:id="rId479">
        <w:r>
          <w:rPr>
            <w:rFonts w:ascii="Arial" w:cs="Arial" w:eastAsia="Arial" w:hAnsi="Arial"/>
            <w:sz w:val="18"/>
            <w:szCs w:val="18"/>
            <w:u w:val="single" w:color="auto"/>
            <w:color w:val="0000FF"/>
          </w:rPr>
          <w:t>Amendment No. 8, dated as of June 11, 2015, to the A320 Family Aircraft Purchase Agreement between American Airlines, Inc.</w:t>
        </w:r>
      </w:hyperlink>
      <w:r>
        <w:rPr>
          <w:rFonts w:ascii="Arial" w:cs="Arial" w:eastAsia="Arial" w:hAnsi="Arial"/>
          <w:sz w:val="18"/>
          <w:szCs w:val="18"/>
          <w:u w:val="single" w:color="auto"/>
          <w:color w:val="0000FF"/>
        </w:rPr>
        <w:t xml:space="preserve"> </w:t>
      </w:r>
      <w:hyperlink r:id="rId479">
        <w:r>
          <w:rPr>
            <w:rFonts w:ascii="Arial" w:cs="Arial" w:eastAsia="Arial" w:hAnsi="Arial"/>
            <w:sz w:val="18"/>
            <w:szCs w:val="18"/>
            <w:u w:val="single" w:color="auto"/>
            <w:color w:val="0000FF"/>
          </w:rPr>
          <w:t>and Airbus S.A.S., dated as of July 20, 2011, as amended, restated, amended and restated, supplemented or otherwise modified</w:t>
        </w:r>
      </w:hyperlink>
      <w:r>
        <w:rPr>
          <w:rFonts w:ascii="Arial" w:cs="Arial" w:eastAsia="Arial" w:hAnsi="Arial"/>
          <w:sz w:val="18"/>
          <w:szCs w:val="18"/>
          <w:u w:val="single" w:color="auto"/>
          <w:color w:val="0000FF"/>
        </w:rPr>
        <w:t xml:space="preserve"> </w:t>
      </w:r>
      <w:hyperlink r:id="rId479">
        <w:r>
          <w:rPr>
            <w:rFonts w:ascii="Arial" w:cs="Arial" w:eastAsia="Arial" w:hAnsi="Arial"/>
            <w:sz w:val="18"/>
            <w:szCs w:val="18"/>
            <w:u w:val="single" w:color="auto"/>
            <w:color w:val="0000FF"/>
          </w:rPr>
          <w:t>(incorporated by reference to Exhibit 10.54 to AAG’s Annual Report on Form 10-K for the year ended December 31, 2020</w:t>
        </w:r>
      </w:hyperlink>
      <w:r>
        <w:rPr>
          <w:rFonts w:ascii="Arial" w:cs="Arial" w:eastAsia="Arial" w:hAnsi="Arial"/>
          <w:sz w:val="18"/>
          <w:szCs w:val="18"/>
          <w:u w:val="single" w:color="auto"/>
          <w:color w:val="0000FF"/>
        </w:rPr>
        <w:t xml:space="preserve"> </w:t>
      </w:r>
      <w:hyperlink r:id="rId479">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14"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10.68</w:t>
      </w:r>
      <w:r>
        <w:rPr>
          <w:sz w:val="20"/>
          <w:szCs w:val="20"/>
          <w:color w:val="auto"/>
        </w:rPr>
        <w:tab/>
      </w:r>
      <w:hyperlink r:id="rId480">
        <w:r>
          <w:rPr>
            <w:rFonts w:ascii="Arial" w:cs="Arial" w:eastAsia="Arial" w:hAnsi="Arial"/>
            <w:sz w:val="18"/>
            <w:szCs w:val="18"/>
            <w:u w:val="single" w:color="auto"/>
            <w:color w:val="0000FF"/>
          </w:rPr>
          <w:t>Amendment No. 9, dated as of September 23, 2015, to the A320 Family Aircraft Purchase Agreement, dated as of July 20, 2011,</w:t>
        </w:r>
      </w:hyperlink>
      <w:r>
        <w:rPr>
          <w:rFonts w:ascii="Arial" w:cs="Arial" w:eastAsia="Arial" w:hAnsi="Arial"/>
          <w:sz w:val="18"/>
          <w:szCs w:val="18"/>
          <w:u w:val="single" w:color="auto"/>
          <w:color w:val="0000FF"/>
        </w:rPr>
        <w:t xml:space="preserve"> </w:t>
      </w:r>
      <w:hyperlink r:id="rId480">
        <w:r>
          <w:rPr>
            <w:rFonts w:ascii="Arial" w:cs="Arial" w:eastAsia="Arial" w:hAnsi="Arial"/>
            <w:sz w:val="18"/>
            <w:szCs w:val="18"/>
            <w:u w:val="single" w:color="auto"/>
            <w:color w:val="0000FF"/>
          </w:rPr>
          <w:t>between American Airlines, Inc. and Airbus S.A.S. (incorporated by reference to Exhibit 10.55 to AAG’s Annual Report on Form</w:t>
        </w:r>
      </w:hyperlink>
      <w:r>
        <w:rPr>
          <w:rFonts w:ascii="Arial" w:cs="Arial" w:eastAsia="Arial" w:hAnsi="Arial"/>
          <w:sz w:val="18"/>
          <w:szCs w:val="18"/>
          <w:u w:val="single" w:color="auto"/>
          <w:color w:val="0000FF"/>
        </w:rPr>
        <w:t xml:space="preserve"> </w:t>
      </w:r>
      <w:hyperlink r:id="rId480">
        <w:r>
          <w:rPr>
            <w:rFonts w:ascii="Arial" w:cs="Arial" w:eastAsia="Arial" w:hAnsi="Arial"/>
            <w:sz w:val="18"/>
            <w:szCs w:val="18"/>
            <w:u w:val="single" w:color="auto"/>
            <w:color w:val="0000FF"/>
          </w:rPr>
          <w:t>10-K for the year ended December 31, 2020 (Commission File No. 1-8400)).</w:t>
        </w:r>
        <w:r>
          <w:rPr>
            <w:rFonts w:ascii="Arial" w:cs="Arial" w:eastAsia="Arial" w:hAnsi="Arial"/>
            <w:sz w:val="18"/>
            <w:szCs w:val="18"/>
            <w:color w:val="000000"/>
          </w:rPr>
          <w:t>**</w:t>
        </w:r>
      </w:hyperlink>
    </w:p>
    <w:p>
      <w:pPr>
        <w:sectPr>
          <w:pgSz w:w="11900" w:h="16838" w:orient="portrait"/>
          <w:cols w:equalWidth="0" w:num="1">
            <w:col w:w="11220"/>
          </w:cols>
          <w:pgMar w:left="320" w:top="364" w:right="359" w:bottom="1440" w:gutter="0" w:footer="0" w:header="0"/>
        </w:sectPr>
      </w:pPr>
    </w:p>
    <w:p>
      <w:pPr>
        <w:spacing w:after="0" w:line="9"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10.69</w:t>
      </w:r>
    </w:p>
    <w:p>
      <w:pPr>
        <w:spacing w:after="0" w:line="200" w:lineRule="exact"/>
        <w:rPr>
          <w:rFonts w:ascii="Arial" w:cs="Arial" w:eastAsia="Arial" w:hAnsi="Arial"/>
          <w:sz w:val="18"/>
          <w:szCs w:val="18"/>
          <w:u w:val="single" w:color="auto"/>
          <w:color w:val="0000FF"/>
        </w:rPr>
      </w:pPr>
    </w:p>
    <w:p>
      <w:pPr>
        <w:spacing w:after="0" w:line="267"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10.70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481">
        <w:r>
          <w:rPr>
            <w:rFonts w:ascii="Arial" w:cs="Arial" w:eastAsia="Arial" w:hAnsi="Arial"/>
            <w:sz w:val="18"/>
            <w:szCs w:val="18"/>
            <w:u w:val="single" w:color="auto"/>
            <w:color w:val="0000FF"/>
          </w:rPr>
          <w:t>Amendment No. 10, dated as of July 16, 2018, to the A320 Family Aircraft Purchase Agreement, dated as of July 20, 2011,</w:t>
        </w:r>
      </w:hyperlink>
      <w:r>
        <w:rPr>
          <w:rFonts w:ascii="Arial" w:cs="Arial" w:eastAsia="Arial" w:hAnsi="Arial"/>
          <w:sz w:val="18"/>
          <w:szCs w:val="18"/>
          <w:u w:val="single" w:color="auto"/>
          <w:color w:val="0000FF"/>
        </w:rPr>
        <w:t xml:space="preserve"> </w:t>
      </w:r>
      <w:hyperlink r:id="rId481">
        <w:r>
          <w:rPr>
            <w:rFonts w:ascii="Arial" w:cs="Arial" w:eastAsia="Arial" w:hAnsi="Arial"/>
            <w:sz w:val="18"/>
            <w:szCs w:val="18"/>
            <w:u w:val="single" w:color="auto"/>
            <w:color w:val="0000FF"/>
          </w:rPr>
          <w:t>between American Airlines, Inc. and Airbus S.A.S. (incorporated by reference to Exhibit 10.56 to AAG’s Annual Report on Form</w:t>
        </w:r>
      </w:hyperlink>
      <w:r>
        <w:rPr>
          <w:rFonts w:ascii="Arial" w:cs="Arial" w:eastAsia="Arial" w:hAnsi="Arial"/>
          <w:sz w:val="18"/>
          <w:szCs w:val="18"/>
          <w:u w:val="single" w:color="auto"/>
          <w:color w:val="0000FF"/>
        </w:rPr>
        <w:t xml:space="preserve"> </w:t>
      </w:r>
      <w:hyperlink r:id="rId481">
        <w:r>
          <w:rPr>
            <w:rFonts w:ascii="Arial" w:cs="Arial" w:eastAsia="Arial" w:hAnsi="Arial"/>
            <w:sz w:val="18"/>
            <w:szCs w:val="18"/>
            <w:u w:val="single" w:color="auto"/>
            <w:color w:val="0000FF"/>
          </w:rPr>
          <w:t>10-K for the year ended December 31, 2020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55" w:lineRule="auto"/>
        <w:rPr>
          <w:rFonts w:ascii="Arial" w:cs="Arial" w:eastAsia="Arial" w:hAnsi="Arial"/>
          <w:sz w:val="18"/>
          <w:szCs w:val="18"/>
          <w:color w:val="0000FF"/>
        </w:rPr>
      </w:pPr>
      <w:hyperlink r:id="rId482">
        <w:r>
          <w:rPr>
            <w:rFonts w:ascii="Arial" w:cs="Arial" w:eastAsia="Arial" w:hAnsi="Arial"/>
            <w:sz w:val="18"/>
            <w:szCs w:val="18"/>
            <w:u w:val="single" w:color="auto"/>
            <w:color w:val="0000FF"/>
          </w:rPr>
          <w:t>Amendment No. 11, dated as of June 19, 2019, to the A320 Family Aircraft Purchase Agreement, dated as of July 20, 2011,</w:t>
        </w:r>
      </w:hyperlink>
      <w:r>
        <w:rPr>
          <w:rFonts w:ascii="Arial" w:cs="Arial" w:eastAsia="Arial" w:hAnsi="Arial"/>
          <w:sz w:val="18"/>
          <w:szCs w:val="18"/>
          <w:u w:val="single" w:color="auto"/>
          <w:color w:val="0000FF"/>
        </w:rPr>
        <w:t xml:space="preserve"> </w:t>
      </w:r>
      <w:hyperlink r:id="rId482">
        <w:r>
          <w:rPr>
            <w:rFonts w:ascii="Arial" w:cs="Arial" w:eastAsia="Arial" w:hAnsi="Arial"/>
            <w:sz w:val="18"/>
            <w:szCs w:val="18"/>
            <w:u w:val="single" w:color="auto"/>
            <w:color w:val="0000FF"/>
          </w:rPr>
          <w:t>between American Airlines, Inc. and Airbus S.A.S. (incorporated by reference to Exhibit 10.2 to AAG’s Quarterly Report on Form</w:t>
        </w:r>
      </w:hyperlink>
      <w:r>
        <w:rPr>
          <w:rFonts w:ascii="Arial" w:cs="Arial" w:eastAsia="Arial" w:hAnsi="Arial"/>
          <w:sz w:val="18"/>
          <w:szCs w:val="18"/>
          <w:u w:val="single" w:color="auto"/>
          <w:color w:val="0000FF"/>
        </w:rPr>
        <w:t xml:space="preserve"> </w:t>
      </w:r>
      <w:hyperlink r:id="rId482">
        <w:r>
          <w:rPr>
            <w:rFonts w:ascii="Arial" w:cs="Arial" w:eastAsia="Arial" w:hAnsi="Arial"/>
            <w:sz w:val="18"/>
            <w:szCs w:val="18"/>
            <w:u w:val="single" w:color="auto"/>
            <w:color w:val="0000FF"/>
          </w:rPr>
          <w:t>10-Q for the quarter ended June 30, 2019 (Commission File No. 1-8400)).</w:t>
        </w:r>
        <w:r>
          <w:rPr>
            <w:rFonts w:ascii="Arial" w:cs="Arial" w:eastAsia="Arial" w:hAnsi="Arial"/>
            <w:sz w:val="18"/>
            <w:szCs w:val="18"/>
            <w:color w:val="000000"/>
          </w:rPr>
          <w:t>**</w:t>
        </w:r>
      </w:hyperlink>
    </w:p>
    <w:p>
      <w:pPr>
        <w:spacing w:after="0" w:line="1" w:lineRule="exact"/>
        <w:rPr>
          <w:rFonts w:ascii="Arial" w:cs="Arial" w:eastAsia="Arial" w:hAnsi="Arial"/>
          <w:sz w:val="18"/>
          <w:szCs w:val="18"/>
          <w:u w:val="single" w:color="auto"/>
          <w:color w:val="0000FF"/>
        </w:rPr>
      </w:pPr>
    </w:p>
    <w:p>
      <w:pPr>
        <w:sectPr>
          <w:pgSz w:w="11900" w:h="16838" w:orient="portrait"/>
          <w:cols w:equalWidth="0" w:num="2">
            <w:col w:w="480" w:space="440"/>
            <w:col w:w="10300"/>
          </w:cols>
          <w:pgMar w:left="320" w:top="364" w:right="359" w:bottom="1440" w:gutter="0" w:footer="0" w:header="0"/>
          <w:type w:val="continuous"/>
        </w:sectPr>
      </w:pPr>
    </w:p>
    <w:p>
      <w:pPr>
        <w:jc w:val="both"/>
        <w:ind w:left="920" w:hanging="889"/>
        <w:spacing w:after="0" w:line="251"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10.71</w:t>
      </w:r>
      <w:r>
        <w:rPr>
          <w:sz w:val="20"/>
          <w:szCs w:val="20"/>
          <w:color w:val="auto"/>
        </w:rPr>
        <w:tab/>
      </w:r>
      <w:hyperlink r:id="rId483">
        <w:r>
          <w:rPr>
            <w:rFonts w:ascii="Arial" w:cs="Arial" w:eastAsia="Arial" w:hAnsi="Arial"/>
            <w:sz w:val="18"/>
            <w:szCs w:val="18"/>
            <w:u w:val="single" w:color="auto"/>
            <w:color w:val="0000FF"/>
          </w:rPr>
          <w:t>Amendment No. 12, dated as of June 26, 2020, to the A320 Family Aircraft Purchase Agreement between Airbus S.A.S., as</w:t>
        </w:r>
      </w:hyperlink>
      <w:r>
        <w:rPr>
          <w:rFonts w:ascii="Arial" w:cs="Arial" w:eastAsia="Arial" w:hAnsi="Arial"/>
          <w:sz w:val="18"/>
          <w:szCs w:val="18"/>
          <w:u w:val="single" w:color="auto"/>
          <w:color w:val="0000FF"/>
        </w:rPr>
        <w:t xml:space="preserve"> </w:t>
      </w:r>
      <w:hyperlink r:id="rId483">
        <w:r>
          <w:rPr>
            <w:rFonts w:ascii="Arial" w:cs="Arial" w:eastAsia="Arial" w:hAnsi="Arial"/>
            <w:sz w:val="18"/>
            <w:szCs w:val="18"/>
            <w:u w:val="single" w:color="auto"/>
            <w:color w:val="0000FF"/>
          </w:rPr>
          <w:t>seller, and American Airlines, Inc. as buyer, dated as of July 20, 2011, as amended, restated, amended and restated,</w:t>
        </w:r>
      </w:hyperlink>
      <w:r>
        <w:rPr>
          <w:rFonts w:ascii="Arial" w:cs="Arial" w:eastAsia="Arial" w:hAnsi="Arial"/>
          <w:sz w:val="18"/>
          <w:szCs w:val="18"/>
          <w:u w:val="single" w:color="auto"/>
          <w:color w:val="0000FF"/>
        </w:rPr>
        <w:t xml:space="preserve"> </w:t>
      </w:r>
      <w:hyperlink r:id="rId483">
        <w:r>
          <w:rPr>
            <w:rFonts w:ascii="Arial" w:cs="Arial" w:eastAsia="Arial" w:hAnsi="Arial"/>
            <w:sz w:val="18"/>
            <w:szCs w:val="18"/>
            <w:u w:val="single" w:color="auto"/>
            <w:color w:val="0000FF"/>
          </w:rPr>
          <w:t>supplemented or otherwise (incorporated by reference to Exhibit 10.3 to AAG’s Quarterly Report on Form 10-Q for the quarter</w:t>
        </w:r>
      </w:hyperlink>
      <w:r>
        <w:rPr>
          <w:rFonts w:ascii="Arial" w:cs="Arial" w:eastAsia="Arial" w:hAnsi="Arial"/>
          <w:sz w:val="18"/>
          <w:szCs w:val="18"/>
          <w:u w:val="single" w:color="auto"/>
          <w:color w:val="0000FF"/>
        </w:rPr>
        <w:t xml:space="preserve"> </w:t>
      </w:r>
      <w:hyperlink r:id="rId483">
        <w:r>
          <w:rPr>
            <w:rFonts w:ascii="Arial" w:cs="Arial" w:eastAsia="Arial" w:hAnsi="Arial"/>
            <w:sz w:val="18"/>
            <w:szCs w:val="18"/>
            <w:u w:val="single" w:color="auto"/>
            <w:color w:val="0000FF"/>
          </w:rPr>
          <w:t>ended June 30, 2020 (Commission File No. 1-8400)).</w:t>
        </w:r>
        <w:r>
          <w:rPr>
            <w:rFonts w:ascii="Arial" w:cs="Arial" w:eastAsia="Arial" w:hAnsi="Arial"/>
            <w:sz w:val="18"/>
            <w:szCs w:val="18"/>
            <w:color w:val="000000"/>
          </w:rPr>
          <w:t>**</w:t>
        </w:r>
      </w:hyperlink>
    </w:p>
    <w:p>
      <w:pPr>
        <w:spacing w:after="0" w:line="11" w:lineRule="exact"/>
        <w:rPr>
          <w:rFonts w:ascii="Arial" w:cs="Arial" w:eastAsia="Arial" w:hAnsi="Arial"/>
          <w:sz w:val="18"/>
          <w:szCs w:val="18"/>
          <w:u w:val="single" w:color="auto"/>
          <w:color w:val="0000FF"/>
        </w:rPr>
      </w:pPr>
    </w:p>
    <w:p>
      <w:pPr>
        <w:jc w:val="both"/>
        <w:ind w:left="920" w:hanging="889"/>
        <w:spacing w:after="0" w:line="251"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10.72</w:t>
      </w:r>
      <w:r>
        <w:rPr>
          <w:sz w:val="20"/>
          <w:szCs w:val="20"/>
          <w:color w:val="auto"/>
        </w:rPr>
        <w:tab/>
      </w:r>
      <w:hyperlink r:id="rId484">
        <w:r>
          <w:rPr>
            <w:rFonts w:ascii="Arial" w:cs="Arial" w:eastAsia="Arial" w:hAnsi="Arial"/>
            <w:sz w:val="18"/>
            <w:szCs w:val="18"/>
            <w:u w:val="single" w:color="auto"/>
            <w:color w:val="0000FF"/>
          </w:rPr>
          <w:t>Amendment No. 13, dated as of July 13, 2020, to the A320 Family Aircraft Purchase Agreement between Airbus S.A.S., as seller,</w:t>
        </w:r>
      </w:hyperlink>
      <w:r>
        <w:rPr>
          <w:rFonts w:ascii="Arial" w:cs="Arial" w:eastAsia="Arial" w:hAnsi="Arial"/>
          <w:sz w:val="18"/>
          <w:szCs w:val="18"/>
          <w:u w:val="single" w:color="auto"/>
          <w:color w:val="0000FF"/>
        </w:rPr>
        <w:t xml:space="preserve"> </w:t>
      </w:r>
      <w:hyperlink r:id="rId484">
        <w:r>
          <w:rPr>
            <w:rFonts w:ascii="Arial" w:cs="Arial" w:eastAsia="Arial" w:hAnsi="Arial"/>
            <w:sz w:val="18"/>
            <w:szCs w:val="18"/>
            <w:u w:val="single" w:color="auto"/>
            <w:color w:val="0000FF"/>
          </w:rPr>
          <w:t>and American Airlines, Inc. as buyer, dated as of July 20, 2011, as amended, restated, amended and restated, supplemented or</w:t>
        </w:r>
      </w:hyperlink>
      <w:r>
        <w:rPr>
          <w:rFonts w:ascii="Arial" w:cs="Arial" w:eastAsia="Arial" w:hAnsi="Arial"/>
          <w:sz w:val="18"/>
          <w:szCs w:val="18"/>
          <w:u w:val="single" w:color="auto"/>
          <w:color w:val="0000FF"/>
        </w:rPr>
        <w:t xml:space="preserve"> </w:t>
      </w:r>
      <w:hyperlink r:id="rId484">
        <w:r>
          <w:rPr>
            <w:rFonts w:ascii="Arial" w:cs="Arial" w:eastAsia="Arial" w:hAnsi="Arial"/>
            <w:sz w:val="18"/>
            <w:szCs w:val="18"/>
            <w:u w:val="single" w:color="auto"/>
            <w:color w:val="0000FF"/>
          </w:rPr>
          <w:t>otherwise (incorporated by reference to Exhibit 10.2 to AAG’s Quarterly Report on Form 10-Q for the quarter ended September</w:t>
        </w:r>
      </w:hyperlink>
      <w:r>
        <w:rPr>
          <w:rFonts w:ascii="Arial" w:cs="Arial" w:eastAsia="Arial" w:hAnsi="Arial"/>
          <w:sz w:val="18"/>
          <w:szCs w:val="18"/>
          <w:u w:val="single" w:color="auto"/>
          <w:color w:val="0000FF"/>
        </w:rPr>
        <w:t xml:space="preserve"> </w:t>
      </w:r>
      <w:hyperlink r:id="rId484">
        <w:r>
          <w:rPr>
            <w:rFonts w:ascii="Arial" w:cs="Arial" w:eastAsia="Arial" w:hAnsi="Arial"/>
            <w:sz w:val="18"/>
            <w:szCs w:val="18"/>
            <w:u w:val="single" w:color="auto"/>
            <w:color w:val="0000FF"/>
          </w:rPr>
          <w:t>30, 2020 (Commission File No. 1-8400)).</w:t>
        </w:r>
        <w:r>
          <w:rPr>
            <w:rFonts w:ascii="Arial" w:cs="Arial" w:eastAsia="Arial" w:hAnsi="Arial"/>
            <w:sz w:val="18"/>
            <w:szCs w:val="18"/>
            <w:color w:val="000000"/>
          </w:rPr>
          <w:t>**</w:t>
        </w:r>
      </w:hyperlink>
    </w:p>
    <w:p>
      <w:pPr>
        <w:spacing w:after="0" w:line="11" w:lineRule="exact"/>
        <w:rPr>
          <w:rFonts w:ascii="Arial" w:cs="Arial" w:eastAsia="Arial" w:hAnsi="Arial"/>
          <w:sz w:val="18"/>
          <w:szCs w:val="18"/>
          <w:u w:val="single" w:color="auto"/>
          <w:color w:val="0000FF"/>
        </w:rPr>
      </w:pPr>
    </w:p>
    <w:p>
      <w:pPr>
        <w:jc w:val="both"/>
        <w:ind w:left="920" w:hanging="889"/>
        <w:spacing w:after="0" w:line="251"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10.73</w:t>
      </w:r>
      <w:r>
        <w:rPr>
          <w:sz w:val="20"/>
          <w:szCs w:val="20"/>
          <w:color w:val="auto"/>
        </w:rPr>
        <w:tab/>
      </w:r>
      <w:hyperlink r:id="rId485">
        <w:r>
          <w:rPr>
            <w:rFonts w:ascii="Arial" w:cs="Arial" w:eastAsia="Arial" w:hAnsi="Arial"/>
            <w:sz w:val="18"/>
            <w:szCs w:val="18"/>
            <w:u w:val="single" w:color="auto"/>
            <w:color w:val="0000FF"/>
          </w:rPr>
          <w:t>Amendment No. 15, dated as of June 30, 2021, to the A320 Family Aircraft Purchase Agreement between Airbus S.A.S., as</w:t>
        </w:r>
      </w:hyperlink>
      <w:r>
        <w:rPr>
          <w:rFonts w:ascii="Arial" w:cs="Arial" w:eastAsia="Arial" w:hAnsi="Arial"/>
          <w:sz w:val="18"/>
          <w:szCs w:val="18"/>
          <w:u w:val="single" w:color="auto"/>
          <w:color w:val="0000FF"/>
        </w:rPr>
        <w:t xml:space="preserve"> </w:t>
      </w:r>
      <w:hyperlink r:id="rId485">
        <w:r>
          <w:rPr>
            <w:rFonts w:ascii="Arial" w:cs="Arial" w:eastAsia="Arial" w:hAnsi="Arial"/>
            <w:sz w:val="18"/>
            <w:szCs w:val="18"/>
            <w:u w:val="single" w:color="auto"/>
            <w:color w:val="0000FF"/>
          </w:rPr>
          <w:t>seller, and American Airlines, Inc. as buyer, dated as of July 20, 2011, as amended, restated, amended and restated,</w:t>
        </w:r>
      </w:hyperlink>
      <w:r>
        <w:rPr>
          <w:rFonts w:ascii="Arial" w:cs="Arial" w:eastAsia="Arial" w:hAnsi="Arial"/>
          <w:sz w:val="18"/>
          <w:szCs w:val="18"/>
          <w:u w:val="single" w:color="auto"/>
          <w:color w:val="0000FF"/>
        </w:rPr>
        <w:t xml:space="preserve"> </w:t>
      </w:r>
      <w:hyperlink r:id="rId485">
        <w:r>
          <w:rPr>
            <w:rFonts w:ascii="Arial" w:cs="Arial" w:eastAsia="Arial" w:hAnsi="Arial"/>
            <w:sz w:val="18"/>
            <w:szCs w:val="18"/>
            <w:u w:val="single" w:color="auto"/>
            <w:color w:val="0000FF"/>
          </w:rPr>
          <w:t>supplemented or otherwise (incorporated by reference to Exhibit 10.2 to AAG’s Quarterly Report on Form 10-Q for the quarter</w:t>
        </w:r>
      </w:hyperlink>
      <w:r>
        <w:rPr>
          <w:rFonts w:ascii="Arial" w:cs="Arial" w:eastAsia="Arial" w:hAnsi="Arial"/>
          <w:sz w:val="18"/>
          <w:szCs w:val="18"/>
          <w:u w:val="single" w:color="auto"/>
          <w:color w:val="0000FF"/>
        </w:rPr>
        <w:t xml:space="preserve"> </w:t>
      </w:r>
      <w:hyperlink r:id="rId485">
        <w:r>
          <w:rPr>
            <w:rFonts w:ascii="Arial" w:cs="Arial" w:eastAsia="Arial" w:hAnsi="Arial"/>
            <w:sz w:val="18"/>
            <w:szCs w:val="18"/>
            <w:u w:val="single" w:color="auto"/>
            <w:color w:val="0000FF"/>
          </w:rPr>
          <w:t>ended September 30, 2021 (Commission File No. 1-8400)).</w:t>
        </w:r>
        <w:r>
          <w:rPr>
            <w:rFonts w:ascii="Arial" w:cs="Arial" w:eastAsia="Arial" w:hAnsi="Arial"/>
            <w:sz w:val="18"/>
            <w:szCs w:val="18"/>
            <w:color w:val="000000"/>
          </w:rPr>
          <w:t>**</w:t>
        </w:r>
      </w:hyperlink>
    </w:p>
    <w:p>
      <w:pPr>
        <w:spacing w:after="0" w:line="11" w:lineRule="exact"/>
        <w:rPr>
          <w:rFonts w:ascii="Arial" w:cs="Arial" w:eastAsia="Arial" w:hAnsi="Arial"/>
          <w:sz w:val="18"/>
          <w:szCs w:val="18"/>
          <w:u w:val="single" w:color="auto"/>
          <w:color w:val="0000FF"/>
        </w:rPr>
      </w:pPr>
    </w:p>
    <w:p>
      <w:pPr>
        <w:jc w:val="both"/>
        <w:ind w:left="920" w:hanging="889"/>
        <w:spacing w:after="0" w:line="251"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10.74</w:t>
      </w:r>
      <w:r>
        <w:rPr>
          <w:sz w:val="20"/>
          <w:szCs w:val="20"/>
          <w:color w:val="auto"/>
        </w:rPr>
        <w:tab/>
      </w:r>
      <w:hyperlink r:id="rId486">
        <w:r>
          <w:rPr>
            <w:rFonts w:ascii="Arial" w:cs="Arial" w:eastAsia="Arial" w:hAnsi="Arial"/>
            <w:sz w:val="18"/>
            <w:szCs w:val="18"/>
            <w:u w:val="single" w:color="auto"/>
            <w:color w:val="0000FF"/>
          </w:rPr>
          <w:t>Amendment No. 14, dated as of October 8, 2020, to the A320 Family Aircraft Purchase Agreement between Airbus S.A.S., as</w:t>
        </w:r>
      </w:hyperlink>
      <w:r>
        <w:rPr>
          <w:rFonts w:ascii="Arial" w:cs="Arial" w:eastAsia="Arial" w:hAnsi="Arial"/>
          <w:sz w:val="18"/>
          <w:szCs w:val="18"/>
          <w:u w:val="single" w:color="auto"/>
          <w:color w:val="0000FF"/>
        </w:rPr>
        <w:t xml:space="preserve"> </w:t>
      </w:r>
      <w:hyperlink r:id="rId486">
        <w:r>
          <w:rPr>
            <w:rFonts w:ascii="Arial" w:cs="Arial" w:eastAsia="Arial" w:hAnsi="Arial"/>
            <w:sz w:val="18"/>
            <w:szCs w:val="18"/>
            <w:u w:val="single" w:color="auto"/>
            <w:color w:val="0000FF"/>
          </w:rPr>
          <w:t>seller, and American Airlines, Inc. as buyer, dated as of July 20, 2011, as amended, restated, amended and restated,</w:t>
        </w:r>
      </w:hyperlink>
      <w:r>
        <w:rPr>
          <w:rFonts w:ascii="Arial" w:cs="Arial" w:eastAsia="Arial" w:hAnsi="Arial"/>
          <w:sz w:val="18"/>
          <w:szCs w:val="18"/>
          <w:u w:val="single" w:color="auto"/>
          <w:color w:val="0000FF"/>
        </w:rPr>
        <w:t xml:space="preserve"> </w:t>
      </w:r>
      <w:hyperlink r:id="rId486">
        <w:r>
          <w:rPr>
            <w:rFonts w:ascii="Arial" w:cs="Arial" w:eastAsia="Arial" w:hAnsi="Arial"/>
            <w:sz w:val="18"/>
            <w:szCs w:val="18"/>
            <w:u w:val="single" w:color="auto"/>
            <w:color w:val="0000FF"/>
          </w:rPr>
          <w:t>supplemented or otherwise (incorporated by reference to Exhibit 10.60 to AAG’s Annual Report on Form 10-K for the year ended</w:t>
        </w:r>
      </w:hyperlink>
      <w:r>
        <w:rPr>
          <w:rFonts w:ascii="Arial" w:cs="Arial" w:eastAsia="Arial" w:hAnsi="Arial"/>
          <w:sz w:val="18"/>
          <w:szCs w:val="18"/>
          <w:u w:val="single" w:color="auto"/>
          <w:color w:val="0000FF"/>
        </w:rPr>
        <w:t xml:space="preserve"> </w:t>
      </w:r>
      <w:hyperlink r:id="rId486">
        <w:r>
          <w:rPr>
            <w:rFonts w:ascii="Arial" w:cs="Arial" w:eastAsia="Arial" w:hAnsi="Arial"/>
            <w:sz w:val="18"/>
            <w:szCs w:val="18"/>
            <w:u w:val="single" w:color="auto"/>
            <w:color w:val="0000FF"/>
          </w:rPr>
          <w:t>December 31, 2020 (Commission File No. 1-8400)).</w:t>
        </w:r>
        <w:r>
          <w:rPr>
            <w:rFonts w:ascii="Arial" w:cs="Arial" w:eastAsia="Arial" w:hAnsi="Arial"/>
            <w:sz w:val="18"/>
            <w:szCs w:val="18"/>
            <w:color w:val="000000"/>
          </w:rPr>
          <w:t>**</w:t>
        </w:r>
      </w:hyperlink>
    </w:p>
    <w:p>
      <w:pPr>
        <w:spacing w:after="0" w:line="11" w:lineRule="exact"/>
        <w:rPr>
          <w:rFonts w:ascii="Arial" w:cs="Arial" w:eastAsia="Arial" w:hAnsi="Arial"/>
          <w:sz w:val="18"/>
          <w:szCs w:val="18"/>
          <w:u w:val="single" w:color="auto"/>
          <w:color w:val="0000FF"/>
        </w:rPr>
      </w:pPr>
    </w:p>
    <w:p>
      <w:pPr>
        <w:jc w:val="both"/>
        <w:ind w:left="920" w:hanging="889"/>
        <w:spacing w:after="0" w:line="260"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10.75</w:t>
      </w:r>
      <w:r>
        <w:rPr>
          <w:sz w:val="20"/>
          <w:szCs w:val="20"/>
          <w:color w:val="auto"/>
        </w:rPr>
        <w:tab/>
      </w:r>
      <w:hyperlink r:id="rId487">
        <w:r>
          <w:rPr>
            <w:rFonts w:ascii="Arial" w:cs="Arial" w:eastAsia="Arial" w:hAnsi="Arial"/>
            <w:sz w:val="18"/>
            <w:szCs w:val="18"/>
            <w:u w:val="single" w:color="auto"/>
            <w:color w:val="0000FF"/>
          </w:rPr>
          <w:t>Purchase Agreement No. 03735, dated as of February 1, 2013, between American Airlines, Inc., and The Boeing Company</w:t>
        </w:r>
      </w:hyperlink>
      <w:r>
        <w:rPr>
          <w:rFonts w:ascii="Arial" w:cs="Arial" w:eastAsia="Arial" w:hAnsi="Arial"/>
          <w:sz w:val="18"/>
          <w:szCs w:val="18"/>
          <w:u w:val="single" w:color="auto"/>
          <w:color w:val="0000FF"/>
        </w:rPr>
        <w:t xml:space="preserve"> </w:t>
      </w:r>
      <w:hyperlink r:id="rId487">
        <w:r>
          <w:rPr>
            <w:rFonts w:ascii="Arial" w:cs="Arial" w:eastAsia="Arial" w:hAnsi="Arial"/>
            <w:sz w:val="18"/>
            <w:szCs w:val="18"/>
            <w:u w:val="single" w:color="auto"/>
            <w:color w:val="0000FF"/>
          </w:rPr>
          <w:t>(incorporated by reference to Exhibit 10.69 to AAG’s Annual Report on Form 10-K for the year ended December 31, 2021</w:t>
        </w:r>
      </w:hyperlink>
      <w:r>
        <w:rPr>
          <w:rFonts w:ascii="Arial" w:cs="Arial" w:eastAsia="Arial" w:hAnsi="Arial"/>
          <w:sz w:val="18"/>
          <w:szCs w:val="18"/>
          <w:u w:val="single" w:color="auto"/>
          <w:color w:val="0000FF"/>
        </w:rPr>
        <w:t xml:space="preserve"> </w:t>
      </w:r>
      <w:hyperlink r:id="rId487">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ectPr>
          <w:pgSz w:w="11900" w:h="16838" w:orient="portrait"/>
          <w:cols w:equalWidth="0" w:num="1">
            <w:col w:w="11220"/>
          </w:cols>
          <w:pgMar w:left="320" w:top="364" w:right="35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314"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7"/>
          <w:szCs w:val="17"/>
          <w:color w:val="auto"/>
        </w:rPr>
        <w:t>194</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194" w:name="page195"/>
    <w:bookmarkEnd w:id="194"/>
    <w:p>
      <w:pPr>
        <w:spacing w:after="0"/>
        <w:rPr>
          <w:sz w:val="20"/>
          <w:szCs w:val="20"/>
          <w:color w:val="auto"/>
        </w:rPr>
      </w:pPr>
      <w:r>
        <w:rPr>
          <w:rFonts w:ascii="Arial" w:cs="Arial" w:eastAsia="Arial" w:hAnsi="Arial"/>
          <w:sz w:val="17"/>
          <w:szCs w:val="17"/>
          <w:b w:val="1"/>
          <w:bCs w:val="1"/>
          <w:u w:val="single" w:color="auto"/>
          <w:color w:val="0000FF"/>
        </w:rPr>
        <w:t>Table of Contents</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line="256" w:lineRule="auto"/>
        <w:rPr>
          <w:sz w:val="20"/>
          <w:szCs w:val="20"/>
          <w:color w:val="auto"/>
        </w:rPr>
      </w:pPr>
      <w:r>
        <w:rPr>
          <w:rFonts w:ascii="Arial" w:cs="Arial" w:eastAsia="Arial" w:hAnsi="Arial"/>
          <w:sz w:val="14"/>
          <w:szCs w:val="14"/>
          <w:b w:val="1"/>
          <w:bCs w:val="1"/>
          <w:color w:val="auto"/>
        </w:rPr>
        <w:t xml:space="preserve">Exhibit </w:t>
      </w:r>
      <w:r>
        <w:rPr>
          <w:rFonts w:ascii="Arial" w:cs="Arial" w:eastAsia="Arial" w:hAnsi="Arial"/>
          <w:sz w:val="14"/>
          <w:szCs w:val="14"/>
          <w:b w:val="1"/>
          <w:bCs w:val="1"/>
          <w:u w:val="single" w:color="auto"/>
          <w:color w:val="auto"/>
        </w:rPr>
        <w:t>Number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10.76</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10.77</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10.78</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10.79</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10.80</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w:t>
      </w:r>
    </w:p>
    <w:p>
      <w:pPr>
        <w:spacing w:after="0" w:line="45" w:lineRule="exact"/>
        <w:rPr>
          <w:sz w:val="20"/>
          <w:szCs w:val="20"/>
          <w:color w:val="auto"/>
        </w:rPr>
      </w:pPr>
    </w:p>
    <w:p>
      <w:pPr>
        <w:jc w:val="both"/>
        <w:spacing w:after="0" w:line="260" w:lineRule="auto"/>
        <w:rPr>
          <w:rFonts w:ascii="Arial" w:cs="Arial" w:eastAsia="Arial" w:hAnsi="Arial"/>
          <w:sz w:val="18"/>
          <w:szCs w:val="18"/>
          <w:color w:val="0000FF"/>
        </w:rPr>
      </w:pPr>
      <w:hyperlink r:id="rId489">
        <w:r>
          <w:rPr>
            <w:rFonts w:ascii="Arial" w:cs="Arial" w:eastAsia="Arial" w:hAnsi="Arial"/>
            <w:sz w:val="18"/>
            <w:szCs w:val="18"/>
            <w:u w:val="single" w:color="auto"/>
            <w:color w:val="0000FF"/>
          </w:rPr>
          <w:t>Supplemental Agreement No. 1, dated as of April 15, 2013, to Purchase Agreement No. 03735 dated as of February 1, 2013,</w:t>
        </w:r>
      </w:hyperlink>
      <w:r>
        <w:rPr>
          <w:rFonts w:ascii="Arial" w:cs="Arial" w:eastAsia="Arial" w:hAnsi="Arial"/>
          <w:sz w:val="18"/>
          <w:szCs w:val="18"/>
          <w:u w:val="single" w:color="auto"/>
          <w:color w:val="0000FF"/>
        </w:rPr>
        <w:t xml:space="preserve"> </w:t>
      </w:r>
      <w:hyperlink r:id="rId489">
        <w:r>
          <w:rPr>
            <w:rFonts w:ascii="Arial" w:cs="Arial" w:eastAsia="Arial" w:hAnsi="Arial"/>
            <w:sz w:val="18"/>
            <w:szCs w:val="18"/>
            <w:u w:val="single" w:color="auto"/>
            <w:color w:val="0000FF"/>
          </w:rPr>
          <w:t>between American Airlines, Inc. and The Boeing Company (incorporated by reference to Exhibit 10.70 to AAG’s Annual Report on</w:t>
        </w:r>
      </w:hyperlink>
      <w:r>
        <w:rPr>
          <w:rFonts w:ascii="Arial" w:cs="Arial" w:eastAsia="Arial" w:hAnsi="Arial"/>
          <w:sz w:val="18"/>
          <w:szCs w:val="18"/>
          <w:u w:val="single" w:color="auto"/>
          <w:color w:val="0000FF"/>
        </w:rPr>
        <w:t xml:space="preserve"> </w:t>
      </w:r>
      <w:hyperlink r:id="rId489">
        <w:r>
          <w:rPr>
            <w:rFonts w:ascii="Arial" w:cs="Arial" w:eastAsia="Arial" w:hAnsi="Arial"/>
            <w:sz w:val="18"/>
            <w:szCs w:val="18"/>
            <w:u w:val="single" w:color="auto"/>
            <w:color w:val="0000FF"/>
          </w:rPr>
          <w:t>Form 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490">
        <w:r>
          <w:rPr>
            <w:rFonts w:ascii="Arial" w:cs="Arial" w:eastAsia="Arial" w:hAnsi="Arial"/>
            <w:sz w:val="18"/>
            <w:szCs w:val="18"/>
            <w:u w:val="single" w:color="auto"/>
            <w:color w:val="0000FF"/>
          </w:rPr>
          <w:t>Supplemental Agreement No. 2, dated as of March 6, 2015, to Purchase Agreement No. 03735 dated as of February 1, 2013,</w:t>
        </w:r>
      </w:hyperlink>
      <w:r>
        <w:rPr>
          <w:rFonts w:ascii="Arial" w:cs="Arial" w:eastAsia="Arial" w:hAnsi="Arial"/>
          <w:sz w:val="18"/>
          <w:szCs w:val="18"/>
          <w:u w:val="single" w:color="auto"/>
          <w:color w:val="0000FF"/>
        </w:rPr>
        <w:t xml:space="preserve"> </w:t>
      </w:r>
      <w:hyperlink r:id="rId490">
        <w:r>
          <w:rPr>
            <w:rFonts w:ascii="Arial" w:cs="Arial" w:eastAsia="Arial" w:hAnsi="Arial"/>
            <w:sz w:val="18"/>
            <w:szCs w:val="18"/>
            <w:u w:val="single" w:color="auto"/>
            <w:color w:val="0000FF"/>
          </w:rPr>
          <w:t>between American Airlines, Inc. and The Boeing Company (incorporated by reference to Exhibit 10.71 to AAG’s Annual Report on</w:t>
        </w:r>
      </w:hyperlink>
      <w:r>
        <w:rPr>
          <w:rFonts w:ascii="Arial" w:cs="Arial" w:eastAsia="Arial" w:hAnsi="Arial"/>
          <w:sz w:val="18"/>
          <w:szCs w:val="18"/>
          <w:u w:val="single" w:color="auto"/>
          <w:color w:val="0000FF"/>
        </w:rPr>
        <w:t xml:space="preserve"> </w:t>
      </w:r>
      <w:hyperlink r:id="rId490">
        <w:r>
          <w:rPr>
            <w:rFonts w:ascii="Arial" w:cs="Arial" w:eastAsia="Arial" w:hAnsi="Arial"/>
            <w:sz w:val="18"/>
            <w:szCs w:val="18"/>
            <w:u w:val="single" w:color="auto"/>
            <w:color w:val="0000FF"/>
          </w:rPr>
          <w:t>Form 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491">
        <w:r>
          <w:rPr>
            <w:rFonts w:ascii="Arial" w:cs="Arial" w:eastAsia="Arial" w:hAnsi="Arial"/>
            <w:sz w:val="18"/>
            <w:szCs w:val="18"/>
            <w:u w:val="single" w:color="auto"/>
            <w:color w:val="0000FF"/>
          </w:rPr>
          <w:t>Supplemental Agreement No. 3, dated as of May 22, 2015, to Purchase Agreement No. 03735 dated as of February 1, 2013,</w:t>
        </w:r>
      </w:hyperlink>
      <w:r>
        <w:rPr>
          <w:rFonts w:ascii="Arial" w:cs="Arial" w:eastAsia="Arial" w:hAnsi="Arial"/>
          <w:sz w:val="18"/>
          <w:szCs w:val="18"/>
          <w:u w:val="single" w:color="auto"/>
          <w:color w:val="0000FF"/>
        </w:rPr>
        <w:t xml:space="preserve"> </w:t>
      </w:r>
      <w:hyperlink r:id="rId491">
        <w:r>
          <w:rPr>
            <w:rFonts w:ascii="Arial" w:cs="Arial" w:eastAsia="Arial" w:hAnsi="Arial"/>
            <w:sz w:val="18"/>
            <w:szCs w:val="18"/>
            <w:u w:val="single" w:color="auto"/>
            <w:color w:val="0000FF"/>
          </w:rPr>
          <w:t>between American Airlines, Inc. and The Boeing Company (incorporated by reference to Exhibit 10.72 to AAG’s Annual Report on</w:t>
        </w:r>
      </w:hyperlink>
      <w:r>
        <w:rPr>
          <w:rFonts w:ascii="Arial" w:cs="Arial" w:eastAsia="Arial" w:hAnsi="Arial"/>
          <w:sz w:val="18"/>
          <w:szCs w:val="18"/>
          <w:u w:val="single" w:color="auto"/>
          <w:color w:val="0000FF"/>
        </w:rPr>
        <w:t xml:space="preserve"> </w:t>
      </w:r>
      <w:hyperlink r:id="rId491">
        <w:r>
          <w:rPr>
            <w:rFonts w:ascii="Arial" w:cs="Arial" w:eastAsia="Arial" w:hAnsi="Arial"/>
            <w:sz w:val="18"/>
            <w:szCs w:val="18"/>
            <w:u w:val="single" w:color="auto"/>
            <w:color w:val="0000FF"/>
          </w:rPr>
          <w:t>Form 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492">
        <w:r>
          <w:rPr>
            <w:rFonts w:ascii="Arial" w:cs="Arial" w:eastAsia="Arial" w:hAnsi="Arial"/>
            <w:sz w:val="18"/>
            <w:szCs w:val="18"/>
            <w:u w:val="single" w:color="auto"/>
            <w:color w:val="0000FF"/>
          </w:rPr>
          <w:t>Letter Agreement, dated as of January 14, 2016, to Purchase Agreement No. 03735 dated as of February 1, 2013, between</w:t>
        </w:r>
      </w:hyperlink>
      <w:r>
        <w:rPr>
          <w:rFonts w:ascii="Arial" w:cs="Arial" w:eastAsia="Arial" w:hAnsi="Arial"/>
          <w:sz w:val="18"/>
          <w:szCs w:val="18"/>
          <w:u w:val="single" w:color="auto"/>
          <w:color w:val="0000FF"/>
        </w:rPr>
        <w:t xml:space="preserve"> </w:t>
      </w:r>
      <w:hyperlink r:id="rId492">
        <w:r>
          <w:rPr>
            <w:rFonts w:ascii="Arial" w:cs="Arial" w:eastAsia="Arial" w:hAnsi="Arial"/>
            <w:sz w:val="18"/>
            <w:szCs w:val="18"/>
            <w:u w:val="single" w:color="auto"/>
            <w:color w:val="0000FF"/>
          </w:rPr>
          <w:t>American Airlines, Inc. and The Boeing Company (incorporated by reference to Exhibit 10.73 to AAG’s Annual Report on Form</w:t>
        </w:r>
      </w:hyperlink>
      <w:r>
        <w:rPr>
          <w:rFonts w:ascii="Arial" w:cs="Arial" w:eastAsia="Arial" w:hAnsi="Arial"/>
          <w:sz w:val="18"/>
          <w:szCs w:val="18"/>
          <w:u w:val="single" w:color="auto"/>
          <w:color w:val="0000FF"/>
        </w:rPr>
        <w:t xml:space="preserve"> </w:t>
      </w:r>
      <w:hyperlink r:id="rId492">
        <w:r>
          <w:rPr>
            <w:rFonts w:ascii="Arial" w:cs="Arial" w:eastAsia="Arial" w:hAnsi="Arial"/>
            <w:sz w:val="18"/>
            <w:szCs w:val="18"/>
            <w:u w:val="single" w:color="auto"/>
            <w:color w:val="0000FF"/>
          </w:rPr>
          <w:t>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493">
        <w:r>
          <w:rPr>
            <w:rFonts w:ascii="Arial" w:cs="Arial" w:eastAsia="Arial" w:hAnsi="Arial"/>
            <w:sz w:val="18"/>
            <w:szCs w:val="18"/>
            <w:u w:val="single" w:color="auto"/>
            <w:color w:val="0000FF"/>
          </w:rPr>
          <w:t>Supplemental Agreement No. 4, dated as of June 6, 2016, to Purchase Agreement No. 03735 dated as of February 1, 2013,</w:t>
        </w:r>
      </w:hyperlink>
      <w:r>
        <w:rPr>
          <w:rFonts w:ascii="Arial" w:cs="Arial" w:eastAsia="Arial" w:hAnsi="Arial"/>
          <w:sz w:val="18"/>
          <w:szCs w:val="18"/>
          <w:u w:val="single" w:color="auto"/>
          <w:color w:val="0000FF"/>
        </w:rPr>
        <w:t xml:space="preserve"> </w:t>
      </w:r>
      <w:hyperlink r:id="rId493">
        <w:r>
          <w:rPr>
            <w:rFonts w:ascii="Arial" w:cs="Arial" w:eastAsia="Arial" w:hAnsi="Arial"/>
            <w:sz w:val="18"/>
            <w:szCs w:val="18"/>
            <w:u w:val="single" w:color="auto"/>
            <w:color w:val="0000FF"/>
          </w:rPr>
          <w:t>between American Airlines, Inc. and The Boeing Company (incorporated by reference to Exhibit 10.74 to AAG’s Annual Report on</w:t>
        </w:r>
      </w:hyperlink>
      <w:r>
        <w:rPr>
          <w:rFonts w:ascii="Arial" w:cs="Arial" w:eastAsia="Arial" w:hAnsi="Arial"/>
          <w:sz w:val="18"/>
          <w:szCs w:val="18"/>
          <w:u w:val="single" w:color="auto"/>
          <w:color w:val="0000FF"/>
        </w:rPr>
        <w:t xml:space="preserve"> </w:t>
      </w:r>
      <w:hyperlink r:id="rId493">
        <w:r>
          <w:rPr>
            <w:rFonts w:ascii="Arial" w:cs="Arial" w:eastAsia="Arial" w:hAnsi="Arial"/>
            <w:sz w:val="18"/>
            <w:szCs w:val="18"/>
            <w:u w:val="single" w:color="auto"/>
            <w:color w:val="0000FF"/>
          </w:rPr>
          <w:t>Form 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5" w:lineRule="auto"/>
        <w:rPr>
          <w:sz w:val="20"/>
          <w:szCs w:val="20"/>
          <w:color w:val="auto"/>
        </w:rPr>
      </w:pPr>
      <w:r>
        <w:rPr>
          <w:rFonts w:ascii="Arial" w:cs="Arial" w:eastAsia="Arial" w:hAnsi="Arial"/>
          <w:sz w:val="18"/>
          <w:szCs w:val="18"/>
          <w:u w:val="single" w:color="auto"/>
          <w:color w:val="0000FF"/>
        </w:rPr>
        <w:t>Supplemental Agreement No. 5, dated as of August 8, 2016, to Purchase Agreement No. 03735 dated as of February 1, 2013, between American Airlines, Inc. and The Boeing Company.</w:t>
      </w:r>
      <w:r>
        <w:rPr>
          <w:rFonts w:ascii="Arial" w:cs="Arial" w:eastAsia="Arial" w:hAnsi="Arial"/>
          <w:sz w:val="18"/>
          <w:szCs w:val="18"/>
          <w:color w:val="000000"/>
        </w:rPr>
        <w:t>**</w:t>
      </w:r>
    </w:p>
    <w:p>
      <w:pPr>
        <w:spacing w:after="0" w:line="1" w:lineRule="exact"/>
        <w:rPr>
          <w:rFonts w:ascii="Arial" w:cs="Arial" w:eastAsia="Arial" w:hAnsi="Arial"/>
          <w:sz w:val="18"/>
          <w:szCs w:val="18"/>
          <w:u w:val="single" w:color="auto"/>
          <w:color w:val="0000FF"/>
        </w:rPr>
      </w:pPr>
    </w:p>
    <w:p>
      <w:pPr>
        <w:sectPr>
          <w:pgSz w:w="11900" w:h="16838" w:orient="portrait"/>
          <w:cols w:equalWidth="0" w:num="2">
            <w:col w:w="560" w:space="360"/>
            <w:col w:w="10300"/>
          </w:cols>
          <w:pgMar w:left="320" w:top="364" w:right="35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10.82</w:t>
      </w:r>
    </w:p>
    <w:p>
      <w:pPr>
        <w:spacing w:after="0" w:line="200" w:lineRule="exact"/>
        <w:rPr>
          <w:rFonts w:ascii="Arial" w:cs="Arial" w:eastAsia="Arial" w:hAnsi="Arial"/>
          <w:sz w:val="18"/>
          <w:szCs w:val="18"/>
          <w:u w:val="single" w:color="auto"/>
          <w:color w:val="0000FF"/>
        </w:rPr>
      </w:pPr>
    </w:p>
    <w:p>
      <w:pPr>
        <w:spacing w:after="0" w:line="267"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10.83</w:t>
      </w:r>
    </w:p>
    <w:p>
      <w:pPr>
        <w:spacing w:after="0" w:line="200" w:lineRule="exact"/>
        <w:rPr>
          <w:rFonts w:ascii="Arial" w:cs="Arial" w:eastAsia="Arial" w:hAnsi="Arial"/>
          <w:sz w:val="18"/>
          <w:szCs w:val="18"/>
          <w:u w:val="single" w:color="auto"/>
          <w:color w:val="0000FF"/>
        </w:rPr>
      </w:pPr>
    </w:p>
    <w:p>
      <w:pPr>
        <w:spacing w:after="0" w:line="267"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10.84</w:t>
      </w:r>
    </w:p>
    <w:p>
      <w:pPr>
        <w:spacing w:after="0" w:line="200" w:lineRule="exact"/>
        <w:rPr>
          <w:rFonts w:ascii="Arial" w:cs="Arial" w:eastAsia="Arial" w:hAnsi="Arial"/>
          <w:sz w:val="18"/>
          <w:szCs w:val="18"/>
          <w:u w:val="single" w:color="auto"/>
          <w:color w:val="0000FF"/>
        </w:rPr>
      </w:pPr>
    </w:p>
    <w:p>
      <w:pPr>
        <w:spacing w:after="0" w:line="267"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10.85</w:t>
      </w:r>
    </w:p>
    <w:p>
      <w:pPr>
        <w:spacing w:after="0" w:line="200" w:lineRule="exact"/>
        <w:rPr>
          <w:rFonts w:ascii="Arial" w:cs="Arial" w:eastAsia="Arial" w:hAnsi="Arial"/>
          <w:sz w:val="18"/>
          <w:szCs w:val="18"/>
          <w:u w:val="single" w:color="auto"/>
          <w:color w:val="0000FF"/>
        </w:rPr>
      </w:pPr>
    </w:p>
    <w:p>
      <w:pPr>
        <w:spacing w:after="0" w:line="267"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10.86</w:t>
      </w:r>
    </w:p>
    <w:p>
      <w:pPr>
        <w:spacing w:after="0" w:line="200" w:lineRule="exact"/>
        <w:rPr>
          <w:rFonts w:ascii="Arial" w:cs="Arial" w:eastAsia="Arial" w:hAnsi="Arial"/>
          <w:sz w:val="18"/>
          <w:szCs w:val="18"/>
          <w:u w:val="single" w:color="auto"/>
          <w:color w:val="0000FF"/>
        </w:rPr>
      </w:pPr>
    </w:p>
    <w:p>
      <w:pPr>
        <w:spacing w:after="0" w:line="267"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10.87</w:t>
      </w:r>
    </w:p>
    <w:p>
      <w:pPr>
        <w:spacing w:after="0" w:line="200" w:lineRule="exact"/>
        <w:rPr>
          <w:rFonts w:ascii="Arial" w:cs="Arial" w:eastAsia="Arial" w:hAnsi="Arial"/>
          <w:sz w:val="18"/>
          <w:szCs w:val="18"/>
          <w:u w:val="single" w:color="auto"/>
          <w:color w:val="0000FF"/>
        </w:rPr>
      </w:pPr>
    </w:p>
    <w:p>
      <w:pPr>
        <w:spacing w:after="0" w:line="267"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10.88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both"/>
        <w:spacing w:after="0" w:line="260" w:lineRule="auto"/>
        <w:rPr>
          <w:rFonts w:ascii="Arial" w:cs="Arial" w:eastAsia="Arial" w:hAnsi="Arial"/>
          <w:sz w:val="18"/>
          <w:szCs w:val="18"/>
          <w:color w:val="0000FF"/>
        </w:rPr>
      </w:pPr>
      <w:hyperlink r:id="rId494">
        <w:r>
          <w:rPr>
            <w:rFonts w:ascii="Arial" w:cs="Arial" w:eastAsia="Arial" w:hAnsi="Arial"/>
            <w:sz w:val="18"/>
            <w:szCs w:val="18"/>
            <w:u w:val="single" w:color="auto"/>
            <w:color w:val="0000FF"/>
          </w:rPr>
          <w:t>Supplemental Agreement No. 6, dated as of November 15, 2016, to Purchase Agreement No. 03735 dated as of February 1,</w:t>
        </w:r>
      </w:hyperlink>
      <w:r>
        <w:rPr>
          <w:rFonts w:ascii="Arial" w:cs="Arial" w:eastAsia="Arial" w:hAnsi="Arial"/>
          <w:sz w:val="18"/>
          <w:szCs w:val="18"/>
          <w:u w:val="single" w:color="auto"/>
          <w:color w:val="0000FF"/>
        </w:rPr>
        <w:t xml:space="preserve"> </w:t>
      </w:r>
      <w:hyperlink r:id="rId494">
        <w:r>
          <w:rPr>
            <w:rFonts w:ascii="Arial" w:cs="Arial" w:eastAsia="Arial" w:hAnsi="Arial"/>
            <w:sz w:val="18"/>
            <w:szCs w:val="18"/>
            <w:u w:val="single" w:color="auto"/>
            <w:color w:val="0000FF"/>
          </w:rPr>
          <w:t>2013, between American Airlines, Inc. and The Boeing Company (incorporated by reference to Exhibit 10.76 to AAG’s Annual</w:t>
        </w:r>
      </w:hyperlink>
      <w:r>
        <w:rPr>
          <w:rFonts w:ascii="Arial" w:cs="Arial" w:eastAsia="Arial" w:hAnsi="Arial"/>
          <w:sz w:val="18"/>
          <w:szCs w:val="18"/>
          <w:u w:val="single" w:color="auto"/>
          <w:color w:val="0000FF"/>
        </w:rPr>
        <w:t xml:space="preserve"> </w:t>
      </w:r>
      <w:hyperlink r:id="rId494">
        <w:r>
          <w:rPr>
            <w:rFonts w:ascii="Arial" w:cs="Arial" w:eastAsia="Arial" w:hAnsi="Arial"/>
            <w:sz w:val="18"/>
            <w:szCs w:val="18"/>
            <w:u w:val="single" w:color="auto"/>
            <w:color w:val="0000FF"/>
          </w:rPr>
          <w:t>Report on Form 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495">
        <w:r>
          <w:rPr>
            <w:rFonts w:ascii="Arial" w:cs="Arial" w:eastAsia="Arial" w:hAnsi="Arial"/>
            <w:sz w:val="18"/>
            <w:szCs w:val="18"/>
            <w:u w:val="single" w:color="auto"/>
            <w:color w:val="0000FF"/>
          </w:rPr>
          <w:t>Supplemental Agreement No. 7, dated as of March 2, 2017, to Purchase Agreement No. 03735 dated as of February 1, 2013,</w:t>
        </w:r>
      </w:hyperlink>
      <w:r>
        <w:rPr>
          <w:rFonts w:ascii="Arial" w:cs="Arial" w:eastAsia="Arial" w:hAnsi="Arial"/>
          <w:sz w:val="18"/>
          <w:szCs w:val="18"/>
          <w:u w:val="single" w:color="auto"/>
          <w:color w:val="0000FF"/>
        </w:rPr>
        <w:t xml:space="preserve"> </w:t>
      </w:r>
      <w:hyperlink r:id="rId495">
        <w:r>
          <w:rPr>
            <w:rFonts w:ascii="Arial" w:cs="Arial" w:eastAsia="Arial" w:hAnsi="Arial"/>
            <w:sz w:val="18"/>
            <w:szCs w:val="18"/>
            <w:u w:val="single" w:color="auto"/>
            <w:color w:val="0000FF"/>
          </w:rPr>
          <w:t>between American Airlines, Inc. and The Boeing Company (incorporated by reference to Exhibit 10.77 to AAG’s Annual Report on</w:t>
        </w:r>
      </w:hyperlink>
      <w:r>
        <w:rPr>
          <w:rFonts w:ascii="Arial" w:cs="Arial" w:eastAsia="Arial" w:hAnsi="Arial"/>
          <w:sz w:val="18"/>
          <w:szCs w:val="18"/>
          <w:u w:val="single" w:color="auto"/>
          <w:color w:val="0000FF"/>
        </w:rPr>
        <w:t xml:space="preserve"> </w:t>
      </w:r>
      <w:hyperlink r:id="rId495">
        <w:r>
          <w:rPr>
            <w:rFonts w:ascii="Arial" w:cs="Arial" w:eastAsia="Arial" w:hAnsi="Arial"/>
            <w:sz w:val="18"/>
            <w:szCs w:val="18"/>
            <w:u w:val="single" w:color="auto"/>
            <w:color w:val="0000FF"/>
          </w:rPr>
          <w:t>Form 10-K for the year ended December 31, 2021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496">
        <w:r>
          <w:rPr>
            <w:rFonts w:ascii="Arial" w:cs="Arial" w:eastAsia="Arial" w:hAnsi="Arial"/>
            <w:sz w:val="18"/>
            <w:szCs w:val="18"/>
            <w:u w:val="single" w:color="auto"/>
            <w:color w:val="0000FF"/>
          </w:rPr>
          <w:t>Supplemental Agreement No. 8, dated as of December 7, 2017, to Purchase Agreement No. 03735 dated as of February 1, 2013,</w:t>
        </w:r>
      </w:hyperlink>
      <w:r>
        <w:rPr>
          <w:rFonts w:ascii="Arial" w:cs="Arial" w:eastAsia="Arial" w:hAnsi="Arial"/>
          <w:sz w:val="18"/>
          <w:szCs w:val="18"/>
          <w:u w:val="single" w:color="auto"/>
          <w:color w:val="0000FF"/>
        </w:rPr>
        <w:t xml:space="preserve"> </w:t>
      </w:r>
      <w:hyperlink r:id="rId496">
        <w:r>
          <w:rPr>
            <w:rFonts w:ascii="Arial" w:cs="Arial" w:eastAsia="Arial" w:hAnsi="Arial"/>
            <w:sz w:val="18"/>
            <w:szCs w:val="18"/>
            <w:u w:val="single" w:color="auto"/>
            <w:color w:val="0000FF"/>
          </w:rPr>
          <w:t>between American Airlines, Inc. and The Boeing Company (incorporated by reference to Exhibit 10.45 to AAG’s Annual Report on</w:t>
        </w:r>
      </w:hyperlink>
      <w:r>
        <w:rPr>
          <w:rFonts w:ascii="Arial" w:cs="Arial" w:eastAsia="Arial" w:hAnsi="Arial"/>
          <w:sz w:val="18"/>
          <w:szCs w:val="18"/>
          <w:u w:val="single" w:color="auto"/>
          <w:color w:val="0000FF"/>
        </w:rPr>
        <w:t xml:space="preserve"> </w:t>
      </w:r>
      <w:hyperlink r:id="rId496">
        <w:r>
          <w:rPr>
            <w:rFonts w:ascii="Arial" w:cs="Arial" w:eastAsia="Arial" w:hAnsi="Arial"/>
            <w:sz w:val="18"/>
            <w:szCs w:val="18"/>
            <w:u w:val="single" w:color="auto"/>
            <w:color w:val="0000FF"/>
          </w:rPr>
          <w:t>Form 10-K for the year ended December 31, 2017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497">
        <w:r>
          <w:rPr>
            <w:rFonts w:ascii="Arial" w:cs="Arial" w:eastAsia="Arial" w:hAnsi="Arial"/>
            <w:sz w:val="18"/>
            <w:szCs w:val="18"/>
            <w:u w:val="single" w:color="auto"/>
            <w:color w:val="0000FF"/>
          </w:rPr>
          <w:t>Supplemental Agreement No. 9, dated as of April 6, 2018, to Purchase Agreement No. 03735 dated as of February 1, 2013, by</w:t>
        </w:r>
      </w:hyperlink>
      <w:r>
        <w:rPr>
          <w:rFonts w:ascii="Arial" w:cs="Arial" w:eastAsia="Arial" w:hAnsi="Arial"/>
          <w:sz w:val="18"/>
          <w:szCs w:val="18"/>
          <w:u w:val="single" w:color="auto"/>
          <w:color w:val="0000FF"/>
        </w:rPr>
        <w:t xml:space="preserve"> </w:t>
      </w:r>
      <w:hyperlink r:id="rId497">
        <w:r>
          <w:rPr>
            <w:rFonts w:ascii="Arial" w:cs="Arial" w:eastAsia="Arial" w:hAnsi="Arial"/>
            <w:sz w:val="18"/>
            <w:szCs w:val="18"/>
            <w:u w:val="single" w:color="auto"/>
            <w:color w:val="0000FF"/>
          </w:rPr>
          <w:t>and between American Airlines, Inc. and The Boeing Company (incorporated by reference to Exhibit 10.2 to AAG’s Quarterly</w:t>
        </w:r>
      </w:hyperlink>
      <w:r>
        <w:rPr>
          <w:rFonts w:ascii="Arial" w:cs="Arial" w:eastAsia="Arial" w:hAnsi="Arial"/>
          <w:sz w:val="18"/>
          <w:szCs w:val="18"/>
          <w:u w:val="single" w:color="auto"/>
          <w:color w:val="0000FF"/>
        </w:rPr>
        <w:t xml:space="preserve"> </w:t>
      </w:r>
      <w:hyperlink r:id="rId497">
        <w:r>
          <w:rPr>
            <w:rFonts w:ascii="Arial" w:cs="Arial" w:eastAsia="Arial" w:hAnsi="Arial"/>
            <w:sz w:val="18"/>
            <w:szCs w:val="18"/>
            <w:u w:val="single" w:color="auto"/>
            <w:color w:val="0000FF"/>
          </w:rPr>
          <w:t>Report on Form 10-Q for the quarter ended June 30, 2018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498">
        <w:r>
          <w:rPr>
            <w:rFonts w:ascii="Arial" w:cs="Arial" w:eastAsia="Arial" w:hAnsi="Arial"/>
            <w:sz w:val="18"/>
            <w:szCs w:val="18"/>
            <w:u w:val="single" w:color="auto"/>
            <w:color w:val="0000FF"/>
          </w:rPr>
          <w:t>Supplemental Agreement No. 10, dated as of March 26, 2019, to Purchase Agreement No. 03735 dated as of February 1, 2013,</w:t>
        </w:r>
      </w:hyperlink>
      <w:r>
        <w:rPr>
          <w:rFonts w:ascii="Arial" w:cs="Arial" w:eastAsia="Arial" w:hAnsi="Arial"/>
          <w:sz w:val="18"/>
          <w:szCs w:val="18"/>
          <w:u w:val="single" w:color="auto"/>
          <w:color w:val="0000FF"/>
        </w:rPr>
        <w:t xml:space="preserve"> </w:t>
      </w:r>
      <w:hyperlink r:id="rId498">
        <w:r>
          <w:rPr>
            <w:rFonts w:ascii="Arial" w:cs="Arial" w:eastAsia="Arial" w:hAnsi="Arial"/>
            <w:sz w:val="18"/>
            <w:szCs w:val="18"/>
            <w:u w:val="single" w:color="auto"/>
            <w:color w:val="0000FF"/>
          </w:rPr>
          <w:t>by and between American Airlines, Inc. and The Boeing Company (incorporated by reference to Exhibit 10.1 to AAG’s Quarterly</w:t>
        </w:r>
      </w:hyperlink>
      <w:r>
        <w:rPr>
          <w:rFonts w:ascii="Arial" w:cs="Arial" w:eastAsia="Arial" w:hAnsi="Arial"/>
          <w:sz w:val="18"/>
          <w:szCs w:val="18"/>
          <w:u w:val="single" w:color="auto"/>
          <w:color w:val="0000FF"/>
        </w:rPr>
        <w:t xml:space="preserve"> </w:t>
      </w:r>
      <w:hyperlink r:id="rId498">
        <w:r>
          <w:rPr>
            <w:rFonts w:ascii="Arial" w:cs="Arial" w:eastAsia="Arial" w:hAnsi="Arial"/>
            <w:sz w:val="18"/>
            <w:szCs w:val="18"/>
            <w:u w:val="single" w:color="auto"/>
            <w:color w:val="0000FF"/>
          </w:rPr>
          <w:t>Report on Form 10-Q for the quarter ended March 31, 2019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499">
        <w:r>
          <w:rPr>
            <w:rFonts w:ascii="Arial" w:cs="Arial" w:eastAsia="Arial" w:hAnsi="Arial"/>
            <w:sz w:val="18"/>
            <w:szCs w:val="18"/>
            <w:u w:val="single" w:color="auto"/>
            <w:color w:val="0000FF"/>
          </w:rPr>
          <w:t>Letter Agreement, dated as of September 4, 2020, to Purchase Agreement No. 03735 dated as of February 1, 2013, by and</w:t>
        </w:r>
      </w:hyperlink>
      <w:r>
        <w:rPr>
          <w:rFonts w:ascii="Arial" w:cs="Arial" w:eastAsia="Arial" w:hAnsi="Arial"/>
          <w:sz w:val="18"/>
          <w:szCs w:val="18"/>
          <w:u w:val="single" w:color="auto"/>
          <w:color w:val="0000FF"/>
        </w:rPr>
        <w:t xml:space="preserve"> </w:t>
      </w:r>
      <w:hyperlink r:id="rId499">
        <w:r>
          <w:rPr>
            <w:rFonts w:ascii="Arial" w:cs="Arial" w:eastAsia="Arial" w:hAnsi="Arial"/>
            <w:sz w:val="18"/>
            <w:szCs w:val="18"/>
            <w:u w:val="single" w:color="auto"/>
            <w:color w:val="0000FF"/>
          </w:rPr>
          <w:t>between American Airlines, Inc. and The Boeing Company (incorporated by reference to Exhibit 10.3 to AAG’s Quarterly Report</w:t>
        </w:r>
      </w:hyperlink>
      <w:r>
        <w:rPr>
          <w:rFonts w:ascii="Arial" w:cs="Arial" w:eastAsia="Arial" w:hAnsi="Arial"/>
          <w:sz w:val="18"/>
          <w:szCs w:val="18"/>
          <w:u w:val="single" w:color="auto"/>
          <w:color w:val="0000FF"/>
        </w:rPr>
        <w:t xml:space="preserve"> </w:t>
      </w:r>
      <w:hyperlink r:id="rId499">
        <w:r>
          <w:rPr>
            <w:rFonts w:ascii="Arial" w:cs="Arial" w:eastAsia="Arial" w:hAnsi="Arial"/>
            <w:sz w:val="18"/>
            <w:szCs w:val="18"/>
            <w:u w:val="single" w:color="auto"/>
            <w:color w:val="0000FF"/>
          </w:rPr>
          <w:t>on Form 10-Q for the quarter ended September 30, 2020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55" w:lineRule="auto"/>
        <w:rPr>
          <w:rFonts w:ascii="Arial" w:cs="Arial" w:eastAsia="Arial" w:hAnsi="Arial"/>
          <w:sz w:val="18"/>
          <w:szCs w:val="18"/>
          <w:color w:val="0000FF"/>
        </w:rPr>
      </w:pPr>
      <w:hyperlink r:id="rId500">
        <w:r>
          <w:rPr>
            <w:rFonts w:ascii="Arial" w:cs="Arial" w:eastAsia="Arial" w:hAnsi="Arial"/>
            <w:sz w:val="18"/>
            <w:szCs w:val="18"/>
            <w:u w:val="single" w:color="auto"/>
            <w:color w:val="0000FF"/>
          </w:rPr>
          <w:t>Supplemental Agreement No. 11, dated as of October 9, 2020, to Purchase Agreement No. 03735 dated as of February 1, 2013,</w:t>
        </w:r>
      </w:hyperlink>
      <w:r>
        <w:rPr>
          <w:rFonts w:ascii="Arial" w:cs="Arial" w:eastAsia="Arial" w:hAnsi="Arial"/>
          <w:sz w:val="18"/>
          <w:szCs w:val="18"/>
          <w:u w:val="single" w:color="auto"/>
          <w:color w:val="0000FF"/>
        </w:rPr>
        <w:t xml:space="preserve"> </w:t>
      </w:r>
      <w:hyperlink r:id="rId500">
        <w:r>
          <w:rPr>
            <w:rFonts w:ascii="Arial" w:cs="Arial" w:eastAsia="Arial" w:hAnsi="Arial"/>
            <w:sz w:val="18"/>
            <w:szCs w:val="18"/>
            <w:u w:val="single" w:color="auto"/>
            <w:color w:val="0000FF"/>
          </w:rPr>
          <w:t>by and between American Airlines, Inc. and The Boeing Company (incorporated by reference to Exhibit 10.74 to AAG’s Annual</w:t>
        </w:r>
      </w:hyperlink>
      <w:r>
        <w:rPr>
          <w:rFonts w:ascii="Arial" w:cs="Arial" w:eastAsia="Arial" w:hAnsi="Arial"/>
          <w:sz w:val="18"/>
          <w:szCs w:val="18"/>
          <w:u w:val="single" w:color="auto"/>
          <w:color w:val="0000FF"/>
        </w:rPr>
        <w:t xml:space="preserve"> </w:t>
      </w:r>
      <w:hyperlink r:id="rId500">
        <w:r>
          <w:rPr>
            <w:rFonts w:ascii="Arial" w:cs="Arial" w:eastAsia="Arial" w:hAnsi="Arial"/>
            <w:sz w:val="18"/>
            <w:szCs w:val="18"/>
            <w:u w:val="single" w:color="auto"/>
            <w:color w:val="0000FF"/>
          </w:rPr>
          <w:t>Report on Form 10-K for the year ended December 31, 2020 (Commission File No. 1-8400)).</w:t>
        </w:r>
        <w:r>
          <w:rPr>
            <w:rFonts w:ascii="Arial" w:cs="Arial" w:eastAsia="Arial" w:hAnsi="Arial"/>
            <w:sz w:val="18"/>
            <w:szCs w:val="18"/>
            <w:color w:val="000000"/>
          </w:rPr>
          <w:t>**</w:t>
        </w:r>
      </w:hyperlink>
    </w:p>
    <w:p>
      <w:pPr>
        <w:spacing w:after="0" w:line="1" w:lineRule="exact"/>
        <w:rPr>
          <w:rFonts w:ascii="Arial" w:cs="Arial" w:eastAsia="Arial" w:hAnsi="Arial"/>
          <w:sz w:val="18"/>
          <w:szCs w:val="18"/>
          <w:u w:val="single" w:color="auto"/>
          <w:color w:val="0000FF"/>
        </w:rPr>
      </w:pPr>
    </w:p>
    <w:p>
      <w:pPr>
        <w:sectPr>
          <w:pgSz w:w="11900" w:h="16838" w:orient="portrait"/>
          <w:cols w:equalWidth="0" w:num="2">
            <w:col w:w="480" w:space="440"/>
            <w:col w:w="10300"/>
          </w:cols>
          <w:pgMar w:left="320" w:top="364" w:right="359" w:bottom="1440" w:gutter="0" w:footer="0" w:header="0"/>
          <w:type w:val="continuous"/>
        </w:sectPr>
      </w:pPr>
    </w:p>
    <w:p>
      <w:pPr>
        <w:jc w:val="both"/>
        <w:ind w:left="920" w:hanging="889"/>
        <w:spacing w:after="0" w:line="260"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10.89</w:t>
      </w:r>
      <w:r>
        <w:rPr>
          <w:sz w:val="20"/>
          <w:szCs w:val="20"/>
          <w:color w:val="auto"/>
        </w:rPr>
        <w:tab/>
      </w:r>
      <w:hyperlink r:id="rId501">
        <w:r>
          <w:rPr>
            <w:rFonts w:ascii="Arial" w:cs="Arial" w:eastAsia="Arial" w:hAnsi="Arial"/>
            <w:sz w:val="18"/>
            <w:szCs w:val="18"/>
            <w:u w:val="single" w:color="auto"/>
            <w:color w:val="0000FF"/>
          </w:rPr>
          <w:t>Supplemental Agreement No. 12, dated as of October 22, 2020, to Purchase Agreement No. 03735 dated as of February 1,</w:t>
        </w:r>
      </w:hyperlink>
      <w:r>
        <w:rPr>
          <w:rFonts w:ascii="Arial" w:cs="Arial" w:eastAsia="Arial" w:hAnsi="Arial"/>
          <w:sz w:val="18"/>
          <w:szCs w:val="18"/>
          <w:u w:val="single" w:color="auto"/>
          <w:color w:val="0000FF"/>
        </w:rPr>
        <w:t xml:space="preserve"> </w:t>
      </w:r>
      <w:hyperlink r:id="rId501">
        <w:r>
          <w:rPr>
            <w:rFonts w:ascii="Arial" w:cs="Arial" w:eastAsia="Arial" w:hAnsi="Arial"/>
            <w:sz w:val="18"/>
            <w:szCs w:val="18"/>
            <w:u w:val="single" w:color="auto"/>
            <w:color w:val="0000FF"/>
          </w:rPr>
          <w:t>2013, by and between American Airlines, Inc. and The Boeing Company (incorporated by reference to Exhibit 10.75 to AAG’s</w:t>
        </w:r>
      </w:hyperlink>
      <w:r>
        <w:rPr>
          <w:rFonts w:ascii="Arial" w:cs="Arial" w:eastAsia="Arial" w:hAnsi="Arial"/>
          <w:sz w:val="18"/>
          <w:szCs w:val="18"/>
          <w:u w:val="single" w:color="auto"/>
          <w:color w:val="0000FF"/>
        </w:rPr>
        <w:t xml:space="preserve"> </w:t>
      </w:r>
      <w:hyperlink r:id="rId501">
        <w:r>
          <w:rPr>
            <w:rFonts w:ascii="Arial" w:cs="Arial" w:eastAsia="Arial" w:hAnsi="Arial"/>
            <w:sz w:val="18"/>
            <w:szCs w:val="18"/>
            <w:u w:val="single" w:color="auto"/>
            <w:color w:val="0000FF"/>
          </w:rPr>
          <w:t>Annual Report on Form 10-K for the year ended December 31, 2020 (Commission File No. 1-8400)).</w:t>
        </w:r>
        <w:r>
          <w:rPr>
            <w:rFonts w:ascii="Arial" w:cs="Arial" w:eastAsia="Arial" w:hAnsi="Arial"/>
            <w:sz w:val="18"/>
            <w:szCs w:val="18"/>
            <w:color w:val="000000"/>
          </w:rPr>
          <w:t>**</w:t>
        </w:r>
      </w:hyperlink>
    </w:p>
    <w:p>
      <w:pPr>
        <w:spacing w:after="0" w:line="200" w:lineRule="exact"/>
        <w:rPr>
          <w:rFonts w:ascii="Arial" w:cs="Arial" w:eastAsia="Arial" w:hAnsi="Arial"/>
          <w:sz w:val="18"/>
          <w:szCs w:val="18"/>
          <w:u w:val="single" w:color="auto"/>
          <w:color w:val="0000FF"/>
        </w:rPr>
      </w:pPr>
    </w:p>
    <w:p>
      <w:pPr>
        <w:spacing w:after="0" w:line="314"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195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195" w:name="page196"/>
    <w:bookmarkEnd w:id="195"/>
    <w:p>
      <w:pPr>
        <w:spacing w:after="0"/>
        <w:rPr>
          <w:sz w:val="20"/>
          <w:szCs w:val="20"/>
          <w:color w:val="auto"/>
        </w:rPr>
      </w:pPr>
      <w:r>
        <w:rPr>
          <w:rFonts w:ascii="Arial" w:cs="Arial" w:eastAsia="Arial" w:hAnsi="Arial"/>
          <w:sz w:val="17"/>
          <w:szCs w:val="17"/>
          <w:b w:val="1"/>
          <w:bCs w:val="1"/>
          <w:u w:val="single" w:color="auto"/>
          <w:color w:val="0000FF"/>
        </w:rPr>
        <w:t>Table of Contents</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line="256" w:lineRule="auto"/>
        <w:rPr>
          <w:sz w:val="20"/>
          <w:szCs w:val="20"/>
          <w:color w:val="auto"/>
        </w:rPr>
      </w:pPr>
      <w:r>
        <w:rPr>
          <w:rFonts w:ascii="Arial" w:cs="Arial" w:eastAsia="Arial" w:hAnsi="Arial"/>
          <w:sz w:val="14"/>
          <w:szCs w:val="14"/>
          <w:b w:val="1"/>
          <w:bCs w:val="1"/>
          <w:color w:val="auto"/>
        </w:rPr>
        <w:t xml:space="preserve">Exhibit </w:t>
      </w:r>
      <w:r>
        <w:rPr>
          <w:rFonts w:ascii="Arial" w:cs="Arial" w:eastAsia="Arial" w:hAnsi="Arial"/>
          <w:sz w:val="14"/>
          <w:szCs w:val="14"/>
          <w:b w:val="1"/>
          <w:bCs w:val="1"/>
          <w:u w:val="single" w:color="auto"/>
          <w:color w:val="auto"/>
        </w:rPr>
        <w:t>Number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10.90</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10.91</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w:t>
      </w:r>
    </w:p>
    <w:p>
      <w:pPr>
        <w:spacing w:after="0" w:line="45" w:lineRule="exact"/>
        <w:rPr>
          <w:sz w:val="20"/>
          <w:szCs w:val="20"/>
          <w:color w:val="auto"/>
        </w:rPr>
      </w:pPr>
    </w:p>
    <w:p>
      <w:pPr>
        <w:jc w:val="both"/>
        <w:spacing w:after="0" w:line="260" w:lineRule="auto"/>
        <w:rPr>
          <w:rFonts w:ascii="Arial" w:cs="Arial" w:eastAsia="Arial" w:hAnsi="Arial"/>
          <w:sz w:val="18"/>
          <w:szCs w:val="18"/>
          <w:color w:val="0000FF"/>
        </w:rPr>
      </w:pPr>
      <w:hyperlink r:id="rId503">
        <w:r>
          <w:rPr>
            <w:rFonts w:ascii="Arial" w:cs="Arial" w:eastAsia="Arial" w:hAnsi="Arial"/>
            <w:sz w:val="18"/>
            <w:szCs w:val="18"/>
            <w:u w:val="single" w:color="auto"/>
            <w:color w:val="0000FF"/>
          </w:rPr>
          <w:t>Supplemental Agreement No. 13, dated as of November 17, 2020, to Purchase Agreement No. 03735 dated as of February 1,</w:t>
        </w:r>
      </w:hyperlink>
      <w:r>
        <w:rPr>
          <w:rFonts w:ascii="Arial" w:cs="Arial" w:eastAsia="Arial" w:hAnsi="Arial"/>
          <w:sz w:val="18"/>
          <w:szCs w:val="18"/>
          <w:u w:val="single" w:color="auto"/>
          <w:color w:val="0000FF"/>
        </w:rPr>
        <w:t xml:space="preserve"> </w:t>
      </w:r>
      <w:hyperlink r:id="rId503">
        <w:r>
          <w:rPr>
            <w:rFonts w:ascii="Arial" w:cs="Arial" w:eastAsia="Arial" w:hAnsi="Arial"/>
            <w:sz w:val="18"/>
            <w:szCs w:val="18"/>
            <w:u w:val="single" w:color="auto"/>
            <w:color w:val="0000FF"/>
          </w:rPr>
          <w:t>2013, by and between American Airlines, Inc. and The Boeing Company (incorporated by reference to Exhibit 10.76 to AAG’s</w:t>
        </w:r>
      </w:hyperlink>
      <w:r>
        <w:rPr>
          <w:rFonts w:ascii="Arial" w:cs="Arial" w:eastAsia="Arial" w:hAnsi="Arial"/>
          <w:sz w:val="18"/>
          <w:szCs w:val="18"/>
          <w:u w:val="single" w:color="auto"/>
          <w:color w:val="0000FF"/>
        </w:rPr>
        <w:t xml:space="preserve"> </w:t>
      </w:r>
      <w:hyperlink r:id="rId503">
        <w:r>
          <w:rPr>
            <w:rFonts w:ascii="Arial" w:cs="Arial" w:eastAsia="Arial" w:hAnsi="Arial"/>
            <w:sz w:val="18"/>
            <w:szCs w:val="18"/>
            <w:u w:val="single" w:color="auto"/>
            <w:color w:val="0000FF"/>
          </w:rPr>
          <w:t>Annual Report on Form 10-K for the year ended December 31, 2020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60" w:lineRule="auto"/>
        <w:rPr>
          <w:rFonts w:ascii="Arial" w:cs="Arial" w:eastAsia="Arial" w:hAnsi="Arial"/>
          <w:sz w:val="18"/>
          <w:szCs w:val="18"/>
          <w:color w:val="0000FF"/>
        </w:rPr>
      </w:pPr>
      <w:hyperlink r:id="rId504">
        <w:r>
          <w:rPr>
            <w:rFonts w:ascii="Arial" w:cs="Arial" w:eastAsia="Arial" w:hAnsi="Arial"/>
            <w:sz w:val="18"/>
            <w:szCs w:val="18"/>
            <w:u w:val="single" w:color="auto"/>
            <w:color w:val="0000FF"/>
          </w:rPr>
          <w:t>Supplemental Agreement No. 14, dated as of November 25, 2020, to Purchase Agreement No. 03735 dated as of February 1,</w:t>
        </w:r>
      </w:hyperlink>
      <w:r>
        <w:rPr>
          <w:rFonts w:ascii="Arial" w:cs="Arial" w:eastAsia="Arial" w:hAnsi="Arial"/>
          <w:sz w:val="18"/>
          <w:szCs w:val="18"/>
          <w:u w:val="single" w:color="auto"/>
          <w:color w:val="0000FF"/>
        </w:rPr>
        <w:t xml:space="preserve"> </w:t>
      </w:r>
      <w:hyperlink r:id="rId504">
        <w:r>
          <w:rPr>
            <w:rFonts w:ascii="Arial" w:cs="Arial" w:eastAsia="Arial" w:hAnsi="Arial"/>
            <w:sz w:val="18"/>
            <w:szCs w:val="18"/>
            <w:u w:val="single" w:color="auto"/>
            <w:color w:val="0000FF"/>
          </w:rPr>
          <w:t>2013, by and between American Airlines, Inc. and The Boeing Company (incorporated by reference to Exhibit 10.77 to AAG’s</w:t>
        </w:r>
      </w:hyperlink>
      <w:r>
        <w:rPr>
          <w:rFonts w:ascii="Arial" w:cs="Arial" w:eastAsia="Arial" w:hAnsi="Arial"/>
          <w:sz w:val="18"/>
          <w:szCs w:val="18"/>
          <w:u w:val="single" w:color="auto"/>
          <w:color w:val="0000FF"/>
        </w:rPr>
        <w:t xml:space="preserve"> </w:t>
      </w:r>
      <w:hyperlink r:id="rId504">
        <w:r>
          <w:rPr>
            <w:rFonts w:ascii="Arial" w:cs="Arial" w:eastAsia="Arial" w:hAnsi="Arial"/>
            <w:sz w:val="18"/>
            <w:szCs w:val="18"/>
            <w:u w:val="single" w:color="auto"/>
            <w:color w:val="0000FF"/>
          </w:rPr>
          <w:t>Annual Report on Form 10-K for the year ended December 31, 2020 (Commission File No. 1-8400)).</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FF"/>
        </w:rPr>
      </w:pPr>
    </w:p>
    <w:p>
      <w:pPr>
        <w:jc w:val="both"/>
        <w:spacing w:after="0" w:line="255" w:lineRule="auto"/>
        <w:rPr>
          <w:rFonts w:ascii="Arial" w:cs="Arial" w:eastAsia="Arial" w:hAnsi="Arial"/>
          <w:sz w:val="18"/>
          <w:szCs w:val="18"/>
          <w:color w:val="0000FF"/>
        </w:rPr>
      </w:pPr>
      <w:hyperlink r:id="rId505">
        <w:r>
          <w:rPr>
            <w:rFonts w:ascii="Arial" w:cs="Arial" w:eastAsia="Arial" w:hAnsi="Arial"/>
            <w:sz w:val="18"/>
            <w:szCs w:val="18"/>
            <w:u w:val="single" w:color="auto"/>
            <w:color w:val="0000FF"/>
          </w:rPr>
          <w:t>Supplemental Agreement No. 15, dated as of December 15, 2020, to Purchase Agreement No. 03735 dated as of February 1,</w:t>
        </w:r>
      </w:hyperlink>
      <w:r>
        <w:rPr>
          <w:rFonts w:ascii="Arial" w:cs="Arial" w:eastAsia="Arial" w:hAnsi="Arial"/>
          <w:sz w:val="18"/>
          <w:szCs w:val="18"/>
          <w:u w:val="single" w:color="auto"/>
          <w:color w:val="0000FF"/>
        </w:rPr>
        <w:t xml:space="preserve"> </w:t>
      </w:r>
      <w:hyperlink r:id="rId505">
        <w:r>
          <w:rPr>
            <w:rFonts w:ascii="Arial" w:cs="Arial" w:eastAsia="Arial" w:hAnsi="Arial"/>
            <w:sz w:val="18"/>
            <w:szCs w:val="18"/>
            <w:u w:val="single" w:color="auto"/>
            <w:color w:val="0000FF"/>
          </w:rPr>
          <w:t>2013, by and between American Airlines, Inc. and The Boeing Company (incorporated by reference to Exhibit 10.78 to AAG’s</w:t>
        </w:r>
      </w:hyperlink>
      <w:r>
        <w:rPr>
          <w:rFonts w:ascii="Arial" w:cs="Arial" w:eastAsia="Arial" w:hAnsi="Arial"/>
          <w:sz w:val="18"/>
          <w:szCs w:val="18"/>
          <w:u w:val="single" w:color="auto"/>
          <w:color w:val="0000FF"/>
        </w:rPr>
        <w:t xml:space="preserve"> </w:t>
      </w:r>
      <w:hyperlink r:id="rId505">
        <w:r>
          <w:rPr>
            <w:rFonts w:ascii="Arial" w:cs="Arial" w:eastAsia="Arial" w:hAnsi="Arial"/>
            <w:sz w:val="18"/>
            <w:szCs w:val="18"/>
            <w:u w:val="single" w:color="auto"/>
            <w:color w:val="0000FF"/>
          </w:rPr>
          <w:t>Annual Report on Form 10-K for the year ended December 31, 2020 (Commission File No. 1-8400)).</w:t>
        </w:r>
        <w:r>
          <w:rPr>
            <w:rFonts w:ascii="Arial" w:cs="Arial" w:eastAsia="Arial" w:hAnsi="Arial"/>
            <w:sz w:val="18"/>
            <w:szCs w:val="18"/>
            <w:color w:val="000000"/>
          </w:rPr>
          <w:t>**</w:t>
        </w:r>
      </w:hyperlink>
    </w:p>
    <w:p>
      <w:pPr>
        <w:spacing w:after="0" w:line="1" w:lineRule="exact"/>
        <w:rPr>
          <w:rFonts w:ascii="Arial" w:cs="Arial" w:eastAsia="Arial" w:hAnsi="Arial"/>
          <w:sz w:val="18"/>
          <w:szCs w:val="18"/>
          <w:u w:val="single" w:color="auto"/>
          <w:color w:val="0000FF"/>
        </w:rPr>
      </w:pPr>
    </w:p>
    <w:p>
      <w:pPr>
        <w:sectPr>
          <w:pgSz w:w="11900" w:h="16838" w:orient="portrait"/>
          <w:cols w:equalWidth="0" w:num="2">
            <w:col w:w="560" w:space="360"/>
            <w:col w:w="10300"/>
          </w:cols>
          <w:pgMar w:left="320" w:top="364" w:right="359" w:bottom="1440" w:gutter="0" w:footer="0" w:header="0"/>
          <w:type w:val="continuous"/>
        </w:sectPr>
      </w:pPr>
    </w:p>
    <w:p>
      <w:pPr>
        <w:jc w:val="both"/>
        <w:ind w:left="920" w:hanging="889"/>
        <w:spacing w:after="0" w:line="251"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10.93</w:t>
      </w:r>
      <w:r>
        <w:rPr>
          <w:sz w:val="20"/>
          <w:szCs w:val="20"/>
          <w:color w:val="auto"/>
        </w:rPr>
        <w:tab/>
      </w:r>
      <w:hyperlink r:id="rId506">
        <w:r>
          <w:rPr>
            <w:rFonts w:ascii="Arial" w:cs="Arial" w:eastAsia="Arial" w:hAnsi="Arial"/>
            <w:sz w:val="18"/>
            <w:szCs w:val="18"/>
            <w:u w:val="single" w:color="auto"/>
            <w:color w:val="0000FF"/>
          </w:rPr>
          <w:t>Amendment 1, dated as of December 31, 2020, to the Letter Agreement, dated as of September 4, 2020, to Purchase Agreement</w:t>
        </w:r>
      </w:hyperlink>
      <w:r>
        <w:rPr>
          <w:rFonts w:ascii="Arial" w:cs="Arial" w:eastAsia="Arial" w:hAnsi="Arial"/>
          <w:sz w:val="18"/>
          <w:szCs w:val="18"/>
          <w:u w:val="single" w:color="auto"/>
          <w:color w:val="0000FF"/>
        </w:rPr>
        <w:t xml:space="preserve"> </w:t>
      </w:r>
      <w:hyperlink r:id="rId506">
        <w:r>
          <w:rPr>
            <w:rFonts w:ascii="Arial" w:cs="Arial" w:eastAsia="Arial" w:hAnsi="Arial"/>
            <w:sz w:val="18"/>
            <w:szCs w:val="18"/>
            <w:u w:val="single" w:color="auto"/>
            <w:color w:val="0000FF"/>
          </w:rPr>
          <w:t>No. 03735 dated as of February 1, 2013, by and between American Airlines, Inc. and The Boeing Company (incorporated by</w:t>
        </w:r>
      </w:hyperlink>
      <w:r>
        <w:rPr>
          <w:rFonts w:ascii="Arial" w:cs="Arial" w:eastAsia="Arial" w:hAnsi="Arial"/>
          <w:sz w:val="18"/>
          <w:szCs w:val="18"/>
          <w:u w:val="single" w:color="auto"/>
          <w:color w:val="0000FF"/>
        </w:rPr>
        <w:t xml:space="preserve"> </w:t>
      </w:r>
      <w:hyperlink r:id="rId506">
        <w:r>
          <w:rPr>
            <w:rFonts w:ascii="Arial" w:cs="Arial" w:eastAsia="Arial" w:hAnsi="Arial"/>
            <w:sz w:val="18"/>
            <w:szCs w:val="18"/>
            <w:u w:val="single" w:color="auto"/>
            <w:color w:val="0000FF"/>
          </w:rPr>
          <w:t>reference to Exhibit 10.79 to AAG’s Annual Report on Form 10-K for the year ended December 31, 2020 (Commission File No. 1-</w:t>
        </w:r>
      </w:hyperlink>
      <w:hyperlink r:id="rId506">
        <w:r>
          <w:rPr>
            <w:rFonts w:ascii="Arial" w:cs="Arial" w:eastAsia="Arial" w:hAnsi="Arial"/>
            <w:sz w:val="18"/>
            <w:szCs w:val="18"/>
            <w:u w:val="single" w:color="auto"/>
            <w:color w:val="0000FF"/>
          </w:rPr>
          <w:t>8400)).</w:t>
        </w:r>
        <w:r>
          <w:rPr>
            <w:rFonts w:ascii="Arial" w:cs="Arial" w:eastAsia="Arial" w:hAnsi="Arial"/>
            <w:sz w:val="18"/>
            <w:szCs w:val="18"/>
            <w:color w:val="000000"/>
          </w:rPr>
          <w:t>**</w:t>
        </w:r>
      </w:hyperlink>
    </w:p>
    <w:p>
      <w:pPr>
        <w:spacing w:after="0" w:line="11"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10.94</w:t>
      </w:r>
      <w:r>
        <w:rPr>
          <w:sz w:val="20"/>
          <w:szCs w:val="20"/>
          <w:color w:val="auto"/>
        </w:rPr>
        <w:tab/>
      </w:r>
      <w:hyperlink r:id="rId507">
        <w:r>
          <w:rPr>
            <w:rFonts w:ascii="Arial" w:cs="Arial" w:eastAsia="Arial" w:hAnsi="Arial"/>
            <w:sz w:val="18"/>
            <w:szCs w:val="18"/>
            <w:u w:val="single" w:color="auto"/>
            <w:color w:val="0000FF"/>
          </w:rPr>
          <w:t>Supplemental Agreement No. 16, dated as of January 14, 2021, to Purchase Agreement No. 03735 dated as of February 1,</w:t>
        </w:r>
      </w:hyperlink>
      <w:r>
        <w:rPr>
          <w:rFonts w:ascii="Arial" w:cs="Arial" w:eastAsia="Arial" w:hAnsi="Arial"/>
          <w:sz w:val="18"/>
          <w:szCs w:val="18"/>
          <w:u w:val="single" w:color="auto"/>
          <w:color w:val="0000FF"/>
        </w:rPr>
        <w:t xml:space="preserve"> </w:t>
      </w:r>
      <w:hyperlink r:id="rId507">
        <w:r>
          <w:rPr>
            <w:rFonts w:ascii="Arial" w:cs="Arial" w:eastAsia="Arial" w:hAnsi="Arial"/>
            <w:sz w:val="18"/>
            <w:szCs w:val="18"/>
            <w:u w:val="single" w:color="auto"/>
            <w:color w:val="0000FF"/>
          </w:rPr>
          <w:t>2013, by and between American Airlines, Inc. and The Boeing Company (incorporated by reference to Exhibit 10.5 to AAG’s</w:t>
        </w:r>
      </w:hyperlink>
      <w:r>
        <w:rPr>
          <w:rFonts w:ascii="Arial" w:cs="Arial" w:eastAsia="Arial" w:hAnsi="Arial"/>
          <w:sz w:val="18"/>
          <w:szCs w:val="18"/>
          <w:u w:val="single" w:color="auto"/>
          <w:color w:val="0000FF"/>
        </w:rPr>
        <w:t xml:space="preserve"> </w:t>
      </w:r>
      <w:hyperlink r:id="rId507">
        <w:r>
          <w:rPr>
            <w:rFonts w:ascii="Arial" w:cs="Arial" w:eastAsia="Arial" w:hAnsi="Arial"/>
            <w:sz w:val="18"/>
            <w:szCs w:val="18"/>
            <w:u w:val="single" w:color="auto"/>
            <w:color w:val="0000FF"/>
          </w:rPr>
          <w:t>Quarterly Report on Form 10-Q for the quarter ended March 31, 2021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10.95</w:t>
      </w:r>
      <w:r>
        <w:rPr>
          <w:sz w:val="20"/>
          <w:szCs w:val="20"/>
          <w:color w:val="auto"/>
        </w:rPr>
        <w:tab/>
      </w:r>
      <w:hyperlink r:id="rId508">
        <w:r>
          <w:rPr>
            <w:rFonts w:ascii="Arial" w:cs="Arial" w:eastAsia="Arial" w:hAnsi="Arial"/>
            <w:sz w:val="18"/>
            <w:szCs w:val="18"/>
            <w:u w:val="single" w:color="auto"/>
            <w:color w:val="0000FF"/>
          </w:rPr>
          <w:t>Supplemental Agreement No. 17, dated as of February 11, 2021, to Purchase Agreement No. 03735 dated as of February 1,</w:t>
        </w:r>
      </w:hyperlink>
      <w:r>
        <w:rPr>
          <w:rFonts w:ascii="Arial" w:cs="Arial" w:eastAsia="Arial" w:hAnsi="Arial"/>
          <w:sz w:val="18"/>
          <w:szCs w:val="18"/>
          <w:u w:val="single" w:color="auto"/>
          <w:color w:val="0000FF"/>
        </w:rPr>
        <w:t xml:space="preserve"> </w:t>
      </w:r>
      <w:hyperlink r:id="rId508">
        <w:r>
          <w:rPr>
            <w:rFonts w:ascii="Arial" w:cs="Arial" w:eastAsia="Arial" w:hAnsi="Arial"/>
            <w:sz w:val="18"/>
            <w:szCs w:val="18"/>
            <w:u w:val="single" w:color="auto"/>
            <w:color w:val="0000FF"/>
          </w:rPr>
          <w:t>2013, by and between American Airlines, Inc. and The Boeing Company (incorporated by reference to Exhibit 10.6 to AAG’s</w:t>
        </w:r>
      </w:hyperlink>
      <w:r>
        <w:rPr>
          <w:rFonts w:ascii="Arial" w:cs="Arial" w:eastAsia="Arial" w:hAnsi="Arial"/>
          <w:sz w:val="18"/>
          <w:szCs w:val="18"/>
          <w:u w:val="single" w:color="auto"/>
          <w:color w:val="0000FF"/>
        </w:rPr>
        <w:t xml:space="preserve"> </w:t>
      </w:r>
      <w:hyperlink r:id="rId508">
        <w:r>
          <w:rPr>
            <w:rFonts w:ascii="Arial" w:cs="Arial" w:eastAsia="Arial" w:hAnsi="Arial"/>
            <w:sz w:val="18"/>
            <w:szCs w:val="18"/>
            <w:u w:val="single" w:color="auto"/>
            <w:color w:val="0000FF"/>
          </w:rPr>
          <w:t>Quarterly Report on Form 10-Q for the quarter ended March 31, 2021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10.96</w:t>
      </w:r>
      <w:r>
        <w:rPr>
          <w:sz w:val="20"/>
          <w:szCs w:val="20"/>
          <w:color w:val="auto"/>
        </w:rPr>
        <w:tab/>
      </w:r>
      <w:hyperlink r:id="rId509">
        <w:r>
          <w:rPr>
            <w:rFonts w:ascii="Arial" w:cs="Arial" w:eastAsia="Arial" w:hAnsi="Arial"/>
            <w:sz w:val="18"/>
            <w:szCs w:val="18"/>
            <w:u w:val="single" w:color="auto"/>
            <w:color w:val="0000FF"/>
          </w:rPr>
          <w:t>Supplemental Agreement No. 18, dated as of March 12, 2021, to Purchase Agreement No. 03735 dated as of February 1, 2013,</w:t>
        </w:r>
      </w:hyperlink>
      <w:r>
        <w:rPr>
          <w:rFonts w:ascii="Arial" w:cs="Arial" w:eastAsia="Arial" w:hAnsi="Arial"/>
          <w:sz w:val="18"/>
          <w:szCs w:val="18"/>
          <w:u w:val="single" w:color="auto"/>
          <w:color w:val="0000FF"/>
        </w:rPr>
        <w:t xml:space="preserve"> </w:t>
      </w:r>
      <w:hyperlink r:id="rId509">
        <w:r>
          <w:rPr>
            <w:rFonts w:ascii="Arial" w:cs="Arial" w:eastAsia="Arial" w:hAnsi="Arial"/>
            <w:sz w:val="18"/>
            <w:szCs w:val="18"/>
            <w:u w:val="single" w:color="auto"/>
            <w:color w:val="0000FF"/>
          </w:rPr>
          <w:t>by and between American Airlines, Inc. and The Boeing Company (incorporated by reference to Exhibit 10.7 to AAG’s Quarterly</w:t>
        </w:r>
      </w:hyperlink>
      <w:r>
        <w:rPr>
          <w:rFonts w:ascii="Arial" w:cs="Arial" w:eastAsia="Arial" w:hAnsi="Arial"/>
          <w:sz w:val="18"/>
          <w:szCs w:val="18"/>
          <w:u w:val="single" w:color="auto"/>
          <w:color w:val="0000FF"/>
        </w:rPr>
        <w:t xml:space="preserve"> </w:t>
      </w:r>
      <w:hyperlink r:id="rId509">
        <w:r>
          <w:rPr>
            <w:rFonts w:ascii="Arial" w:cs="Arial" w:eastAsia="Arial" w:hAnsi="Arial"/>
            <w:sz w:val="18"/>
            <w:szCs w:val="18"/>
            <w:u w:val="single" w:color="auto"/>
            <w:color w:val="0000FF"/>
          </w:rPr>
          <w:t>Report on Form 10-Q for the quarter ended March 31, 2021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10.97</w:t>
      </w:r>
      <w:r>
        <w:rPr>
          <w:sz w:val="20"/>
          <w:szCs w:val="20"/>
          <w:color w:val="auto"/>
        </w:rPr>
        <w:tab/>
      </w:r>
      <w:hyperlink r:id="rId510">
        <w:r>
          <w:rPr>
            <w:rFonts w:ascii="Arial" w:cs="Arial" w:eastAsia="Arial" w:hAnsi="Arial"/>
            <w:sz w:val="18"/>
            <w:szCs w:val="18"/>
            <w:u w:val="single" w:color="auto"/>
            <w:color w:val="0000FF"/>
          </w:rPr>
          <w:t>Supplemental Agreement No. 19, dated as of April 8, 2021, to Purchase Agreement No. 03735 dated as of February 1, 2013, by</w:t>
        </w:r>
      </w:hyperlink>
      <w:r>
        <w:rPr>
          <w:rFonts w:ascii="Arial" w:cs="Arial" w:eastAsia="Arial" w:hAnsi="Arial"/>
          <w:sz w:val="18"/>
          <w:szCs w:val="18"/>
          <w:u w:val="single" w:color="auto"/>
          <w:color w:val="0000FF"/>
        </w:rPr>
        <w:t xml:space="preserve"> </w:t>
      </w:r>
      <w:hyperlink r:id="rId510">
        <w:r>
          <w:rPr>
            <w:rFonts w:ascii="Arial" w:cs="Arial" w:eastAsia="Arial" w:hAnsi="Arial"/>
            <w:sz w:val="18"/>
            <w:szCs w:val="18"/>
            <w:u w:val="single" w:color="auto"/>
            <w:color w:val="0000FF"/>
          </w:rPr>
          <w:t>and between American Airlines, Inc. and The Boeing Company (incorporated by reference to Exhibit 10.5 to AAG’s Quarterly</w:t>
        </w:r>
      </w:hyperlink>
      <w:r>
        <w:rPr>
          <w:rFonts w:ascii="Arial" w:cs="Arial" w:eastAsia="Arial" w:hAnsi="Arial"/>
          <w:sz w:val="18"/>
          <w:szCs w:val="18"/>
          <w:u w:val="single" w:color="auto"/>
          <w:color w:val="0000FF"/>
        </w:rPr>
        <w:t xml:space="preserve"> </w:t>
      </w:r>
      <w:hyperlink r:id="rId510">
        <w:r>
          <w:rPr>
            <w:rFonts w:ascii="Arial" w:cs="Arial" w:eastAsia="Arial" w:hAnsi="Arial"/>
            <w:sz w:val="18"/>
            <w:szCs w:val="18"/>
            <w:u w:val="single" w:color="auto"/>
            <w:color w:val="0000FF"/>
          </w:rPr>
          <w:t>Report on Form 10-Q for the quarter ended June 30, 2021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10.98</w:t>
      </w:r>
      <w:r>
        <w:rPr>
          <w:sz w:val="20"/>
          <w:szCs w:val="20"/>
          <w:color w:val="auto"/>
        </w:rPr>
        <w:tab/>
      </w:r>
      <w:hyperlink r:id="rId511">
        <w:r>
          <w:rPr>
            <w:rFonts w:ascii="Arial" w:cs="Arial" w:eastAsia="Arial" w:hAnsi="Arial"/>
            <w:sz w:val="18"/>
            <w:szCs w:val="18"/>
            <w:u w:val="single" w:color="auto"/>
            <w:color w:val="0000FF"/>
          </w:rPr>
          <w:t>Supplemental Agreement No. 20, dated as of November 12, 2021, to Purchase Agreement No. 03735 dated as of February 1,</w:t>
        </w:r>
      </w:hyperlink>
      <w:r>
        <w:rPr>
          <w:rFonts w:ascii="Arial" w:cs="Arial" w:eastAsia="Arial" w:hAnsi="Arial"/>
          <w:sz w:val="18"/>
          <w:szCs w:val="18"/>
          <w:u w:val="single" w:color="auto"/>
          <w:color w:val="0000FF"/>
        </w:rPr>
        <w:t xml:space="preserve"> </w:t>
      </w:r>
      <w:hyperlink r:id="rId511">
        <w:r>
          <w:rPr>
            <w:rFonts w:ascii="Arial" w:cs="Arial" w:eastAsia="Arial" w:hAnsi="Arial"/>
            <w:sz w:val="18"/>
            <w:szCs w:val="18"/>
            <w:u w:val="single" w:color="auto"/>
            <w:color w:val="0000FF"/>
          </w:rPr>
          <w:t>2013, between American Airlines, Inc. and The Boeing Company (incorporated by reference to Exhibit 10.92 to AAG’s Annual</w:t>
        </w:r>
      </w:hyperlink>
      <w:r>
        <w:rPr>
          <w:rFonts w:ascii="Arial" w:cs="Arial" w:eastAsia="Arial" w:hAnsi="Arial"/>
          <w:sz w:val="18"/>
          <w:szCs w:val="18"/>
          <w:u w:val="single" w:color="auto"/>
          <w:color w:val="0000FF"/>
        </w:rPr>
        <w:t xml:space="preserve"> </w:t>
      </w:r>
      <w:hyperlink r:id="rId511">
        <w:r>
          <w:rPr>
            <w:rFonts w:ascii="Arial" w:cs="Arial" w:eastAsia="Arial" w:hAnsi="Arial"/>
            <w:sz w:val="18"/>
            <w:szCs w:val="18"/>
            <w:u w:val="single" w:color="auto"/>
            <w:color w:val="0000FF"/>
          </w:rPr>
          <w:t>Report on Form 10-K for the year ended December 31, 2021 (Commission File No. 1-8400)).</w:t>
        </w:r>
        <w:r>
          <w:rPr>
            <w:rFonts w:ascii="Arial" w:cs="Arial" w:eastAsia="Arial" w:hAnsi="Arial"/>
            <w:sz w:val="18"/>
            <w:szCs w:val="18"/>
            <w:color w:val="000000"/>
          </w:rPr>
          <w:t>**</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10.99</w:t>
      </w:r>
      <w:r>
        <w:rPr>
          <w:sz w:val="20"/>
          <w:szCs w:val="20"/>
          <w:color w:val="auto"/>
        </w:rPr>
        <w:tab/>
      </w:r>
      <w:hyperlink r:id="rId512">
        <w:r>
          <w:rPr>
            <w:rFonts w:ascii="Arial" w:cs="Arial" w:eastAsia="Arial" w:hAnsi="Arial"/>
            <w:sz w:val="18"/>
            <w:szCs w:val="18"/>
            <w:u w:val="single" w:color="auto"/>
            <w:color w:val="0000FF"/>
          </w:rPr>
          <w:t>Supplemental Agreement No. 21, dated as of January 14, 2022, to Purchase Agreement No. 03735 dated as of February 1,</w:t>
        </w:r>
      </w:hyperlink>
      <w:r>
        <w:rPr>
          <w:rFonts w:ascii="Arial" w:cs="Arial" w:eastAsia="Arial" w:hAnsi="Arial"/>
          <w:sz w:val="18"/>
          <w:szCs w:val="18"/>
          <w:u w:val="single" w:color="auto"/>
          <w:color w:val="0000FF"/>
        </w:rPr>
        <w:t xml:space="preserve"> </w:t>
      </w:r>
      <w:hyperlink r:id="rId512">
        <w:r>
          <w:rPr>
            <w:rFonts w:ascii="Arial" w:cs="Arial" w:eastAsia="Arial" w:hAnsi="Arial"/>
            <w:sz w:val="18"/>
            <w:szCs w:val="18"/>
            <w:u w:val="single" w:color="auto"/>
            <w:color w:val="0000FF"/>
          </w:rPr>
          <w:t>2013, by and between American Airlines, Inc. and The Boeing Company (incorporated by reference to Exhibit 10.2 to AAG’s</w:t>
        </w:r>
      </w:hyperlink>
      <w:r>
        <w:rPr>
          <w:rFonts w:ascii="Arial" w:cs="Arial" w:eastAsia="Arial" w:hAnsi="Arial"/>
          <w:sz w:val="18"/>
          <w:szCs w:val="18"/>
          <w:u w:val="single" w:color="auto"/>
          <w:color w:val="0000FF"/>
        </w:rPr>
        <w:t xml:space="preserve"> </w:t>
      </w:r>
      <w:hyperlink r:id="rId512">
        <w:r>
          <w:rPr>
            <w:rFonts w:ascii="Arial" w:cs="Arial" w:eastAsia="Arial" w:hAnsi="Arial"/>
            <w:sz w:val="18"/>
            <w:szCs w:val="18"/>
            <w:u w:val="single" w:color="auto"/>
            <w:color w:val="0000FF"/>
          </w:rPr>
          <w:t>Quarterly Report on Form 10-Q for the quarter ended March 31, 2022 (Commission File No. 1-8400)).**</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10.100</w:t>
      </w:r>
      <w:r>
        <w:rPr>
          <w:sz w:val="20"/>
          <w:szCs w:val="20"/>
          <w:color w:val="auto"/>
        </w:rPr>
        <w:tab/>
      </w:r>
      <w:hyperlink r:id="rId513">
        <w:r>
          <w:rPr>
            <w:rFonts w:ascii="Arial" w:cs="Arial" w:eastAsia="Arial" w:hAnsi="Arial"/>
            <w:sz w:val="18"/>
            <w:szCs w:val="18"/>
            <w:u w:val="single" w:color="auto"/>
            <w:color w:val="0000FF"/>
          </w:rPr>
          <w:t>Supplemental Agreement No. 22, dated as of January 31, 2022, to Purchase Agreement No. 03735 dated as of February 1,</w:t>
        </w:r>
      </w:hyperlink>
      <w:r>
        <w:rPr>
          <w:rFonts w:ascii="Arial" w:cs="Arial" w:eastAsia="Arial" w:hAnsi="Arial"/>
          <w:sz w:val="18"/>
          <w:szCs w:val="18"/>
          <w:u w:val="single" w:color="auto"/>
          <w:color w:val="0000FF"/>
        </w:rPr>
        <w:t xml:space="preserve"> </w:t>
      </w:r>
      <w:hyperlink r:id="rId513">
        <w:r>
          <w:rPr>
            <w:rFonts w:ascii="Arial" w:cs="Arial" w:eastAsia="Arial" w:hAnsi="Arial"/>
            <w:sz w:val="18"/>
            <w:szCs w:val="18"/>
            <w:u w:val="single" w:color="auto"/>
            <w:color w:val="0000FF"/>
          </w:rPr>
          <w:t>2013, by and between American Airlines, Inc. and The Boeing Company (incorporated by reference to Exhibit 10.3 to AAG’s</w:t>
        </w:r>
      </w:hyperlink>
      <w:r>
        <w:rPr>
          <w:rFonts w:ascii="Arial" w:cs="Arial" w:eastAsia="Arial" w:hAnsi="Arial"/>
          <w:sz w:val="18"/>
          <w:szCs w:val="18"/>
          <w:u w:val="single" w:color="auto"/>
          <w:color w:val="0000FF"/>
        </w:rPr>
        <w:t xml:space="preserve"> </w:t>
      </w:r>
      <w:hyperlink r:id="rId513">
        <w:r>
          <w:rPr>
            <w:rFonts w:ascii="Arial" w:cs="Arial" w:eastAsia="Arial" w:hAnsi="Arial"/>
            <w:sz w:val="18"/>
            <w:szCs w:val="18"/>
            <w:u w:val="single" w:color="auto"/>
            <w:color w:val="0000FF"/>
          </w:rPr>
          <w:t>Quarterly Report on Form 10-Q for the quarter ended March 31, 2022 (Commission File No. 1-8400)).**</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10.101</w:t>
      </w:r>
      <w:r>
        <w:rPr>
          <w:sz w:val="20"/>
          <w:szCs w:val="20"/>
          <w:color w:val="auto"/>
        </w:rPr>
        <w:tab/>
      </w:r>
      <w:hyperlink r:id="rId514">
        <w:r>
          <w:rPr>
            <w:rFonts w:ascii="Arial" w:cs="Arial" w:eastAsia="Arial" w:hAnsi="Arial"/>
            <w:sz w:val="18"/>
            <w:szCs w:val="18"/>
            <w:u w:val="single" w:color="auto"/>
            <w:color w:val="0000FF"/>
          </w:rPr>
          <w:t>Supplemental Agreement No. 23, dated as of May 5, 2022, to Purchase Agreement No. 03735 dated as of February 1, 2013, by</w:t>
        </w:r>
      </w:hyperlink>
      <w:r>
        <w:rPr>
          <w:rFonts w:ascii="Arial" w:cs="Arial" w:eastAsia="Arial" w:hAnsi="Arial"/>
          <w:sz w:val="18"/>
          <w:szCs w:val="18"/>
          <w:u w:val="single" w:color="auto"/>
          <w:color w:val="0000FF"/>
        </w:rPr>
        <w:t xml:space="preserve"> </w:t>
      </w:r>
      <w:hyperlink r:id="rId514">
        <w:r>
          <w:rPr>
            <w:rFonts w:ascii="Arial" w:cs="Arial" w:eastAsia="Arial" w:hAnsi="Arial"/>
            <w:sz w:val="18"/>
            <w:szCs w:val="18"/>
            <w:u w:val="single" w:color="auto"/>
            <w:color w:val="0000FF"/>
          </w:rPr>
          <w:t>and between American Airlines, Inc. and The Boeing Company (incorporated by reference to Exhibit 10.1 to AAG’s Quarterly</w:t>
        </w:r>
      </w:hyperlink>
      <w:r>
        <w:rPr>
          <w:rFonts w:ascii="Arial" w:cs="Arial" w:eastAsia="Arial" w:hAnsi="Arial"/>
          <w:sz w:val="18"/>
          <w:szCs w:val="18"/>
          <w:u w:val="single" w:color="auto"/>
          <w:color w:val="0000FF"/>
        </w:rPr>
        <w:t xml:space="preserve"> </w:t>
      </w:r>
      <w:hyperlink r:id="rId514">
        <w:r>
          <w:rPr>
            <w:rFonts w:ascii="Arial" w:cs="Arial" w:eastAsia="Arial" w:hAnsi="Arial"/>
            <w:sz w:val="18"/>
            <w:szCs w:val="18"/>
            <w:u w:val="single" w:color="auto"/>
            <w:color w:val="0000FF"/>
          </w:rPr>
          <w:t>Report on Form 10-Q for the quarter ended June 30, 2022 (Commission File No. 1-8400)).**</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10.102</w:t>
      </w:r>
      <w:r>
        <w:rPr>
          <w:sz w:val="20"/>
          <w:szCs w:val="20"/>
          <w:color w:val="auto"/>
        </w:rPr>
        <w:tab/>
      </w:r>
      <w:hyperlink r:id="rId515">
        <w:r>
          <w:rPr>
            <w:rFonts w:ascii="Arial" w:cs="Arial" w:eastAsia="Arial" w:hAnsi="Arial"/>
            <w:sz w:val="18"/>
            <w:szCs w:val="18"/>
            <w:u w:val="single" w:color="auto"/>
            <w:color w:val="0000FF"/>
          </w:rPr>
          <w:t>Supplemental Agreement No. 24, dated as of June 6, 2022, to Purchase Agreement No. 03735 dated as of February 1, 2013, by</w:t>
        </w:r>
      </w:hyperlink>
      <w:r>
        <w:rPr>
          <w:rFonts w:ascii="Arial" w:cs="Arial" w:eastAsia="Arial" w:hAnsi="Arial"/>
          <w:sz w:val="18"/>
          <w:szCs w:val="18"/>
          <w:u w:val="single" w:color="auto"/>
          <w:color w:val="0000FF"/>
        </w:rPr>
        <w:t xml:space="preserve"> </w:t>
      </w:r>
      <w:hyperlink r:id="rId515">
        <w:r>
          <w:rPr>
            <w:rFonts w:ascii="Arial" w:cs="Arial" w:eastAsia="Arial" w:hAnsi="Arial"/>
            <w:sz w:val="18"/>
            <w:szCs w:val="18"/>
            <w:u w:val="single" w:color="auto"/>
            <w:color w:val="0000FF"/>
          </w:rPr>
          <w:t>and between American Airlines, Inc. and The Boeing Company (incorporated by reference to Exhibit 10.2 to AAG’s Quarterly</w:t>
        </w:r>
      </w:hyperlink>
      <w:r>
        <w:rPr>
          <w:rFonts w:ascii="Arial" w:cs="Arial" w:eastAsia="Arial" w:hAnsi="Arial"/>
          <w:sz w:val="18"/>
          <w:szCs w:val="18"/>
          <w:u w:val="single" w:color="auto"/>
          <w:color w:val="0000FF"/>
        </w:rPr>
        <w:t xml:space="preserve"> </w:t>
      </w:r>
      <w:hyperlink r:id="rId515">
        <w:r>
          <w:rPr>
            <w:rFonts w:ascii="Arial" w:cs="Arial" w:eastAsia="Arial" w:hAnsi="Arial"/>
            <w:sz w:val="18"/>
            <w:szCs w:val="18"/>
            <w:u w:val="single" w:color="auto"/>
            <w:color w:val="0000FF"/>
          </w:rPr>
          <w:t>Report on Form 10-Q for the quarter ended June 30, 2022 (Commission File No. 1-8400)).**</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10.103</w:t>
      </w:r>
      <w:r>
        <w:rPr>
          <w:sz w:val="20"/>
          <w:szCs w:val="20"/>
          <w:color w:val="auto"/>
        </w:rPr>
        <w:tab/>
      </w:r>
      <w:hyperlink r:id="rId516">
        <w:r>
          <w:rPr>
            <w:rFonts w:ascii="Arial" w:cs="Arial" w:eastAsia="Arial" w:hAnsi="Arial"/>
            <w:sz w:val="18"/>
            <w:szCs w:val="18"/>
            <w:u w:val="single" w:color="auto"/>
            <w:color w:val="0000FF"/>
          </w:rPr>
          <w:t>Supplemental Agreement No. 25, dated as of July 1, 2022, to Purchase Agreement No. 03735 dated as of February 1, 2013, by</w:t>
        </w:r>
      </w:hyperlink>
      <w:r>
        <w:rPr>
          <w:rFonts w:ascii="Arial" w:cs="Arial" w:eastAsia="Arial" w:hAnsi="Arial"/>
          <w:sz w:val="18"/>
          <w:szCs w:val="18"/>
          <w:u w:val="single" w:color="auto"/>
          <w:color w:val="0000FF"/>
        </w:rPr>
        <w:t xml:space="preserve"> </w:t>
      </w:r>
      <w:hyperlink r:id="rId516">
        <w:r>
          <w:rPr>
            <w:rFonts w:ascii="Arial" w:cs="Arial" w:eastAsia="Arial" w:hAnsi="Arial"/>
            <w:sz w:val="18"/>
            <w:szCs w:val="18"/>
            <w:u w:val="single" w:color="auto"/>
            <w:color w:val="0000FF"/>
          </w:rPr>
          <w:t>and between American Airlines, Inc. and The Boeing Company (incorporated by reference to Exhibit 10.1 to AAG’s Quarterly</w:t>
        </w:r>
      </w:hyperlink>
      <w:r>
        <w:rPr>
          <w:rFonts w:ascii="Arial" w:cs="Arial" w:eastAsia="Arial" w:hAnsi="Arial"/>
          <w:sz w:val="18"/>
          <w:szCs w:val="18"/>
          <w:u w:val="single" w:color="auto"/>
          <w:color w:val="0000FF"/>
        </w:rPr>
        <w:t xml:space="preserve"> </w:t>
      </w:r>
      <w:hyperlink r:id="rId516">
        <w:r>
          <w:rPr>
            <w:rFonts w:ascii="Arial" w:cs="Arial" w:eastAsia="Arial" w:hAnsi="Arial"/>
            <w:sz w:val="18"/>
            <w:szCs w:val="18"/>
            <w:u w:val="single" w:color="auto"/>
            <w:color w:val="0000FF"/>
          </w:rPr>
          <w:t>Report on Form 10-Q for the quarter ended September 30, 2022 (Commission File No. 1-8400)).**</w:t>
        </w:r>
      </w:hyperlink>
    </w:p>
    <w:p>
      <w:pPr>
        <w:spacing w:after="0" w:line="200" w:lineRule="exact"/>
        <w:rPr>
          <w:rFonts w:ascii="Arial" w:cs="Arial" w:eastAsia="Arial" w:hAnsi="Arial"/>
          <w:sz w:val="18"/>
          <w:szCs w:val="18"/>
          <w:u w:val="single" w:color="auto"/>
          <w:color w:val="0000FF"/>
        </w:rPr>
      </w:pPr>
    </w:p>
    <w:p>
      <w:pPr>
        <w:spacing w:after="0" w:line="321"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89"/>
        <w:spacing w:after="0" w:line="243"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10.104</w:t>
      </w:r>
      <w:r>
        <w:rPr>
          <w:sz w:val="20"/>
          <w:szCs w:val="20"/>
          <w:color w:val="auto"/>
        </w:rPr>
        <w:tab/>
      </w:r>
      <w:hyperlink r:id="rId518">
        <w:r>
          <w:rPr>
            <w:rFonts w:ascii="Arial" w:cs="Arial" w:eastAsia="Arial" w:hAnsi="Arial"/>
            <w:sz w:val="18"/>
            <w:szCs w:val="18"/>
            <w:u w:val="single" w:color="auto"/>
            <w:color w:val="0000FF"/>
          </w:rPr>
          <w:t>Supplemental Agreement No. 26, dated as of August 1, 2022, to Purchase Agreement No. 03735 dated as of February 1, 2013,</w:t>
        </w:r>
      </w:hyperlink>
      <w:r>
        <w:rPr>
          <w:rFonts w:ascii="Arial" w:cs="Arial" w:eastAsia="Arial" w:hAnsi="Arial"/>
          <w:sz w:val="18"/>
          <w:szCs w:val="18"/>
          <w:u w:val="single" w:color="auto"/>
          <w:color w:val="0000FF"/>
        </w:rPr>
        <w:t xml:space="preserve"> </w:t>
      </w:r>
      <w:hyperlink r:id="rId518">
        <w:r>
          <w:rPr>
            <w:rFonts w:ascii="Arial" w:cs="Arial" w:eastAsia="Arial" w:hAnsi="Arial"/>
            <w:sz w:val="18"/>
            <w:szCs w:val="18"/>
            <w:u w:val="single" w:color="auto"/>
            <w:color w:val="0000FF"/>
          </w:rPr>
          <w:t>by and between American Airlines, Inc. and The Boeing Company (incorporated by reference to Exhibit 10.2 to AAG’s Quarterly</w:t>
        </w:r>
      </w:hyperlink>
      <w:r>
        <w:rPr>
          <w:rFonts w:ascii="Arial" w:cs="Arial" w:eastAsia="Arial" w:hAnsi="Arial"/>
          <w:sz w:val="18"/>
          <w:szCs w:val="18"/>
          <w:u w:val="single" w:color="auto"/>
          <w:color w:val="0000FF"/>
        </w:rPr>
        <w:t xml:space="preserve"> </w:t>
      </w:r>
      <w:hyperlink r:id="rId518">
        <w:r>
          <w:rPr>
            <w:rFonts w:ascii="Arial" w:cs="Arial" w:eastAsia="Arial" w:hAnsi="Arial"/>
            <w:sz w:val="18"/>
            <w:szCs w:val="18"/>
            <w:u w:val="single" w:color="auto"/>
            <w:color w:val="0000FF"/>
          </w:rPr>
          <w:t>Report on Form 10-Q for the quarter ended September 30, 2022 (Commission File No. 1-8400)).**</w:t>
        </w:r>
      </w:hyperlink>
    </w:p>
    <w:p>
      <w:pPr>
        <w:spacing w:after="0" w:line="15"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10.105</w:t>
      </w:r>
      <w:r>
        <w:rPr>
          <w:sz w:val="20"/>
          <w:szCs w:val="20"/>
          <w:color w:val="auto"/>
        </w:rPr>
        <w:tab/>
      </w:r>
      <w:hyperlink r:id="rId519">
        <w:r>
          <w:rPr>
            <w:rFonts w:ascii="Arial" w:cs="Arial" w:eastAsia="Arial" w:hAnsi="Arial"/>
            <w:sz w:val="18"/>
            <w:szCs w:val="18"/>
            <w:u w:val="single" w:color="auto"/>
            <w:color w:val="0000FF"/>
          </w:rPr>
          <w:t>Supplemental Agreement No. 27, dated as of October 3, 2022, to Purchase Agreement No. 03735 dated as of February 1, 2013,</w:t>
        </w:r>
      </w:hyperlink>
      <w:r>
        <w:rPr>
          <w:rFonts w:ascii="Arial" w:cs="Arial" w:eastAsia="Arial" w:hAnsi="Arial"/>
          <w:sz w:val="18"/>
          <w:szCs w:val="18"/>
          <w:u w:val="single" w:color="auto"/>
          <w:color w:val="0000FF"/>
        </w:rPr>
        <w:t xml:space="preserve"> </w:t>
      </w:r>
      <w:hyperlink r:id="rId519">
        <w:r>
          <w:rPr>
            <w:rFonts w:ascii="Arial" w:cs="Arial" w:eastAsia="Arial" w:hAnsi="Arial"/>
            <w:sz w:val="18"/>
            <w:szCs w:val="18"/>
            <w:u w:val="single" w:color="auto"/>
            <w:color w:val="0000FF"/>
          </w:rPr>
          <w:t>between American Airlines, Inc. and the Boeing Company (incorporated by reference to Exhibit 10.101 to AAG’s Annual Report</w:t>
        </w:r>
      </w:hyperlink>
      <w:r>
        <w:rPr>
          <w:rFonts w:ascii="Arial" w:cs="Arial" w:eastAsia="Arial" w:hAnsi="Arial"/>
          <w:sz w:val="18"/>
          <w:szCs w:val="18"/>
          <w:u w:val="single" w:color="auto"/>
          <w:color w:val="0000FF"/>
        </w:rPr>
        <w:t xml:space="preserve"> </w:t>
      </w:r>
      <w:hyperlink r:id="rId519">
        <w:r>
          <w:rPr>
            <w:rFonts w:ascii="Arial" w:cs="Arial" w:eastAsia="Arial" w:hAnsi="Arial"/>
            <w:sz w:val="18"/>
            <w:szCs w:val="18"/>
            <w:u w:val="single" w:color="auto"/>
            <w:color w:val="0000FF"/>
          </w:rPr>
          <w:t>on Form 10-K for the year ended December 31, 2022 (Commission File No. 1-8400)).**</w:t>
        </w:r>
      </w:hyperlink>
    </w:p>
    <w:p>
      <w:pPr>
        <w:spacing w:after="0" w:line="9" w:lineRule="exact"/>
        <w:rPr>
          <w:rFonts w:ascii="Arial" w:cs="Arial" w:eastAsia="Arial" w:hAnsi="Arial"/>
          <w:sz w:val="18"/>
          <w:szCs w:val="18"/>
          <w:u w:val="single" w:color="auto"/>
          <w:color w:val="0000FF"/>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10.106</w:t>
      </w:r>
      <w:r>
        <w:rPr>
          <w:sz w:val="20"/>
          <w:szCs w:val="20"/>
          <w:color w:val="auto"/>
        </w:rPr>
        <w:tab/>
      </w:r>
      <w:hyperlink r:id="rId520">
        <w:r>
          <w:rPr>
            <w:rFonts w:ascii="Arial" w:cs="Arial" w:eastAsia="Arial" w:hAnsi="Arial"/>
            <w:sz w:val="18"/>
            <w:szCs w:val="18"/>
            <w:u w:val="single" w:color="auto"/>
            <w:color w:val="0000FF"/>
          </w:rPr>
          <w:t>Supplemental Agreement No. 28, dated as of November 4, 2022, to Purchase Agreement No. 03735 dated as of February 1,</w:t>
        </w:r>
      </w:hyperlink>
      <w:r>
        <w:rPr>
          <w:rFonts w:ascii="Arial" w:cs="Arial" w:eastAsia="Arial" w:hAnsi="Arial"/>
          <w:sz w:val="18"/>
          <w:szCs w:val="18"/>
          <w:u w:val="single" w:color="auto"/>
          <w:color w:val="0000FF"/>
        </w:rPr>
        <w:t xml:space="preserve"> </w:t>
      </w:r>
      <w:hyperlink r:id="rId520">
        <w:r>
          <w:rPr>
            <w:rFonts w:ascii="Arial" w:cs="Arial" w:eastAsia="Arial" w:hAnsi="Arial"/>
            <w:sz w:val="18"/>
            <w:szCs w:val="18"/>
            <w:u w:val="single" w:color="auto"/>
            <w:color w:val="0000FF"/>
          </w:rPr>
          <w:t>2013, between American Airlines, Inc. and the Boeing Company (incorporated by reference to Exhibit 10.102 to AAG’s Annual</w:t>
        </w:r>
      </w:hyperlink>
      <w:r>
        <w:rPr>
          <w:rFonts w:ascii="Arial" w:cs="Arial" w:eastAsia="Arial" w:hAnsi="Arial"/>
          <w:sz w:val="18"/>
          <w:szCs w:val="18"/>
          <w:u w:val="single" w:color="auto"/>
          <w:color w:val="0000FF"/>
        </w:rPr>
        <w:t xml:space="preserve"> </w:t>
      </w:r>
      <w:hyperlink r:id="rId520">
        <w:r>
          <w:rPr>
            <w:rFonts w:ascii="Arial" w:cs="Arial" w:eastAsia="Arial" w:hAnsi="Arial"/>
            <w:sz w:val="18"/>
            <w:szCs w:val="18"/>
            <w:u w:val="single" w:color="auto"/>
            <w:color w:val="0000FF"/>
          </w:rPr>
          <w:t>Report on Form 10-K for the year ended December 31, 2022 (Commission File No. 1-8400)).**</w:t>
        </w:r>
      </w:hyperlink>
    </w:p>
    <w:p>
      <w:pPr>
        <w:spacing w:after="0" w:line="9" w:lineRule="exact"/>
        <w:rPr>
          <w:rFonts w:ascii="Arial" w:cs="Arial" w:eastAsia="Arial" w:hAnsi="Arial"/>
          <w:sz w:val="18"/>
          <w:szCs w:val="18"/>
          <w:u w:val="single" w:color="auto"/>
          <w:color w:val="0000FF"/>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10.107</w:t>
      </w:r>
      <w:r>
        <w:rPr>
          <w:sz w:val="20"/>
          <w:szCs w:val="20"/>
          <w:color w:val="auto"/>
        </w:rPr>
        <w:tab/>
      </w:r>
      <w:hyperlink r:id="rId521">
        <w:r>
          <w:rPr>
            <w:rFonts w:ascii="Arial" w:cs="Arial" w:eastAsia="Arial" w:hAnsi="Arial"/>
            <w:sz w:val="18"/>
            <w:szCs w:val="18"/>
            <w:u w:val="single" w:color="auto"/>
            <w:color w:val="0000FF"/>
          </w:rPr>
          <w:t>Supplemental Agreement No. 29, dated as of May 23, 2023, to Purchase Agreement No. 03735 dated as of February 1, 2013,</w:t>
        </w:r>
      </w:hyperlink>
      <w:r>
        <w:rPr>
          <w:rFonts w:ascii="Arial" w:cs="Arial" w:eastAsia="Arial" w:hAnsi="Arial"/>
          <w:sz w:val="18"/>
          <w:szCs w:val="18"/>
          <w:u w:val="single" w:color="auto"/>
          <w:color w:val="0000FF"/>
        </w:rPr>
        <w:t xml:space="preserve"> </w:t>
      </w:r>
      <w:hyperlink r:id="rId521">
        <w:r>
          <w:rPr>
            <w:rFonts w:ascii="Arial" w:cs="Arial" w:eastAsia="Arial" w:hAnsi="Arial"/>
            <w:sz w:val="18"/>
            <w:szCs w:val="18"/>
            <w:u w:val="single" w:color="auto"/>
            <w:color w:val="0000FF"/>
          </w:rPr>
          <w:t>between American Airlines, Inc. and the Boeing Company (incorporated by reference to Exhibit 10.2 to AAG’s Quarterly Report</w:t>
        </w:r>
      </w:hyperlink>
    </w:p>
    <w:p>
      <w:pPr>
        <w:spacing w:after="0" w:line="1" w:lineRule="exact"/>
        <w:rPr>
          <w:sz w:val="20"/>
          <w:szCs w:val="20"/>
          <w:color w:val="auto"/>
        </w:rPr>
      </w:pPr>
    </w:p>
    <w:p>
      <w:pPr>
        <w:ind w:left="920"/>
        <w:spacing w:after="0"/>
        <w:rPr>
          <w:rFonts w:ascii="Arial" w:cs="Arial" w:eastAsia="Arial" w:hAnsi="Arial"/>
          <w:sz w:val="18"/>
          <w:szCs w:val="18"/>
          <w:u w:val="single" w:color="auto"/>
          <w:color w:val="0000FF"/>
        </w:rPr>
      </w:pPr>
      <w:hyperlink r:id="rId521">
        <w:r>
          <w:rPr>
            <w:rFonts w:ascii="Arial" w:cs="Arial" w:eastAsia="Arial" w:hAnsi="Arial"/>
            <w:sz w:val="18"/>
            <w:szCs w:val="18"/>
            <w:u w:val="single" w:color="auto"/>
            <w:color w:val="0000FF"/>
          </w:rPr>
          <w:t>on Form 10-Q for the quarter ended June 30, 2023 (Commission File No. 1-8400)).**</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10.108</w:t>
      </w:r>
      <w:r>
        <w:rPr>
          <w:sz w:val="20"/>
          <w:szCs w:val="20"/>
          <w:color w:val="auto"/>
        </w:rPr>
        <w:tab/>
      </w:r>
      <w:hyperlink r:id="rId522">
        <w:r>
          <w:rPr>
            <w:rFonts w:ascii="Arial" w:cs="Arial" w:eastAsia="Arial" w:hAnsi="Arial"/>
            <w:sz w:val="18"/>
            <w:szCs w:val="18"/>
            <w:u w:val="single" w:color="auto"/>
            <w:color w:val="0000FF"/>
          </w:rPr>
          <w:t>Supplemental Agreement No. 30, dated as of June 2, 2023, to Purchase Agreement No. 03735 dated as of February 1, 2013,</w:t>
        </w:r>
      </w:hyperlink>
      <w:r>
        <w:rPr>
          <w:rFonts w:ascii="Arial" w:cs="Arial" w:eastAsia="Arial" w:hAnsi="Arial"/>
          <w:sz w:val="18"/>
          <w:szCs w:val="18"/>
          <w:u w:val="single" w:color="auto"/>
          <w:color w:val="0000FF"/>
        </w:rPr>
        <w:t xml:space="preserve"> </w:t>
      </w:r>
      <w:hyperlink r:id="rId522">
        <w:r>
          <w:rPr>
            <w:rFonts w:ascii="Arial" w:cs="Arial" w:eastAsia="Arial" w:hAnsi="Arial"/>
            <w:sz w:val="18"/>
            <w:szCs w:val="18"/>
            <w:u w:val="single" w:color="auto"/>
            <w:color w:val="0000FF"/>
          </w:rPr>
          <w:t>between American Airlines, Inc. and the Boeing Company (incorporated by reference to Exhibit 10.3 to AAG’s Quarterly Report</w:t>
        </w:r>
      </w:hyperlink>
    </w:p>
    <w:p>
      <w:pPr>
        <w:ind w:left="920"/>
        <w:spacing w:after="0"/>
        <w:rPr>
          <w:rFonts w:ascii="Arial" w:cs="Arial" w:eastAsia="Arial" w:hAnsi="Arial"/>
          <w:sz w:val="18"/>
          <w:szCs w:val="18"/>
          <w:u w:val="single" w:color="auto"/>
          <w:color w:val="0000FF"/>
        </w:rPr>
      </w:pPr>
      <w:hyperlink r:id="rId522">
        <w:r>
          <w:rPr>
            <w:rFonts w:ascii="Arial" w:cs="Arial" w:eastAsia="Arial" w:hAnsi="Arial"/>
            <w:sz w:val="18"/>
            <w:szCs w:val="18"/>
            <w:u w:val="single" w:color="auto"/>
            <w:color w:val="0000FF"/>
          </w:rPr>
          <w:t>on Form 10-Q for the quarter ended June 30, 2023 (Commission File No. 1-8400)).**</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10.109</w:t>
      </w:r>
      <w:r>
        <w:rPr>
          <w:sz w:val="20"/>
          <w:szCs w:val="20"/>
          <w:color w:val="auto"/>
        </w:rPr>
        <w:tab/>
      </w:r>
      <w:hyperlink r:id="rId523">
        <w:r>
          <w:rPr>
            <w:rFonts w:ascii="Arial" w:cs="Arial" w:eastAsia="Arial" w:hAnsi="Arial"/>
            <w:sz w:val="18"/>
            <w:szCs w:val="18"/>
            <w:u w:val="single" w:color="auto"/>
            <w:color w:val="0000FF"/>
          </w:rPr>
          <w:t>Supplemental Agreement No. 31, dated as of July 5, 2023, to Purchase Agreement No. 03735 dated as of February 1, 2013,</w:t>
        </w:r>
      </w:hyperlink>
      <w:r>
        <w:rPr>
          <w:rFonts w:ascii="Arial" w:cs="Arial" w:eastAsia="Arial" w:hAnsi="Arial"/>
          <w:sz w:val="18"/>
          <w:szCs w:val="18"/>
          <w:u w:val="single" w:color="auto"/>
          <w:color w:val="0000FF"/>
        </w:rPr>
        <w:t xml:space="preserve"> </w:t>
      </w:r>
      <w:hyperlink r:id="rId523">
        <w:r>
          <w:rPr>
            <w:rFonts w:ascii="Arial" w:cs="Arial" w:eastAsia="Arial" w:hAnsi="Arial"/>
            <w:sz w:val="18"/>
            <w:szCs w:val="18"/>
            <w:u w:val="single" w:color="auto"/>
            <w:color w:val="0000FF"/>
          </w:rPr>
          <w:t>between American Airlines, Inc. and the Boeing Company (incorporated by reference to Exhibit 10.1 to AAG’s Quarterly Report</w:t>
        </w:r>
      </w:hyperlink>
    </w:p>
    <w:p>
      <w:pPr>
        <w:ind w:left="920"/>
        <w:spacing w:after="0"/>
        <w:rPr>
          <w:rFonts w:ascii="Arial" w:cs="Arial" w:eastAsia="Arial" w:hAnsi="Arial"/>
          <w:sz w:val="18"/>
          <w:szCs w:val="18"/>
          <w:u w:val="single" w:color="auto"/>
          <w:color w:val="0000FF"/>
        </w:rPr>
      </w:pPr>
      <w:hyperlink r:id="rId523">
        <w:r>
          <w:rPr>
            <w:rFonts w:ascii="Arial" w:cs="Arial" w:eastAsia="Arial" w:hAnsi="Arial"/>
            <w:sz w:val="18"/>
            <w:szCs w:val="18"/>
            <w:u w:val="single" w:color="auto"/>
            <w:color w:val="0000FF"/>
          </w:rPr>
          <w:t>on Form 10-Q for the quarter ended September 30, 2023 (Commission File No. 1-8400)).**</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10.110</w:t>
      </w:r>
      <w:r>
        <w:rPr>
          <w:sz w:val="20"/>
          <w:szCs w:val="20"/>
          <w:color w:val="auto"/>
        </w:rPr>
        <w:tab/>
      </w:r>
      <w:hyperlink r:id="rId524">
        <w:r>
          <w:rPr>
            <w:rFonts w:ascii="Arial" w:cs="Arial" w:eastAsia="Arial" w:hAnsi="Arial"/>
            <w:sz w:val="18"/>
            <w:szCs w:val="18"/>
            <w:u w:val="single" w:color="auto"/>
            <w:color w:val="0000FF"/>
          </w:rPr>
          <w:t>Consent Agreement, dated as of October 5, 2015, between American Airlines, Inc. (as successor in interest to US Airways, Inc.),</w:t>
        </w:r>
      </w:hyperlink>
      <w:r>
        <w:rPr>
          <w:rFonts w:ascii="Arial" w:cs="Arial" w:eastAsia="Arial" w:hAnsi="Arial"/>
          <w:sz w:val="18"/>
          <w:szCs w:val="18"/>
          <w:u w:val="single" w:color="auto"/>
          <w:color w:val="0000FF"/>
        </w:rPr>
        <w:t xml:space="preserve"> </w:t>
      </w:r>
      <w:hyperlink r:id="rId524">
        <w:r>
          <w:rPr>
            <w:rFonts w:ascii="Arial" w:cs="Arial" w:eastAsia="Arial" w:hAnsi="Arial"/>
            <w:sz w:val="18"/>
            <w:szCs w:val="18"/>
            <w:u w:val="single" w:color="auto"/>
            <w:color w:val="0000FF"/>
          </w:rPr>
          <w:t>American Airlines, Inc. and Airbus S.A.S. (incorporated by reference to Exhibit 10.95 to AAG’s Annual Report on Form 10-K for</w:t>
        </w:r>
      </w:hyperlink>
    </w:p>
    <w:p>
      <w:pPr>
        <w:ind w:left="920"/>
        <w:spacing w:after="0"/>
        <w:rPr>
          <w:rFonts w:ascii="Arial" w:cs="Arial" w:eastAsia="Arial" w:hAnsi="Arial"/>
          <w:sz w:val="18"/>
          <w:szCs w:val="18"/>
          <w:color w:val="0000FF"/>
        </w:rPr>
      </w:pPr>
      <w:hyperlink r:id="rId524">
        <w:r>
          <w:rPr>
            <w:rFonts w:ascii="Arial" w:cs="Arial" w:eastAsia="Arial" w:hAnsi="Arial"/>
            <w:sz w:val="18"/>
            <w:szCs w:val="18"/>
            <w:u w:val="single" w:color="auto"/>
            <w:color w:val="0000FF"/>
          </w:rPr>
          <w:t>the year ended December 31, 2021 (Commission File No. 1-8400))</w:t>
        </w:r>
        <w:r>
          <w:rPr>
            <w:rFonts w:ascii="Arial" w:cs="Arial" w:eastAsia="Arial" w:hAnsi="Arial"/>
            <w:sz w:val="18"/>
            <w:szCs w:val="18"/>
            <w:color w:val="000000"/>
          </w:rPr>
          <w:t>**</w:t>
        </w:r>
      </w:hyperlink>
    </w:p>
    <w:p>
      <w:pPr>
        <w:ind w:left="20"/>
        <w:spacing w:after="0" w:line="22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10.111</w:t>
      </w:r>
      <w:r>
        <w:rPr>
          <w:sz w:val="20"/>
          <w:szCs w:val="20"/>
          <w:color w:val="auto"/>
        </w:rPr>
        <w:tab/>
      </w:r>
      <w:hyperlink r:id="rId525">
        <w:r>
          <w:rPr>
            <w:rFonts w:ascii="Arial" w:cs="Arial" w:eastAsia="Arial" w:hAnsi="Arial"/>
            <w:sz w:val="18"/>
            <w:szCs w:val="18"/>
            <w:u w:val="single" w:color="auto"/>
            <w:color w:val="0000FF"/>
          </w:rPr>
          <w:t>Supplemental Executive Retirement Program for Officers of American Airlines, Inc., as amended and restated as of January 1,</w:t>
        </w:r>
      </w:hyperlink>
    </w:p>
    <w:p>
      <w:pPr>
        <w:ind w:left="920"/>
        <w:spacing w:after="0" w:line="218" w:lineRule="auto"/>
        <w:rPr>
          <w:rFonts w:ascii="Arial" w:cs="Arial" w:eastAsia="Arial" w:hAnsi="Arial"/>
          <w:sz w:val="18"/>
          <w:szCs w:val="18"/>
          <w:u w:val="single" w:color="auto"/>
          <w:color w:val="0000FF"/>
        </w:rPr>
      </w:pPr>
      <w:hyperlink r:id="rId525">
        <w:r>
          <w:rPr>
            <w:rFonts w:ascii="Arial" w:cs="Arial" w:eastAsia="Arial" w:hAnsi="Arial"/>
            <w:sz w:val="18"/>
            <w:szCs w:val="18"/>
            <w:u w:val="single" w:color="auto"/>
            <w:color w:val="0000FF"/>
          </w:rPr>
          <w:t>2005 (incorporated by reference to Exhibit 10.127 to AMR’s Annual Report on Form 10-K for the year ended December 31, 2008</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525">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10.112</w:t>
      </w:r>
      <w:r>
        <w:rPr>
          <w:sz w:val="20"/>
          <w:szCs w:val="20"/>
          <w:color w:val="auto"/>
        </w:rPr>
        <w:tab/>
      </w:r>
      <w:hyperlink r:id="rId526">
        <w:r>
          <w:rPr>
            <w:rFonts w:ascii="Arial" w:cs="Arial" w:eastAsia="Arial" w:hAnsi="Arial"/>
            <w:sz w:val="18"/>
            <w:szCs w:val="18"/>
            <w:u w:val="single" w:color="auto"/>
            <w:color w:val="0000FF"/>
          </w:rPr>
          <w:t>Trust Agreement Under Supplemental Retirement Program for Officers of American Airlines, Inc., as amended and restated as of</w:t>
        </w:r>
      </w:hyperlink>
      <w:r>
        <w:rPr>
          <w:rFonts w:ascii="Arial" w:cs="Arial" w:eastAsia="Arial" w:hAnsi="Arial"/>
          <w:sz w:val="18"/>
          <w:szCs w:val="18"/>
          <w:u w:val="single" w:color="auto"/>
          <w:color w:val="0000FF"/>
        </w:rPr>
        <w:t xml:space="preserve"> </w:t>
      </w:r>
      <w:hyperlink r:id="rId526">
        <w:r>
          <w:rPr>
            <w:rFonts w:ascii="Arial" w:cs="Arial" w:eastAsia="Arial" w:hAnsi="Arial"/>
            <w:sz w:val="18"/>
            <w:szCs w:val="18"/>
            <w:u w:val="single" w:color="auto"/>
            <w:color w:val="0000FF"/>
          </w:rPr>
          <w:t>June 1, 2007 (incorporated by reference to Exhibit 10.128 to AMR’s Annual Report on Form 10-K for the year ended</w:t>
        </w:r>
      </w:hyperlink>
    </w:p>
    <w:p>
      <w:pPr>
        <w:ind w:left="920"/>
        <w:spacing w:after="0"/>
        <w:rPr>
          <w:rFonts w:ascii="Arial" w:cs="Arial" w:eastAsia="Arial" w:hAnsi="Arial"/>
          <w:sz w:val="18"/>
          <w:szCs w:val="18"/>
          <w:color w:val="0000FF"/>
        </w:rPr>
      </w:pPr>
      <w:hyperlink r:id="rId526">
        <w:r>
          <w:rPr>
            <w:rFonts w:ascii="Arial" w:cs="Arial" w:eastAsia="Arial" w:hAnsi="Arial"/>
            <w:sz w:val="18"/>
            <w:szCs w:val="18"/>
            <w:u w:val="single" w:color="auto"/>
            <w:color w:val="0000FF"/>
          </w:rPr>
          <w:t>December 31, 2008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10.113</w:t>
      </w:r>
      <w:r>
        <w:rPr>
          <w:sz w:val="20"/>
          <w:szCs w:val="20"/>
          <w:color w:val="auto"/>
        </w:rPr>
        <w:tab/>
      </w:r>
      <w:hyperlink r:id="rId527">
        <w:r>
          <w:rPr>
            <w:rFonts w:ascii="Arial" w:cs="Arial" w:eastAsia="Arial" w:hAnsi="Arial"/>
            <w:sz w:val="18"/>
            <w:szCs w:val="18"/>
            <w:u w:val="single" w:color="auto"/>
            <w:color w:val="0000FF"/>
          </w:rPr>
          <w:t>Trust Agreement Under Supplemental Executive Retirement Program for Officers of American Airlines, Inc. Participating in the</w:t>
        </w:r>
      </w:hyperlink>
      <w:r>
        <w:rPr>
          <w:rFonts w:ascii="Arial" w:cs="Arial" w:eastAsia="Arial" w:hAnsi="Arial"/>
          <w:sz w:val="18"/>
          <w:szCs w:val="18"/>
          <w:u w:val="single" w:color="auto"/>
          <w:color w:val="0000FF"/>
        </w:rPr>
        <w:t xml:space="preserve"> </w:t>
      </w:r>
      <w:hyperlink r:id="rId527">
        <w:r>
          <w:rPr>
            <w:rFonts w:ascii="Arial" w:cs="Arial" w:eastAsia="Arial" w:hAnsi="Arial"/>
            <w:sz w:val="18"/>
            <w:szCs w:val="18"/>
            <w:u w:val="single" w:color="auto"/>
            <w:color w:val="0000FF"/>
          </w:rPr>
          <w:t>Super Saver Plus Plan, as amended and restated as of June 1, 2007 (incorporated by reference to Exhibit 10.129 to AMR’s</w:t>
        </w:r>
      </w:hyperlink>
    </w:p>
    <w:p>
      <w:pPr>
        <w:ind w:left="920"/>
        <w:spacing w:after="0"/>
        <w:rPr>
          <w:rFonts w:ascii="Arial" w:cs="Arial" w:eastAsia="Arial" w:hAnsi="Arial"/>
          <w:sz w:val="18"/>
          <w:szCs w:val="18"/>
          <w:color w:val="0000FF"/>
        </w:rPr>
      </w:pPr>
      <w:hyperlink r:id="rId527">
        <w:r>
          <w:rPr>
            <w:rFonts w:ascii="Arial" w:cs="Arial" w:eastAsia="Arial" w:hAnsi="Arial"/>
            <w:sz w:val="18"/>
            <w:szCs w:val="18"/>
            <w:u w:val="single" w:color="auto"/>
            <w:color w:val="0000FF"/>
          </w:rPr>
          <w:t>Annual Report on Form 10-K for the year ended December 31, 2008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3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10.114</w:t>
      </w:r>
      <w:r>
        <w:rPr>
          <w:sz w:val="20"/>
          <w:szCs w:val="20"/>
          <w:color w:val="auto"/>
        </w:rPr>
        <w:tab/>
      </w:r>
      <w:hyperlink r:id="rId528">
        <w:r>
          <w:rPr>
            <w:rFonts w:ascii="Arial" w:cs="Arial" w:eastAsia="Arial" w:hAnsi="Arial"/>
            <w:sz w:val="18"/>
            <w:szCs w:val="18"/>
            <w:u w:val="single" w:color="auto"/>
            <w:color w:val="0000FF"/>
          </w:rPr>
          <w:t>American Airlines Group Inc. 2013 Incentive Award Plan (incorporated by reference to Exhibit 4.1 of AAG’s Form S-8 Registration</w:t>
        </w:r>
      </w:hyperlink>
      <w:r>
        <w:rPr>
          <w:rFonts w:ascii="Arial" w:cs="Arial" w:eastAsia="Arial" w:hAnsi="Arial"/>
          <w:sz w:val="18"/>
          <w:szCs w:val="18"/>
          <w:u w:val="single" w:color="auto"/>
          <w:color w:val="0000FF"/>
        </w:rPr>
        <w:t xml:space="preserve"> </w:t>
      </w:r>
      <w:hyperlink r:id="rId528">
        <w:r>
          <w:rPr>
            <w:rFonts w:ascii="Arial" w:cs="Arial" w:eastAsia="Arial" w:hAnsi="Arial"/>
            <w:sz w:val="18"/>
            <w:szCs w:val="18"/>
            <w:u w:val="single" w:color="auto"/>
            <w:color w:val="0000FF"/>
          </w:rPr>
          <w:t>Statement, filed on December 4, 2013 (Registration No. 333-192660)).</w:t>
        </w:r>
        <w:r>
          <w:rPr>
            <w:rFonts w:ascii="Arial" w:cs="Arial" w:eastAsia="Arial" w:hAnsi="Arial"/>
            <w:sz w:val="18"/>
            <w:szCs w:val="18"/>
            <w:color w:val="000000"/>
          </w:rPr>
          <w:t>†</w:t>
        </w:r>
      </w:hyperlink>
    </w:p>
    <w:p>
      <w:pPr>
        <w:spacing w:after="0" w:line="5" w:lineRule="exact"/>
        <w:rPr>
          <w:sz w:val="20"/>
          <w:szCs w:val="20"/>
          <w:color w:val="auto"/>
        </w:rPr>
      </w:pPr>
    </w:p>
    <w:p>
      <w:pPr>
        <w:jc w:val="both"/>
        <w:ind w:left="920" w:hanging="889"/>
        <w:spacing w:after="0" w:line="23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10.115</w:t>
      </w:r>
      <w:r>
        <w:rPr>
          <w:sz w:val="20"/>
          <w:szCs w:val="20"/>
          <w:color w:val="auto"/>
        </w:rPr>
        <w:tab/>
      </w:r>
      <w:hyperlink r:id="rId529">
        <w:r>
          <w:rPr>
            <w:rFonts w:ascii="Arial" w:cs="Arial" w:eastAsia="Arial" w:hAnsi="Arial"/>
            <w:sz w:val="18"/>
            <w:szCs w:val="18"/>
            <w:u w:val="single" w:color="auto"/>
            <w:color w:val="0000FF"/>
          </w:rPr>
          <w:t>First Amendment to the American Airlines Group Inc. 2013 Incentive Award Plan (incorporated by reference to Exhibit 10.64 to</w:t>
        </w:r>
      </w:hyperlink>
      <w:r>
        <w:rPr>
          <w:rFonts w:ascii="Arial" w:cs="Arial" w:eastAsia="Arial" w:hAnsi="Arial"/>
          <w:sz w:val="18"/>
          <w:szCs w:val="18"/>
          <w:u w:val="single" w:color="auto"/>
          <w:color w:val="0000FF"/>
        </w:rPr>
        <w:t xml:space="preserve"> </w:t>
      </w:r>
      <w:hyperlink r:id="rId529">
        <w:r>
          <w:rPr>
            <w:rFonts w:ascii="Arial" w:cs="Arial" w:eastAsia="Arial" w:hAnsi="Arial"/>
            <w:sz w:val="18"/>
            <w:szCs w:val="18"/>
            <w:u w:val="single" w:color="auto"/>
            <w:color w:val="0000FF"/>
          </w:rPr>
          <w:t>AAG’s Annual Report on Form 10-K for the year ended December 31, 2017 (Commission File No. 1-8400)).</w:t>
        </w:r>
        <w:r>
          <w:rPr>
            <w:rFonts w:ascii="Arial" w:cs="Arial" w:eastAsia="Arial" w:hAnsi="Arial"/>
            <w:sz w:val="18"/>
            <w:szCs w:val="18"/>
            <w:color w:val="000000"/>
          </w:rPr>
          <w:t>†</w:t>
        </w:r>
      </w:hyperlink>
    </w:p>
    <w:p>
      <w:pPr>
        <w:spacing w:after="0" w:line="6"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10.116</w:t>
      </w:r>
      <w:r>
        <w:rPr>
          <w:sz w:val="20"/>
          <w:szCs w:val="20"/>
          <w:color w:val="auto"/>
        </w:rPr>
        <w:tab/>
      </w:r>
      <w:hyperlink r:id="rId530">
        <w:r>
          <w:rPr>
            <w:rFonts w:ascii="Arial" w:cs="Arial" w:eastAsia="Arial" w:hAnsi="Arial"/>
            <w:sz w:val="18"/>
            <w:szCs w:val="18"/>
            <w:u w:val="single" w:color="auto"/>
            <w:color w:val="0000FF"/>
          </w:rPr>
          <w:t>Form of American Airlines Group Inc. 2013 Incentive Award Plan Restricted Stock Unit (Cash-Settled) Award Grant Notice and</w:t>
        </w:r>
      </w:hyperlink>
      <w:r>
        <w:rPr>
          <w:rFonts w:ascii="Arial" w:cs="Arial" w:eastAsia="Arial" w:hAnsi="Arial"/>
          <w:sz w:val="18"/>
          <w:szCs w:val="18"/>
          <w:u w:val="single" w:color="auto"/>
          <w:color w:val="0000FF"/>
        </w:rPr>
        <w:t xml:space="preserve"> </w:t>
      </w:r>
      <w:hyperlink r:id="rId530">
        <w:r>
          <w:rPr>
            <w:rFonts w:ascii="Arial" w:cs="Arial" w:eastAsia="Arial" w:hAnsi="Arial"/>
            <w:sz w:val="18"/>
            <w:szCs w:val="18"/>
            <w:u w:val="single" w:color="auto"/>
            <w:color w:val="0000FF"/>
          </w:rPr>
          <w:t>Award Agreement (incorporated by reference to Exhibit 10.125 to AAG’s Annual Report on Form 10-K for the year ended</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530">
        <w:r>
          <w:rPr>
            <w:rFonts w:ascii="Arial" w:cs="Arial" w:eastAsia="Arial" w:hAnsi="Arial"/>
            <w:sz w:val="18"/>
            <w:szCs w:val="18"/>
            <w:u w:val="single" w:color="auto"/>
            <w:color w:val="0000FF"/>
          </w:rPr>
          <w:t>December 31, 2013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10.117</w:t>
      </w:r>
      <w:r>
        <w:rPr>
          <w:sz w:val="20"/>
          <w:szCs w:val="20"/>
          <w:color w:val="auto"/>
        </w:rPr>
        <w:tab/>
      </w:r>
      <w:hyperlink r:id="rId531">
        <w:r>
          <w:rPr>
            <w:rFonts w:ascii="Arial" w:cs="Arial" w:eastAsia="Arial" w:hAnsi="Arial"/>
            <w:sz w:val="18"/>
            <w:szCs w:val="18"/>
            <w:u w:val="single" w:color="auto"/>
            <w:color w:val="0000FF"/>
          </w:rPr>
          <w:t>Form of American Airlines Group Inc. 2013 Incentive Award Plan Restricted Stock Unit (Stock-Settled) Award Grant Notice and</w:t>
        </w:r>
      </w:hyperlink>
      <w:r>
        <w:rPr>
          <w:rFonts w:ascii="Arial" w:cs="Arial" w:eastAsia="Arial" w:hAnsi="Arial"/>
          <w:sz w:val="18"/>
          <w:szCs w:val="18"/>
          <w:u w:val="single" w:color="auto"/>
          <w:color w:val="0000FF"/>
        </w:rPr>
        <w:t xml:space="preserve"> </w:t>
      </w:r>
      <w:hyperlink r:id="rId531">
        <w:r>
          <w:rPr>
            <w:rFonts w:ascii="Arial" w:cs="Arial" w:eastAsia="Arial" w:hAnsi="Arial"/>
            <w:sz w:val="18"/>
            <w:szCs w:val="18"/>
            <w:u w:val="single" w:color="auto"/>
            <w:color w:val="0000FF"/>
          </w:rPr>
          <w:t>Award Agreement (incorporated by reference to Exhibit 10.127 to AAG’s Annual Report on Form 10-K for the year ended</w:t>
        </w:r>
      </w:hyperlink>
    </w:p>
    <w:p>
      <w:pPr>
        <w:ind w:left="920"/>
        <w:spacing w:after="0"/>
        <w:rPr>
          <w:rFonts w:ascii="Arial" w:cs="Arial" w:eastAsia="Arial" w:hAnsi="Arial"/>
          <w:sz w:val="18"/>
          <w:szCs w:val="18"/>
          <w:color w:val="0000FF"/>
        </w:rPr>
      </w:pPr>
      <w:hyperlink r:id="rId531">
        <w:r>
          <w:rPr>
            <w:rFonts w:ascii="Arial" w:cs="Arial" w:eastAsia="Arial" w:hAnsi="Arial"/>
            <w:sz w:val="18"/>
            <w:szCs w:val="18"/>
            <w:u w:val="single" w:color="auto"/>
            <w:color w:val="0000FF"/>
          </w:rPr>
          <w:t>December 31, 2013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10.118</w:t>
      </w:r>
      <w:r>
        <w:rPr>
          <w:sz w:val="20"/>
          <w:szCs w:val="20"/>
          <w:color w:val="auto"/>
        </w:rPr>
        <w:tab/>
      </w:r>
      <w:hyperlink r:id="rId532">
        <w:r>
          <w:rPr>
            <w:rFonts w:ascii="Arial" w:cs="Arial" w:eastAsia="Arial" w:hAnsi="Arial"/>
            <w:sz w:val="18"/>
            <w:szCs w:val="18"/>
            <w:u w:val="single" w:color="auto"/>
            <w:color w:val="0000FF"/>
          </w:rPr>
          <w:t>Form of American Airlines Group Inc. 2013 Incentive Award Plan Restricted Stock Unit (Stock-Settled) Award Grant Notice and</w:t>
        </w:r>
      </w:hyperlink>
      <w:r>
        <w:rPr>
          <w:rFonts w:ascii="Arial" w:cs="Arial" w:eastAsia="Arial" w:hAnsi="Arial"/>
          <w:sz w:val="18"/>
          <w:szCs w:val="18"/>
          <w:u w:val="single" w:color="auto"/>
          <w:color w:val="0000FF"/>
        </w:rPr>
        <w:t xml:space="preserve"> </w:t>
      </w:r>
      <w:hyperlink r:id="rId532">
        <w:r>
          <w:rPr>
            <w:rFonts w:ascii="Arial" w:cs="Arial" w:eastAsia="Arial" w:hAnsi="Arial"/>
            <w:sz w:val="18"/>
            <w:szCs w:val="18"/>
            <w:u w:val="single" w:color="auto"/>
            <w:color w:val="0000FF"/>
          </w:rPr>
          <w:t>Award Agreement for Director Grants (incorporated by reference to Exhibit 10.129 to AAG’s Annual Report on Form 10-K for the</w:t>
        </w:r>
      </w:hyperlink>
    </w:p>
    <w:p>
      <w:pPr>
        <w:ind w:left="920"/>
        <w:spacing w:after="0"/>
        <w:rPr>
          <w:rFonts w:ascii="Arial" w:cs="Arial" w:eastAsia="Arial" w:hAnsi="Arial"/>
          <w:sz w:val="18"/>
          <w:szCs w:val="18"/>
          <w:color w:val="0000FF"/>
        </w:rPr>
      </w:pPr>
      <w:hyperlink r:id="rId532">
        <w:r>
          <w:rPr>
            <w:rFonts w:ascii="Arial" w:cs="Arial" w:eastAsia="Arial" w:hAnsi="Arial"/>
            <w:sz w:val="18"/>
            <w:szCs w:val="18"/>
            <w:u w:val="single" w:color="auto"/>
            <w:color w:val="0000FF"/>
          </w:rPr>
          <w:t>year ended December 31, 2013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3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10.119</w:t>
      </w:r>
      <w:r>
        <w:rPr>
          <w:sz w:val="20"/>
          <w:szCs w:val="20"/>
          <w:color w:val="auto"/>
        </w:rPr>
        <w:tab/>
      </w:r>
      <w:hyperlink r:id="rId533">
        <w:r>
          <w:rPr>
            <w:rFonts w:ascii="Arial" w:cs="Arial" w:eastAsia="Arial" w:hAnsi="Arial"/>
            <w:sz w:val="18"/>
            <w:szCs w:val="18"/>
            <w:u w:val="single" w:color="auto"/>
            <w:color w:val="0000FF"/>
          </w:rPr>
          <w:t>Form of Indemnification Agreement (incorporated by reference to Exhibit 10.9 to AAG’s Current Report on Form 8-K filed on</w:t>
        </w:r>
      </w:hyperlink>
      <w:r>
        <w:rPr>
          <w:rFonts w:ascii="Arial" w:cs="Arial" w:eastAsia="Arial" w:hAnsi="Arial"/>
          <w:sz w:val="18"/>
          <w:szCs w:val="18"/>
          <w:u w:val="single" w:color="auto"/>
          <w:color w:val="0000FF"/>
        </w:rPr>
        <w:t xml:space="preserve"> </w:t>
      </w:r>
      <w:hyperlink r:id="rId533">
        <w:r>
          <w:rPr>
            <w:rFonts w:ascii="Arial" w:cs="Arial" w:eastAsia="Arial" w:hAnsi="Arial"/>
            <w:sz w:val="18"/>
            <w:szCs w:val="18"/>
            <w:u w:val="single" w:color="auto"/>
            <w:color w:val="0000FF"/>
          </w:rPr>
          <w:t>December 9, 2013 (Commission File No. 1-8400)).</w:t>
        </w:r>
        <w:r>
          <w:rPr>
            <w:rFonts w:ascii="Arial" w:cs="Arial" w:eastAsia="Arial" w:hAnsi="Arial"/>
            <w:sz w:val="18"/>
            <w:szCs w:val="18"/>
            <w:color w:val="000000"/>
          </w:rPr>
          <w:t>†</w:t>
        </w:r>
      </w:hyperlink>
    </w:p>
    <w:p>
      <w:pPr>
        <w:spacing w:after="0" w:line="5" w:lineRule="exact"/>
        <w:rPr>
          <w:sz w:val="20"/>
          <w:szCs w:val="20"/>
          <w:color w:val="auto"/>
        </w:rPr>
      </w:pPr>
    </w:p>
    <w:p>
      <w:pPr>
        <w:jc w:val="both"/>
        <w:ind w:left="920" w:right="20" w:hanging="889"/>
        <w:spacing w:after="0" w:line="23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10.120</w:t>
      </w:r>
      <w:r>
        <w:rPr>
          <w:sz w:val="20"/>
          <w:szCs w:val="20"/>
          <w:color w:val="auto"/>
        </w:rPr>
        <w:tab/>
      </w:r>
      <w:hyperlink r:id="rId534">
        <w:r>
          <w:rPr>
            <w:rFonts w:ascii="Arial" w:cs="Arial" w:eastAsia="Arial" w:hAnsi="Arial"/>
            <w:sz w:val="18"/>
            <w:szCs w:val="18"/>
            <w:u w:val="single" w:color="auto"/>
            <w:color w:val="0000FF"/>
          </w:rPr>
          <w:t>2014 Short-Term Incentive Program Under 2013 Incentive Award Plan (incorporated by reference to Exhibit 10.8 to AAG’s</w:t>
        </w:r>
      </w:hyperlink>
      <w:r>
        <w:rPr>
          <w:rFonts w:ascii="Arial" w:cs="Arial" w:eastAsia="Arial" w:hAnsi="Arial"/>
          <w:sz w:val="18"/>
          <w:szCs w:val="18"/>
          <w:u w:val="single" w:color="auto"/>
          <w:color w:val="0000FF"/>
        </w:rPr>
        <w:t xml:space="preserve"> </w:t>
      </w:r>
      <w:hyperlink r:id="rId534">
        <w:r>
          <w:rPr>
            <w:rFonts w:ascii="Arial" w:cs="Arial" w:eastAsia="Arial" w:hAnsi="Arial"/>
            <w:sz w:val="18"/>
            <w:szCs w:val="18"/>
            <w:u w:val="single" w:color="auto"/>
            <w:color w:val="0000FF"/>
          </w:rPr>
          <w:t>Quarterly Report on Form 10-Q for the quarter ended June 30, 2014 (Commission File No. 1-8400)).</w:t>
        </w:r>
        <w:r>
          <w:rPr>
            <w:rFonts w:ascii="Arial" w:cs="Arial" w:eastAsia="Arial" w:hAnsi="Arial"/>
            <w:sz w:val="18"/>
            <w:szCs w:val="18"/>
            <w:color w:val="000000"/>
          </w:rPr>
          <w:t>†</w:t>
        </w:r>
      </w:hyperlink>
    </w:p>
    <w:p>
      <w:pPr>
        <w:spacing w:after="0" w:line="6" w:lineRule="exact"/>
        <w:rPr>
          <w:sz w:val="20"/>
          <w:szCs w:val="20"/>
          <w:color w:val="auto"/>
        </w:rPr>
      </w:pPr>
    </w:p>
    <w:p>
      <w:pPr>
        <w:jc w:val="both"/>
        <w:ind w:left="920" w:hanging="889"/>
        <w:spacing w:after="0" w:line="23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10.121</w:t>
      </w:r>
      <w:r>
        <w:rPr>
          <w:sz w:val="20"/>
          <w:szCs w:val="20"/>
          <w:color w:val="auto"/>
        </w:rPr>
        <w:tab/>
      </w:r>
      <w:hyperlink r:id="rId535">
        <w:r>
          <w:rPr>
            <w:rFonts w:ascii="Arial" w:cs="Arial" w:eastAsia="Arial" w:hAnsi="Arial"/>
            <w:sz w:val="18"/>
            <w:szCs w:val="18"/>
            <w:u w:val="single" w:color="auto"/>
            <w:color w:val="0000FF"/>
          </w:rPr>
          <w:t>American Airlines Group Inc. 2023 Incentive Award Plan (incorporated by reference to Exhibit 99.1 of AAG’s Form S-8</w:t>
        </w:r>
      </w:hyperlink>
      <w:r>
        <w:rPr>
          <w:rFonts w:ascii="Arial" w:cs="Arial" w:eastAsia="Arial" w:hAnsi="Arial"/>
          <w:sz w:val="18"/>
          <w:szCs w:val="18"/>
          <w:u w:val="single" w:color="auto"/>
          <w:color w:val="0000FF"/>
        </w:rPr>
        <w:t xml:space="preserve"> </w:t>
      </w:r>
      <w:hyperlink r:id="rId535">
        <w:r>
          <w:rPr>
            <w:rFonts w:ascii="Arial" w:cs="Arial" w:eastAsia="Arial" w:hAnsi="Arial"/>
            <w:sz w:val="18"/>
            <w:szCs w:val="18"/>
            <w:u w:val="single" w:color="auto"/>
            <w:color w:val="0000FF"/>
          </w:rPr>
          <w:t>Registration Statement, filed on May 10, 2023 (Registration No. 333-271802)).</w:t>
        </w:r>
        <w:r>
          <w:rPr>
            <w:rFonts w:ascii="Arial" w:cs="Arial" w:eastAsia="Arial" w:hAnsi="Arial"/>
            <w:sz w:val="18"/>
            <w:szCs w:val="18"/>
            <w:color w:val="000000"/>
          </w:rPr>
          <w:t>†</w:t>
        </w:r>
      </w:hyperlink>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jc w:val="both"/>
        <w:ind w:left="920" w:hanging="889"/>
        <w:spacing w:after="0" w:line="230" w:lineRule="auto"/>
        <w:tabs>
          <w:tab w:leader="none" w:pos="900" w:val="left"/>
        </w:tabs>
        <w:rPr>
          <w:sz w:val="20"/>
          <w:szCs w:val="20"/>
          <w:color w:val="auto"/>
        </w:rPr>
      </w:pPr>
      <w:r>
        <w:rPr>
          <w:rFonts w:ascii="Arial" w:cs="Arial" w:eastAsia="Arial" w:hAnsi="Arial"/>
          <w:sz w:val="18"/>
          <w:szCs w:val="18"/>
          <w:color w:val="auto"/>
        </w:rPr>
        <w:t>10.122</w:t>
      </w:r>
      <w:r>
        <w:rPr>
          <w:sz w:val="20"/>
          <w:szCs w:val="20"/>
          <w:color w:val="auto"/>
        </w:rPr>
        <w:tab/>
      </w:r>
      <w:r>
        <w:rPr>
          <w:rFonts w:ascii="Arial" w:cs="Arial" w:eastAsia="Arial" w:hAnsi="Arial"/>
          <w:sz w:val="18"/>
          <w:szCs w:val="18"/>
          <w:u w:val="single" w:color="auto"/>
          <w:color w:val="0000FF"/>
        </w:rPr>
        <w:t>Form of American Airlines Group Inc. 2023 Incentive Award Plan Restricted Stock Unit (Stock-Settled) Award Grant Notice and Award Agreement.</w:t>
      </w:r>
      <w:r>
        <w:rPr>
          <w:rFonts w:ascii="Arial" w:cs="Arial" w:eastAsia="Arial" w:hAnsi="Arial"/>
          <w:sz w:val="18"/>
          <w:szCs w:val="18"/>
          <w:color w:val="000000"/>
        </w:rPr>
        <w:t>†</w:t>
      </w:r>
    </w:p>
    <w:p>
      <w:pPr>
        <w:spacing w:after="0" w:line="4" w:lineRule="exact"/>
        <w:rPr>
          <w:sz w:val="20"/>
          <w:szCs w:val="20"/>
          <w:color w:val="auto"/>
        </w:rPr>
      </w:pPr>
    </w:p>
    <w:p>
      <w:pPr>
        <w:jc w:val="both"/>
        <w:ind w:left="920" w:hanging="889"/>
        <w:spacing w:after="0" w:line="23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10.123</w:t>
      </w:r>
      <w:r>
        <w:rPr>
          <w:sz w:val="20"/>
          <w:szCs w:val="20"/>
          <w:color w:val="auto"/>
        </w:rPr>
        <w:tab/>
      </w:r>
      <w:hyperlink r:id="rId537">
        <w:r>
          <w:rPr>
            <w:rFonts w:ascii="Arial" w:cs="Arial" w:eastAsia="Arial" w:hAnsi="Arial"/>
            <w:sz w:val="18"/>
            <w:szCs w:val="18"/>
            <w:u w:val="single" w:color="auto"/>
            <w:color w:val="0000FF"/>
          </w:rPr>
          <w:t>Form of Letter Agreement for Directors Travel Program (incorporated by reference to Exhibit 10.106 to US Airways Group’s</w:t>
        </w:r>
      </w:hyperlink>
      <w:r>
        <w:rPr>
          <w:rFonts w:ascii="Arial" w:cs="Arial" w:eastAsia="Arial" w:hAnsi="Arial"/>
          <w:sz w:val="18"/>
          <w:szCs w:val="18"/>
          <w:u w:val="single" w:color="auto"/>
          <w:color w:val="0000FF"/>
        </w:rPr>
        <w:t xml:space="preserve"> </w:t>
      </w:r>
      <w:hyperlink r:id="rId537">
        <w:r>
          <w:rPr>
            <w:rFonts w:ascii="Arial" w:cs="Arial" w:eastAsia="Arial" w:hAnsi="Arial"/>
            <w:sz w:val="18"/>
            <w:szCs w:val="18"/>
            <w:u w:val="single" w:color="auto"/>
            <w:color w:val="0000FF"/>
          </w:rPr>
          <w:t>Annual Report on Form 10-K for the year ended December 31, 2007 (Commission File No. 1-8444)).</w:t>
        </w:r>
        <w:r>
          <w:rPr>
            <w:rFonts w:ascii="Arial" w:cs="Arial" w:eastAsia="Arial" w:hAnsi="Arial"/>
            <w:sz w:val="18"/>
            <w:szCs w:val="18"/>
            <w:color w:val="000000"/>
          </w:rPr>
          <w:t>†</w:t>
        </w:r>
      </w:hyperlink>
    </w:p>
    <w:p>
      <w:pPr>
        <w:spacing w:after="0" w:line="6" w:lineRule="exact"/>
        <w:rPr>
          <w:sz w:val="20"/>
          <w:szCs w:val="20"/>
          <w:color w:val="auto"/>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10.124</w:t>
      </w:r>
      <w:r>
        <w:rPr>
          <w:sz w:val="20"/>
          <w:szCs w:val="20"/>
          <w:color w:val="auto"/>
        </w:rPr>
        <w:tab/>
      </w:r>
      <w:hyperlink r:id="rId538">
        <w:r>
          <w:rPr>
            <w:rFonts w:ascii="Arial" w:cs="Arial" w:eastAsia="Arial" w:hAnsi="Arial"/>
            <w:sz w:val="18"/>
            <w:szCs w:val="18"/>
            <w:u w:val="single" w:color="auto"/>
            <w:color w:val="0000FF"/>
          </w:rPr>
          <w:t>Amended and Restated Employment Agreement, dated as of November 28, 2007, among US Airways Group, US Airways, Inc.</w:t>
        </w:r>
      </w:hyperlink>
      <w:r>
        <w:rPr>
          <w:rFonts w:ascii="Arial" w:cs="Arial" w:eastAsia="Arial" w:hAnsi="Arial"/>
          <w:sz w:val="18"/>
          <w:szCs w:val="18"/>
          <w:u w:val="single" w:color="auto"/>
          <w:color w:val="0000FF"/>
        </w:rPr>
        <w:t xml:space="preserve"> </w:t>
      </w:r>
      <w:hyperlink r:id="rId538">
        <w:r>
          <w:rPr>
            <w:rFonts w:ascii="Arial" w:cs="Arial" w:eastAsia="Arial" w:hAnsi="Arial"/>
            <w:sz w:val="18"/>
            <w:szCs w:val="18"/>
            <w:u w:val="single" w:color="auto"/>
            <w:color w:val="0000FF"/>
          </w:rPr>
          <w:t>and W. Douglas Parker (incorporated by reference to Exhibit 10.1 to US Airways Group’s Current Report on Form 8-K filed on</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538">
        <w:r>
          <w:rPr>
            <w:rFonts w:ascii="Arial" w:cs="Arial" w:eastAsia="Arial" w:hAnsi="Arial"/>
            <w:sz w:val="18"/>
            <w:szCs w:val="18"/>
            <w:u w:val="single" w:color="auto"/>
            <w:color w:val="0000FF"/>
          </w:rPr>
          <w:t>November 29, 2007 (Commission File No. 1-8444)).</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10.125</w:t>
      </w:r>
      <w:r>
        <w:rPr>
          <w:sz w:val="20"/>
          <w:szCs w:val="20"/>
          <w:color w:val="auto"/>
        </w:rPr>
        <w:tab/>
      </w:r>
      <w:hyperlink r:id="rId539">
        <w:r>
          <w:rPr>
            <w:rFonts w:ascii="Arial" w:cs="Arial" w:eastAsia="Arial" w:hAnsi="Arial"/>
            <w:sz w:val="18"/>
            <w:szCs w:val="18"/>
            <w:u w:val="single" w:color="auto"/>
            <w:color w:val="0000FF"/>
          </w:rPr>
          <w:t>Form of Letter Agreement, dated April 25, 2017, by and between American Airlines Group Inc. and each of Robert D. Isom, Jr.,</w:t>
        </w:r>
      </w:hyperlink>
      <w:r>
        <w:rPr>
          <w:rFonts w:ascii="Arial" w:cs="Arial" w:eastAsia="Arial" w:hAnsi="Arial"/>
          <w:sz w:val="18"/>
          <w:szCs w:val="18"/>
          <w:u w:val="single" w:color="auto"/>
          <w:color w:val="0000FF"/>
        </w:rPr>
        <w:t xml:space="preserve"> </w:t>
      </w:r>
      <w:hyperlink r:id="rId539">
        <w:r>
          <w:rPr>
            <w:rFonts w:ascii="Arial" w:cs="Arial" w:eastAsia="Arial" w:hAnsi="Arial"/>
            <w:sz w:val="18"/>
            <w:szCs w:val="18"/>
            <w:u w:val="single" w:color="auto"/>
            <w:color w:val="0000FF"/>
          </w:rPr>
          <w:t>Stephen L. Johnson and Derek J. Kerr (incorporated by reference to Exhibit 10.1 to AAG’s Current Report on Form 8-K filed on</w:t>
        </w:r>
      </w:hyperlink>
    </w:p>
    <w:p>
      <w:pPr>
        <w:ind w:left="920"/>
        <w:spacing w:after="0"/>
        <w:rPr>
          <w:rFonts w:ascii="Arial" w:cs="Arial" w:eastAsia="Arial" w:hAnsi="Arial"/>
          <w:sz w:val="18"/>
          <w:szCs w:val="18"/>
          <w:color w:val="0000FF"/>
        </w:rPr>
      </w:pPr>
      <w:hyperlink r:id="rId539">
        <w:r>
          <w:rPr>
            <w:rFonts w:ascii="Arial" w:cs="Arial" w:eastAsia="Arial" w:hAnsi="Arial"/>
            <w:sz w:val="18"/>
            <w:szCs w:val="18"/>
            <w:u w:val="single" w:color="auto"/>
            <w:color w:val="0000FF"/>
          </w:rPr>
          <w:t>May 1, 2017 (Commission File No. 1-8400)).</w:t>
        </w:r>
        <w:r>
          <w:rPr>
            <w:rFonts w:ascii="Arial" w:cs="Arial" w:eastAsia="Arial" w:hAnsi="Arial"/>
            <w:sz w:val="18"/>
            <w:szCs w:val="18"/>
            <w:color w:val="000000"/>
          </w:rPr>
          <w:t>†</w:t>
        </w:r>
      </w:hyperlink>
    </w:p>
    <w:p>
      <w:pPr>
        <w:ind w:left="20"/>
        <w:spacing w:after="0" w:line="229"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10.126</w:t>
      </w:r>
      <w:r>
        <w:rPr>
          <w:sz w:val="20"/>
          <w:szCs w:val="20"/>
          <w:color w:val="auto"/>
        </w:rPr>
        <w:tab/>
      </w:r>
      <w:hyperlink r:id="rId540">
        <w:r>
          <w:rPr>
            <w:rFonts w:ascii="Arial" w:cs="Arial" w:eastAsia="Arial" w:hAnsi="Arial"/>
            <w:sz w:val="18"/>
            <w:szCs w:val="18"/>
            <w:u w:val="single" w:color="auto"/>
            <w:color w:val="0000FF"/>
          </w:rPr>
          <w:t>Letter Agreement, dated as of April 28, 2016, between American Airlines Group Inc. and W. Douglas Parker (incorporated by</w:t>
        </w:r>
      </w:hyperlink>
    </w:p>
    <w:p>
      <w:pPr>
        <w:jc w:val="center"/>
        <w:ind w:right="-39"/>
        <w:spacing w:after="0"/>
        <w:rPr>
          <w:rFonts w:ascii="Arial" w:cs="Arial" w:eastAsia="Arial" w:hAnsi="Arial"/>
          <w:sz w:val="18"/>
          <w:szCs w:val="18"/>
          <w:color w:val="0000FF"/>
        </w:rPr>
      </w:pPr>
      <w:hyperlink r:id="rId540">
        <w:r>
          <w:rPr>
            <w:rFonts w:ascii="Arial" w:cs="Arial" w:eastAsia="Arial" w:hAnsi="Arial"/>
            <w:sz w:val="18"/>
            <w:szCs w:val="18"/>
            <w:u w:val="single" w:color="auto"/>
            <w:color w:val="0000FF"/>
          </w:rPr>
          <w:t>reference to Exhibit 10.1 to AAG’s Current Report on Form 8-K filed on April 29, 2016 (Commission File No. 1-8400)).</w:t>
        </w:r>
        <w:r>
          <w:rPr>
            <w:rFonts w:ascii="Arial" w:cs="Arial" w:eastAsia="Arial" w:hAnsi="Arial"/>
            <w:sz w:val="18"/>
            <w:szCs w:val="18"/>
            <w:color w:val="000000"/>
          </w:rPr>
          <w:t>†</w:t>
        </w:r>
      </w:hyperlink>
    </w:p>
    <w:p>
      <w:pPr>
        <w:spacing w:after="0" w:line="18" w:lineRule="exact"/>
        <w:rPr>
          <w:sz w:val="20"/>
          <w:szCs w:val="20"/>
          <w:color w:val="auto"/>
        </w:rPr>
      </w:pPr>
    </w:p>
    <w:p>
      <w:pPr>
        <w:jc w:val="both"/>
        <w:ind w:left="920" w:hanging="889"/>
        <w:spacing w:after="0" w:line="252"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10.127</w:t>
      </w:r>
      <w:r>
        <w:rPr>
          <w:sz w:val="20"/>
          <w:szCs w:val="20"/>
          <w:color w:val="auto"/>
        </w:rPr>
        <w:tab/>
      </w:r>
      <w:hyperlink r:id="rId541">
        <w:r>
          <w:rPr>
            <w:rFonts w:ascii="Arial" w:cs="Arial" w:eastAsia="Arial" w:hAnsi="Arial"/>
            <w:sz w:val="18"/>
            <w:szCs w:val="18"/>
            <w:u w:val="single" w:color="auto"/>
            <w:color w:val="0000FF"/>
          </w:rPr>
          <w:t>Payroll Support Program 3 Agreement, dated as of April 23, 2021, between American Airlines, Inc. and the United States</w:t>
        </w:r>
      </w:hyperlink>
      <w:r>
        <w:rPr>
          <w:rFonts w:ascii="Arial" w:cs="Arial" w:eastAsia="Arial" w:hAnsi="Arial"/>
          <w:sz w:val="18"/>
          <w:szCs w:val="18"/>
          <w:u w:val="single" w:color="auto"/>
          <w:color w:val="0000FF"/>
        </w:rPr>
        <w:t xml:space="preserve"> </w:t>
      </w:r>
      <w:hyperlink r:id="rId541">
        <w:r>
          <w:rPr>
            <w:rFonts w:ascii="Arial" w:cs="Arial" w:eastAsia="Arial" w:hAnsi="Arial"/>
            <w:sz w:val="18"/>
            <w:szCs w:val="18"/>
            <w:u w:val="single" w:color="auto"/>
            <w:color w:val="0000FF"/>
          </w:rPr>
          <w:t>Department of the Treasury (incorporated by reference to Exhibit 10.1 to AAG’s Quarterly Report on Form 10-Q for the quarter</w:t>
        </w:r>
      </w:hyperlink>
      <w:r>
        <w:rPr>
          <w:rFonts w:ascii="Arial" w:cs="Arial" w:eastAsia="Arial" w:hAnsi="Arial"/>
          <w:sz w:val="18"/>
          <w:szCs w:val="18"/>
          <w:u w:val="single" w:color="auto"/>
          <w:color w:val="0000FF"/>
        </w:rPr>
        <w:t xml:space="preserve"> </w:t>
      </w:r>
      <w:hyperlink r:id="rId541">
        <w:r>
          <w:rPr>
            <w:rFonts w:ascii="Arial" w:cs="Arial" w:eastAsia="Arial" w:hAnsi="Arial"/>
            <w:sz w:val="18"/>
            <w:szCs w:val="18"/>
            <w:u w:val="single" w:color="auto"/>
            <w:color w:val="0000FF"/>
          </w:rPr>
          <w:t>ended June 30, 2021 (Commission File No. 1-8400)).</w:t>
        </w:r>
      </w:hyperlink>
    </w:p>
    <w:p>
      <w:pPr>
        <w:spacing w:after="0" w:line="9" w:lineRule="exact"/>
        <w:rPr>
          <w:rFonts w:ascii="Arial" w:cs="Arial" w:eastAsia="Arial" w:hAnsi="Arial"/>
          <w:sz w:val="18"/>
          <w:szCs w:val="18"/>
          <w:u w:val="single" w:color="auto"/>
          <w:color w:val="0000FF"/>
        </w:rPr>
      </w:pPr>
    </w:p>
    <w:p>
      <w:pPr>
        <w:jc w:val="both"/>
        <w:ind w:left="920" w:hanging="889"/>
        <w:spacing w:after="0" w:line="24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10.128</w:t>
      </w:r>
      <w:r>
        <w:rPr>
          <w:sz w:val="20"/>
          <w:szCs w:val="20"/>
          <w:color w:val="auto"/>
        </w:rPr>
        <w:tab/>
      </w:r>
      <w:hyperlink r:id="rId542">
        <w:r>
          <w:rPr>
            <w:rFonts w:ascii="Arial" w:cs="Arial" w:eastAsia="Arial" w:hAnsi="Arial"/>
            <w:sz w:val="18"/>
            <w:szCs w:val="18"/>
            <w:u w:val="single" w:color="auto"/>
            <w:color w:val="0000FF"/>
          </w:rPr>
          <w:t>Promissory Note, dated as of April 23, 2021, issued by American Airlines Group Inc. in the name of the United States Department</w:t>
        </w:r>
      </w:hyperlink>
      <w:r>
        <w:rPr>
          <w:rFonts w:ascii="Arial" w:cs="Arial" w:eastAsia="Arial" w:hAnsi="Arial"/>
          <w:sz w:val="18"/>
          <w:szCs w:val="18"/>
          <w:u w:val="single" w:color="auto"/>
          <w:color w:val="0000FF"/>
        </w:rPr>
        <w:t xml:space="preserve"> </w:t>
      </w:r>
      <w:hyperlink r:id="rId542">
        <w:r>
          <w:rPr>
            <w:rFonts w:ascii="Arial" w:cs="Arial" w:eastAsia="Arial" w:hAnsi="Arial"/>
            <w:sz w:val="18"/>
            <w:szCs w:val="18"/>
            <w:u w:val="single" w:color="auto"/>
            <w:color w:val="0000FF"/>
          </w:rPr>
          <w:t>of the Treasury and guaranteed by American Airlines, Inc., Envoy Air Inc., Piedmont Airlines, Inc. and PSA Airlines, Inc.</w:t>
        </w:r>
      </w:hyperlink>
      <w:r>
        <w:rPr>
          <w:rFonts w:ascii="Arial" w:cs="Arial" w:eastAsia="Arial" w:hAnsi="Arial"/>
          <w:sz w:val="18"/>
          <w:szCs w:val="18"/>
          <w:u w:val="single" w:color="auto"/>
          <w:color w:val="0000FF"/>
        </w:rPr>
        <w:t xml:space="preserve"> </w:t>
      </w:r>
      <w:hyperlink r:id="rId542">
        <w:r>
          <w:rPr>
            <w:rFonts w:ascii="Arial" w:cs="Arial" w:eastAsia="Arial" w:hAnsi="Arial"/>
            <w:sz w:val="18"/>
            <w:szCs w:val="18"/>
            <w:u w:val="single" w:color="auto"/>
            <w:color w:val="0000FF"/>
          </w:rPr>
          <w:t>(incorporated by reference to Exhibit 10.2 to AAG’s Quarterly Report on Form 10-Q for the quarter ended June 30, 2021</w:t>
        </w:r>
      </w:hyperlink>
      <w:r>
        <w:rPr>
          <w:rFonts w:ascii="Arial" w:cs="Arial" w:eastAsia="Arial" w:hAnsi="Arial"/>
          <w:sz w:val="18"/>
          <w:szCs w:val="18"/>
          <w:u w:val="single" w:color="auto"/>
          <w:color w:val="0000FF"/>
        </w:rPr>
        <w:t xml:space="preserve"> </w:t>
      </w:r>
      <w:hyperlink r:id="rId542">
        <w:r>
          <w:rPr>
            <w:rFonts w:ascii="Arial" w:cs="Arial" w:eastAsia="Arial" w:hAnsi="Arial"/>
            <w:sz w:val="18"/>
            <w:szCs w:val="18"/>
            <w:u w:val="single" w:color="auto"/>
            <w:color w:val="0000FF"/>
          </w:rPr>
          <w:t>(Commission File No. 1-8400)).</w:t>
        </w:r>
      </w:hyperlink>
    </w:p>
    <w:p>
      <w:pPr>
        <w:spacing w:after="0" w:line="14" w:lineRule="exact"/>
        <w:rPr>
          <w:rFonts w:ascii="Arial" w:cs="Arial" w:eastAsia="Arial" w:hAnsi="Arial"/>
          <w:sz w:val="18"/>
          <w:szCs w:val="18"/>
          <w:u w:val="single" w:color="auto"/>
          <w:color w:val="0000FF"/>
        </w:rPr>
      </w:pPr>
    </w:p>
    <w:p>
      <w:pPr>
        <w:jc w:val="both"/>
        <w:ind w:left="920" w:hanging="889"/>
        <w:spacing w:after="0" w:line="243"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10.129</w:t>
      </w:r>
      <w:r>
        <w:rPr>
          <w:sz w:val="20"/>
          <w:szCs w:val="20"/>
          <w:color w:val="auto"/>
        </w:rPr>
        <w:tab/>
      </w:r>
      <w:hyperlink r:id="rId543">
        <w:r>
          <w:rPr>
            <w:rFonts w:ascii="Arial" w:cs="Arial" w:eastAsia="Arial" w:hAnsi="Arial"/>
            <w:sz w:val="18"/>
            <w:szCs w:val="18"/>
            <w:u w:val="single" w:color="auto"/>
            <w:color w:val="0000FF"/>
          </w:rPr>
          <w:t>Term Loan Credit and Guaranty Agreement, dated as of March 24, 2021, among American Airlines, Inc., AAdvantage Loyalty IP</w:t>
        </w:r>
      </w:hyperlink>
      <w:r>
        <w:rPr>
          <w:rFonts w:ascii="Arial" w:cs="Arial" w:eastAsia="Arial" w:hAnsi="Arial"/>
          <w:sz w:val="18"/>
          <w:szCs w:val="18"/>
          <w:u w:val="single" w:color="auto"/>
          <w:color w:val="0000FF"/>
        </w:rPr>
        <w:t xml:space="preserve"> </w:t>
      </w:r>
      <w:hyperlink r:id="rId543">
        <w:r>
          <w:rPr>
            <w:rFonts w:ascii="Arial" w:cs="Arial" w:eastAsia="Arial" w:hAnsi="Arial"/>
            <w:sz w:val="18"/>
            <w:szCs w:val="18"/>
            <w:u w:val="single" w:color="auto"/>
            <w:color w:val="0000FF"/>
          </w:rPr>
          <w:t>Ltd., American Airlines Group Inc., AAdvantage Holdings 1, Ltd., AAdvantage Holdings 2, Ltd., Barclays Bank PLC, as</w:t>
        </w:r>
      </w:hyperlink>
      <w:r>
        <w:rPr>
          <w:rFonts w:ascii="Arial" w:cs="Arial" w:eastAsia="Arial" w:hAnsi="Arial"/>
          <w:sz w:val="18"/>
          <w:szCs w:val="18"/>
          <w:u w:val="single" w:color="auto"/>
          <w:color w:val="0000FF"/>
        </w:rPr>
        <w:t xml:space="preserve"> </w:t>
      </w:r>
      <w:hyperlink r:id="rId543">
        <w:r>
          <w:rPr>
            <w:rFonts w:ascii="Arial" w:cs="Arial" w:eastAsia="Arial" w:hAnsi="Arial"/>
            <w:sz w:val="18"/>
            <w:szCs w:val="18"/>
            <w:u w:val="single" w:color="auto"/>
            <w:color w:val="0000FF"/>
          </w:rPr>
          <w:t>administrative agent, Wilmington Trust, National Association, as collateral administrator, and the lenders party thereto</w:t>
        </w:r>
      </w:hyperlink>
      <w:r>
        <w:rPr>
          <w:rFonts w:ascii="Arial" w:cs="Arial" w:eastAsia="Arial" w:hAnsi="Arial"/>
          <w:sz w:val="18"/>
          <w:szCs w:val="18"/>
          <w:u w:val="single" w:color="auto"/>
          <w:color w:val="0000FF"/>
        </w:rPr>
        <w:t xml:space="preserve"> </w:t>
      </w:r>
      <w:hyperlink r:id="rId543">
        <w:r>
          <w:rPr>
            <w:rFonts w:ascii="Arial" w:cs="Arial" w:eastAsia="Arial" w:hAnsi="Arial"/>
            <w:sz w:val="18"/>
            <w:szCs w:val="18"/>
            <w:u w:val="single" w:color="auto"/>
            <w:color w:val="0000FF"/>
          </w:rPr>
          <w:t>(incorporated by reference as Exhibit 10.4 to AAG’s Quarterly Report on Form 10-Q for the quarter ended March 31, 2021</w:t>
        </w:r>
      </w:hyperlink>
      <w:r>
        <w:rPr>
          <w:rFonts w:ascii="Arial" w:cs="Arial" w:eastAsia="Arial" w:hAnsi="Arial"/>
          <w:sz w:val="18"/>
          <w:szCs w:val="18"/>
          <w:u w:val="single" w:color="auto"/>
          <w:color w:val="0000FF"/>
        </w:rPr>
        <w:t xml:space="preserve"> </w:t>
      </w:r>
      <w:hyperlink r:id="rId543">
        <w:r>
          <w:rPr>
            <w:rFonts w:ascii="Arial" w:cs="Arial" w:eastAsia="Arial" w:hAnsi="Arial"/>
            <w:sz w:val="18"/>
            <w:szCs w:val="18"/>
            <w:u w:val="single" w:color="auto"/>
            <w:color w:val="0000FF"/>
          </w:rPr>
          <w:t>(Commission File No. 1-8400)).</w:t>
        </w:r>
        <w:r>
          <w:rPr>
            <w:rFonts w:ascii="Arial" w:cs="Arial" w:eastAsia="Arial" w:hAnsi="Arial"/>
            <w:sz w:val="18"/>
            <w:szCs w:val="18"/>
            <w:color w:val="000000"/>
          </w:rPr>
          <w:t>#</w:t>
        </w:r>
      </w:hyperlink>
    </w:p>
    <w:p>
      <w:pPr>
        <w:spacing w:after="0" w:line="17" w:lineRule="exact"/>
        <w:rPr>
          <w:rFonts w:ascii="Arial" w:cs="Arial" w:eastAsia="Arial" w:hAnsi="Arial"/>
          <w:sz w:val="18"/>
          <w:szCs w:val="18"/>
          <w:u w:val="single" w:color="auto"/>
          <w:color w:val="0000FF"/>
        </w:rPr>
      </w:pPr>
    </w:p>
    <w:p>
      <w:pPr>
        <w:jc w:val="both"/>
        <w:ind w:left="920" w:hanging="889"/>
        <w:spacing w:after="0" w:line="239" w:lineRule="auto"/>
        <w:tabs>
          <w:tab w:leader="none" w:pos="900" w:val="left"/>
        </w:tabs>
        <w:rPr>
          <w:sz w:val="20"/>
          <w:szCs w:val="20"/>
          <w:color w:val="auto"/>
        </w:rPr>
      </w:pPr>
      <w:r>
        <w:rPr>
          <w:rFonts w:ascii="Arial" w:cs="Arial" w:eastAsia="Arial" w:hAnsi="Arial"/>
          <w:sz w:val="18"/>
          <w:szCs w:val="18"/>
          <w:color w:val="auto"/>
        </w:rPr>
        <w:t>10.130</w:t>
      </w:r>
      <w:r>
        <w:rPr>
          <w:sz w:val="20"/>
          <w:szCs w:val="20"/>
          <w:color w:val="auto"/>
        </w:rPr>
        <w:tab/>
      </w:r>
      <w:r>
        <w:rPr>
          <w:rFonts w:ascii="Arial" w:cs="Arial" w:eastAsia="Arial" w:hAnsi="Arial"/>
          <w:sz w:val="18"/>
          <w:szCs w:val="18"/>
          <w:u w:val="single" w:color="auto"/>
          <w:color w:val="0000FF"/>
        </w:rPr>
        <w:t>Severance Agreement and Restrictive Covenants Agreement, dated as of September 20, 2023, among American Airlines Group, Inc., American Airlines, Inc. and Robert D. Isom.</w:t>
      </w:r>
      <w:r>
        <w:rPr>
          <w:rFonts w:ascii="Arial" w:cs="Arial" w:eastAsia="Arial" w:hAnsi="Arial"/>
          <w:sz w:val="18"/>
          <w:szCs w:val="18"/>
          <w:color w:val="000000"/>
        </w:rPr>
        <w:t>†</w:t>
      </w:r>
    </w:p>
    <w:p>
      <w:pPr>
        <w:spacing w:after="0" w:line="6" w:lineRule="exact"/>
        <w:rPr>
          <w:rFonts w:ascii="Arial" w:cs="Arial" w:eastAsia="Arial" w:hAnsi="Arial"/>
          <w:sz w:val="18"/>
          <w:szCs w:val="18"/>
          <w:u w:val="single" w:color="auto"/>
          <w:color w:val="0000FF"/>
        </w:rPr>
      </w:pPr>
    </w:p>
    <w:p>
      <w:pPr>
        <w:jc w:val="both"/>
        <w:ind w:left="920" w:hanging="889"/>
        <w:spacing w:after="0" w:line="221"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10.131</w:t>
      </w:r>
      <w:r>
        <w:rPr>
          <w:sz w:val="20"/>
          <w:szCs w:val="20"/>
          <w:color w:val="auto"/>
        </w:rPr>
        <w:tab/>
      </w:r>
      <w:hyperlink r:id="rId544">
        <w:r>
          <w:rPr>
            <w:rFonts w:ascii="Arial" w:cs="Arial" w:eastAsia="Arial" w:hAnsi="Arial"/>
            <w:sz w:val="18"/>
            <w:szCs w:val="18"/>
            <w:u w:val="single" w:color="auto"/>
            <w:color w:val="0000FF"/>
          </w:rPr>
          <w:t>Severance Agreement and Restrictive Covenants Agreement, dated as of September 20, 2023, among American Airlines Group,</w:t>
        </w:r>
      </w:hyperlink>
      <w:r>
        <w:rPr>
          <w:rFonts w:ascii="Arial" w:cs="Arial" w:eastAsia="Arial" w:hAnsi="Arial"/>
          <w:sz w:val="18"/>
          <w:szCs w:val="18"/>
          <w:u w:val="single" w:color="auto"/>
          <w:color w:val="0000FF"/>
        </w:rPr>
        <w:t xml:space="preserve"> </w:t>
      </w:r>
      <w:hyperlink r:id="rId544">
        <w:r>
          <w:rPr>
            <w:rFonts w:ascii="Arial" w:cs="Arial" w:eastAsia="Arial" w:hAnsi="Arial"/>
            <w:sz w:val="18"/>
            <w:szCs w:val="18"/>
            <w:u w:val="single" w:color="auto"/>
            <w:color w:val="0000FF"/>
          </w:rPr>
          <w:t>Inc., American Airlines, Inc. and Stephen L. Johnson (incorporated by reference to Exhibit 10.4 to AAG’s Quarterly Report on</w:t>
        </w:r>
      </w:hyperlink>
    </w:p>
    <w:p>
      <w:pPr>
        <w:spacing w:after="0" w:line="1" w:lineRule="exact"/>
        <w:rPr>
          <w:sz w:val="20"/>
          <w:szCs w:val="20"/>
          <w:color w:val="auto"/>
        </w:rPr>
      </w:pPr>
    </w:p>
    <w:p>
      <w:pPr>
        <w:ind w:left="920"/>
        <w:spacing w:after="0"/>
        <w:rPr>
          <w:rFonts w:ascii="Arial" w:cs="Arial" w:eastAsia="Arial" w:hAnsi="Arial"/>
          <w:sz w:val="18"/>
          <w:szCs w:val="18"/>
          <w:color w:val="0000FF"/>
        </w:rPr>
      </w:pPr>
      <w:hyperlink r:id="rId544">
        <w:r>
          <w:rPr>
            <w:rFonts w:ascii="Arial" w:cs="Arial" w:eastAsia="Arial" w:hAnsi="Arial"/>
            <w:sz w:val="18"/>
            <w:szCs w:val="18"/>
            <w:u w:val="single" w:color="auto"/>
            <w:color w:val="0000FF"/>
          </w:rPr>
          <w:t>Form 10-Q for the quarter ended September 30, 2023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10.132</w:t>
      </w:r>
      <w:r>
        <w:rPr>
          <w:sz w:val="20"/>
          <w:szCs w:val="20"/>
          <w:color w:val="auto"/>
        </w:rPr>
        <w:tab/>
      </w:r>
      <w:hyperlink r:id="rId545">
        <w:r>
          <w:rPr>
            <w:rFonts w:ascii="Arial" w:cs="Arial" w:eastAsia="Arial" w:hAnsi="Arial"/>
            <w:sz w:val="18"/>
            <w:szCs w:val="18"/>
            <w:u w:val="single" w:color="auto"/>
            <w:color w:val="0000FF"/>
          </w:rPr>
          <w:t>Severance Agreement and Restrictive Covenants Agreement, dated as of September 20, 2023, among American Airlines Group,</w:t>
        </w:r>
      </w:hyperlink>
      <w:r>
        <w:rPr>
          <w:rFonts w:ascii="Arial" w:cs="Arial" w:eastAsia="Arial" w:hAnsi="Arial"/>
          <w:sz w:val="18"/>
          <w:szCs w:val="18"/>
          <w:u w:val="single" w:color="auto"/>
          <w:color w:val="0000FF"/>
        </w:rPr>
        <w:t xml:space="preserve"> </w:t>
      </w:r>
      <w:hyperlink r:id="rId545">
        <w:r>
          <w:rPr>
            <w:rFonts w:ascii="Arial" w:cs="Arial" w:eastAsia="Arial" w:hAnsi="Arial"/>
            <w:sz w:val="18"/>
            <w:szCs w:val="18"/>
            <w:u w:val="single" w:color="auto"/>
            <w:color w:val="0000FF"/>
          </w:rPr>
          <w:t>Inc., American Airlines, Inc. and David G. Seymour (incorporated by reference to Exhibit 10.5 to AAG’s Quarterly Report on Form</w:t>
        </w:r>
      </w:hyperlink>
    </w:p>
    <w:p>
      <w:pPr>
        <w:ind w:left="920"/>
        <w:spacing w:after="0"/>
        <w:rPr>
          <w:rFonts w:ascii="Arial" w:cs="Arial" w:eastAsia="Arial" w:hAnsi="Arial"/>
          <w:sz w:val="18"/>
          <w:szCs w:val="18"/>
          <w:color w:val="0000FF"/>
        </w:rPr>
      </w:pPr>
      <w:hyperlink r:id="rId545">
        <w:r>
          <w:rPr>
            <w:rFonts w:ascii="Arial" w:cs="Arial" w:eastAsia="Arial" w:hAnsi="Arial"/>
            <w:sz w:val="18"/>
            <w:szCs w:val="18"/>
            <w:u w:val="single" w:color="auto"/>
            <w:color w:val="0000FF"/>
          </w:rPr>
          <w:t>10-Q for the quarter ended September 30, 2023 (Commission File No. 1-8400)).</w:t>
        </w:r>
        <w:r>
          <w:rPr>
            <w:rFonts w:ascii="Arial" w:cs="Arial" w:eastAsia="Arial" w:hAnsi="Arial"/>
            <w:sz w:val="18"/>
            <w:szCs w:val="18"/>
            <w:color w:val="000000"/>
          </w:rPr>
          <w:t>†</w:t>
        </w:r>
      </w:hyperlink>
    </w:p>
    <w:p>
      <w:pPr>
        <w:spacing w:after="0" w:line="14" w:lineRule="exact"/>
        <w:rPr>
          <w:sz w:val="20"/>
          <w:szCs w:val="20"/>
          <w:color w:val="auto"/>
        </w:rPr>
      </w:pPr>
    </w:p>
    <w:p>
      <w:pPr>
        <w:jc w:val="both"/>
        <w:ind w:left="920" w:hanging="889"/>
        <w:spacing w:after="0" w:line="216"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10.133</w:t>
      </w:r>
      <w:r>
        <w:rPr>
          <w:sz w:val="20"/>
          <w:szCs w:val="20"/>
          <w:color w:val="auto"/>
        </w:rPr>
        <w:tab/>
      </w:r>
      <w:hyperlink r:id="rId546">
        <w:r>
          <w:rPr>
            <w:rFonts w:ascii="Arial" w:cs="Arial" w:eastAsia="Arial" w:hAnsi="Arial"/>
            <w:sz w:val="18"/>
            <w:szCs w:val="18"/>
            <w:u w:val="single" w:color="auto"/>
            <w:color w:val="0000FF"/>
          </w:rPr>
          <w:t>Credit and Guaranty Agreement, dated as of December 4, 2023, among American Airlines Inc., as the borrower, American</w:t>
        </w:r>
      </w:hyperlink>
      <w:r>
        <w:rPr>
          <w:rFonts w:ascii="Arial" w:cs="Arial" w:eastAsia="Arial" w:hAnsi="Arial"/>
          <w:sz w:val="18"/>
          <w:szCs w:val="18"/>
          <w:u w:val="single" w:color="auto"/>
          <w:color w:val="0000FF"/>
        </w:rPr>
        <w:t xml:space="preserve"> </w:t>
      </w:r>
      <w:hyperlink r:id="rId546">
        <w:r>
          <w:rPr>
            <w:rFonts w:ascii="Arial" w:cs="Arial" w:eastAsia="Arial" w:hAnsi="Arial"/>
            <w:sz w:val="18"/>
            <w:szCs w:val="18"/>
            <w:u w:val="single" w:color="auto"/>
            <w:color w:val="0000FF"/>
          </w:rPr>
          <w:t>Airlines Group Inc., as parent and guarantor, the lenders from time to time party thereto, Citibank, N.A., as administrative agent,</w:t>
        </w:r>
      </w:hyperlink>
    </w:p>
    <w:p>
      <w:pPr>
        <w:ind w:left="920" w:right="20"/>
        <w:spacing w:after="0" w:line="229" w:lineRule="auto"/>
        <w:rPr>
          <w:rFonts w:ascii="Arial" w:cs="Arial" w:eastAsia="Arial" w:hAnsi="Arial"/>
          <w:sz w:val="18"/>
          <w:szCs w:val="18"/>
          <w:u w:val="single" w:color="auto"/>
          <w:color w:val="0000FF"/>
        </w:rPr>
      </w:pPr>
      <w:hyperlink r:id="rId546">
        <w:r>
          <w:rPr>
            <w:rFonts w:ascii="Arial" w:cs="Arial" w:eastAsia="Arial" w:hAnsi="Arial"/>
            <w:sz w:val="18"/>
            <w:szCs w:val="18"/>
            <w:u w:val="single" w:color="auto"/>
            <w:color w:val="0000FF"/>
          </w:rPr>
          <w:t>and certain other parties from time to time party thereto (incorporated by reference to Exhibit 4.3 to AAG’s Current Report on</w:t>
        </w:r>
      </w:hyperlink>
      <w:r>
        <w:rPr>
          <w:rFonts w:ascii="Arial" w:cs="Arial" w:eastAsia="Arial" w:hAnsi="Arial"/>
          <w:sz w:val="18"/>
          <w:szCs w:val="18"/>
          <w:u w:val="single" w:color="auto"/>
          <w:color w:val="0000FF"/>
        </w:rPr>
        <w:t xml:space="preserve"> </w:t>
      </w:r>
      <w:hyperlink r:id="rId546">
        <w:r>
          <w:rPr>
            <w:rFonts w:ascii="Arial" w:cs="Arial" w:eastAsia="Arial" w:hAnsi="Arial"/>
            <w:sz w:val="18"/>
            <w:szCs w:val="18"/>
            <w:u w:val="single" w:color="auto"/>
            <w:color w:val="0000FF"/>
          </w:rPr>
          <w:t>Form 8-K filed on December 4, 2023 (Commission File No. 1-8400)).</w:t>
        </w:r>
      </w:hyperlink>
    </w:p>
    <w:p>
      <w:pPr>
        <w:spacing w:after="0" w:line="1" w:lineRule="exact"/>
        <w:rPr>
          <w:sz w:val="20"/>
          <w:szCs w:val="20"/>
          <w:color w:val="auto"/>
        </w:rPr>
      </w:pPr>
    </w:p>
    <w:p>
      <w:pPr>
        <w:ind w:left="920" w:hanging="889"/>
        <w:spacing w:after="0" w:line="23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14.1</w:t>
      </w:r>
      <w:r>
        <w:rPr>
          <w:sz w:val="20"/>
          <w:szCs w:val="20"/>
          <w:color w:val="auto"/>
        </w:rPr>
        <w:tab/>
      </w:r>
      <w:hyperlink r:id="rId547">
        <w:r>
          <w:rPr>
            <w:rFonts w:ascii="Arial" w:cs="Arial" w:eastAsia="Arial" w:hAnsi="Arial"/>
            <w:sz w:val="18"/>
            <w:szCs w:val="18"/>
            <w:u w:val="single" w:color="auto"/>
            <w:color w:val="0000FF"/>
          </w:rPr>
          <w:t>Code of Ethics (incorporated by reference to Exhibit 14.1 to AAG’s Current Report on Form 8-K filed on December 9, 2013</w:t>
        </w:r>
      </w:hyperlink>
      <w:r>
        <w:rPr>
          <w:rFonts w:ascii="Arial" w:cs="Arial" w:eastAsia="Arial" w:hAnsi="Arial"/>
          <w:sz w:val="18"/>
          <w:szCs w:val="18"/>
          <w:u w:val="single" w:color="auto"/>
          <w:color w:val="0000FF"/>
        </w:rPr>
        <w:t xml:space="preserve"> </w:t>
      </w:r>
      <w:hyperlink r:id="rId547">
        <w:r>
          <w:rPr>
            <w:rFonts w:ascii="Arial" w:cs="Arial" w:eastAsia="Arial" w:hAnsi="Arial"/>
            <w:sz w:val="18"/>
            <w:szCs w:val="18"/>
            <w:u w:val="single" w:color="auto"/>
            <w:color w:val="0000FF"/>
          </w:rPr>
          <w:t>(Commission File No. 1-8400)).</w:t>
        </w:r>
      </w:hyperlink>
    </w:p>
    <w:p>
      <w:pPr>
        <w:spacing w:after="0" w:line="5"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u w:val="single" w:color="auto"/>
          <w:color w:val="0000FF"/>
        </w:rPr>
        <w:t>Significant subsidiaries of AAG and American as of December 31, 2023.</w:t>
      </w:r>
    </w:p>
    <w:p>
      <w:pPr>
        <w:spacing w:after="0" w:line="32"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FF"/>
        </w:rPr>
        <w:t>Consent of Independent Registered Public Accounting Firm – KPMG LLP.</w:t>
      </w:r>
    </w:p>
    <w:p>
      <w:pPr>
        <w:spacing w:after="0" w:line="22"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u w:val="single" w:color="auto"/>
          <w:color w:val="0000FF"/>
        </w:rPr>
        <w:t>Powers of Attorney (included in signature page of this Annual Report on Form 10-K).</w:t>
      </w:r>
    </w:p>
    <w:p>
      <w:pPr>
        <w:spacing w:after="0" w:line="22"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AAG Chief Executive Officer pursuant to Rule 13a-14(a).</w:t>
      </w:r>
    </w:p>
    <w:p>
      <w:pPr>
        <w:spacing w:after="0" w:line="22"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of AAG Chief Financial Officer pursuant to Rule 13a-14(a).</w:t>
      </w:r>
    </w:p>
    <w:p>
      <w:pPr>
        <w:spacing w:after="0" w:line="22"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u w:val="single" w:color="auto"/>
          <w:color w:val="0000FF"/>
        </w:rPr>
        <w:t>Certification of American Chief Executive Officer pursuant to Rule 13a-14(a).</w:t>
      </w:r>
    </w:p>
    <w:p>
      <w:pPr>
        <w:spacing w:after="0" w:line="22"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7"/>
          <w:szCs w:val="17"/>
          <w:u w:val="single" w:color="auto"/>
          <w:color w:val="0000FF"/>
        </w:rPr>
        <w:t>Certification of American Chief Financial Officer pursuant to Rule 13a-14(a).</w:t>
      </w:r>
    </w:p>
    <w:p>
      <w:pPr>
        <w:ind w:left="20"/>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Certification pursuant to Rule 13a-14(b) and section 906 of the Sarbanes-Oxley Act of 2002 (subsections (a) and (b) of section</w:t>
      </w:r>
    </w:p>
    <w:p>
      <w:pPr>
        <w:ind w:left="920"/>
        <w:spacing w:after="0"/>
        <w:rPr>
          <w:sz w:val="20"/>
          <w:szCs w:val="20"/>
          <w:color w:val="auto"/>
        </w:rPr>
      </w:pPr>
      <w:r>
        <w:rPr>
          <w:rFonts w:ascii="Arial" w:cs="Arial" w:eastAsia="Arial" w:hAnsi="Arial"/>
          <w:sz w:val="18"/>
          <w:szCs w:val="18"/>
          <w:u w:val="single" w:color="auto"/>
          <w:color w:val="0000FF"/>
        </w:rPr>
        <w:t>1350, chapter 63 of title 18, United States Code).</w:t>
      </w:r>
    </w:p>
    <w:p>
      <w:pPr>
        <w:spacing w:after="0" w:line="4"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FF"/>
        </w:rPr>
        <w:t>Certification pursuant to Rule 13a-14(b) and section 906 of the Sarbanes-Oxley Act of 2002 (subsections (a) and (b) of section</w:t>
      </w:r>
    </w:p>
    <w:p>
      <w:pPr>
        <w:ind w:left="920"/>
        <w:spacing w:after="0"/>
        <w:rPr>
          <w:sz w:val="20"/>
          <w:szCs w:val="20"/>
          <w:color w:val="auto"/>
        </w:rPr>
      </w:pPr>
      <w:r>
        <w:rPr>
          <w:rFonts w:ascii="Arial" w:cs="Arial" w:eastAsia="Arial" w:hAnsi="Arial"/>
          <w:sz w:val="18"/>
          <w:szCs w:val="18"/>
          <w:u w:val="single" w:color="auto"/>
          <w:color w:val="0000FF"/>
        </w:rPr>
        <w:t>1350, chapter 63 of title 18, United States Code).</w:t>
      </w:r>
    </w:p>
    <w:p>
      <w:pPr>
        <w:spacing w:after="0" w:line="18"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97.1</w:t>
      </w:r>
      <w:r>
        <w:rPr>
          <w:sz w:val="20"/>
          <w:szCs w:val="20"/>
          <w:color w:val="auto"/>
        </w:rPr>
        <w:tab/>
      </w:r>
      <w:r>
        <w:rPr>
          <w:rFonts w:ascii="Arial" w:cs="Arial" w:eastAsia="Arial" w:hAnsi="Arial"/>
          <w:sz w:val="17"/>
          <w:szCs w:val="17"/>
          <w:u w:val="single" w:color="auto"/>
          <w:color w:val="0000FF"/>
        </w:rPr>
        <w:t>American Airlines Group Inc. Policy for Recovery of Erroneously Awarded Compensation.</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35" w:lineRule="exact"/>
        <w:rPr>
          <w:sz w:val="20"/>
          <w:szCs w:val="20"/>
          <w:color w:val="auto"/>
        </w:rPr>
      </w:pPr>
    </w:p>
    <w:p>
      <w:pPr>
        <w:ind w:left="920" w:right="1760" w:hanging="889"/>
        <w:spacing w:after="0" w:line="230" w:lineRule="auto"/>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Interactive data files pursuant to Rule 405 of Regulation S-T, formatted in Inline XBRL (eXtensible Business Reporting Language).</w:t>
      </w:r>
    </w:p>
    <w:p>
      <w:pPr>
        <w:spacing w:after="0" w:line="4"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7"/>
          <w:szCs w:val="17"/>
          <w:color w:val="auto"/>
        </w:rPr>
        <w:t>Cover page interactive data file (formatted in Inline XBRL and contained in 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1000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549">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99" w:lineRule="exact"/>
        <w:rPr>
          <w:sz w:val="20"/>
          <w:szCs w:val="20"/>
          <w:color w:val="auto"/>
        </w:rPr>
      </w:pPr>
    </w:p>
    <w:p>
      <w:pPr>
        <w:jc w:val="both"/>
        <w:ind w:left="640" w:hanging="241"/>
        <w:spacing w:after="0" w:line="225" w:lineRule="auto"/>
        <w:tabs>
          <w:tab w:leader="none" w:pos="64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Pursuant to Item 601(a)(5) of Regulation S-K promulgated by the Securities and Exchange Commission, certain exhibits and schedules to this agreement have been omitted. Such exhibits and schedules are described in the referenced agreement. AAG and American hereby agree to furnish to the Securities and Exchange Commission, upon its request, any or all of such omitted exhibits or schedules.</w:t>
      </w:r>
    </w:p>
    <w:p>
      <w:pPr>
        <w:spacing w:after="0" w:line="1" w:lineRule="exact"/>
        <w:rPr>
          <w:sz w:val="20"/>
          <w:szCs w:val="20"/>
          <w:color w:val="auto"/>
        </w:rPr>
      </w:pPr>
    </w:p>
    <w:p>
      <w:pPr>
        <w:ind w:left="640" w:hanging="241"/>
        <w:spacing w:after="0"/>
        <w:tabs>
          <w:tab w:leader="none" w:pos="640" w:val="left"/>
        </w:tabs>
        <w:numPr>
          <w:ilvl w:val="1"/>
          <w:numId w:val="89"/>
        </w:numPr>
        <w:rPr>
          <w:rFonts w:ascii="Times New Roman" w:cs="Times New Roman" w:eastAsia="Times New Roman" w:hAnsi="Times New Roman"/>
          <w:sz w:val="18"/>
          <w:szCs w:val="18"/>
          <w:color w:val="auto"/>
        </w:rPr>
      </w:pPr>
      <w:r>
        <w:rPr>
          <w:rFonts w:ascii="Arial" w:cs="Arial" w:eastAsia="Arial" w:hAnsi="Arial"/>
          <w:sz w:val="18"/>
          <w:szCs w:val="18"/>
          <w:color w:val="auto"/>
        </w:rPr>
        <w:t>Confidential treatment has been granted with respect to certain portions of this agreement.</w:t>
      </w:r>
    </w:p>
    <w:p>
      <w:pPr>
        <w:spacing w:after="0" w:line="21" w:lineRule="exact"/>
        <w:rPr>
          <w:rFonts w:ascii="Times New Roman" w:cs="Times New Roman" w:eastAsia="Times New Roman" w:hAnsi="Times New Roman"/>
          <w:sz w:val="18"/>
          <w:szCs w:val="18"/>
          <w:color w:val="auto"/>
        </w:rPr>
      </w:pPr>
    </w:p>
    <w:p>
      <w:pPr>
        <w:ind w:left="640" w:hanging="331"/>
        <w:spacing w:after="0"/>
        <w:tabs>
          <w:tab w:leader="none" w:pos="64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color w:val="auto"/>
        </w:rPr>
        <w:t>Portions of this exhibit have been omitted in accordance with Item 601(b)(10) of Regulation S-K.</w:t>
      </w:r>
    </w:p>
    <w:p>
      <w:pPr>
        <w:spacing w:after="0" w:line="2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0"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American Airlines Group Inc.</w:t>
      </w:r>
    </w:p>
    <w:p>
      <w:pPr>
        <w:spacing w:after="0" w:line="40" w:lineRule="exact"/>
        <w:rPr>
          <w:sz w:val="20"/>
          <w:szCs w:val="20"/>
          <w:color w:val="auto"/>
        </w:rPr>
      </w:pPr>
    </w:p>
    <w:p>
      <w:pPr>
        <w:ind w:left="5640" w:right="3100" w:hanging="6539"/>
        <w:spacing w:after="0" w:line="268" w:lineRule="auto"/>
        <w:tabs>
          <w:tab w:leader="none" w:pos="5620" w:val="left"/>
        </w:tabs>
        <w:rPr>
          <w:sz w:val="20"/>
          <w:szCs w:val="20"/>
          <w:color w:val="auto"/>
        </w:rPr>
      </w:pPr>
      <w:r>
        <w:rPr>
          <w:rFonts w:ascii="Arial" w:cs="Arial" w:eastAsia="Arial" w:hAnsi="Arial"/>
          <w:sz w:val="18"/>
          <w:szCs w:val="18"/>
          <w:color w:val="auto"/>
        </w:rPr>
        <w:t>Date: February 21, 2024</w:t>
      </w:r>
      <w:r>
        <w:rPr>
          <w:sz w:val="20"/>
          <w:szCs w:val="20"/>
          <w:color w:val="auto"/>
        </w:rPr>
        <w:tab/>
      </w:r>
      <w:r>
        <w:rPr>
          <w:rFonts w:ascii="Arial" w:cs="Arial" w:eastAsia="Arial" w:hAnsi="Arial"/>
          <w:sz w:val="18"/>
          <w:szCs w:val="18"/>
          <w:color w:val="auto"/>
        </w:rPr>
        <w:t>By: /s/ Robert D. Isom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-154940</wp:posOffset>
            </wp:positionV>
            <wp:extent cx="26117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552">
                      <a:extLst>
                        <a:ext uri="{28A0092B-C50C-407E-A947-70E740481C1C}"/>
                      </a:extLst>
                    </a:blip>
                    <a:srcRect/>
                    <a:stretch>
                      <a:fillRect/>
                    </a:stretch>
                  </pic:blipFill>
                  <pic:spPr bwMode="auto">
                    <a:xfrm>
                      <a:off x="0" y="0"/>
                      <a:ext cx="26117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auto"/>
        </w:rPr>
        <w:t>Chief Executive Officer and President</w:t>
      </w:r>
    </w:p>
    <w:p>
      <w:pPr>
        <w:spacing w:after="0" w:line="2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56"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American Airlines, Inc.</w:t>
      </w:r>
    </w:p>
    <w:p>
      <w:pPr>
        <w:spacing w:after="0" w:line="40" w:lineRule="exact"/>
        <w:rPr>
          <w:sz w:val="20"/>
          <w:szCs w:val="20"/>
          <w:color w:val="auto"/>
        </w:rPr>
      </w:pPr>
    </w:p>
    <w:p>
      <w:pPr>
        <w:ind w:left="5640" w:right="3100" w:hanging="6539"/>
        <w:spacing w:after="0" w:line="268" w:lineRule="auto"/>
        <w:tabs>
          <w:tab w:leader="none" w:pos="5620" w:val="left"/>
        </w:tabs>
        <w:rPr>
          <w:sz w:val="20"/>
          <w:szCs w:val="20"/>
          <w:color w:val="auto"/>
        </w:rPr>
      </w:pPr>
      <w:r>
        <w:rPr>
          <w:rFonts w:ascii="Arial" w:cs="Arial" w:eastAsia="Arial" w:hAnsi="Arial"/>
          <w:sz w:val="18"/>
          <w:szCs w:val="18"/>
          <w:color w:val="auto"/>
        </w:rPr>
        <w:t>Date: February 21, 2024</w:t>
      </w:r>
      <w:r>
        <w:rPr>
          <w:sz w:val="20"/>
          <w:szCs w:val="20"/>
          <w:color w:val="auto"/>
        </w:rPr>
        <w:tab/>
      </w:r>
      <w:r>
        <w:rPr>
          <w:rFonts w:ascii="Arial" w:cs="Arial" w:eastAsia="Arial" w:hAnsi="Arial"/>
          <w:sz w:val="18"/>
          <w:szCs w:val="18"/>
          <w:color w:val="auto"/>
        </w:rPr>
        <w:t>By: /s/ Robert D. Isom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-154940</wp:posOffset>
            </wp:positionV>
            <wp:extent cx="26117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553">
                      <a:extLst>
                        <a:ext uri="{28A0092B-C50C-407E-A947-70E740481C1C}"/>
                      </a:extLst>
                    </a:blip>
                    <a:srcRect/>
                    <a:stretch>
                      <a:fillRect/>
                    </a:stretch>
                  </pic:blipFill>
                  <pic:spPr bwMode="auto">
                    <a:xfrm>
                      <a:off x="0" y="0"/>
                      <a:ext cx="26117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auto"/>
        </w:rPr>
        <w:t>Chief Executive Officer and President</w:t>
      </w:r>
    </w:p>
    <w:p>
      <w:pPr>
        <w:spacing w:after="0" w:line="2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Robert D. Isom and Devon E. May and each or any of them, his or her true and lawful attorneys and agents, with full power of substitution and resubstitution, for him or her and in his or her name, place and stead, in any and all capacities, to sign any and all amendments to the registrants’ Annual Report on Form 10-K for the fiscal year ended December 31, 2023, and to file the same with all exhibits thereto, and all other documents in connection therewith, with the Securities and Exchange Commission, granting unto said attorneys and agents, and each or any of them, full power and authority to do and perform each and every act and thing requisite and necessary to be done, as fully to all intents and purposes as he or she might or could do in person, hereby ratifying and confirming all that said attorneys and agents, and each of them, or his substitute or substitutes, may lawfully do or cause to be done by virtue hereof.</w:t>
      </w:r>
    </w:p>
    <w:p>
      <w:pPr>
        <w:spacing w:after="0" w:line="128"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American Airlines Group Inc. and in the capacities and on the dates noted: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320" w:type="dxa"/>
            <w:vAlign w:val="bottom"/>
          </w:tcPr>
          <w:p>
            <w:pPr>
              <w:spacing w:after="0"/>
              <w:rPr>
                <w:sz w:val="20"/>
                <w:szCs w:val="20"/>
                <w:color w:val="auto"/>
              </w:rPr>
            </w:pPr>
            <w:r>
              <w:rPr>
                <w:rFonts w:ascii="Arial" w:cs="Arial" w:eastAsia="Arial" w:hAnsi="Arial"/>
                <w:sz w:val="18"/>
                <w:szCs w:val="18"/>
                <w:color w:val="auto"/>
              </w:rPr>
              <w:t>Date: February 21, 2024</w:t>
            </w:r>
          </w:p>
        </w:tc>
        <w:tc>
          <w:tcPr>
            <w:tcW w:w="28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20" w:type="dxa"/>
            <w:vAlign w:val="bottom"/>
            <w:tcBorders>
              <w:bottom w:val="single" w:sz="8" w:color="435363"/>
            </w:tcBorders>
          </w:tcPr>
          <w:p>
            <w:pPr>
              <w:ind w:left="80"/>
              <w:spacing w:after="0"/>
              <w:rPr>
                <w:sz w:val="20"/>
                <w:szCs w:val="20"/>
                <w:color w:val="auto"/>
              </w:rPr>
            </w:pPr>
            <w:r>
              <w:rPr>
                <w:rFonts w:ascii="Arial" w:cs="Arial" w:eastAsia="Arial" w:hAnsi="Arial"/>
                <w:sz w:val="18"/>
                <w:szCs w:val="18"/>
                <w:color w:val="auto"/>
              </w:rPr>
              <w:t>Robert D. Isom</w:t>
            </w:r>
          </w:p>
        </w:tc>
      </w:tr>
      <w:tr>
        <w:trPr>
          <w:trHeight w:val="217"/>
        </w:trPr>
        <w:tc>
          <w:tcPr>
            <w:tcW w:w="5320" w:type="dxa"/>
            <w:vAlign w:val="bottom"/>
          </w:tcPr>
          <w:p>
            <w:pPr>
              <w:spacing w:after="0"/>
              <w:rPr>
                <w:sz w:val="18"/>
                <w:szCs w:val="18"/>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Robert D. Isom</w:t>
            </w:r>
          </w:p>
        </w:tc>
      </w:tr>
      <w:tr>
        <w:trPr>
          <w:trHeight w:val="229"/>
        </w:trPr>
        <w:tc>
          <w:tcPr>
            <w:tcW w:w="532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9"/>
        </w:trPr>
        <w:tc>
          <w:tcPr>
            <w:tcW w:w="53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5"/>
        </w:trPr>
        <w:tc>
          <w:tcPr>
            <w:tcW w:w="5320" w:type="dxa"/>
            <w:vAlign w:val="bottom"/>
          </w:tcPr>
          <w:p>
            <w:pPr>
              <w:spacing w:after="0"/>
              <w:rPr>
                <w:sz w:val="20"/>
                <w:szCs w:val="20"/>
                <w:color w:val="auto"/>
              </w:rPr>
            </w:pPr>
            <w:r>
              <w:rPr>
                <w:rFonts w:ascii="Arial" w:cs="Arial" w:eastAsia="Arial" w:hAnsi="Arial"/>
                <w:sz w:val="18"/>
                <w:szCs w:val="18"/>
                <w:color w:val="auto"/>
              </w:rPr>
              <w:t>Date: February 21, 2024</w:t>
            </w:r>
          </w:p>
        </w:tc>
        <w:tc>
          <w:tcPr>
            <w:tcW w:w="28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20" w:type="dxa"/>
            <w:vAlign w:val="bottom"/>
            <w:tcBorders>
              <w:bottom w:val="single" w:sz="8" w:color="435363"/>
            </w:tcBorders>
          </w:tcPr>
          <w:p>
            <w:pPr>
              <w:ind w:left="120"/>
              <w:spacing w:after="0"/>
              <w:rPr>
                <w:sz w:val="20"/>
                <w:szCs w:val="20"/>
                <w:color w:val="auto"/>
              </w:rPr>
            </w:pPr>
            <w:r>
              <w:rPr>
                <w:rFonts w:ascii="Arial" w:cs="Arial" w:eastAsia="Arial" w:hAnsi="Arial"/>
                <w:sz w:val="18"/>
                <w:szCs w:val="18"/>
                <w:color w:val="auto"/>
              </w:rPr>
              <w:t>Devon E. May</w:t>
            </w:r>
          </w:p>
        </w:tc>
      </w:tr>
      <w:tr>
        <w:trPr>
          <w:trHeight w:val="217"/>
        </w:trPr>
        <w:tc>
          <w:tcPr>
            <w:tcW w:w="5320" w:type="dxa"/>
            <w:vAlign w:val="bottom"/>
          </w:tcPr>
          <w:p>
            <w:pPr>
              <w:spacing w:after="0"/>
              <w:rPr>
                <w:sz w:val="18"/>
                <w:szCs w:val="18"/>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Devon E. May</w:t>
            </w:r>
          </w:p>
        </w:tc>
      </w:tr>
      <w:tr>
        <w:trPr>
          <w:trHeight w:val="229"/>
        </w:trPr>
        <w:tc>
          <w:tcPr>
            <w:tcW w:w="532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9"/>
        </w:trPr>
        <w:tc>
          <w:tcPr>
            <w:tcW w:w="53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95"/>
        </w:trPr>
        <w:tc>
          <w:tcPr>
            <w:tcW w:w="5320" w:type="dxa"/>
            <w:vAlign w:val="bottom"/>
          </w:tcPr>
          <w:p>
            <w:pPr>
              <w:spacing w:after="0"/>
              <w:rPr>
                <w:sz w:val="20"/>
                <w:szCs w:val="20"/>
                <w:color w:val="auto"/>
              </w:rPr>
            </w:pPr>
            <w:r>
              <w:rPr>
                <w:rFonts w:ascii="Arial" w:cs="Arial" w:eastAsia="Arial" w:hAnsi="Arial"/>
                <w:sz w:val="18"/>
                <w:szCs w:val="18"/>
                <w:color w:val="auto"/>
              </w:rPr>
              <w:t>Date: February 21, 2024</w:t>
            </w:r>
          </w:p>
        </w:tc>
        <w:tc>
          <w:tcPr>
            <w:tcW w:w="28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20" w:type="dxa"/>
            <w:vAlign w:val="bottom"/>
            <w:tcBorders>
              <w:bottom w:val="single" w:sz="8" w:color="435363"/>
            </w:tcBorders>
          </w:tcPr>
          <w:p>
            <w:pPr>
              <w:ind w:left="120"/>
              <w:spacing w:after="0"/>
              <w:rPr>
                <w:sz w:val="20"/>
                <w:szCs w:val="20"/>
                <w:color w:val="auto"/>
              </w:rPr>
            </w:pPr>
            <w:r>
              <w:rPr>
                <w:rFonts w:ascii="Arial" w:cs="Arial" w:eastAsia="Arial" w:hAnsi="Arial"/>
                <w:sz w:val="18"/>
                <w:szCs w:val="18"/>
                <w:color w:val="auto"/>
              </w:rPr>
              <w:t>Angela K. Owens</w:t>
            </w:r>
          </w:p>
        </w:tc>
      </w:tr>
      <w:tr>
        <w:trPr>
          <w:trHeight w:val="232"/>
        </w:trPr>
        <w:tc>
          <w:tcPr>
            <w:tcW w:w="53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Angela K. Owens</w:t>
            </w:r>
          </w:p>
        </w:tc>
      </w:tr>
    </w:tbl>
    <w:p>
      <w:pPr>
        <w:ind w:left="5360"/>
        <w:spacing w:after="0"/>
        <w:rPr>
          <w:sz w:val="20"/>
          <w:szCs w:val="20"/>
          <w:color w:val="auto"/>
        </w:rPr>
      </w:pPr>
      <w:r>
        <w:rPr>
          <w:rFonts w:ascii="Arial" w:cs="Arial" w:eastAsia="Arial" w:hAnsi="Arial"/>
          <w:sz w:val="18"/>
          <w:szCs w:val="18"/>
          <w:color w:val="auto"/>
        </w:rPr>
        <w:t>Senior Vice President and Corporate Controller</w:t>
      </w:r>
    </w:p>
    <w:p>
      <w:pPr>
        <w:spacing w:after="0" w:line="1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40"/>
          </w:cols>
          <w:pgMar w:left="320" w:top="364" w:right="339" w:bottom="1440" w:gutter="0" w:footer="0" w:header="0"/>
        </w:sect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21, 2024</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21, 2024</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21, 2024</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21, 2024</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21, 2024</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30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Jeffrey D. Benjamin</w:t>
            </w:r>
          </w:p>
        </w:tc>
      </w:tr>
      <w:tr>
        <w:trPr>
          <w:trHeight w:val="232"/>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Jeffrey D. Benjamin, Director</w:t>
            </w:r>
          </w:p>
        </w:tc>
      </w:tr>
      <w:tr>
        <w:trPr>
          <w:trHeight w:val="489"/>
        </w:trPr>
        <w:tc>
          <w:tcPr>
            <w:tcW w:w="30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Adriane M. Brown</w:t>
            </w:r>
          </w:p>
        </w:tc>
      </w:tr>
      <w:tr>
        <w:trPr>
          <w:trHeight w:val="232"/>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Adriane M. Brown, Director</w:t>
            </w:r>
          </w:p>
        </w:tc>
      </w:tr>
      <w:tr>
        <w:trPr>
          <w:trHeight w:val="489"/>
        </w:trPr>
        <w:tc>
          <w:tcPr>
            <w:tcW w:w="30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John T. Cahill</w:t>
            </w:r>
          </w:p>
        </w:tc>
      </w:tr>
      <w:tr>
        <w:trPr>
          <w:trHeight w:val="232"/>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John T. Cahill, Director</w:t>
            </w:r>
          </w:p>
        </w:tc>
      </w:tr>
      <w:tr>
        <w:trPr>
          <w:trHeight w:val="489"/>
        </w:trPr>
        <w:tc>
          <w:tcPr>
            <w:tcW w:w="30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Michael J. Embler</w:t>
            </w:r>
          </w:p>
        </w:tc>
      </w:tr>
      <w:tr>
        <w:trPr>
          <w:trHeight w:val="232"/>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Michael J. Embler, Director</w:t>
            </w:r>
          </w:p>
        </w:tc>
      </w:tr>
      <w:tr>
        <w:trPr>
          <w:trHeight w:val="494"/>
        </w:trPr>
        <w:tc>
          <w:tcPr>
            <w:tcW w:w="300" w:type="dxa"/>
            <w:vAlign w:val="bottom"/>
          </w:tcPr>
          <w:p>
            <w:pPr>
              <w:ind w:left="20"/>
              <w:spacing w:after="0"/>
              <w:rPr>
                <w:sz w:val="20"/>
                <w:szCs w:val="20"/>
                <w:color w:val="auto"/>
              </w:rPr>
            </w:pPr>
            <w:r>
              <w:rPr>
                <w:rFonts w:ascii="Arial" w:cs="Arial" w:eastAsia="Arial" w:hAnsi="Arial"/>
                <w:sz w:val="18"/>
                <w:szCs w:val="18"/>
                <w:color w:val="auto"/>
              </w:rPr>
              <w:t>/s/</w:t>
            </w:r>
          </w:p>
        </w:tc>
        <w:tc>
          <w:tcPr>
            <w:tcW w:w="5000" w:type="dxa"/>
            <w:vAlign w:val="bottom"/>
          </w:tcPr>
          <w:p>
            <w:pPr>
              <w:ind w:left="100"/>
              <w:spacing w:after="0"/>
              <w:rPr>
                <w:sz w:val="20"/>
                <w:szCs w:val="20"/>
                <w:color w:val="auto"/>
              </w:rPr>
            </w:pPr>
            <w:r>
              <w:rPr>
                <w:rFonts w:ascii="Arial" w:cs="Arial" w:eastAsia="Arial" w:hAnsi="Arial"/>
                <w:sz w:val="18"/>
                <w:szCs w:val="18"/>
                <w:color w:val="auto"/>
              </w:rPr>
              <w:t>Matthew J. Hart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33737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555">
                      <a:extLst>
                        <a:ext uri="{28A0092B-C50C-407E-A947-70E740481C1C}"/>
                      </a:extLst>
                    </a:blip>
                    <a:srcRect/>
                    <a:stretch>
                      <a:fillRect/>
                    </a:stretch>
                  </pic:blipFill>
                  <pic:spPr bwMode="auto">
                    <a:xfrm>
                      <a:off x="0" y="0"/>
                      <a:ext cx="337375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Matthew J. Hart, Director</w:t>
      </w:r>
    </w:p>
    <w:p>
      <w:pPr>
        <w:spacing w:after="0" w:line="200" w:lineRule="exact"/>
        <w:rPr>
          <w:sz w:val="20"/>
          <w:szCs w:val="20"/>
          <w:color w:val="auto"/>
        </w:rPr>
      </w:pPr>
    </w:p>
    <w:p>
      <w:pPr>
        <w:sectPr>
          <w:pgSz w:w="11900" w:h="16838" w:orient="portrait"/>
          <w:cols w:equalWidth="0" w:num="2">
            <w:col w:w="4620" w:space="720"/>
            <w:col w:w="590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02" w:name="page203"/>
    <w:bookmarkEnd w:id="202"/>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0000FF"/>
            </w:tcBorders>
          </w:tcPr>
          <w:p>
            <w:pPr>
              <w:spacing w:after="0"/>
              <w:rPr>
                <w:sz w:val="20"/>
                <w:szCs w:val="20"/>
                <w:color w:val="auto"/>
              </w:rPr>
            </w:pPr>
            <w:r>
              <w:rPr>
                <w:rFonts w:ascii="Arial" w:cs="Arial" w:eastAsia="Arial" w:hAnsi="Arial"/>
                <w:sz w:val="18"/>
                <w:szCs w:val="18"/>
                <w:b w:val="1"/>
                <w:bCs w:val="1"/>
                <w:color w:val="0000FF"/>
                <w:w w:val="98"/>
              </w:rPr>
              <w:t>Table of Contents</w:t>
            </w:r>
          </w:p>
        </w:tc>
        <w:tc>
          <w:tcPr>
            <w:tcW w:w="3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951"/>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Date: February 21, 2024</w:t>
            </w:r>
          </w:p>
        </w:tc>
        <w:tc>
          <w:tcPr>
            <w:tcW w:w="30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Susan D. Kronick</w:t>
            </w:r>
          </w:p>
        </w:tc>
      </w:tr>
      <w:tr>
        <w:trPr>
          <w:trHeight w:val="232"/>
        </w:trPr>
        <w:tc>
          <w:tcPr>
            <w:tcW w:w="15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Susan D. Kronick, Director</w:t>
            </w:r>
          </w:p>
        </w:tc>
      </w:tr>
      <w:tr>
        <w:trPr>
          <w:trHeight w:val="48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Date: February 21, 2024</w:t>
            </w:r>
          </w:p>
        </w:tc>
        <w:tc>
          <w:tcPr>
            <w:tcW w:w="30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Martin H. Nesbitt</w:t>
            </w:r>
          </w:p>
        </w:tc>
      </w:tr>
      <w:tr>
        <w:trPr>
          <w:trHeight w:val="232"/>
        </w:trPr>
        <w:tc>
          <w:tcPr>
            <w:tcW w:w="15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Martin H. Nesbitt, Director</w:t>
            </w:r>
          </w:p>
        </w:tc>
      </w:tr>
      <w:tr>
        <w:trPr>
          <w:trHeight w:val="48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Date: February 21, 2024</w:t>
            </w:r>
          </w:p>
        </w:tc>
        <w:tc>
          <w:tcPr>
            <w:tcW w:w="30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Denise M. O’Leary</w:t>
            </w:r>
          </w:p>
        </w:tc>
      </w:tr>
      <w:tr>
        <w:trPr>
          <w:trHeight w:val="232"/>
        </w:trPr>
        <w:tc>
          <w:tcPr>
            <w:tcW w:w="15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Denise M. O’Leary, Director</w:t>
            </w:r>
          </w:p>
        </w:tc>
      </w:tr>
      <w:tr>
        <w:trPr>
          <w:trHeight w:val="48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Date: February 21, 2024</w:t>
            </w:r>
          </w:p>
        </w:tc>
        <w:tc>
          <w:tcPr>
            <w:tcW w:w="30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Vicente Reynal</w:t>
            </w:r>
          </w:p>
        </w:tc>
      </w:tr>
      <w:tr>
        <w:trPr>
          <w:trHeight w:val="232"/>
        </w:trPr>
        <w:tc>
          <w:tcPr>
            <w:tcW w:w="15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Vicente Reynal, Director</w:t>
            </w:r>
          </w:p>
        </w:tc>
      </w:tr>
      <w:tr>
        <w:trPr>
          <w:trHeight w:val="489"/>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Date: February 21, 2024</w:t>
            </w:r>
          </w:p>
        </w:tc>
        <w:tc>
          <w:tcPr>
            <w:tcW w:w="30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00" w:type="dxa"/>
            <w:vAlign w:val="bottom"/>
            <w:tcBorders>
              <w:bottom w:val="single" w:sz="8" w:color="435363"/>
            </w:tcBorders>
          </w:tcPr>
          <w:p>
            <w:pPr>
              <w:ind w:left="100"/>
              <w:spacing w:after="0"/>
              <w:rPr>
                <w:sz w:val="20"/>
                <w:szCs w:val="20"/>
                <w:color w:val="auto"/>
              </w:rPr>
            </w:pPr>
            <w:r>
              <w:rPr>
                <w:rFonts w:ascii="Arial" w:cs="Arial" w:eastAsia="Arial" w:hAnsi="Arial"/>
                <w:sz w:val="18"/>
                <w:szCs w:val="18"/>
                <w:color w:val="auto"/>
              </w:rPr>
              <w:t>Gregory D. Smith</w:t>
            </w:r>
          </w:p>
        </w:tc>
      </w:tr>
      <w:tr>
        <w:trPr>
          <w:trHeight w:val="232"/>
        </w:trPr>
        <w:tc>
          <w:tcPr>
            <w:tcW w:w="15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Gregory D. Smith, Chairman</w:t>
            </w:r>
          </w:p>
        </w:tc>
      </w:tr>
      <w:tr>
        <w:trPr>
          <w:trHeight w:val="494"/>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Date: February 21, 2024</w:t>
            </w:r>
          </w:p>
        </w:tc>
        <w:tc>
          <w:tcPr>
            <w:tcW w:w="300" w:type="dxa"/>
            <w:vAlign w:val="bottom"/>
          </w:tcPr>
          <w:p>
            <w:pPr>
              <w:ind w:left="20"/>
              <w:spacing w:after="0"/>
              <w:rPr>
                <w:sz w:val="20"/>
                <w:szCs w:val="20"/>
                <w:color w:val="auto"/>
              </w:rPr>
            </w:pPr>
            <w:r>
              <w:rPr>
                <w:rFonts w:ascii="Arial" w:cs="Arial" w:eastAsia="Arial" w:hAnsi="Arial"/>
                <w:sz w:val="18"/>
                <w:szCs w:val="18"/>
                <w:color w:val="auto"/>
              </w:rPr>
              <w:t>/s/</w:t>
            </w:r>
          </w:p>
        </w:tc>
        <w:tc>
          <w:tcPr>
            <w:tcW w:w="5000" w:type="dxa"/>
            <w:vAlign w:val="bottom"/>
          </w:tcPr>
          <w:p>
            <w:pPr>
              <w:ind w:left="100"/>
              <w:spacing w:after="0"/>
              <w:rPr>
                <w:sz w:val="20"/>
                <w:szCs w:val="20"/>
                <w:color w:val="auto"/>
              </w:rPr>
            </w:pPr>
            <w:r>
              <w:rPr>
                <w:rFonts w:ascii="Arial" w:cs="Arial" w:eastAsia="Arial" w:hAnsi="Arial"/>
                <w:sz w:val="18"/>
                <w:szCs w:val="18"/>
                <w:color w:val="auto"/>
              </w:rPr>
              <w:t>Douglas M. Steenland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-1905</wp:posOffset>
            </wp:positionV>
            <wp:extent cx="33737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557">
                      <a:extLst>
                        <a:ext uri="{28A0092B-C50C-407E-A947-70E740481C1C}"/>
                      </a:extLst>
                    </a:blip>
                    <a:srcRect/>
                    <a:stretch>
                      <a:fillRect/>
                    </a:stretch>
                  </pic:blipFill>
                  <pic:spPr bwMode="auto">
                    <a:xfrm>
                      <a:off x="0" y="0"/>
                      <a:ext cx="3373755" cy="8255"/>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8"/>
          <w:szCs w:val="18"/>
          <w:color w:val="auto"/>
        </w:rPr>
        <w:t>Douglas M. Steenland, Director</w:t>
      </w:r>
    </w:p>
    <w:p>
      <w:pPr>
        <w:spacing w:after="0" w:line="265" w:lineRule="exact"/>
        <w:rPr>
          <w:sz w:val="20"/>
          <w:szCs w:val="20"/>
          <w:color w:val="auto"/>
        </w:rPr>
      </w:pPr>
    </w:p>
    <w:p>
      <w:pPr>
        <w:ind w:firstLine="243"/>
        <w:spacing w:after="0" w:line="28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American Airlines, Inc. and in the capacities and on the dates noted: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320" w:type="dxa"/>
            <w:vAlign w:val="bottom"/>
          </w:tcPr>
          <w:p>
            <w:pPr>
              <w:spacing w:after="0"/>
              <w:rPr>
                <w:sz w:val="20"/>
                <w:szCs w:val="20"/>
                <w:color w:val="auto"/>
              </w:rPr>
            </w:pPr>
            <w:r>
              <w:rPr>
                <w:rFonts w:ascii="Arial" w:cs="Arial" w:eastAsia="Arial" w:hAnsi="Arial"/>
                <w:sz w:val="18"/>
                <w:szCs w:val="18"/>
                <w:color w:val="auto"/>
              </w:rPr>
              <w:t>Date: February 21, 2024</w:t>
            </w:r>
          </w:p>
        </w:tc>
        <w:tc>
          <w:tcPr>
            <w:tcW w:w="28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20" w:type="dxa"/>
            <w:vAlign w:val="bottom"/>
            <w:tcBorders>
              <w:bottom w:val="single" w:sz="8" w:color="435363"/>
            </w:tcBorders>
          </w:tcPr>
          <w:p>
            <w:pPr>
              <w:ind w:left="80"/>
              <w:spacing w:after="0"/>
              <w:rPr>
                <w:sz w:val="20"/>
                <w:szCs w:val="20"/>
                <w:color w:val="auto"/>
              </w:rPr>
            </w:pPr>
            <w:r>
              <w:rPr>
                <w:rFonts w:ascii="Arial" w:cs="Arial" w:eastAsia="Arial" w:hAnsi="Arial"/>
                <w:sz w:val="18"/>
                <w:szCs w:val="18"/>
                <w:color w:val="auto"/>
              </w:rPr>
              <w:t>Robert D. Isom</w:t>
            </w:r>
          </w:p>
        </w:tc>
      </w:tr>
      <w:tr>
        <w:trPr>
          <w:trHeight w:val="217"/>
        </w:trPr>
        <w:tc>
          <w:tcPr>
            <w:tcW w:w="5320" w:type="dxa"/>
            <w:vAlign w:val="bottom"/>
          </w:tcPr>
          <w:p>
            <w:pPr>
              <w:spacing w:after="0"/>
              <w:rPr>
                <w:sz w:val="18"/>
                <w:szCs w:val="18"/>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Robert D. Isom</w:t>
            </w:r>
          </w:p>
        </w:tc>
      </w:tr>
      <w:tr>
        <w:trPr>
          <w:trHeight w:val="229"/>
        </w:trPr>
        <w:tc>
          <w:tcPr>
            <w:tcW w:w="532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9"/>
        </w:trPr>
        <w:tc>
          <w:tcPr>
            <w:tcW w:w="53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5"/>
        </w:trPr>
        <w:tc>
          <w:tcPr>
            <w:tcW w:w="5320" w:type="dxa"/>
            <w:vAlign w:val="bottom"/>
          </w:tcPr>
          <w:p>
            <w:pPr>
              <w:spacing w:after="0"/>
              <w:rPr>
                <w:sz w:val="20"/>
                <w:szCs w:val="20"/>
                <w:color w:val="auto"/>
              </w:rPr>
            </w:pPr>
            <w:r>
              <w:rPr>
                <w:rFonts w:ascii="Arial" w:cs="Arial" w:eastAsia="Arial" w:hAnsi="Arial"/>
                <w:sz w:val="18"/>
                <w:szCs w:val="18"/>
                <w:color w:val="auto"/>
              </w:rPr>
              <w:t>Date: February 21, 2024</w:t>
            </w:r>
          </w:p>
        </w:tc>
        <w:tc>
          <w:tcPr>
            <w:tcW w:w="28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20" w:type="dxa"/>
            <w:vAlign w:val="bottom"/>
            <w:tcBorders>
              <w:bottom w:val="single" w:sz="8" w:color="435363"/>
            </w:tcBorders>
          </w:tcPr>
          <w:p>
            <w:pPr>
              <w:ind w:left="120"/>
              <w:spacing w:after="0"/>
              <w:rPr>
                <w:sz w:val="20"/>
                <w:szCs w:val="20"/>
                <w:color w:val="auto"/>
              </w:rPr>
            </w:pPr>
            <w:r>
              <w:rPr>
                <w:rFonts w:ascii="Arial" w:cs="Arial" w:eastAsia="Arial" w:hAnsi="Arial"/>
                <w:sz w:val="18"/>
                <w:szCs w:val="18"/>
                <w:color w:val="auto"/>
              </w:rPr>
              <w:t>Devon E. May</w:t>
            </w:r>
          </w:p>
        </w:tc>
      </w:tr>
      <w:tr>
        <w:trPr>
          <w:trHeight w:val="217"/>
        </w:trPr>
        <w:tc>
          <w:tcPr>
            <w:tcW w:w="5320" w:type="dxa"/>
            <w:vAlign w:val="bottom"/>
          </w:tcPr>
          <w:p>
            <w:pPr>
              <w:spacing w:after="0"/>
              <w:rPr>
                <w:sz w:val="18"/>
                <w:szCs w:val="18"/>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Devon E. May</w:t>
            </w:r>
          </w:p>
        </w:tc>
      </w:tr>
      <w:tr>
        <w:trPr>
          <w:trHeight w:val="229"/>
        </w:trPr>
        <w:tc>
          <w:tcPr>
            <w:tcW w:w="532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9"/>
        </w:trPr>
        <w:tc>
          <w:tcPr>
            <w:tcW w:w="53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95"/>
        </w:trPr>
        <w:tc>
          <w:tcPr>
            <w:tcW w:w="5320" w:type="dxa"/>
            <w:vAlign w:val="bottom"/>
          </w:tcPr>
          <w:p>
            <w:pPr>
              <w:spacing w:after="0"/>
              <w:rPr>
                <w:sz w:val="20"/>
                <w:szCs w:val="20"/>
                <w:color w:val="auto"/>
              </w:rPr>
            </w:pPr>
            <w:r>
              <w:rPr>
                <w:rFonts w:ascii="Arial" w:cs="Arial" w:eastAsia="Arial" w:hAnsi="Arial"/>
                <w:sz w:val="18"/>
                <w:szCs w:val="18"/>
                <w:color w:val="auto"/>
              </w:rPr>
              <w:t>Date: February 21, 2024</w:t>
            </w:r>
          </w:p>
        </w:tc>
        <w:tc>
          <w:tcPr>
            <w:tcW w:w="28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20" w:type="dxa"/>
            <w:vAlign w:val="bottom"/>
            <w:tcBorders>
              <w:bottom w:val="single" w:sz="8" w:color="435363"/>
            </w:tcBorders>
          </w:tcPr>
          <w:p>
            <w:pPr>
              <w:ind w:left="120"/>
              <w:spacing w:after="0"/>
              <w:rPr>
                <w:sz w:val="20"/>
                <w:szCs w:val="20"/>
                <w:color w:val="auto"/>
              </w:rPr>
            </w:pPr>
            <w:r>
              <w:rPr>
                <w:rFonts w:ascii="Arial" w:cs="Arial" w:eastAsia="Arial" w:hAnsi="Arial"/>
                <w:sz w:val="18"/>
                <w:szCs w:val="18"/>
                <w:color w:val="auto"/>
              </w:rPr>
              <w:t>Angela K. Owens</w:t>
            </w:r>
          </w:p>
        </w:tc>
      </w:tr>
      <w:tr>
        <w:trPr>
          <w:trHeight w:val="217"/>
        </w:trPr>
        <w:tc>
          <w:tcPr>
            <w:tcW w:w="5320" w:type="dxa"/>
            <w:vAlign w:val="bottom"/>
          </w:tcPr>
          <w:p>
            <w:pPr>
              <w:spacing w:after="0"/>
              <w:rPr>
                <w:sz w:val="18"/>
                <w:szCs w:val="18"/>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Angela K. Owens</w:t>
            </w:r>
          </w:p>
        </w:tc>
      </w:tr>
      <w:tr>
        <w:trPr>
          <w:trHeight w:val="229"/>
        </w:trPr>
        <w:tc>
          <w:tcPr>
            <w:tcW w:w="532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Corporate Controller</w:t>
            </w:r>
          </w:p>
        </w:tc>
      </w:tr>
      <w:tr>
        <w:trPr>
          <w:trHeight w:val="239"/>
        </w:trPr>
        <w:tc>
          <w:tcPr>
            <w:tcW w:w="53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495"/>
        </w:trPr>
        <w:tc>
          <w:tcPr>
            <w:tcW w:w="5320" w:type="dxa"/>
            <w:vAlign w:val="bottom"/>
          </w:tcPr>
          <w:p>
            <w:pPr>
              <w:spacing w:after="0"/>
              <w:rPr>
                <w:sz w:val="20"/>
                <w:szCs w:val="20"/>
                <w:color w:val="auto"/>
              </w:rPr>
            </w:pPr>
            <w:r>
              <w:rPr>
                <w:rFonts w:ascii="Arial" w:cs="Arial" w:eastAsia="Arial" w:hAnsi="Arial"/>
                <w:sz w:val="18"/>
                <w:szCs w:val="18"/>
                <w:color w:val="auto"/>
              </w:rPr>
              <w:t>Date: February 21, 2024</w:t>
            </w:r>
          </w:p>
        </w:tc>
        <w:tc>
          <w:tcPr>
            <w:tcW w:w="280" w:type="dxa"/>
            <w:vAlign w:val="bottom"/>
            <w:tcBorders>
              <w:bottom w:val="single" w:sz="8" w:color="435363"/>
            </w:tcBorders>
          </w:tcPr>
          <w:p>
            <w:pPr>
              <w:ind w:left="20"/>
              <w:spacing w:after="0"/>
              <w:rPr>
                <w:sz w:val="20"/>
                <w:szCs w:val="20"/>
                <w:color w:val="auto"/>
              </w:rPr>
            </w:pPr>
            <w:r>
              <w:rPr>
                <w:rFonts w:ascii="Arial" w:cs="Arial" w:eastAsia="Arial" w:hAnsi="Arial"/>
                <w:sz w:val="18"/>
                <w:szCs w:val="18"/>
                <w:color w:val="auto"/>
              </w:rPr>
              <w:t>/s/</w:t>
            </w:r>
          </w:p>
        </w:tc>
        <w:tc>
          <w:tcPr>
            <w:tcW w:w="5020" w:type="dxa"/>
            <w:vAlign w:val="bottom"/>
            <w:tcBorders>
              <w:bottom w:val="single" w:sz="8" w:color="435363"/>
            </w:tcBorders>
          </w:tcPr>
          <w:p>
            <w:pPr>
              <w:ind w:left="120"/>
              <w:spacing w:after="0"/>
              <w:rPr>
                <w:sz w:val="20"/>
                <w:szCs w:val="20"/>
                <w:color w:val="auto"/>
              </w:rPr>
            </w:pPr>
            <w:r>
              <w:rPr>
                <w:rFonts w:ascii="Arial" w:cs="Arial" w:eastAsia="Arial" w:hAnsi="Arial"/>
                <w:sz w:val="18"/>
                <w:szCs w:val="18"/>
                <w:color w:val="auto"/>
              </w:rPr>
              <w:t>Stephen L. Johnson</w:t>
            </w:r>
          </w:p>
        </w:tc>
      </w:tr>
      <w:tr>
        <w:trPr>
          <w:trHeight w:val="232"/>
        </w:trPr>
        <w:tc>
          <w:tcPr>
            <w:tcW w:w="5320" w:type="dxa"/>
            <w:vAlign w:val="bottom"/>
          </w:tcPr>
          <w:p>
            <w:pPr>
              <w:spacing w:after="0"/>
              <w:rPr>
                <w:sz w:val="20"/>
                <w:szCs w:val="20"/>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Stephen L. Johnson, Director</w:t>
            </w:r>
          </w:p>
        </w:tc>
      </w:tr>
      <w:tr>
        <w:trPr>
          <w:trHeight w:val="723"/>
        </w:trPr>
        <w:tc>
          <w:tcPr>
            <w:tcW w:w="5320" w:type="dxa"/>
            <w:vAlign w:val="bottom"/>
          </w:tcPr>
          <w:p>
            <w:pPr>
              <w:spacing w:after="0"/>
              <w:rPr>
                <w:sz w:val="24"/>
                <w:szCs w:val="24"/>
                <w:color w:val="auto"/>
              </w:rPr>
            </w:pPr>
          </w:p>
        </w:tc>
        <w:tc>
          <w:tcPr>
            <w:tcW w:w="5300" w:type="dxa"/>
            <w:vAlign w:val="bottom"/>
            <w:gridSpan w:val="2"/>
          </w:tcPr>
          <w:p>
            <w:pPr>
              <w:ind w:left="140"/>
              <w:spacing w:after="0"/>
              <w:rPr>
                <w:sz w:val="20"/>
                <w:szCs w:val="20"/>
                <w:color w:val="auto"/>
              </w:rPr>
            </w:pPr>
            <w:r>
              <w:rPr>
                <w:rFonts w:ascii="Arial" w:cs="Arial" w:eastAsia="Arial" w:hAnsi="Arial"/>
                <w:sz w:val="18"/>
                <w:szCs w:val="18"/>
                <w:color w:val="auto"/>
              </w:rPr>
              <w:t>203</w:t>
            </w:r>
          </w:p>
        </w:tc>
      </w:tr>
    </w:tbl>
    <w:p>
      <w:pPr>
        <w:sectPr>
          <w:pgSz w:w="11900" w:h="16838" w:orient="portrait"/>
          <w:cols w:equalWidth="0" w:num="1">
            <w:col w:w="11220"/>
          </w:cols>
          <w:pgMar w:left="320" w:top="351" w:right="359" w:bottom="1440" w:gutter="0" w:footer="0" w:header="0"/>
        </w:sectPr>
      </w:pPr>
    </w:p>
    <w:bookmarkStart w:id="203" w:name="page204"/>
    <w:bookmarkEnd w:id="203"/>
    <w:p>
      <w:pPr>
        <w:ind w:left="10020"/>
        <w:spacing w:after="0"/>
        <w:rPr>
          <w:sz w:val="20"/>
          <w:szCs w:val="20"/>
          <w:color w:val="auto"/>
        </w:rPr>
      </w:pPr>
      <w:r>
        <w:rPr>
          <w:rFonts w:ascii="Times New Roman" w:cs="Times New Roman" w:eastAsia="Times New Roman" w:hAnsi="Times New Roman"/>
          <w:sz w:val="20"/>
          <w:szCs w:val="20"/>
          <w:b w:val="1"/>
          <w:bCs w:val="1"/>
          <w:color w:val="auto"/>
        </w:rPr>
        <w:t>Exhibit 10.24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41210" cy="2825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558">
                      <a:extLst>
                        <a:ext uri="{28A0092B-C50C-407E-A947-70E740481C1C}"/>
                      </a:extLst>
                    </a:blip>
                    <a:srcRect/>
                    <a:stretch>
                      <a:fillRect/>
                    </a:stretch>
                  </pic:blipFill>
                  <pic:spPr bwMode="auto">
                    <a:xfrm>
                      <a:off x="0" y="0"/>
                      <a:ext cx="7141210" cy="282575"/>
                    </a:xfrm>
                    <a:prstGeom prst="rect">
                      <a:avLst/>
                    </a:prstGeom>
                    <a:noFill/>
                  </pic:spPr>
                </pic:pic>
              </a:graphicData>
            </a:graphic>
          </wp:anchor>
        </w:drawing>
      </w:r>
    </w:p>
    <w:p>
      <w:pPr>
        <w:spacing w:after="0" w:line="218" w:lineRule="exact"/>
        <w:rPr>
          <w:sz w:val="20"/>
          <w:szCs w:val="20"/>
          <w:color w:val="auto"/>
        </w:rPr>
      </w:pPr>
    </w:p>
    <w:p>
      <w:pPr>
        <w:ind w:left="40" w:right="180"/>
        <w:spacing w:after="0" w:line="255" w:lineRule="auto"/>
        <w:rPr>
          <w:sz w:val="20"/>
          <w:szCs w:val="20"/>
          <w:color w:val="auto"/>
        </w:rPr>
      </w:pPr>
      <w:r>
        <w:rPr>
          <w:rFonts w:ascii="Times New Roman" w:cs="Times New Roman" w:eastAsia="Times New Roman" w:hAnsi="Times New Roman"/>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SIXTH AMENDMENT TO AMENDED AND RESTATED CREDIT AND GUARANTY AGREEMENT</w:t>
      </w:r>
    </w:p>
    <w:p>
      <w:pPr>
        <w:spacing w:after="0" w:line="219" w:lineRule="exact"/>
        <w:rPr>
          <w:sz w:val="20"/>
          <w:szCs w:val="20"/>
          <w:color w:val="auto"/>
        </w:rPr>
      </w:pPr>
    </w:p>
    <w:p>
      <w:pPr>
        <w:jc w:val="both"/>
        <w:ind w:firstLine="1295"/>
        <w:spacing w:after="0" w:line="250" w:lineRule="auto"/>
        <w:rPr>
          <w:sz w:val="20"/>
          <w:szCs w:val="20"/>
          <w:color w:val="auto"/>
        </w:rPr>
      </w:pPr>
      <w:r>
        <w:rPr>
          <w:rFonts w:ascii="Times New Roman" w:cs="Times New Roman" w:eastAsia="Times New Roman" w:hAnsi="Times New Roman"/>
          <w:sz w:val="22"/>
          <w:szCs w:val="22"/>
          <w:color w:val="auto"/>
        </w:rPr>
        <w:t>THIS SIXTH AMENDMENT TO AMENDED AND RESTATED CREDIT AND GUARANTY AGREEMENT (this “</w:t>
      </w:r>
      <w:r>
        <w:rPr>
          <w:rFonts w:ascii="Times New Roman" w:cs="Times New Roman" w:eastAsia="Times New Roman" w:hAnsi="Times New Roman"/>
          <w:sz w:val="22"/>
          <w:szCs w:val="22"/>
          <w:i w:val="1"/>
          <w:iCs w:val="1"/>
          <w:color w:val="auto"/>
        </w:rPr>
        <w:t>Sixth Amendment</w:t>
      </w:r>
      <w:r>
        <w:rPr>
          <w:rFonts w:ascii="Times New Roman" w:cs="Times New Roman" w:eastAsia="Times New Roman" w:hAnsi="Times New Roman"/>
          <w:sz w:val="22"/>
          <w:szCs w:val="22"/>
          <w:color w:val="auto"/>
        </w:rPr>
        <w:t>”), is dated as of December 10, 2018 and is among American Airlines, Inc., a Delaware corporation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American Airlines Group Inc., a Delaware corporation (the “</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i w:val="1"/>
          <w:iCs w:val="1"/>
          <w:color w:val="auto"/>
        </w:rPr>
        <w:t>Guarantor</w:t>
      </w:r>
      <w:r>
        <w:rPr>
          <w:rFonts w:ascii="Times New Roman" w:cs="Times New Roman" w:eastAsia="Times New Roman" w:hAnsi="Times New Roman"/>
          <w:sz w:val="22"/>
          <w:szCs w:val="22"/>
          <w:color w:val="auto"/>
        </w:rPr>
        <w:t>”), the Consenting Revolving Lenders (as defined below) party hereto, HSBC Bank USA, N.A. (“</w:t>
      </w:r>
      <w:r>
        <w:rPr>
          <w:rFonts w:ascii="Times New Roman" w:cs="Times New Roman" w:eastAsia="Times New Roman" w:hAnsi="Times New Roman"/>
          <w:sz w:val="22"/>
          <w:szCs w:val="22"/>
          <w:i w:val="1"/>
          <w:iCs w:val="1"/>
          <w:color w:val="auto"/>
        </w:rPr>
        <w:t>HSBC</w:t>
      </w:r>
      <w:r>
        <w:rPr>
          <w:rFonts w:ascii="Times New Roman" w:cs="Times New Roman" w:eastAsia="Times New Roman" w:hAnsi="Times New Roman"/>
          <w:sz w:val="22"/>
          <w:szCs w:val="22"/>
          <w:color w:val="auto"/>
        </w:rPr>
        <w:t>”), MUFG Union Bank, N.A. (“</w:t>
      </w:r>
      <w:r>
        <w:rPr>
          <w:rFonts w:ascii="Times New Roman" w:cs="Times New Roman" w:eastAsia="Times New Roman" w:hAnsi="Times New Roman"/>
          <w:sz w:val="22"/>
          <w:szCs w:val="22"/>
          <w:i w:val="1"/>
          <w:iCs w:val="1"/>
          <w:color w:val="auto"/>
        </w:rPr>
        <w:t>MUFG</w:t>
      </w:r>
      <w:r>
        <w:rPr>
          <w:rFonts w:ascii="Times New Roman" w:cs="Times New Roman" w:eastAsia="Times New Roman" w:hAnsi="Times New Roman"/>
          <w:sz w:val="22"/>
          <w:szCs w:val="22"/>
          <w:color w:val="auto"/>
        </w:rPr>
        <w:t>”) and BOKF, NA dba Bank of Texas (“</w:t>
      </w:r>
      <w:r>
        <w:rPr>
          <w:rFonts w:ascii="Times New Roman" w:cs="Times New Roman" w:eastAsia="Times New Roman" w:hAnsi="Times New Roman"/>
          <w:sz w:val="22"/>
          <w:szCs w:val="22"/>
          <w:i w:val="1"/>
          <w:iCs w:val="1"/>
          <w:color w:val="auto"/>
        </w:rPr>
        <w:t>BoT</w:t>
      </w:r>
      <w:r>
        <w:rPr>
          <w:rFonts w:ascii="Times New Roman" w:cs="Times New Roman" w:eastAsia="Times New Roman" w:hAnsi="Times New Roman"/>
          <w:sz w:val="22"/>
          <w:szCs w:val="22"/>
          <w:color w:val="auto"/>
        </w:rPr>
        <w:t>” and together with HSBC and MUFG, collectively, the “</w:t>
      </w:r>
      <w:r>
        <w:rPr>
          <w:rFonts w:ascii="Times New Roman" w:cs="Times New Roman" w:eastAsia="Times New Roman" w:hAnsi="Times New Roman"/>
          <w:sz w:val="22"/>
          <w:szCs w:val="22"/>
          <w:i w:val="1"/>
          <w:iCs w:val="1"/>
          <w:color w:val="auto"/>
        </w:rPr>
        <w:t>New Revolving Lenders</w:t>
      </w:r>
      <w:r>
        <w:rPr>
          <w:rFonts w:ascii="Times New Roman" w:cs="Times New Roman" w:eastAsia="Times New Roman" w:hAnsi="Times New Roman"/>
          <w:sz w:val="22"/>
          <w:szCs w:val="22"/>
          <w:color w:val="auto"/>
        </w:rPr>
        <w:t>”) and Citibank N.A., as administrative agent (in such capacity,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and as an issuing lender (in such capacity, an “</w:t>
      </w:r>
      <w:r>
        <w:rPr>
          <w:rFonts w:ascii="Times New Roman" w:cs="Times New Roman" w:eastAsia="Times New Roman" w:hAnsi="Times New Roman"/>
          <w:sz w:val="22"/>
          <w:szCs w:val="22"/>
          <w:i w:val="1"/>
          <w:iCs w:val="1"/>
          <w:color w:val="auto"/>
        </w:rPr>
        <w:t>Issuing Lender</w:t>
      </w:r>
      <w:r>
        <w:rPr>
          <w:rFonts w:ascii="Times New Roman" w:cs="Times New Roman" w:eastAsia="Times New Roman" w:hAnsi="Times New Roman"/>
          <w:sz w:val="22"/>
          <w:szCs w:val="22"/>
          <w:color w:val="auto"/>
        </w:rPr>
        <w:t>”). Unless otherwise indicated, all capitalized terms used herein and not otherwise defined shall have the respective meanings provided to such terms in the Credit Agreement as defined below.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jc w:val="both"/>
        <w:ind w:firstLine="1295"/>
        <w:spacing w:after="0" w:line="248" w:lineRule="auto"/>
        <w:rPr>
          <w:sz w:val="20"/>
          <w:szCs w:val="20"/>
          <w:color w:val="auto"/>
        </w:rPr>
      </w:pPr>
      <w:r>
        <w:rPr>
          <w:rFonts w:ascii="Times New Roman" w:cs="Times New Roman" w:eastAsia="Times New Roman" w:hAnsi="Times New Roman"/>
          <w:sz w:val="22"/>
          <w:szCs w:val="22"/>
          <w:color w:val="auto"/>
        </w:rPr>
        <w:t>WHEREAS, the Borrower, the Guarantor, the lenders from time to time party thereto, the Administrative Agent and certain other parties thereto are parties to that certain Amended and Restated Credit and Guaranty Agreement, dated as of April 20, 2015 (as amended by that certain First Amendment to Amended and Restated Credit and Guaranty Agreement, dated as of October 26, 2015, as further amended by that certain Second Amendment to Amended and Restated Credit and Guaranty Agreement, dated as of September 22, 2016, as further amended by that certain Third Amendment to Amended and Restated Credit and Guaranty Agreement, dated June 14, 2017, as further amended by that certain Fourth Amendment to Amended and Restated Credit and Guaranty Agreement, dated August 21, 2017, as further amended by that certain Fifth Amendment to Amended and Restated Credit and Guaranty Agreement, dated September 17, 2018 and as further amended, amended and restated, supplemented or otherwise modified up to, but not including the Sixth Amendment Effective Date as defined below, the “</w:t>
      </w:r>
      <w:r>
        <w:rPr>
          <w:rFonts w:ascii="Times New Roman" w:cs="Times New Roman" w:eastAsia="Times New Roman" w:hAnsi="Times New Roman"/>
          <w:sz w:val="22"/>
          <w:szCs w:val="22"/>
          <w:i w:val="1"/>
          <w:iCs w:val="1"/>
          <w:color w:val="auto"/>
        </w:rPr>
        <w:t>Credit Agreement</w:t>
      </w:r>
      <w:r>
        <w:rPr>
          <w:rFonts w:ascii="Times New Roman" w:cs="Times New Roman" w:eastAsia="Times New Roman" w:hAnsi="Times New Roman"/>
          <w:sz w:val="22"/>
          <w:szCs w:val="22"/>
          <w:color w:val="auto"/>
        </w:rPr>
        <w:t>”);</w:t>
      </w:r>
    </w:p>
    <w:p>
      <w:pPr>
        <w:spacing w:after="0" w:line="191" w:lineRule="exact"/>
        <w:rPr>
          <w:sz w:val="20"/>
          <w:szCs w:val="20"/>
          <w:color w:val="auto"/>
        </w:rPr>
      </w:pPr>
    </w:p>
    <w:p>
      <w:pPr>
        <w:jc w:val="both"/>
        <w:ind w:firstLine="1295"/>
        <w:spacing w:after="0" w:line="256" w:lineRule="auto"/>
        <w:rPr>
          <w:sz w:val="20"/>
          <w:szCs w:val="20"/>
          <w:color w:val="auto"/>
        </w:rPr>
      </w:pPr>
      <w:r>
        <w:rPr>
          <w:rFonts w:ascii="Times New Roman" w:cs="Times New Roman" w:eastAsia="Times New Roman" w:hAnsi="Times New Roman"/>
          <w:sz w:val="22"/>
          <w:szCs w:val="22"/>
          <w:color w:val="auto"/>
        </w:rPr>
        <w:t>WHEREAS, pursuant to Section 2.28(b) of the Credit Agreement, the Borrower may make a Revolver Extension Offer to all Revolving Lenders holding Revolving Commitments under the Credit Agreement to extend the maturity date of each such Revolving Lender’s Revolving Commitment;</w:t>
      </w:r>
    </w:p>
    <w:p>
      <w:pPr>
        <w:spacing w:after="0" w:line="175" w:lineRule="exact"/>
        <w:rPr>
          <w:sz w:val="20"/>
          <w:szCs w:val="20"/>
          <w:color w:val="auto"/>
        </w:rPr>
      </w:pPr>
    </w:p>
    <w:p>
      <w:pPr>
        <w:jc w:val="both"/>
        <w:ind w:right="20" w:firstLine="1295"/>
        <w:spacing w:after="0" w:line="283" w:lineRule="auto"/>
        <w:rPr>
          <w:sz w:val="20"/>
          <w:szCs w:val="20"/>
          <w:color w:val="auto"/>
        </w:rPr>
      </w:pPr>
      <w:r>
        <w:rPr>
          <w:rFonts w:ascii="Times New Roman" w:cs="Times New Roman" w:eastAsia="Times New Roman" w:hAnsi="Times New Roman"/>
          <w:sz w:val="22"/>
          <w:szCs w:val="22"/>
          <w:color w:val="auto"/>
        </w:rPr>
        <w:t>WHEREAS, the Borrower hereby (i) requests that each Revolving Lender that is a party to the Credit Agreement immediately prior to the Sixth Amendment Effective Date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204" w:name="page205"/>
    <w:bookmarkEnd w:id="204"/>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i w:val="1"/>
          <w:iCs w:val="1"/>
          <w:color w:val="auto"/>
        </w:rPr>
        <w:t>Existing Revolving Lender</w:t>
      </w:r>
      <w:r>
        <w:rPr>
          <w:rFonts w:ascii="Times New Roman" w:cs="Times New Roman" w:eastAsia="Times New Roman" w:hAnsi="Times New Roman"/>
          <w:sz w:val="22"/>
          <w:szCs w:val="22"/>
          <w:color w:val="auto"/>
        </w:rPr>
        <w:t>”) extend the maturity of such Existing Revolving Lender’s Revolving Commitment pursuant to, and in accordance with the terms of, Section 2.28(b), (c), (d) and (e) of the Credit Agreement and this Sixth Amendment (with such request constituting a Revolver Extension Offer for purposes of the Credit Agreement) and requests that the Administrative Agent waive any applicable notice period otherwise required thereby and (ii) specifies as the Minimum Extension Condition for such Revolving Extension Offer that all such Revolving Commitments be subject to the Revolving Extension contemplated hereby;</w:t>
      </w:r>
    </w:p>
    <w:p>
      <w:pPr>
        <w:spacing w:after="0" w:line="179" w:lineRule="exact"/>
        <w:rPr>
          <w:sz w:val="20"/>
          <w:szCs w:val="20"/>
          <w:color w:val="auto"/>
        </w:rPr>
      </w:pPr>
    </w:p>
    <w:p>
      <w:pPr>
        <w:jc w:val="both"/>
        <w:ind w:firstLine="1295"/>
        <w:spacing w:after="0" w:line="257" w:lineRule="auto"/>
        <w:rPr>
          <w:sz w:val="20"/>
          <w:szCs w:val="20"/>
          <w:color w:val="auto"/>
        </w:rPr>
      </w:pPr>
      <w:r>
        <w:rPr>
          <w:rFonts w:ascii="Times New Roman" w:cs="Times New Roman" w:eastAsia="Times New Roman" w:hAnsi="Times New Roman"/>
          <w:sz w:val="22"/>
          <w:szCs w:val="22"/>
          <w:color w:val="auto"/>
        </w:rPr>
        <w:t>WHEREAS, the undersigned Existing Revolving Lenders (the “</w:t>
      </w:r>
      <w:r>
        <w:rPr>
          <w:rFonts w:ascii="Times New Roman" w:cs="Times New Roman" w:eastAsia="Times New Roman" w:hAnsi="Times New Roman"/>
          <w:sz w:val="22"/>
          <w:szCs w:val="22"/>
          <w:i w:val="1"/>
          <w:iCs w:val="1"/>
          <w:color w:val="auto"/>
        </w:rPr>
        <w:t>Consenting Revolving Lenders</w:t>
      </w:r>
      <w:r>
        <w:rPr>
          <w:rFonts w:ascii="Times New Roman" w:cs="Times New Roman" w:eastAsia="Times New Roman" w:hAnsi="Times New Roman"/>
          <w:sz w:val="22"/>
          <w:szCs w:val="22"/>
          <w:color w:val="auto"/>
        </w:rPr>
        <w:t>” and together with the New Revolving Lenders, the “</w:t>
      </w:r>
      <w:r>
        <w:rPr>
          <w:rFonts w:ascii="Times New Roman" w:cs="Times New Roman" w:eastAsia="Times New Roman" w:hAnsi="Times New Roman"/>
          <w:sz w:val="22"/>
          <w:szCs w:val="22"/>
          <w:i w:val="1"/>
          <w:iCs w:val="1"/>
          <w:color w:val="auto"/>
        </w:rPr>
        <w:t>Extending Revolving Lenders</w:t>
      </w:r>
      <w:r>
        <w:rPr>
          <w:rFonts w:ascii="Times New Roman" w:cs="Times New Roman" w:eastAsia="Times New Roman" w:hAnsi="Times New Roman"/>
          <w:sz w:val="22"/>
          <w:szCs w:val="22"/>
          <w:color w:val="auto"/>
        </w:rPr>
        <w:t>”) are willing to extend the maturity date of their respective Revolving Commitments (the “</w:t>
      </w:r>
      <w:r>
        <w:rPr>
          <w:rFonts w:ascii="Times New Roman" w:cs="Times New Roman" w:eastAsia="Times New Roman" w:hAnsi="Times New Roman"/>
          <w:sz w:val="22"/>
          <w:szCs w:val="22"/>
          <w:i w:val="1"/>
          <w:iCs w:val="1"/>
          <w:color w:val="auto"/>
        </w:rPr>
        <w:t>Extended Revolving Commitments</w:t>
      </w:r>
      <w:r>
        <w:rPr>
          <w:rFonts w:ascii="Times New Roman" w:cs="Times New Roman" w:eastAsia="Times New Roman" w:hAnsi="Times New Roman"/>
          <w:sz w:val="22"/>
          <w:szCs w:val="22"/>
          <w:color w:val="auto"/>
        </w:rPr>
        <w:t>”), subject to and on the terms and conditions set forth herein and in Section 2.28(b), (c), (d) and (e) of the Credit Agreement;</w:t>
      </w:r>
    </w:p>
    <w:p>
      <w:pPr>
        <w:spacing w:after="0" w:line="174" w:lineRule="exact"/>
        <w:rPr>
          <w:sz w:val="20"/>
          <w:szCs w:val="20"/>
          <w:color w:val="auto"/>
        </w:rPr>
      </w:pPr>
    </w:p>
    <w:p>
      <w:pPr>
        <w:jc w:val="both"/>
        <w:ind w:firstLine="1295"/>
        <w:spacing w:after="0" w:line="270" w:lineRule="auto"/>
        <w:rPr>
          <w:sz w:val="20"/>
          <w:szCs w:val="20"/>
          <w:color w:val="auto"/>
        </w:rPr>
      </w:pPr>
      <w:r>
        <w:rPr>
          <w:rFonts w:ascii="Times New Roman" w:cs="Times New Roman" w:eastAsia="Times New Roman" w:hAnsi="Times New Roman"/>
          <w:sz w:val="22"/>
          <w:szCs w:val="22"/>
          <w:color w:val="auto"/>
        </w:rPr>
        <w:t>WHEREAS, pursuant to Section 2.27 of the Credit Agreement, the Borrower may request an increase to the existing Revolving Commitments, subject to and on the terms and conditions provided therein;</w:t>
      </w:r>
    </w:p>
    <w:p>
      <w:pPr>
        <w:spacing w:after="0" w:line="159" w:lineRule="exact"/>
        <w:rPr>
          <w:sz w:val="20"/>
          <w:szCs w:val="20"/>
          <w:color w:val="auto"/>
        </w:rPr>
      </w:pPr>
    </w:p>
    <w:p>
      <w:pPr>
        <w:jc w:val="both"/>
        <w:ind w:firstLine="1295"/>
        <w:spacing w:after="0" w:line="256" w:lineRule="auto"/>
        <w:rPr>
          <w:sz w:val="20"/>
          <w:szCs w:val="20"/>
          <w:color w:val="auto"/>
        </w:rPr>
      </w:pPr>
      <w:r>
        <w:rPr>
          <w:rFonts w:ascii="Times New Roman" w:cs="Times New Roman" w:eastAsia="Times New Roman" w:hAnsi="Times New Roman"/>
          <w:sz w:val="22"/>
          <w:szCs w:val="22"/>
          <w:color w:val="auto"/>
        </w:rPr>
        <w:t>WHEREAS, the Borrower hereby notifies the Administrative Agent of its request for $542,500,000 of new Revolving Commitments (the “</w:t>
      </w:r>
      <w:r>
        <w:rPr>
          <w:rFonts w:ascii="Times New Roman" w:cs="Times New Roman" w:eastAsia="Times New Roman" w:hAnsi="Times New Roman"/>
          <w:sz w:val="22"/>
          <w:szCs w:val="22"/>
          <w:i w:val="1"/>
          <w:iCs w:val="1"/>
          <w:color w:val="auto"/>
        </w:rPr>
        <w:t>New Revolving Commitments</w:t>
      </w:r>
      <w:r>
        <w:rPr>
          <w:rFonts w:ascii="Times New Roman" w:cs="Times New Roman" w:eastAsia="Times New Roman" w:hAnsi="Times New Roman"/>
          <w:sz w:val="22"/>
          <w:szCs w:val="22"/>
          <w:color w:val="auto"/>
        </w:rPr>
        <w:t>”) to be made available by New Revolving Lenders with respect to such New Revolving Commitments in the amount specified therefor on Schedule 1 hereto and requests that the Administrative Agent waive any applicable notice period otherwise required;</w:t>
      </w:r>
    </w:p>
    <w:p>
      <w:pPr>
        <w:spacing w:after="0" w:line="175" w:lineRule="exact"/>
        <w:rPr>
          <w:sz w:val="20"/>
          <w:szCs w:val="20"/>
          <w:color w:val="auto"/>
        </w:rPr>
      </w:pPr>
    </w:p>
    <w:p>
      <w:pPr>
        <w:jc w:val="both"/>
        <w:ind w:firstLine="1295"/>
        <w:spacing w:after="0" w:line="256" w:lineRule="auto"/>
        <w:rPr>
          <w:sz w:val="20"/>
          <w:szCs w:val="20"/>
          <w:color w:val="auto"/>
        </w:rPr>
      </w:pPr>
      <w:r>
        <w:rPr>
          <w:rFonts w:ascii="Times New Roman" w:cs="Times New Roman" w:eastAsia="Times New Roman" w:hAnsi="Times New Roman"/>
          <w:sz w:val="22"/>
          <w:szCs w:val="22"/>
          <w:color w:val="auto"/>
        </w:rPr>
        <w:t>WHEREAS, each New Revolving Lender is willing to provide a New Revolving Commitment in the amount set forth opposite its name in Schedule 1 hereto, subject to and on the terms and conditions set forth herein and in the Credit Agreement;</w:t>
      </w:r>
    </w:p>
    <w:p>
      <w:pPr>
        <w:spacing w:after="0" w:line="188" w:lineRule="exact"/>
        <w:rPr>
          <w:sz w:val="20"/>
          <w:szCs w:val="20"/>
          <w:color w:val="auto"/>
        </w:rPr>
      </w:pPr>
    </w:p>
    <w:p>
      <w:pPr>
        <w:jc w:val="both"/>
        <w:ind w:firstLine="1295"/>
        <w:spacing w:after="0" w:line="256" w:lineRule="auto"/>
        <w:rPr>
          <w:sz w:val="20"/>
          <w:szCs w:val="20"/>
          <w:color w:val="auto"/>
        </w:rPr>
      </w:pPr>
      <w:r>
        <w:rPr>
          <w:rFonts w:ascii="Times New Roman" w:cs="Times New Roman" w:eastAsia="Times New Roman" w:hAnsi="Times New Roman"/>
          <w:sz w:val="22"/>
          <w:szCs w:val="22"/>
          <w:color w:val="auto"/>
        </w:rPr>
        <w:t>WHEREAS, the undersigned Consenting Revolving Lenders, New Revolving Lenders and the Borrower desire to reallocate the Revolving Commitments (the “</w:t>
      </w:r>
      <w:r>
        <w:rPr>
          <w:rFonts w:ascii="Times New Roman" w:cs="Times New Roman" w:eastAsia="Times New Roman" w:hAnsi="Times New Roman"/>
          <w:sz w:val="22"/>
          <w:szCs w:val="22"/>
          <w:i w:val="1"/>
          <w:iCs w:val="1"/>
          <w:color w:val="auto"/>
        </w:rPr>
        <w:t>Reallocation</w:t>
      </w:r>
      <w:r>
        <w:rPr>
          <w:rFonts w:ascii="Times New Roman" w:cs="Times New Roman" w:eastAsia="Times New Roman" w:hAnsi="Times New Roman"/>
          <w:sz w:val="22"/>
          <w:szCs w:val="22"/>
          <w:color w:val="auto"/>
        </w:rPr>
        <w:t>”) and that each Revolving Lender will hold such Revolving Commitment as is set out opposite its name on Schedule 1;</w:t>
      </w:r>
    </w:p>
    <w:p>
      <w:pPr>
        <w:spacing w:after="0" w:line="175" w:lineRule="exact"/>
        <w:rPr>
          <w:sz w:val="20"/>
          <w:szCs w:val="20"/>
          <w:color w:val="auto"/>
        </w:rPr>
      </w:pPr>
    </w:p>
    <w:p>
      <w:pPr>
        <w:jc w:val="both"/>
        <w:ind w:firstLine="1295"/>
        <w:spacing w:after="0" w:line="263" w:lineRule="auto"/>
        <w:rPr>
          <w:sz w:val="20"/>
          <w:szCs w:val="20"/>
          <w:color w:val="auto"/>
        </w:rPr>
      </w:pPr>
      <w:r>
        <w:rPr>
          <w:rFonts w:ascii="Times New Roman" w:cs="Times New Roman" w:eastAsia="Times New Roman" w:hAnsi="Times New Roman"/>
          <w:sz w:val="22"/>
          <w:szCs w:val="22"/>
          <w:color w:val="auto"/>
        </w:rPr>
        <w:t>WHEREAS, the Borrower, the Administrative Agent, the undersigned Revolving Lenders wish to amend the Credit Agreement to provide for certain other modifications to the Credit Agreement, in each case, on the terms and subject to the conditions set forth herein;</w:t>
      </w:r>
    </w:p>
    <w:p>
      <w:pPr>
        <w:spacing w:after="0" w:line="166" w:lineRule="exact"/>
        <w:rPr>
          <w:sz w:val="20"/>
          <w:szCs w:val="20"/>
          <w:color w:val="auto"/>
        </w:rPr>
      </w:pPr>
    </w:p>
    <w:p>
      <w:pPr>
        <w:jc w:val="both"/>
        <w:ind w:firstLine="1295"/>
        <w:spacing w:after="0" w:line="256" w:lineRule="auto"/>
        <w:rPr>
          <w:sz w:val="20"/>
          <w:szCs w:val="20"/>
          <w:color w:val="auto"/>
        </w:rPr>
      </w:pPr>
      <w:r>
        <w:rPr>
          <w:rFonts w:ascii="Times New Roman" w:cs="Times New Roman" w:eastAsia="Times New Roman" w:hAnsi="Times New Roman"/>
          <w:sz w:val="22"/>
          <w:szCs w:val="22"/>
          <w:color w:val="auto"/>
        </w:rPr>
        <w:t>WHEREAS, pursuant to Section 2.28(b) of the Credit Agreement, any Existing Revolving Lender who is not a Consenting Lender (each, a “</w:t>
      </w:r>
      <w:r>
        <w:rPr>
          <w:rFonts w:ascii="Times New Roman" w:cs="Times New Roman" w:eastAsia="Times New Roman" w:hAnsi="Times New Roman"/>
          <w:sz w:val="22"/>
          <w:szCs w:val="22"/>
          <w:i w:val="1"/>
          <w:iCs w:val="1"/>
          <w:color w:val="auto"/>
        </w:rPr>
        <w:t>Non-Consenting Revolving Lender</w:t>
      </w:r>
      <w:r>
        <w:rPr>
          <w:rFonts w:ascii="Times New Roman" w:cs="Times New Roman" w:eastAsia="Times New Roman" w:hAnsi="Times New Roman"/>
          <w:sz w:val="22"/>
          <w:szCs w:val="22"/>
          <w:color w:val="auto"/>
        </w:rPr>
        <w:t>”) shall continue to have Revolving Credit Commitments (the “</w:t>
      </w:r>
      <w:r>
        <w:rPr>
          <w:rFonts w:ascii="Times New Roman" w:cs="Times New Roman" w:eastAsia="Times New Roman" w:hAnsi="Times New Roman"/>
          <w:sz w:val="22"/>
          <w:szCs w:val="22"/>
          <w:i w:val="1"/>
          <w:iCs w:val="1"/>
          <w:color w:val="auto"/>
        </w:rPr>
        <w:t>Non-Extended Revolver Commitments</w:t>
      </w:r>
      <w:r>
        <w:rPr>
          <w:rFonts w:ascii="Times New Roman" w:cs="Times New Roman" w:eastAsia="Times New Roman" w:hAnsi="Times New Roman"/>
          <w:sz w:val="22"/>
          <w:szCs w:val="22"/>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right="20" w:firstLine="1295"/>
        <w:spacing w:after="0" w:line="270"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159" w:lineRule="exact"/>
        <w:rPr>
          <w:sz w:val="20"/>
          <w:szCs w:val="20"/>
          <w:color w:val="auto"/>
        </w:rPr>
      </w:pPr>
    </w:p>
    <w:p>
      <w:pPr>
        <w:jc w:val="both"/>
        <w:ind w:firstLine="1295"/>
        <w:spacing w:after="0" w:line="251" w:lineRule="auto"/>
        <w:rPr>
          <w:sz w:val="20"/>
          <w:szCs w:val="20"/>
          <w:color w:val="auto"/>
        </w:rPr>
      </w:pPr>
      <w:r>
        <w:rPr>
          <w:rFonts w:ascii="Times New Roman" w:cs="Times New Roman" w:eastAsia="Times New Roman" w:hAnsi="Times New Roman"/>
          <w:sz w:val="22"/>
          <w:szCs w:val="22"/>
          <w:u w:val="single" w:color="auto"/>
          <w:color w:val="auto"/>
        </w:rPr>
        <w:t>SECTION ONE - Increase in Revolving Commitments</w:t>
      </w:r>
      <w:r>
        <w:rPr>
          <w:rFonts w:ascii="Times New Roman" w:cs="Times New Roman" w:eastAsia="Times New Roman" w:hAnsi="Times New Roman"/>
          <w:sz w:val="22"/>
          <w:szCs w:val="22"/>
          <w:color w:val="auto"/>
        </w:rPr>
        <w:t>. On the Sixth Amendment Effective Date, the Borrower, the Existing Revolving Lenders and the New Revolving Lenders agree that (1) the Total Revolving Commitments shall be $1,542,500,000, consisting of $1,530,500,000 of Sixth Amendment Extended Revolver Commitments and $12,000,000 of Non-Extended Revolver Commitments, (2) New Revolving Commitments shall constitute Extended Revolving Commitments for all purposes of the Credit Agreement and the other Loan Documents and (3) each New Revolving Lender shall become a Revolving Lender under the Credit Agreement (as amended hereby). For purposes of the Credit Agreement, this Sixth Amendment shall constitute an “Increase Joinder.”</w:t>
      </w:r>
    </w:p>
    <w:p>
      <w:pPr>
        <w:spacing w:after="0" w:line="184" w:lineRule="exact"/>
        <w:rPr>
          <w:sz w:val="20"/>
          <w:szCs w:val="20"/>
          <w:color w:val="auto"/>
        </w:rPr>
      </w:pPr>
    </w:p>
    <w:p>
      <w:pPr>
        <w:jc w:val="both"/>
        <w:ind w:firstLine="1295"/>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TWO - Extension of Revolving Facility</w:t>
      </w:r>
      <w:r>
        <w:rPr>
          <w:rFonts w:ascii="Times New Roman" w:cs="Times New Roman" w:eastAsia="Times New Roman" w:hAnsi="Times New Roman"/>
          <w:sz w:val="22"/>
          <w:szCs w:val="22"/>
          <w:color w:val="auto"/>
        </w:rPr>
        <w:t>. On the Sixth Amendment Effective Date (immediately after giving effect to the Reallocation contemplated in Section One), the Borrower, each Extending Revolving Lender and each Non-Consenting Revolving Lender agrees that the Credit Agreement is modified as follows:</w:t>
      </w:r>
    </w:p>
    <w:p>
      <w:pPr>
        <w:spacing w:after="0" w:line="175" w:lineRule="exact"/>
        <w:rPr>
          <w:sz w:val="20"/>
          <w:szCs w:val="20"/>
          <w:color w:val="auto"/>
        </w:rPr>
      </w:pPr>
    </w:p>
    <w:p>
      <w:pPr>
        <w:ind w:right="380" w:firstLine="1302"/>
        <w:spacing w:after="0" w:line="270" w:lineRule="auto"/>
        <w:tabs>
          <w:tab w:leader="none" w:pos="1579"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1.01 of the Credit Agreement is hereby amended by adding the following definitions in appropriate alphabetical order:</w:t>
      </w:r>
    </w:p>
    <w:p>
      <w:pPr>
        <w:spacing w:after="0" w:line="168" w:lineRule="exact"/>
        <w:rPr>
          <w:sz w:val="20"/>
          <w:szCs w:val="20"/>
          <w:color w:val="auto"/>
        </w:rPr>
      </w:pPr>
    </w:p>
    <w:p>
      <w:pPr>
        <w:jc w:val="both"/>
        <w:ind w:firstLine="1295"/>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Sixth Amendment</w:t>
      </w:r>
      <w:r>
        <w:rPr>
          <w:rFonts w:ascii="Times New Roman" w:cs="Times New Roman" w:eastAsia="Times New Roman" w:hAnsi="Times New Roman"/>
          <w:sz w:val="22"/>
          <w:szCs w:val="22"/>
          <w:color w:val="auto"/>
        </w:rPr>
        <w:t>” means the Sixth Amendment to this Credit Agreement, dated as of December 10, 2018 among the Borrower, Citibank N.A., as administrative agent and as an issuing lender and the Lenders party thereto.”</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Sixth Amendment Effective Date</w:t>
      </w:r>
      <w:r>
        <w:rPr>
          <w:rFonts w:ascii="Times New Roman" w:cs="Times New Roman" w:eastAsia="Times New Roman" w:hAnsi="Times New Roman"/>
          <w:sz w:val="22"/>
          <w:szCs w:val="22"/>
          <w:color w:val="auto"/>
        </w:rPr>
        <w:t>” shall have the meaning provided in the Sixth Amendment.”;</w:t>
      </w:r>
    </w:p>
    <w:p>
      <w:pPr>
        <w:spacing w:after="0" w:line="219" w:lineRule="exact"/>
        <w:rPr>
          <w:sz w:val="20"/>
          <w:szCs w:val="20"/>
          <w:color w:val="auto"/>
        </w:rPr>
      </w:pPr>
    </w:p>
    <w:p>
      <w:pPr>
        <w:jc w:val="both"/>
        <w:ind w:firstLine="1295"/>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Sixth Amendment Extended Revolving Commitments</w:t>
      </w:r>
      <w:r>
        <w:rPr>
          <w:rFonts w:ascii="Times New Roman" w:cs="Times New Roman" w:eastAsia="Times New Roman" w:hAnsi="Times New Roman"/>
          <w:sz w:val="22"/>
          <w:szCs w:val="22"/>
          <w:color w:val="auto"/>
        </w:rPr>
        <w:t>” means the Revolving Commitments of each Sixth Amendment Extending Revolving Lender.”</w:t>
      </w:r>
    </w:p>
    <w:p>
      <w:pPr>
        <w:spacing w:after="0" w:line="164" w:lineRule="exact"/>
        <w:rPr>
          <w:sz w:val="20"/>
          <w:szCs w:val="20"/>
          <w:color w:val="auto"/>
        </w:rPr>
      </w:pPr>
    </w:p>
    <w:p>
      <w:pPr>
        <w:jc w:val="both"/>
        <w:ind w:firstLine="1295"/>
        <w:spacing w:after="0" w:line="253" w:lineRule="auto"/>
        <w:rPr>
          <w:sz w:val="20"/>
          <w:szCs w:val="20"/>
          <w:color w:val="auto"/>
        </w:rPr>
      </w:pPr>
      <w:r>
        <w:rPr>
          <w:rFonts w:ascii="Times New Roman" w:cs="Times New Roman" w:eastAsia="Times New Roman" w:hAnsi="Times New Roman"/>
          <w:sz w:val="22"/>
          <w:szCs w:val="22"/>
          <w:i w:val="1"/>
          <w:iCs w:val="1"/>
          <w:color w:val="auto"/>
        </w:rPr>
        <w:t>““Sixth Amendment Extending Revolving Lender</w:t>
      </w:r>
      <w:r>
        <w:rPr>
          <w:rFonts w:ascii="Times New Roman" w:cs="Times New Roman" w:eastAsia="Times New Roman" w:hAnsi="Times New Roman"/>
          <w:sz w:val="22"/>
          <w:szCs w:val="22"/>
          <w:color w:val="auto"/>
        </w:rPr>
        <w:t>” shall mean each Revolving Lender (including the Sixth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Amendment New Revolving Lenders) that has provided a signature page on or prior to December 10, 2018 voting in favor of accepting the Sixth Amendment Extension Offer and extending the Revolving Facility Maturity Date as set forth in the Sixth Amendment.”</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Sixth Amendment Extension Offer</w:t>
      </w:r>
      <w:r>
        <w:rPr>
          <w:rFonts w:ascii="Times New Roman" w:cs="Times New Roman" w:eastAsia="Times New Roman" w:hAnsi="Times New Roman"/>
          <w:sz w:val="22"/>
          <w:szCs w:val="22"/>
          <w:color w:val="auto"/>
        </w:rPr>
        <w:t>” means the Extension Offer made pursuant to the Sixth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1295"/>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Sixth Amendment Non-Extended Revolving Commitments</w:t>
      </w:r>
      <w:r>
        <w:rPr>
          <w:rFonts w:ascii="Times New Roman" w:cs="Times New Roman" w:eastAsia="Times New Roman" w:hAnsi="Times New Roman"/>
          <w:sz w:val="22"/>
          <w:szCs w:val="22"/>
          <w:color w:val="auto"/>
        </w:rPr>
        <w:t>” means the Revolving Commitments of each Sixth Amendment Non-Extending Revolving Lender.”</w:t>
      </w:r>
    </w:p>
    <w:p>
      <w:pPr>
        <w:spacing w:after="0" w:line="151" w:lineRule="exact"/>
        <w:rPr>
          <w:sz w:val="20"/>
          <w:szCs w:val="20"/>
          <w:color w:val="auto"/>
        </w:rPr>
      </w:pPr>
    </w:p>
    <w:p>
      <w:pPr>
        <w:ind w:firstLine="1295"/>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Sixth Amendment Non-Extending Revolving Lender</w:t>
      </w:r>
      <w:r>
        <w:rPr>
          <w:rFonts w:ascii="Times New Roman" w:cs="Times New Roman" w:eastAsia="Times New Roman" w:hAnsi="Times New Roman"/>
          <w:sz w:val="22"/>
          <w:szCs w:val="22"/>
          <w:color w:val="auto"/>
        </w:rPr>
        <w:t>” shall mean each Revolving Lender other than the Sixth Amendment Extending Revolving Lenders.”</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Sixth Amendment New Revolving Lenders</w:t>
      </w:r>
      <w:r>
        <w:rPr>
          <w:rFonts w:ascii="Times New Roman" w:cs="Times New Roman" w:eastAsia="Times New Roman" w:hAnsi="Times New Roman"/>
          <w:sz w:val="22"/>
          <w:szCs w:val="22"/>
          <w:color w:val="auto"/>
        </w:rPr>
        <w:t>” shall mean each New Revolving Lender (as defined in the Sixth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Amendment).”</w:t>
      </w:r>
    </w:p>
    <w:p>
      <w:pPr>
        <w:spacing w:after="0" w:line="191" w:lineRule="exact"/>
        <w:rPr>
          <w:sz w:val="20"/>
          <w:szCs w:val="20"/>
          <w:color w:val="auto"/>
        </w:rPr>
      </w:pPr>
    </w:p>
    <w:p>
      <w:pPr>
        <w:ind w:right="220" w:firstLine="1302"/>
        <w:spacing w:after="0" w:line="274" w:lineRule="auto"/>
        <w:tabs>
          <w:tab w:leader="none" w:pos="159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Applicable Margin</w:t>
      </w:r>
      <w:r>
        <w:rPr>
          <w:rFonts w:ascii="Times New Roman" w:cs="Times New Roman" w:eastAsia="Times New Roman" w:hAnsi="Times New Roman"/>
          <w:sz w:val="22"/>
          <w:szCs w:val="22"/>
          <w:color w:val="auto"/>
        </w:rPr>
        <w:t>” appearing in Section 1.01 of the Credit Agreement is hereby amended and restated in its entirety as follows:</w:t>
      </w:r>
    </w:p>
    <w:p>
      <w:pPr>
        <w:spacing w:after="0" w:line="164" w:lineRule="exact"/>
        <w:rPr>
          <w:sz w:val="20"/>
          <w:szCs w:val="20"/>
          <w:color w:val="auto"/>
        </w:rPr>
      </w:pPr>
    </w:p>
    <w:p>
      <w:pPr>
        <w:jc w:val="both"/>
        <w:ind w:firstLine="1295"/>
        <w:spacing w:after="0" w:line="27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Applicable Margin</w:t>
      </w:r>
      <w:r>
        <w:rPr>
          <w:rFonts w:ascii="Times New Roman" w:cs="Times New Roman" w:eastAsia="Times New Roman" w:hAnsi="Times New Roman"/>
          <w:sz w:val="20"/>
          <w:szCs w:val="20"/>
          <w:color w:val="auto"/>
        </w:rPr>
        <w:t>” shall mean (a)(x) with respect to Revolving Loans in respect of Sixth Amendment Extended Revolving Commitments (i) that are Eurodollar Loans, 2.00% per annum and (ii) that are ABR Loans, 1.00% per annum and (y) with respect to Revolving Loans in respect of Sixth Amendment Non-Extended Revolving Commitments (i) that are Eurodollar Loans, 2.25% per annum and (ii) that are ABR Loans, 1.25% per annum and (b) with respect to 2017 Replacement Term Loans</w:t>
      </w:r>
    </w:p>
    <w:p>
      <w:pPr>
        <w:spacing w:after="0" w:line="3" w:lineRule="exact"/>
        <w:rPr>
          <w:sz w:val="20"/>
          <w:szCs w:val="20"/>
          <w:color w:val="auto"/>
        </w:rPr>
      </w:pPr>
    </w:p>
    <w:p>
      <w:pPr>
        <w:ind w:left="260" w:hanging="252"/>
        <w:spacing w:after="0"/>
        <w:tabs>
          <w:tab w:leader="none" w:pos="2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are Eurodollar Loans, 2.00% per annum and (ii) that are ABR Loans 1.00% per annum.</w:t>
      </w:r>
    </w:p>
    <w:p>
      <w:pPr>
        <w:spacing w:after="0" w:line="190" w:lineRule="exact"/>
        <w:rPr>
          <w:rFonts w:ascii="Times New Roman" w:cs="Times New Roman" w:eastAsia="Times New Roman" w:hAnsi="Times New Roman"/>
          <w:sz w:val="22"/>
          <w:szCs w:val="22"/>
          <w:color w:val="auto"/>
        </w:rPr>
      </w:pPr>
    </w:p>
    <w:p>
      <w:pPr>
        <w:ind w:right="760" w:firstLine="1302"/>
        <w:spacing w:after="0" w:line="287" w:lineRule="auto"/>
        <w:tabs>
          <w:tab w:leader="none" w:pos="1579"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Commitment Fee Rate</w:t>
      </w:r>
      <w:r>
        <w:rPr>
          <w:rFonts w:ascii="Times New Roman" w:cs="Times New Roman" w:eastAsia="Times New Roman" w:hAnsi="Times New Roman"/>
          <w:sz w:val="22"/>
          <w:szCs w:val="22"/>
          <w:color w:val="auto"/>
        </w:rPr>
        <w:t>” appearing in Section 1.01 of the Credit Agreement is hereby amended and restated in its entirety as follows:</w:t>
      </w:r>
    </w:p>
    <w:p>
      <w:pPr>
        <w:spacing w:after="0" w:line="137" w:lineRule="exact"/>
        <w:rPr>
          <w:sz w:val="20"/>
          <w:szCs w:val="20"/>
          <w:color w:val="auto"/>
        </w:rPr>
      </w:pPr>
    </w:p>
    <w:p>
      <w:pPr>
        <w:jc w:val="both"/>
        <w:ind w:left="660" w:firstLine="1294"/>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 Fee Rate</w:t>
      </w:r>
      <w:r>
        <w:rPr>
          <w:rFonts w:ascii="Times New Roman" w:cs="Times New Roman" w:eastAsia="Times New Roman" w:hAnsi="Times New Roman"/>
          <w:sz w:val="22"/>
          <w:szCs w:val="22"/>
          <w:color w:val="auto"/>
        </w:rPr>
        <w:t>” shall mean (x) in respect of Sixth Amendment Extended Revolving Commitments, 0.625% per annum and (y) in respect of Sixth Amendment Non-Extended Revolving Commitments, 0.75% per annum.”;</w:t>
      </w:r>
    </w:p>
    <w:p>
      <w:pPr>
        <w:spacing w:after="0" w:line="168" w:lineRule="exact"/>
        <w:rPr>
          <w:sz w:val="20"/>
          <w:szCs w:val="20"/>
          <w:color w:val="auto"/>
        </w:rPr>
      </w:pPr>
    </w:p>
    <w:p>
      <w:pPr>
        <w:ind w:firstLine="1302"/>
        <w:spacing w:after="0" w:line="265" w:lineRule="auto"/>
        <w:tabs>
          <w:tab w:leader="none" w:pos="159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LIBO Rate</w:t>
      </w:r>
      <w:r>
        <w:rPr>
          <w:rFonts w:ascii="Times New Roman" w:cs="Times New Roman" w:eastAsia="Times New Roman" w:hAnsi="Times New Roman"/>
          <w:sz w:val="22"/>
          <w:szCs w:val="22"/>
          <w:color w:val="auto"/>
        </w:rPr>
        <w:t>” appearing in Section 1.01 of the Credit Agreement is hereby amended by adding “and Revolving Loans in respect of Sixth Amendment Extended Revolving Commitments” after “solely in respect of the 2017 Replacement Term Loans” where it is used therein.</w:t>
      </w:r>
    </w:p>
    <w:p>
      <w:pPr>
        <w:spacing w:after="0" w:line="159" w:lineRule="exact"/>
        <w:rPr>
          <w:rFonts w:ascii="Times New Roman" w:cs="Times New Roman" w:eastAsia="Times New Roman" w:hAnsi="Times New Roman"/>
          <w:sz w:val="22"/>
          <w:szCs w:val="22"/>
          <w:color w:val="auto"/>
        </w:rPr>
      </w:pPr>
    </w:p>
    <w:p>
      <w:pPr>
        <w:ind w:right="460" w:firstLine="1302"/>
        <w:spacing w:after="0" w:line="274" w:lineRule="auto"/>
        <w:tabs>
          <w:tab w:leader="none" w:pos="157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Revolving Facility Maturity Date</w:t>
      </w:r>
      <w:r>
        <w:rPr>
          <w:rFonts w:ascii="Times New Roman" w:cs="Times New Roman" w:eastAsia="Times New Roman" w:hAnsi="Times New Roman"/>
          <w:sz w:val="22"/>
          <w:szCs w:val="22"/>
          <w:color w:val="auto"/>
        </w:rPr>
        <w:t>” appearing in Section 1.01 of the Credit Agreement is hereby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900" w:firstLine="971"/>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Facility Maturity Date</w:t>
      </w:r>
      <w:r>
        <w:rPr>
          <w:rFonts w:ascii="Times New Roman" w:cs="Times New Roman" w:eastAsia="Times New Roman" w:hAnsi="Times New Roman"/>
          <w:sz w:val="22"/>
          <w:szCs w:val="22"/>
          <w:color w:val="auto"/>
        </w:rPr>
        <w:t>” shall mean, (a) with respect to Sixth Amendment Extended Revolving Commitments, that have not been extended pursuant to Section 2.28(b), but including Revolving Commitments extended or made available pursuant to the Sixth Amendment, October 13, 2023, (b) with respect to Sixth Amendment Non-Extended Revolving Commitments that have not been extended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type w:val="continuous"/>
        </w:sectPr>
      </w:pPr>
    </w:p>
    <w:bookmarkStart w:id="207" w:name="page208"/>
    <w:bookmarkEnd w:id="207"/>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22"/>
          <w:szCs w:val="22"/>
          <w:color w:val="auto"/>
        </w:rPr>
        <w:t>pursuant to Section 2.28(b), October 13, 2022 and (c) with respect to Extended Revolving Commitments extended after the Sixth Amendment Effective Date, the final maturity date therefor as specified in the applicable Extension Offer accepted by the respective Revolving Lender or Revolving Lenders.”;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80" w:firstLine="1303"/>
        <w:spacing w:after="0" w:line="274" w:lineRule="auto"/>
        <w:tabs>
          <w:tab w:leader="none" w:pos="155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Revolving Commitment</w:t>
      </w:r>
      <w:r>
        <w:rPr>
          <w:rFonts w:ascii="Times New Roman" w:cs="Times New Roman" w:eastAsia="Times New Roman" w:hAnsi="Times New Roman"/>
          <w:sz w:val="22"/>
          <w:szCs w:val="22"/>
          <w:color w:val="auto"/>
        </w:rPr>
        <w:t>” is hereby amended by deleting the last sentence of said definition in its entirety and inserting in lieu thereof the following new sentence: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300" w:firstLine="566"/>
        <w:spacing w:after="0" w:line="256" w:lineRule="auto"/>
        <w:rPr>
          <w:sz w:val="20"/>
          <w:szCs w:val="20"/>
          <w:color w:val="auto"/>
        </w:rPr>
      </w:pPr>
      <w:r>
        <w:rPr>
          <w:rFonts w:ascii="Times New Roman" w:cs="Times New Roman" w:eastAsia="Times New Roman" w:hAnsi="Times New Roman"/>
          <w:sz w:val="22"/>
          <w:szCs w:val="22"/>
          <w:color w:val="auto"/>
        </w:rPr>
        <w:t>“The aggregate amount of the Total Revolving Commitments as of the Sixth Amendment Effective Date and after giving effect to the New Revolving Commitments under, and as defined in the Sixth Amendment is $1,542,500,000, consisting of $1,530,500,000 of Sixth Amendment Extended Revolver Commitments and $12,000,000 of Sixth Amendment Non-Extended Revolver Commitments.”;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 Section 2.09 of the Credit Agreement is hereby amended by inserting the following at the end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paragraph:</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300" w:firstLine="647"/>
        <w:spacing w:after="0" w:line="249" w:lineRule="auto"/>
        <w:rPr>
          <w:sz w:val="20"/>
          <w:szCs w:val="20"/>
          <w:color w:val="auto"/>
        </w:rPr>
      </w:pPr>
      <w:r>
        <w:rPr>
          <w:rFonts w:ascii="Times New Roman" w:cs="Times New Roman" w:eastAsia="Times New Roman" w:hAnsi="Times New Roman"/>
          <w:sz w:val="22"/>
          <w:szCs w:val="22"/>
          <w:color w:val="auto"/>
        </w:rPr>
        <w:t>“Notwithstanding any provision to the contrary set forth in this Agreement, the Revolving Lenders agree that in the event the Administrative Agent determines, pursuant to and in accordance with this Section 2.09, that reasonable means do not exist for ascertaining the applicable LIBO Rate and the Administrative Agent and the Borrower mutually determine that the syndicated loan market has broadly accepted a replacement standard for the LIBO Rate, then the Administrative Agent and Borrower may, without the consent of any Revolving Lender and solely with respect to the Revolving Loans, amend this Agreement to adopt such new broadly accepted market standard and to make such other changes as shall be necessary or appropriate in the good faith determination of the Administrative Agent and the Borrower in order to implement such new market standard herein and in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60"/>
          </w:cols>
          <w:pgMar w:left="400" w:top="1440" w:right="339" w:bottom="1440" w:gutter="0" w:footer="0" w:header="0"/>
        </w:sectPr>
      </w:pPr>
    </w:p>
    <w:bookmarkStart w:id="208" w:name="page209"/>
    <w:bookmarkEnd w:id="208"/>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(h) Section 2.20(a) of the Credit Agreement is here 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1295"/>
        <w:spacing w:after="0" w:line="248" w:lineRule="auto"/>
        <w:rPr>
          <w:sz w:val="20"/>
          <w:szCs w:val="20"/>
          <w:color w:val="auto"/>
        </w:rPr>
      </w:pPr>
      <w:r>
        <w:rPr>
          <w:rFonts w:ascii="Times New Roman" w:cs="Times New Roman" w:eastAsia="Times New Roman" w:hAnsi="Times New Roman"/>
          <w:sz w:val="22"/>
          <w:szCs w:val="22"/>
          <w:color w:val="auto"/>
        </w:rPr>
        <w:t>“The Borrower shall pay to the Administrative Agent for the accounts of the Revolving Lenders a commitment fee (the “</w:t>
      </w:r>
      <w:r>
        <w:rPr>
          <w:rFonts w:ascii="Times New Roman" w:cs="Times New Roman" w:eastAsia="Times New Roman" w:hAnsi="Times New Roman"/>
          <w:sz w:val="22"/>
          <w:szCs w:val="22"/>
          <w:i w:val="1"/>
          <w:iCs w:val="1"/>
          <w:color w:val="auto"/>
        </w:rPr>
        <w:t>Commitment Fee</w:t>
      </w:r>
      <w:r>
        <w:rPr>
          <w:rFonts w:ascii="Times New Roman" w:cs="Times New Roman" w:eastAsia="Times New Roman" w:hAnsi="Times New Roman"/>
          <w:sz w:val="22"/>
          <w:szCs w:val="22"/>
          <w:color w:val="auto"/>
        </w:rPr>
        <w:t>”) for the period commencing on the Closing Date to the Revolving Facility Termination Date with respect to the applicable Revolving Commitments or the earlier date of termination of the applicable Revolving Commitment, computed (on the basis of the actual number of days elapsed over a year of 360 days) at the Commitment Fee Rate on the average daily Unused Total Revolving Commitment. Such Commitment Fee, to the extent then accrued, shall be payable quarterly in arrears (a) following the Closing Date on the last Business Day of each March, June, September and December, (b) on the Revolving Facility Termination Date with respect to the applicable Revolving Commitments and (c) as provided in Section 2.11, upon any reduction or termination in whole or in part of the Total Revolving Commitment (provided that such fee will be prorated based on the Commitment Fee set forth in the Sixth Amendment for the fiscal quarter in which the Sixth Amendment Effective Date occurs).”; and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2960" w:firstLine="3"/>
        <w:spacing w:after="0" w:line="999" w:lineRule="auto"/>
        <w:tabs>
          <w:tab w:leader="none" w:pos="162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shall be added as a new Section 2.29 to the Credit Agreement: “Section 2.29 Sixth Amendment Non-Extending Revolving Lenders</w:t>
      </w:r>
    </w:p>
    <w:p>
      <w:pPr>
        <w:jc w:val="both"/>
        <w:ind w:firstLine="1295"/>
        <w:spacing w:after="0" w:line="263" w:lineRule="auto"/>
        <w:rPr>
          <w:sz w:val="20"/>
          <w:szCs w:val="20"/>
          <w:color w:val="auto"/>
        </w:rPr>
      </w:pPr>
      <w:r>
        <w:rPr>
          <w:rFonts w:ascii="Times New Roman" w:cs="Times New Roman" w:eastAsia="Times New Roman" w:hAnsi="Times New Roman"/>
          <w:sz w:val="22"/>
          <w:szCs w:val="22"/>
          <w:color w:val="auto"/>
        </w:rPr>
        <w:t>If any LC Exposure of any Sixth Amendment Non-Extending Revolving Lender exists on the Revolving Facility Maturity Date applicable to the Sixth Amendment Non-Extended Revolving Commitments of such Sixth Amendment Non-Extending Revolving Lender then:</w:t>
      </w:r>
    </w:p>
    <w:p>
      <w:pPr>
        <w:spacing w:after="0" w:line="166" w:lineRule="exact"/>
        <w:rPr>
          <w:sz w:val="20"/>
          <w:szCs w:val="20"/>
          <w:color w:val="auto"/>
        </w:rPr>
      </w:pPr>
    </w:p>
    <w:p>
      <w:pPr>
        <w:jc w:val="both"/>
        <w:ind w:firstLine="1302"/>
        <w:spacing w:after="0" w:line="251" w:lineRule="auto"/>
        <w:tabs>
          <w:tab w:leader="none" w:pos="159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 Exposure of such Sixth Amendment Non-Extending Revolving Lender will, upon at least two (2) Business Days prior notice to the Borrower and the other Revolving Lenders by the Administrative Agent, and subject in any event to the limitation in the first proviso below, automatically be reallocated (effective on the day specified in such notice) among the Sixth Amendment Extending Revolving Lenders pro rata in accordance with their respective Revolving Commitments; provided that (A) the Revolving Extensions of Credit of each such Revolving Lender may not in any event exceed the Revolving Commitment of such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22"/>
          <w:szCs w:val="22"/>
          <w:color w:val="auto"/>
        </w:rPr>
        <w:t>Lender as in effect at the time of such reallocation and (B) at the time of such reallocation, no Event of Default pursuant to Section 7.01(b), (f) or (g) has occurred and is continuing; and</w:t>
      </w:r>
    </w:p>
    <w:p>
      <w:pPr>
        <w:spacing w:after="0" w:line="155" w:lineRule="exact"/>
        <w:rPr>
          <w:sz w:val="20"/>
          <w:szCs w:val="20"/>
          <w:color w:val="auto"/>
        </w:rPr>
      </w:pPr>
    </w:p>
    <w:p>
      <w:pPr>
        <w:jc w:val="both"/>
        <w:ind w:firstLine="1302"/>
        <w:spacing w:after="0" w:line="252" w:lineRule="auto"/>
        <w:tabs>
          <w:tab w:leader="none" w:pos="167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portion (the “</w:t>
      </w:r>
      <w:r>
        <w:rPr>
          <w:rFonts w:ascii="Times New Roman" w:cs="Times New Roman" w:eastAsia="Times New Roman" w:hAnsi="Times New Roman"/>
          <w:sz w:val="22"/>
          <w:szCs w:val="22"/>
          <w:i w:val="1"/>
          <w:iCs w:val="1"/>
          <w:color w:val="auto"/>
        </w:rPr>
        <w:t>Unreallocated Portion</w:t>
      </w:r>
      <w:r>
        <w:rPr>
          <w:rFonts w:ascii="Times New Roman" w:cs="Times New Roman" w:eastAsia="Times New Roman" w:hAnsi="Times New Roman"/>
          <w:sz w:val="22"/>
          <w:szCs w:val="22"/>
          <w:color w:val="auto"/>
        </w:rPr>
        <w:t>”) of the Sixth Amendment Non-Extending Revolving Lender’s LC Exposure cannot be so reallocated, whether by reason of the first proviso in clause (i) above or otherwise, the Borrower will, not later than three (3) Business Days after demand by the Administrative Agent, (A) Cash Collateralize the obligations of the Borrower to the Issuing Lenders in respect of such LC Exposure in an amount at least equal to the aggregate amount of the Unreallocated Portion of such LC Exposure or (B) make other arrangements reasonably satisfactory to the Administrative Agent and the Issuing Lenders to protect them against non-payment by such Sixth Amendment Non-Extending Revolving Lender.”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6" w:lineRule="exact"/>
        <w:rPr>
          <w:rFonts w:ascii="Times New Roman" w:cs="Times New Roman" w:eastAsia="Times New Roman" w:hAnsi="Times New Roman"/>
          <w:sz w:val="22"/>
          <w:szCs w:val="22"/>
          <w:color w:val="auto"/>
        </w:rPr>
      </w:pPr>
    </w:p>
    <w:p>
      <w:pPr>
        <w:ind w:left="1640" w:hanging="257"/>
        <w:spacing w:after="0"/>
        <w:tabs>
          <w:tab w:leader="none" w:pos="164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“Annex A” of the Credit Agreement is hereby amended and restated in its entirety in the form attached hereto</w:t>
      </w:r>
    </w:p>
    <w:p>
      <w:pPr>
        <w:spacing w:after="0" w:line="50" w:lineRule="exact"/>
        <w:rPr>
          <w:rFonts w:ascii="Times New Roman" w:cs="Times New Roman" w:eastAsia="Times New Roman" w:hAnsi="Times New Roman"/>
          <w:sz w:val="20"/>
          <w:szCs w:val="20"/>
          <w:color w:val="auto"/>
        </w:rPr>
      </w:pPr>
    </w:p>
    <w:p>
      <w:pPr>
        <w:ind w:left="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as Schedule 1.</w:t>
      </w:r>
    </w:p>
    <w:p>
      <w:pPr>
        <w:spacing w:after="0" w:line="195" w:lineRule="exact"/>
        <w:rPr>
          <w:sz w:val="20"/>
          <w:szCs w:val="20"/>
          <w:color w:val="auto"/>
        </w:rPr>
      </w:pPr>
    </w:p>
    <w:p>
      <w:pPr>
        <w:jc w:val="both"/>
        <w:ind w:left="80" w:firstLine="1214"/>
        <w:spacing w:after="0" w:line="256" w:lineRule="auto"/>
        <w:rPr>
          <w:sz w:val="20"/>
          <w:szCs w:val="20"/>
          <w:color w:val="auto"/>
        </w:rPr>
      </w:pPr>
      <w:r>
        <w:rPr>
          <w:rFonts w:ascii="Times New Roman" w:cs="Times New Roman" w:eastAsia="Times New Roman" w:hAnsi="Times New Roman"/>
          <w:sz w:val="22"/>
          <w:szCs w:val="22"/>
          <w:color w:val="auto"/>
        </w:rPr>
        <w:t>Notwithstanding anything in this Sixth Amendment or the Credit Agreement to the contrary, the Administrative Agent hereby waives (a) the minimum notice required by Section 2.27(a) of the Credit Agreement in connection with the establishment of the New Revolving Commitments and (b) the minimum notice required by Section 2.28(e) of the Credit Agreement in connection with the Revolver Extension to be effected pursuant to this Sixth Amendment.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SECTION THREE -</w:t>
      </w:r>
      <w:r>
        <w:rPr>
          <w:rFonts w:ascii="Times New Roman" w:cs="Times New Roman" w:eastAsia="Times New Roman" w:hAnsi="Times New Roman"/>
          <w:sz w:val="22"/>
          <w:szCs w:val="22"/>
          <w:color w:val="auto"/>
        </w:rPr>
        <w:t xml:space="preserve"> The parties hereto agree that, as of the Sixth Amendment Effective Date (as defined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in connection with the Sixth Amendment:</w:t>
      </w:r>
    </w:p>
    <w:p>
      <w:pPr>
        <w:spacing w:after="0" w:line="191" w:lineRule="exact"/>
        <w:rPr>
          <w:sz w:val="20"/>
          <w:szCs w:val="20"/>
          <w:color w:val="auto"/>
        </w:rPr>
      </w:pPr>
    </w:p>
    <w:p>
      <w:pPr>
        <w:jc w:val="both"/>
        <w:ind w:firstLine="1302"/>
        <w:spacing w:after="0" w:line="250" w:lineRule="auto"/>
        <w:tabs>
          <w:tab w:leader="none" w:pos="162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Citigroup Global Markets Inc. (“</w:t>
      </w:r>
      <w:r>
        <w:rPr>
          <w:rFonts w:ascii="Times New Roman" w:cs="Times New Roman" w:eastAsia="Times New Roman" w:hAnsi="Times New Roman"/>
          <w:sz w:val="22"/>
          <w:szCs w:val="22"/>
          <w:i w:val="1"/>
          <w:iCs w:val="1"/>
          <w:color w:val="auto"/>
        </w:rPr>
        <w:t>Citi</w:t>
      </w:r>
      <w:r>
        <w:rPr>
          <w:rFonts w:ascii="Times New Roman" w:cs="Times New Roman" w:eastAsia="Times New Roman" w:hAnsi="Times New Roman"/>
          <w:sz w:val="22"/>
          <w:szCs w:val="22"/>
          <w:color w:val="auto"/>
        </w:rPr>
        <w:t>”), Barclays Bank PLC (“</w:t>
      </w:r>
      <w:r>
        <w:rPr>
          <w:rFonts w:ascii="Times New Roman" w:cs="Times New Roman" w:eastAsia="Times New Roman" w:hAnsi="Times New Roman"/>
          <w:sz w:val="22"/>
          <w:szCs w:val="22"/>
          <w:i w:val="1"/>
          <w:iCs w:val="1"/>
          <w:color w:val="auto"/>
        </w:rPr>
        <w:t>Barclays</w:t>
      </w:r>
      <w:r>
        <w:rPr>
          <w:rFonts w:ascii="Times New Roman" w:cs="Times New Roman" w:eastAsia="Times New Roman" w:hAnsi="Times New Roman"/>
          <w:sz w:val="22"/>
          <w:szCs w:val="22"/>
          <w:color w:val="auto"/>
        </w:rPr>
        <w:t>”), Credit Suisse Securities (USA) LLC (“</w:t>
      </w:r>
      <w:r>
        <w:rPr>
          <w:rFonts w:ascii="Times New Roman" w:cs="Times New Roman" w:eastAsia="Times New Roman" w:hAnsi="Times New Roman"/>
          <w:sz w:val="22"/>
          <w:szCs w:val="22"/>
          <w:i w:val="1"/>
          <w:iCs w:val="1"/>
          <w:color w:val="auto"/>
        </w:rPr>
        <w:t>CS Securities</w:t>
      </w:r>
      <w:r>
        <w:rPr>
          <w:rFonts w:ascii="Times New Roman" w:cs="Times New Roman" w:eastAsia="Times New Roman" w:hAnsi="Times New Roman"/>
          <w:sz w:val="22"/>
          <w:szCs w:val="22"/>
          <w:color w:val="auto"/>
        </w:rPr>
        <w:t>”), Deutsche Bank Securities Inc. (“</w:t>
      </w:r>
      <w:r>
        <w:rPr>
          <w:rFonts w:ascii="Times New Roman" w:cs="Times New Roman" w:eastAsia="Times New Roman" w:hAnsi="Times New Roman"/>
          <w:sz w:val="22"/>
          <w:szCs w:val="22"/>
          <w:i w:val="1"/>
          <w:iCs w:val="1"/>
          <w:color w:val="auto"/>
        </w:rPr>
        <w:t>DBSI</w:t>
      </w:r>
      <w:r>
        <w:rPr>
          <w:rFonts w:ascii="Times New Roman" w:cs="Times New Roman" w:eastAsia="Times New Roman" w:hAnsi="Times New Roman"/>
          <w:sz w:val="22"/>
          <w:szCs w:val="22"/>
          <w:color w:val="auto"/>
        </w:rPr>
        <w:t>”), Goldman Sachs Lending Partners LLC (“</w:t>
      </w:r>
      <w:r>
        <w:rPr>
          <w:rFonts w:ascii="Times New Roman" w:cs="Times New Roman" w:eastAsia="Times New Roman" w:hAnsi="Times New Roman"/>
          <w:sz w:val="22"/>
          <w:szCs w:val="22"/>
          <w:i w:val="1"/>
          <w:iCs w:val="1"/>
          <w:color w:val="auto"/>
        </w:rPr>
        <w:t>GSLP</w:t>
      </w:r>
      <w:r>
        <w:rPr>
          <w:rFonts w:ascii="Times New Roman" w:cs="Times New Roman" w:eastAsia="Times New Roman" w:hAnsi="Times New Roman"/>
          <w:sz w:val="22"/>
          <w:szCs w:val="22"/>
          <w:color w:val="auto"/>
        </w:rPr>
        <w:t>”), Industrial and Commercial Bank of China Limited, New York Branch (“</w:t>
      </w:r>
      <w:r>
        <w:rPr>
          <w:rFonts w:ascii="Times New Roman" w:cs="Times New Roman" w:eastAsia="Times New Roman" w:hAnsi="Times New Roman"/>
          <w:sz w:val="22"/>
          <w:szCs w:val="22"/>
          <w:i w:val="1"/>
          <w:iCs w:val="1"/>
          <w:color w:val="auto"/>
        </w:rPr>
        <w:t>ICBC</w:t>
      </w:r>
      <w:r>
        <w:rPr>
          <w:rFonts w:ascii="Times New Roman" w:cs="Times New Roman" w:eastAsia="Times New Roman" w:hAnsi="Times New Roman"/>
          <w:sz w:val="22"/>
          <w:szCs w:val="22"/>
          <w:color w:val="auto"/>
        </w:rPr>
        <w:t>”), JPMorgan Chase Bank, N.A. (“</w:t>
      </w:r>
      <w:r>
        <w:rPr>
          <w:rFonts w:ascii="Times New Roman" w:cs="Times New Roman" w:eastAsia="Times New Roman" w:hAnsi="Times New Roman"/>
          <w:sz w:val="22"/>
          <w:szCs w:val="22"/>
          <w:i w:val="1"/>
          <w:iCs w:val="1"/>
          <w:color w:val="auto"/>
        </w:rPr>
        <w:t>JPMCB</w:t>
      </w:r>
      <w:r>
        <w:rPr>
          <w:rFonts w:ascii="Times New Roman" w:cs="Times New Roman" w:eastAsia="Times New Roman" w:hAnsi="Times New Roman"/>
          <w:sz w:val="22"/>
          <w:szCs w:val="22"/>
          <w:color w:val="auto"/>
        </w:rPr>
        <w:t>”), Merrill Lynch, Pierce, Fenner &amp; Smith Incorporated (“</w:t>
      </w:r>
      <w:r>
        <w:rPr>
          <w:rFonts w:ascii="Times New Roman" w:cs="Times New Roman" w:eastAsia="Times New Roman" w:hAnsi="Times New Roman"/>
          <w:sz w:val="22"/>
          <w:szCs w:val="22"/>
          <w:i w:val="1"/>
          <w:iCs w:val="1"/>
          <w:color w:val="auto"/>
        </w:rPr>
        <w:t>ML</w:t>
      </w:r>
      <w:r>
        <w:rPr>
          <w:rFonts w:ascii="Times New Roman" w:cs="Times New Roman" w:eastAsia="Times New Roman" w:hAnsi="Times New Roman"/>
          <w:sz w:val="22"/>
          <w:szCs w:val="22"/>
          <w:color w:val="auto"/>
        </w:rPr>
        <w:t>”), Morgan Stanley Senior Funding, Inc. (“</w:t>
      </w:r>
      <w:r>
        <w:rPr>
          <w:rFonts w:ascii="Times New Roman" w:cs="Times New Roman" w:eastAsia="Times New Roman" w:hAnsi="Times New Roman"/>
          <w:sz w:val="22"/>
          <w:szCs w:val="22"/>
          <w:i w:val="1"/>
          <w:iCs w:val="1"/>
          <w:color w:val="auto"/>
        </w:rPr>
        <w:t>MS</w:t>
      </w:r>
      <w:r>
        <w:rPr>
          <w:rFonts w:ascii="Times New Roman" w:cs="Times New Roman" w:eastAsia="Times New Roman" w:hAnsi="Times New Roman"/>
          <w:sz w:val="22"/>
          <w:szCs w:val="22"/>
          <w:color w:val="auto"/>
        </w:rPr>
        <w:t>”), Sumitomo Mitsui Banking Corporation (“</w:t>
      </w:r>
      <w:r>
        <w:rPr>
          <w:rFonts w:ascii="Times New Roman" w:cs="Times New Roman" w:eastAsia="Times New Roman" w:hAnsi="Times New Roman"/>
          <w:sz w:val="22"/>
          <w:szCs w:val="22"/>
          <w:i w:val="1"/>
          <w:iCs w:val="1"/>
          <w:color w:val="auto"/>
        </w:rPr>
        <w:t>SMBC</w:t>
      </w:r>
      <w:r>
        <w:rPr>
          <w:rFonts w:ascii="Times New Roman" w:cs="Times New Roman" w:eastAsia="Times New Roman" w:hAnsi="Times New Roman"/>
          <w:sz w:val="22"/>
          <w:szCs w:val="22"/>
          <w:color w:val="auto"/>
        </w:rPr>
        <w:t>”), BNP Paribas Securities Corp. (“</w:t>
      </w:r>
      <w:r>
        <w:rPr>
          <w:rFonts w:ascii="Times New Roman" w:cs="Times New Roman" w:eastAsia="Times New Roman" w:hAnsi="Times New Roman"/>
          <w:sz w:val="22"/>
          <w:szCs w:val="22"/>
          <w:i w:val="1"/>
          <w:iCs w:val="1"/>
          <w:color w:val="auto"/>
        </w:rPr>
        <w:t>BNP Securities</w:t>
      </w:r>
      <w:r>
        <w:rPr>
          <w:rFonts w:ascii="Times New Roman" w:cs="Times New Roman" w:eastAsia="Times New Roman" w:hAnsi="Times New Roman"/>
          <w:sz w:val="22"/>
          <w:szCs w:val="22"/>
          <w:color w:val="auto"/>
        </w:rPr>
        <w:t>”), Credit Agricole Corporate and Investment Bank (“</w:t>
      </w:r>
      <w:r>
        <w:rPr>
          <w:rFonts w:ascii="Times New Roman" w:cs="Times New Roman" w:eastAsia="Times New Roman" w:hAnsi="Times New Roman"/>
          <w:sz w:val="22"/>
          <w:szCs w:val="22"/>
          <w:i w:val="1"/>
          <w:iCs w:val="1"/>
          <w:color w:val="auto"/>
        </w:rPr>
        <w:t>CA-CIB</w:t>
      </w:r>
      <w:r>
        <w:rPr>
          <w:rFonts w:ascii="Times New Roman" w:cs="Times New Roman" w:eastAsia="Times New Roman" w:hAnsi="Times New Roman"/>
          <w:sz w:val="22"/>
          <w:szCs w:val="22"/>
          <w:color w:val="auto"/>
        </w:rPr>
        <w:t>”), HSBC, MUFG, Standard Chartered Bank (“</w:t>
      </w:r>
      <w:r>
        <w:rPr>
          <w:rFonts w:ascii="Times New Roman" w:cs="Times New Roman" w:eastAsia="Times New Roman" w:hAnsi="Times New Roman"/>
          <w:sz w:val="22"/>
          <w:szCs w:val="22"/>
          <w:i w:val="1"/>
          <w:iCs w:val="1"/>
          <w:color w:val="auto"/>
        </w:rPr>
        <w:t>SCB</w:t>
      </w:r>
      <w:r>
        <w:rPr>
          <w:rFonts w:ascii="Times New Roman" w:cs="Times New Roman" w:eastAsia="Times New Roman" w:hAnsi="Times New Roman"/>
          <w:sz w:val="22"/>
          <w:szCs w:val="22"/>
          <w:color w:val="auto"/>
        </w:rPr>
        <w:t>”), U.S. Bank National Association (“</w:t>
      </w:r>
      <w:r>
        <w:rPr>
          <w:rFonts w:ascii="Times New Roman" w:cs="Times New Roman" w:eastAsia="Times New Roman" w:hAnsi="Times New Roman"/>
          <w:sz w:val="22"/>
          <w:szCs w:val="22"/>
          <w:i w:val="1"/>
          <w:iCs w:val="1"/>
          <w:color w:val="auto"/>
        </w:rPr>
        <w:t>US Bank</w:t>
      </w:r>
      <w:r>
        <w:rPr>
          <w:rFonts w:ascii="Times New Roman" w:cs="Times New Roman" w:eastAsia="Times New Roman" w:hAnsi="Times New Roman"/>
          <w:sz w:val="22"/>
          <w:szCs w:val="22"/>
          <w:color w:val="auto"/>
        </w:rPr>
        <w:t>”), and BoT shall be designated as, and perform the roles associated with, a joint lead arranger and bookrunner;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firstLine="1302"/>
        <w:spacing w:after="0" w:line="270" w:lineRule="auto"/>
        <w:tabs>
          <w:tab w:leader="none" w:pos="161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Citi, Barclays, CS Securities, DBSI, GSLP, ICBC, JPMCB, Bank of America, N.A., MS and SMBC shall be designated as, and perform the roles associated with, a syndication agent; and</w:t>
      </w:r>
    </w:p>
    <w:p>
      <w:pPr>
        <w:spacing w:after="0" w:line="158" w:lineRule="exact"/>
        <w:rPr>
          <w:rFonts w:ascii="Times New Roman" w:cs="Times New Roman" w:eastAsia="Times New Roman" w:hAnsi="Times New Roman"/>
          <w:sz w:val="22"/>
          <w:szCs w:val="22"/>
          <w:color w:val="auto"/>
        </w:rPr>
      </w:pPr>
    </w:p>
    <w:p>
      <w:pPr>
        <w:ind w:firstLine="1302"/>
        <w:spacing w:after="0" w:line="283" w:lineRule="auto"/>
        <w:tabs>
          <w:tab w:leader="none" w:pos="158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BNP Securities, CA-CIB, HSBC, MUFG, SCB, US Bank, and BoT shall be designated as, and perform the roles associated with, a documentation agent.</w:t>
      </w:r>
    </w:p>
    <w:p>
      <w:pPr>
        <w:spacing w:after="0" w:line="145" w:lineRule="exact"/>
        <w:rPr>
          <w:sz w:val="20"/>
          <w:szCs w:val="20"/>
          <w:color w:val="auto"/>
        </w:rPr>
      </w:pPr>
    </w:p>
    <w:p>
      <w:pPr>
        <w:jc w:val="both"/>
        <w:ind w:firstLine="1295"/>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FOUR - Conditions to Effectiveness</w:t>
      </w:r>
      <w:r>
        <w:rPr>
          <w:rFonts w:ascii="Times New Roman" w:cs="Times New Roman" w:eastAsia="Times New Roman" w:hAnsi="Times New Roman"/>
          <w:sz w:val="22"/>
          <w:szCs w:val="22"/>
          <w:color w:val="auto"/>
        </w:rPr>
        <w:t>. The provisions of Sections One and Two of this Sixth Amendment shall become effective on the date (the “</w:t>
      </w:r>
      <w:r>
        <w:rPr>
          <w:rFonts w:ascii="Times New Roman" w:cs="Times New Roman" w:eastAsia="Times New Roman" w:hAnsi="Times New Roman"/>
          <w:sz w:val="22"/>
          <w:szCs w:val="22"/>
          <w:i w:val="1"/>
          <w:iCs w:val="1"/>
          <w:color w:val="auto"/>
        </w:rPr>
        <w:t>Sixth Amendment Effective Date</w:t>
      </w:r>
      <w:r>
        <w:rPr>
          <w:rFonts w:ascii="Times New Roman" w:cs="Times New Roman" w:eastAsia="Times New Roman" w:hAnsi="Times New Roman"/>
          <w:sz w:val="22"/>
          <w:szCs w:val="22"/>
          <w:color w:val="auto"/>
        </w:rPr>
        <w:t>”) when each of the following conditions specified below shall have been satisfied:</w:t>
      </w:r>
    </w:p>
    <w:p>
      <w:pPr>
        <w:spacing w:after="0" w:line="175" w:lineRule="exact"/>
        <w:rPr>
          <w:sz w:val="20"/>
          <w:szCs w:val="20"/>
          <w:color w:val="auto"/>
        </w:rPr>
      </w:pPr>
    </w:p>
    <w:p>
      <w:pPr>
        <w:jc w:val="both"/>
        <w:ind w:firstLine="1302"/>
        <w:spacing w:after="0" w:line="249" w:lineRule="auto"/>
        <w:tabs>
          <w:tab w:leader="none" w:pos="161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the Guarantor, the Administrative Agent, each Issuing Lender, each Consenting Revolving Lender and each New Revolving Lender shall have signed a counterpart hereof (whether the same or different counterparts) and the Borrower and the Collateral Agent shall have signed an SGR Security Agreement Supplement in form and substance satisfactory to the Borrower, the Collateral Agent and the Administrative Agent with respect to the Borrower’s scheduled services between any airport in the United States and such other airports in addition to LHR located in the European Union, and in each case shall have delivered the same to Milbank, Tweed, Hadley &amp; McCloy LLP, 28 Liberty Street, New York, NY 10005, attention: Zara Shirazi;</w:t>
      </w:r>
    </w:p>
    <w:p>
      <w:pPr>
        <w:spacing w:after="0" w:line="198" w:lineRule="exact"/>
        <w:rPr>
          <w:rFonts w:ascii="Times New Roman" w:cs="Times New Roman" w:eastAsia="Times New Roman" w:hAnsi="Times New Roman"/>
          <w:sz w:val="22"/>
          <w:szCs w:val="22"/>
          <w:color w:val="auto"/>
        </w:rPr>
      </w:pPr>
    </w:p>
    <w:p>
      <w:pPr>
        <w:jc w:val="both"/>
        <w:ind w:firstLine="1302"/>
        <w:spacing w:after="0" w:line="251" w:lineRule="auto"/>
        <w:tabs>
          <w:tab w:leader="none" w:pos="165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reasonable invoiced out-of-pocket expenses incurred by the Extending Revolving Lenders and the Administrative Agent pursuant to Section 10.04 of the Credit Agreement (including the reasonable and documented fees, charges and disbursements of counsel) and all accrued and unpaid fees (other than the Commitment Fee, which shall be payable in accordance with the Credit Agreement), owing and payable (including any fees agreed to in connection with this Sixth Amendment) shall have been paid to the extent invoiced at least two (2) Business Days prior to the Sixth Amendment Effective Date (or such shorter period as may be agreed by the Borrower);</w:t>
      </w:r>
    </w:p>
    <w:p>
      <w:pPr>
        <w:spacing w:after="0" w:line="178" w:lineRule="exact"/>
        <w:rPr>
          <w:rFonts w:ascii="Times New Roman" w:cs="Times New Roman" w:eastAsia="Times New Roman" w:hAnsi="Times New Roman"/>
          <w:sz w:val="22"/>
          <w:szCs w:val="22"/>
          <w:color w:val="auto"/>
        </w:rPr>
      </w:pPr>
    </w:p>
    <w:p>
      <w:pPr>
        <w:jc w:val="both"/>
        <w:ind w:firstLine="1302"/>
        <w:spacing w:after="0" w:line="256" w:lineRule="auto"/>
        <w:tabs>
          <w:tab w:leader="none" w:pos="1579"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(or caused to be paid), for the account of each Extending Revolving Lender, a one time, non-refundable fee equal to the amount set forth in that certain Extending Revolving Lenders’ fee letter, among the Extending Revolving Lenders and the Borrower, dated as of the Sixth Amendment Effective Date;</w:t>
      </w:r>
    </w:p>
    <w:p>
      <w:pPr>
        <w:spacing w:after="0" w:line="174" w:lineRule="exact"/>
        <w:rPr>
          <w:rFonts w:ascii="Times New Roman" w:cs="Times New Roman" w:eastAsia="Times New Roman" w:hAnsi="Times New Roman"/>
          <w:sz w:val="22"/>
          <w:szCs w:val="22"/>
          <w:color w:val="auto"/>
        </w:rPr>
      </w:pPr>
    </w:p>
    <w:p>
      <w:pPr>
        <w:jc w:val="both"/>
        <w:ind w:firstLine="1302"/>
        <w:spacing w:after="0" w:line="263" w:lineRule="auto"/>
        <w:tabs>
          <w:tab w:leader="none" w:pos="160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customary written opinion of Latham &amp; Watkins LLP, special counsel for Parent, the Borrower and the Guarantor addressed to the Administrative Agent and the Extending Revolving Lenders party hereto, and dated the Sixth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220" w:firstLine="1302"/>
        <w:spacing w:after="0" w:line="256" w:lineRule="auto"/>
        <w:tabs>
          <w:tab w:leader="none" w:pos="139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to the Administrative Agent (for the account of the Consenting Revolving Lenders) all fees and interest accrued pursuant to Sections 2.07, 2.15, 2.16 and 2.21 of the Credit Agreement in respect of the Revolving Facility to, and including, the Sixth Amendment Effective Date, whether or not then due and payable under the terms of the Credit Agreement;</w:t>
      </w:r>
    </w:p>
    <w:p>
      <w:pPr>
        <w:spacing w:after="0" w:line="174" w:lineRule="exact"/>
        <w:rPr>
          <w:rFonts w:ascii="Times New Roman" w:cs="Times New Roman" w:eastAsia="Times New Roman" w:hAnsi="Times New Roman"/>
          <w:sz w:val="22"/>
          <w:szCs w:val="22"/>
          <w:color w:val="auto"/>
        </w:rPr>
      </w:pPr>
    </w:p>
    <w:p>
      <w:pPr>
        <w:jc w:val="both"/>
        <w:ind w:left="-220" w:firstLine="1302"/>
        <w:spacing w:after="0" w:line="294" w:lineRule="auto"/>
        <w:tabs>
          <w:tab w:leader="none" w:pos="133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condition to the Revolving Extension effected pursuant to this Sixth Amendment set forth in Section 2.28(b) and 2.28(c) of the Credit Agreement shall have been satisfied and the conditions to the establishment of the New Revolving Commitments pursuant to this Sixth Amendment set forth in Section 2.27(b) of the Credit Agreement shall have been satisfied;</w:t>
      </w:r>
    </w:p>
    <w:p>
      <w:pPr>
        <w:spacing w:after="0" w:line="139" w:lineRule="exact"/>
        <w:rPr>
          <w:rFonts w:ascii="Times New Roman" w:cs="Times New Roman" w:eastAsia="Times New Roman" w:hAnsi="Times New Roman"/>
          <w:sz w:val="20"/>
          <w:szCs w:val="20"/>
          <w:color w:val="auto"/>
        </w:rPr>
      </w:pPr>
    </w:p>
    <w:p>
      <w:pPr>
        <w:jc w:val="both"/>
        <w:ind w:left="-220" w:firstLine="1302"/>
        <w:spacing w:after="0" w:line="248" w:lineRule="auto"/>
        <w:tabs>
          <w:tab w:leader="none" w:pos="138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certificate of the Secretary or Assistant Secretary (or similar Responsible Officer), dated the Sixth Amendment Effective Date (i) certifying as to the incumbency and specimen signature of each Responsible Officer of the Borrower and the Guarantor executing this Sixth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Times New Roman" w:cs="Times New Roman" w:eastAsia="Times New Roman" w:hAnsi="Times New Roman"/>
          <w:sz w:val="22"/>
          <w:szCs w:val="22"/>
          <w:u w:val="single" w:color="auto"/>
          <w:color w:val="auto"/>
        </w:rPr>
        <w:t>clause (g)</w:t>
      </w:r>
      <w:r>
        <w:rPr>
          <w:rFonts w:ascii="Times New Roman" w:cs="Times New Roman" w:eastAsia="Times New Roman" w:hAnsi="Times New Roman"/>
          <w:sz w:val="22"/>
          <w:szCs w:val="22"/>
          <w:color w:val="auto"/>
        </w:rPr>
        <w:t>),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Sixth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185" w:lineRule="exact"/>
        <w:rPr>
          <w:rFonts w:ascii="Times New Roman" w:cs="Times New Roman" w:eastAsia="Times New Roman" w:hAnsi="Times New Roman"/>
          <w:sz w:val="22"/>
          <w:szCs w:val="22"/>
          <w:color w:val="auto"/>
        </w:rPr>
      </w:pPr>
    </w:p>
    <w:p>
      <w:pPr>
        <w:jc w:val="both"/>
        <w:ind w:left="-220" w:firstLine="1302"/>
        <w:spacing w:after="0" w:line="253" w:lineRule="auto"/>
        <w:tabs>
          <w:tab w:leader="none" w:pos="137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evidence that the Fifth Amendment to that certain Amended and Restated Credit and Guaranty Agreement dated the date hereof,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xml:space="preserve">, the Borrower and Deutsche Bank AG New York Branch as administrative agent and the Fourth Amendment to that certain Credit and Guaranty Agreement, dated as of the date hereof,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the Borrower and Barclays Bank PLC as administrative agent have, or will contemporaneously with the Sixth Amendment Effective Date, become effective; and</w:t>
      </w:r>
    </w:p>
    <w:p>
      <w:pPr>
        <w:spacing w:after="0" w:line="176" w:lineRule="exact"/>
        <w:rPr>
          <w:rFonts w:ascii="Times New Roman" w:cs="Times New Roman" w:eastAsia="Times New Roman" w:hAnsi="Times New Roman"/>
          <w:sz w:val="22"/>
          <w:szCs w:val="22"/>
          <w:color w:val="auto"/>
        </w:rPr>
      </w:pPr>
    </w:p>
    <w:p>
      <w:pPr>
        <w:jc w:val="both"/>
        <w:ind w:left="-220" w:firstLine="1302"/>
        <w:spacing w:after="0" w:line="256" w:lineRule="auto"/>
        <w:tabs>
          <w:tab w:leader="none" w:pos="135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 or, in the case of any such representation and warranty that relates to a specified date,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20"/>
          </w:cols>
          <w:pgMar w:left="540" w:top="1440" w:right="339" w:bottom="1440" w:gutter="0" w:footer="0" w:header="0"/>
        </w:sectPr>
      </w:pPr>
    </w:p>
    <w:bookmarkStart w:id="212" w:name="page213"/>
    <w:bookmarkEnd w:id="212"/>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though made as of such date; provided,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provided, further, that for purposes of this clause (i), the representations and warranties contained in (i) Section 3.04(a) of the Credit Agreement shall be deemed to refer to Parent’s Annual Report on Form 10-K for 2017 filed with the SEC (as amended) and all Quarterly Reports on Form 10-Q or Current Reports on Form 8-K that have been filed since December 31, 2017 by Parent with the SEC (as amended) and (ii) Section 3.05(a) of the Credit Agreement shall be deemed to refer to the audited consolidated financial statements of Parent and its Subsidiaries for the fiscal year ended December 31, 2017, included in Parent’s Annual Report on Form 10-K for 2017 filed with the SEC (as amended) and the unaudited consolidated financial statements of Parent and its Subsidiaries for the fiscal quarters ended March 31, 2018, June 30, 2018 and September 30, 2018, and (B) as to the absence of any event occurring and continuing, or resulting from this Sixth Amendment on, the Sixth Amendment Effective Date, that constitutes a Default or Event of Default.</w:t>
      </w:r>
    </w:p>
    <w:p>
      <w:pPr>
        <w:spacing w:after="0" w:line="193" w:lineRule="exact"/>
        <w:rPr>
          <w:sz w:val="20"/>
          <w:szCs w:val="20"/>
          <w:color w:val="auto"/>
        </w:rPr>
      </w:pPr>
    </w:p>
    <w:p>
      <w:pPr>
        <w:jc w:val="both"/>
        <w:ind w:firstLine="1295"/>
        <w:spacing w:after="0" w:line="246" w:lineRule="auto"/>
        <w:rPr>
          <w:sz w:val="20"/>
          <w:szCs w:val="20"/>
          <w:color w:val="auto"/>
        </w:rPr>
      </w:pPr>
      <w:r>
        <w:rPr>
          <w:rFonts w:ascii="Times New Roman" w:cs="Times New Roman" w:eastAsia="Times New Roman" w:hAnsi="Times New Roman"/>
          <w:sz w:val="22"/>
          <w:szCs w:val="22"/>
          <w:u w:val="single" w:color="auto"/>
          <w:color w:val="auto"/>
        </w:rPr>
        <w:t>SECTION FIVE - No Default; Representations and Warranties</w:t>
      </w:r>
      <w:r>
        <w:rPr>
          <w:rFonts w:ascii="Times New Roman" w:cs="Times New Roman" w:eastAsia="Times New Roman" w:hAnsi="Times New Roman"/>
          <w:sz w:val="22"/>
          <w:szCs w:val="22"/>
          <w:color w:val="auto"/>
        </w:rPr>
        <w:t xml:space="preserve">. In order to induce the Extending Revolving Lenders and the Administrative Agent to enter into this Sixth Amendment, the Borrower represents and warrants to each of the Extending Revolving Lenders and the Administrative Agent that, on and as of the date hereof after giving effect to this Sixth Amendment, (i) no Default or Event of Default has occurred and is continuing or would result from giving effect to this Sixth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for purposes of this Section Five, the representations and warranties contained in (i) Section 3.04(a) of the Credit Agreement shall be deemed to refer to Parent’s Annual Report on Form 10-K for 2017 filed with the SEC (as amended) and all Quarterly Reports on Form 10-Q or Current Reports on Form 8-K that have been filed since December 31, 2017 by Parent with the SEC (as amended) and (ii) Section 3.05(a) of the Credit Agreement shall be deemed to refer to the audited consolidated financial statements of Parent and its Subsidiaries for the fiscal year ended December 31, 2017, included in Parent’s Annual Report on Form 10-K for 2017 filed with the SEC (as amended) and the unaudited consolidated financial statements of Parent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Subsidiaries for the fiscal quarters ended March 31, 2018, June 30, 2018 and September 30, 2018.</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80" w:firstLine="1294"/>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SIX - Confirmation</w:t>
      </w:r>
      <w:r>
        <w:rPr>
          <w:rFonts w:ascii="Times New Roman" w:cs="Times New Roman" w:eastAsia="Times New Roman" w:hAnsi="Times New Roman"/>
          <w:sz w:val="22"/>
          <w:szCs w:val="22"/>
          <w:color w:val="auto"/>
        </w:rPr>
        <w:t>.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Revolving Commitments (as increased and extended pursuant to this Sixth Amendment) and all obligations of the Guarantor with respect of the guarantee of such obligations, respectively, and (ii) reaffirm the grant of Liens on the Collateral to secure the Obligations (as extended and increased pursuant to this Sixth Amendment) pursuant to the Collateral Documents.</w:t>
      </w:r>
    </w:p>
    <w:p>
      <w:pPr>
        <w:spacing w:after="0" w:line="199" w:lineRule="exact"/>
        <w:rPr>
          <w:sz w:val="20"/>
          <w:szCs w:val="20"/>
          <w:color w:val="auto"/>
        </w:rPr>
      </w:pPr>
    </w:p>
    <w:p>
      <w:pPr>
        <w:jc w:val="both"/>
        <w:ind w:left="80" w:firstLine="1294"/>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SEVEN - Reference to and Effect on the Credit Agreement</w:t>
      </w:r>
      <w:r>
        <w:rPr>
          <w:rFonts w:ascii="Times New Roman" w:cs="Times New Roman" w:eastAsia="Times New Roman" w:hAnsi="Times New Roman"/>
          <w:sz w:val="22"/>
          <w:szCs w:val="22"/>
          <w:color w:val="auto"/>
        </w:rPr>
        <w:t>. On and after the Sixth Amendment Effective Date, each reference in the Credit Agreement to “this Agreement,” “hereunder,” “hereof” or words of like import referring to the Credit Agreement, shall mean and be a reference to the Credit Agreement as amended by this Sixth Amendment. The Credit Agreement and each of the other Loan Documents, as specifically amended by this Sixth Amendment, are and shall continue to be in full force and effect and are hereby in all respects ratified and confirmed. This Sixth Amendment shall be deemed to be a “Loan Document” for all purposes of the Credit Agreement (as amended hereby) and the other Loan Documents. The execution, delivery and effectiveness of this Sixth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182" w:lineRule="exact"/>
        <w:rPr>
          <w:sz w:val="20"/>
          <w:szCs w:val="20"/>
          <w:color w:val="auto"/>
        </w:rPr>
      </w:pPr>
    </w:p>
    <w:p>
      <w:pPr>
        <w:jc w:val="both"/>
        <w:ind w:left="80" w:firstLine="1294"/>
        <w:spacing w:after="0" w:line="284" w:lineRule="auto"/>
        <w:rPr>
          <w:sz w:val="20"/>
          <w:szCs w:val="20"/>
          <w:color w:val="auto"/>
        </w:rPr>
      </w:pPr>
      <w:r>
        <w:rPr>
          <w:rFonts w:ascii="Times New Roman" w:cs="Times New Roman" w:eastAsia="Times New Roman" w:hAnsi="Times New Roman"/>
          <w:sz w:val="20"/>
          <w:szCs w:val="20"/>
          <w:u w:val="single" w:color="auto"/>
          <w:color w:val="auto"/>
        </w:rPr>
        <w:t>SECTION EIGHT - Execution in Counterparts</w:t>
      </w:r>
      <w:r>
        <w:rPr>
          <w:rFonts w:ascii="Times New Roman" w:cs="Times New Roman" w:eastAsia="Times New Roman" w:hAnsi="Times New Roman"/>
          <w:sz w:val="20"/>
          <w:szCs w:val="20"/>
          <w:color w:val="auto"/>
        </w:rPr>
        <w:t>. This Sixth Amendment may be executed in counterparts (and by different parties hereto on different counterparts), each of which shall constitute an original, but all of which when taken together shall constitute a single contract. This Sixth Amendment shall be binding upon and inure to the benefit of the parties hereto and their respective successors and assigns. Delivery of an executed counterpart of a signature page of this Sixth Amendment by facsimile or electronic .pdf copy shall be effective as delivery of a manually executed counterpart of this Sixth Amendment.</w:t>
      </w:r>
    </w:p>
    <w:p>
      <w:pPr>
        <w:spacing w:after="0" w:line="150" w:lineRule="exact"/>
        <w:rPr>
          <w:sz w:val="20"/>
          <w:szCs w:val="20"/>
          <w:color w:val="auto"/>
        </w:rPr>
      </w:pPr>
    </w:p>
    <w:p>
      <w:pPr>
        <w:jc w:val="both"/>
        <w:ind w:left="80" w:firstLine="1294"/>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NINE - Governing Law</w:t>
      </w:r>
      <w:r>
        <w:rPr>
          <w:rFonts w:ascii="Times New Roman" w:cs="Times New Roman" w:eastAsia="Times New Roman" w:hAnsi="Times New Roman"/>
          <w:sz w:val="22"/>
          <w:szCs w:val="22"/>
          <w:color w:val="auto"/>
        </w:rPr>
        <w:t>. THIS SIXTH AMENDMENT AND THE RIGHTS AND OBLIGATIONS OF THE PARTIES UNDER THIS SIXTH AMENDMENT SHALL BE GOVERNED BY, AND CONSTRUED AND INTERPRETED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80" w:firstLine="1294"/>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TEN - Miscellaneous</w:t>
      </w:r>
      <w:r>
        <w:rPr>
          <w:rFonts w:ascii="Times New Roman" w:cs="Times New Roman" w:eastAsia="Times New Roman" w:hAnsi="Times New Roman"/>
          <w:sz w:val="22"/>
          <w:szCs w:val="22"/>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1302"/>
        <w:spacing w:after="0" w:line="252" w:lineRule="auto"/>
        <w:tabs>
          <w:tab w:leader="none" w:pos="16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withholding Taxes imposed under FATCA, from and after the effective date of this Sixth Amendment, the Borrower and the Administrative Agent shall treat (and the Lenders party hereto hereby authorize the Administrative Agent to treat) the Revolving Facility as not qualifying as a “grandfathered obligation” within the meaning of Treasury Regulation Section 1.1471-2(b)(2)(i).</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THIS PAGE IS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215" w:name="page216"/>
    <w:bookmarkEnd w:id="215"/>
    <w:p>
      <w:pPr>
        <w:ind w:firstLine="1295"/>
        <w:spacing w:after="0" w:line="309" w:lineRule="auto"/>
        <w:rPr>
          <w:sz w:val="20"/>
          <w:szCs w:val="20"/>
          <w:color w:val="auto"/>
        </w:rPr>
      </w:pPr>
      <w:r>
        <w:rPr>
          <w:rFonts w:ascii="Times New Roman" w:cs="Times New Roman" w:eastAsia="Times New Roman" w:hAnsi="Times New Roman"/>
          <w:sz w:val="22"/>
          <w:szCs w:val="22"/>
          <w:color w:val="auto"/>
        </w:rPr>
        <w:t>IN WITNESS WHEREOF, the parties hereto have caused this Sixth Amendment to be duly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AMERICAN AIRLINES, INC., as the Borrower</w:t>
      </w:r>
    </w:p>
    <w:p>
      <w:pPr>
        <w:spacing w:after="0" w:line="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T. Weir</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Thomas T. Weir</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AMERICAN AIRLINES GROUP INC., as Parent and Guarantor</w:t>
      </w:r>
    </w:p>
    <w:p>
      <w:pPr>
        <w:spacing w:after="0" w:line="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T. Weir</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Thomas T. Weir</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Sixth Amendment to Amended and Restated Credit and Guaranty Agreement (LHR)</w:t>
      </w:r>
    </w:p>
    <w:p>
      <w:pPr>
        <w:sectPr>
          <w:pgSz w:w="11900" w:h="16838" w:orient="portrait"/>
          <w:cols w:equalWidth="0" w:num="1">
            <w:col w:w="11220"/>
          </w:cols>
          <w:pgMar w:left="320" w:top="1434" w:right="359" w:bottom="1440" w:gutter="0" w:footer="0" w:header="0"/>
        </w:sectPr>
      </w:pPr>
    </w:p>
    <w:bookmarkStart w:id="216" w:name="page217"/>
    <w:bookmarkEnd w:id="216"/>
    <w:p>
      <w:pPr>
        <w:ind w:left="3720"/>
        <w:spacing w:after="0"/>
        <w:rPr>
          <w:sz w:val="20"/>
          <w:szCs w:val="20"/>
          <w:color w:val="auto"/>
        </w:rPr>
      </w:pPr>
      <w:r>
        <w:rPr>
          <w:rFonts w:ascii="Times New Roman" w:cs="Times New Roman" w:eastAsia="Times New Roman" w:hAnsi="Times New Roman"/>
          <w:sz w:val="22"/>
          <w:szCs w:val="22"/>
          <w:color w:val="auto"/>
        </w:rPr>
        <w:t>CITIBANK N.A.,</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S. Burke</w:t>
      </w:r>
    </w:p>
    <w:p>
      <w:pPr>
        <w:spacing w:after="0" w:line="5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Name: Matthew S. Burke</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Sixth Amendment to Amended and Restated Credit and Guaranty Agreement (LHR)</w:t>
      </w:r>
    </w:p>
    <w:p>
      <w:pPr>
        <w:sectPr>
          <w:pgSz w:w="11900" w:h="16838" w:orient="portrait"/>
          <w:cols w:equalWidth="0" w:num="1">
            <w:col w:w="9959"/>
          </w:cols>
          <w:pgMar w:left="500" w:top="1434" w:right="1440" w:bottom="1440" w:gutter="0" w:footer="0" w:header="0"/>
        </w:sectPr>
      </w:pPr>
    </w:p>
    <w:bookmarkStart w:id="217" w:name="page218"/>
    <w:bookmarkEnd w:id="217"/>
    <w:tbl>
      <w:tblPr>
        <w:tblLayout w:type="fixed"/>
        <w:tblInd w:w="10" w:type="dxa"/>
        <w:tblCellMar>
          <w:top w:w="0" w:type="dxa"/>
          <w:left w:w="0" w:type="dxa"/>
          <w:bottom w:w="0" w:type="dxa"/>
          <w:right w:w="0" w:type="dxa"/>
        </w:tblCellMar>
      </w:tblPr>
      <w:tr>
        <w:trPr>
          <w:trHeight w:val="288"/>
        </w:trPr>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00" w:type="dxa"/>
            <w:vAlign w:val="bottom"/>
          </w:tcPr>
          <w:p>
            <w:pPr>
              <w:ind w:left="1300"/>
              <w:spacing w:after="0"/>
              <w:rPr>
                <w:sz w:val="20"/>
                <w:szCs w:val="20"/>
                <w:color w:val="auto"/>
              </w:rPr>
            </w:pPr>
            <w:r>
              <w:rPr>
                <w:rFonts w:ascii="Times New Roman" w:cs="Times New Roman" w:eastAsia="Times New Roman" w:hAnsi="Times New Roman"/>
                <w:sz w:val="22"/>
                <w:szCs w:val="22"/>
                <w:b w:val="1"/>
                <w:bCs w:val="1"/>
                <w:i w:val="1"/>
                <w:iCs w:val="1"/>
                <w:color w:val="auto"/>
                <w:w w:val="96"/>
              </w:rPr>
              <w:t>Schedule 1</w:t>
            </w:r>
          </w:p>
        </w:tc>
      </w:tr>
      <w:tr>
        <w:trPr>
          <w:trHeight w:val="244"/>
        </w:trPr>
        <w:tc>
          <w:tcPr>
            <w:tcW w:w="4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3"/>
          </w:tcPr>
          <w:p>
            <w:pPr>
              <w:jc w:val="center"/>
              <w:ind w:left="119"/>
              <w:spacing w:after="0" w:line="244" w:lineRule="exact"/>
              <w:rPr>
                <w:sz w:val="20"/>
                <w:szCs w:val="20"/>
                <w:color w:val="auto"/>
              </w:rPr>
            </w:pPr>
            <w:r>
              <w:rPr>
                <w:rFonts w:ascii="Times New Roman" w:cs="Times New Roman" w:eastAsia="Times New Roman" w:hAnsi="Times New Roman"/>
                <w:sz w:val="22"/>
                <w:szCs w:val="22"/>
                <w:b w:val="1"/>
                <w:bCs w:val="1"/>
                <w:color w:val="auto"/>
                <w:w w:val="98"/>
              </w:rPr>
              <w:t>ANNEX A</w:t>
            </w: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0"/>
        </w:trPr>
        <w:tc>
          <w:tcPr>
            <w:tcW w:w="4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519"/>
        </w:trPr>
        <w:tc>
          <w:tcPr>
            <w:tcW w:w="4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0" w:type="dxa"/>
            <w:vAlign w:val="bottom"/>
            <w:gridSpan w:val="5"/>
          </w:tcPr>
          <w:p>
            <w:pPr>
              <w:jc w:val="center"/>
              <w:ind w:right="1972"/>
              <w:spacing w:after="0"/>
              <w:rPr>
                <w:sz w:val="20"/>
                <w:szCs w:val="20"/>
                <w:color w:val="auto"/>
              </w:rPr>
            </w:pPr>
            <w:r>
              <w:rPr>
                <w:rFonts w:ascii="Times New Roman" w:cs="Times New Roman" w:eastAsia="Times New Roman" w:hAnsi="Times New Roman"/>
                <w:sz w:val="22"/>
                <w:szCs w:val="22"/>
                <w:b w:val="1"/>
                <w:bCs w:val="1"/>
                <w:color w:val="auto"/>
                <w:w w:val="98"/>
              </w:rPr>
              <w:t>Lenders and Commitments</w:t>
            </w:r>
          </w:p>
        </w:tc>
        <w:tc>
          <w:tcPr>
            <w:tcW w:w="2300" w:type="dxa"/>
            <w:vAlign w:val="bottom"/>
          </w:tcPr>
          <w:p>
            <w:pPr>
              <w:spacing w:after="0"/>
              <w:rPr>
                <w:sz w:val="24"/>
                <w:szCs w:val="24"/>
                <w:color w:val="auto"/>
              </w:rPr>
            </w:pPr>
          </w:p>
        </w:tc>
      </w:tr>
      <w:tr>
        <w:trPr>
          <w:trHeight w:val="304"/>
        </w:trPr>
        <w:tc>
          <w:tcPr>
            <w:tcW w:w="4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20" w:type="dxa"/>
            <w:vAlign w:val="bottom"/>
            <w:tcBorders>
              <w:top w:val="single" w:sz="8" w:color="auto"/>
              <w:bottom w:val="single" w:sz="8" w:color="auto"/>
            </w:tcBorders>
            <w:gridSpan w:val="3"/>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r>
        <w:trPr>
          <w:trHeight w:val="196"/>
        </w:trPr>
        <w:tc>
          <w:tcPr>
            <w:tcW w:w="4080" w:type="dxa"/>
            <w:vAlign w:val="bottom"/>
            <w:tcBorders>
              <w:left w:val="single" w:sz="8" w:color="auto"/>
              <w:right w:val="single" w:sz="8" w:color="auto"/>
            </w:tcBorders>
            <w:shd w:val="clear" w:color="auto" w:fill="D9D9D9"/>
          </w:tcPr>
          <w:p>
            <w:pPr>
              <w:ind w:left="40"/>
              <w:spacing w:after="0" w:line="196" w:lineRule="exact"/>
              <w:rPr>
                <w:sz w:val="20"/>
                <w:szCs w:val="20"/>
                <w:color w:val="auto"/>
              </w:rPr>
            </w:pPr>
            <w:r>
              <w:rPr>
                <w:rFonts w:ascii="Times New Roman" w:cs="Times New Roman" w:eastAsia="Times New Roman" w:hAnsi="Times New Roman"/>
                <w:sz w:val="22"/>
                <w:szCs w:val="22"/>
                <w:b w:val="1"/>
                <w:bCs w:val="1"/>
                <w:color w:val="auto"/>
              </w:rPr>
              <w:t>Name of Bank</w:t>
            </w:r>
          </w:p>
        </w:tc>
        <w:tc>
          <w:tcPr>
            <w:tcW w:w="280" w:type="dxa"/>
            <w:vAlign w:val="bottom"/>
            <w:shd w:val="clear" w:color="auto" w:fill="D9D9D9"/>
          </w:tcPr>
          <w:p>
            <w:pPr>
              <w:spacing w:after="0"/>
              <w:rPr>
                <w:sz w:val="17"/>
                <w:szCs w:val="17"/>
                <w:color w:val="auto"/>
              </w:rPr>
            </w:pPr>
          </w:p>
        </w:tc>
        <w:tc>
          <w:tcPr>
            <w:tcW w:w="2320" w:type="dxa"/>
            <w:vAlign w:val="bottom"/>
            <w:tcBorders>
              <w:right w:val="single" w:sz="8" w:color="auto"/>
            </w:tcBorders>
            <w:gridSpan w:val="3"/>
            <w:shd w:val="clear" w:color="auto" w:fill="D9D9D9"/>
          </w:tcPr>
          <w:p>
            <w:pPr>
              <w:jc w:val="center"/>
              <w:ind w:right="280"/>
              <w:spacing w:after="0" w:line="196" w:lineRule="exact"/>
              <w:rPr>
                <w:sz w:val="20"/>
                <w:szCs w:val="20"/>
                <w:color w:val="auto"/>
              </w:rPr>
            </w:pPr>
            <w:r>
              <w:rPr>
                <w:rFonts w:ascii="Times New Roman" w:cs="Times New Roman" w:eastAsia="Times New Roman" w:hAnsi="Times New Roman"/>
                <w:sz w:val="22"/>
                <w:szCs w:val="22"/>
                <w:b w:val="1"/>
                <w:bCs w:val="1"/>
                <w:color w:val="auto"/>
                <w:w w:val="98"/>
              </w:rPr>
              <w:t>Sixth Amendment</w:t>
            </w:r>
          </w:p>
        </w:tc>
        <w:tc>
          <w:tcPr>
            <w:tcW w:w="2280" w:type="dxa"/>
            <w:vAlign w:val="bottom"/>
            <w:tcBorders>
              <w:right w:val="single" w:sz="8" w:color="auto"/>
            </w:tcBorders>
            <w:gridSpan w:val="2"/>
            <w:shd w:val="clear" w:color="auto" w:fill="D9D9D9"/>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w w:val="97"/>
              </w:rPr>
              <w:t>Sixth Amendment Non-</w:t>
            </w:r>
          </w:p>
        </w:tc>
        <w:tc>
          <w:tcPr>
            <w:tcW w:w="2300" w:type="dxa"/>
            <w:vAlign w:val="bottom"/>
            <w:tcBorders>
              <w:right w:val="single" w:sz="8" w:color="auto"/>
            </w:tcBorders>
            <w:shd w:val="clear" w:color="auto" w:fill="D9D9D9"/>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w w:val="97"/>
              </w:rPr>
              <w:t>LC Commitment</w:t>
            </w:r>
          </w:p>
        </w:tc>
      </w:tr>
      <w:tr>
        <w:trPr>
          <w:trHeight w:val="216"/>
        </w:trPr>
        <w:tc>
          <w:tcPr>
            <w:tcW w:w="4080" w:type="dxa"/>
            <w:vAlign w:val="bottom"/>
            <w:tcBorders>
              <w:left w:val="single" w:sz="8" w:color="auto"/>
              <w:right w:val="single" w:sz="8" w:color="auto"/>
            </w:tcBorders>
            <w:shd w:val="clear" w:color="auto" w:fill="D9D9D9"/>
          </w:tcPr>
          <w:p>
            <w:pPr>
              <w:spacing w:after="0"/>
              <w:rPr>
                <w:sz w:val="18"/>
                <w:szCs w:val="18"/>
                <w:color w:val="auto"/>
              </w:rPr>
            </w:pPr>
          </w:p>
        </w:tc>
        <w:tc>
          <w:tcPr>
            <w:tcW w:w="280" w:type="dxa"/>
            <w:vAlign w:val="bottom"/>
            <w:shd w:val="clear" w:color="auto" w:fill="D9D9D9"/>
          </w:tcPr>
          <w:p>
            <w:pPr>
              <w:spacing w:after="0"/>
              <w:rPr>
                <w:sz w:val="18"/>
                <w:szCs w:val="18"/>
                <w:color w:val="auto"/>
              </w:rPr>
            </w:pPr>
          </w:p>
        </w:tc>
        <w:tc>
          <w:tcPr>
            <w:tcW w:w="2320" w:type="dxa"/>
            <w:vAlign w:val="bottom"/>
            <w:tcBorders>
              <w:right w:val="single" w:sz="8" w:color="auto"/>
            </w:tcBorders>
            <w:gridSpan w:val="3"/>
            <w:shd w:val="clear" w:color="auto" w:fill="D9D9D9"/>
          </w:tcPr>
          <w:p>
            <w:pPr>
              <w:jc w:val="center"/>
              <w:ind w:right="300"/>
              <w:spacing w:after="0" w:line="216" w:lineRule="exact"/>
              <w:rPr>
                <w:sz w:val="20"/>
                <w:szCs w:val="20"/>
                <w:color w:val="auto"/>
              </w:rPr>
            </w:pPr>
            <w:r>
              <w:rPr>
                <w:rFonts w:ascii="Times New Roman" w:cs="Times New Roman" w:eastAsia="Times New Roman" w:hAnsi="Times New Roman"/>
                <w:sz w:val="22"/>
                <w:szCs w:val="22"/>
                <w:b w:val="1"/>
                <w:bCs w:val="1"/>
                <w:color w:val="auto"/>
                <w:w w:val="98"/>
              </w:rPr>
              <w:t>Extended Revolving</w:t>
            </w:r>
          </w:p>
        </w:tc>
        <w:tc>
          <w:tcPr>
            <w:tcW w:w="200" w:type="dxa"/>
            <w:vAlign w:val="bottom"/>
            <w:shd w:val="clear" w:color="auto" w:fill="D9D9D9"/>
          </w:tcPr>
          <w:p>
            <w:pPr>
              <w:spacing w:after="0"/>
              <w:rPr>
                <w:sz w:val="18"/>
                <w:szCs w:val="18"/>
                <w:color w:val="auto"/>
              </w:rPr>
            </w:pPr>
          </w:p>
        </w:tc>
        <w:tc>
          <w:tcPr>
            <w:tcW w:w="2080" w:type="dxa"/>
            <w:vAlign w:val="bottom"/>
            <w:tcBorders>
              <w:right w:val="single" w:sz="8" w:color="auto"/>
            </w:tcBorders>
            <w:shd w:val="clear" w:color="auto" w:fill="D9D9D9"/>
          </w:tcPr>
          <w:p>
            <w:pPr>
              <w:jc w:val="center"/>
              <w:ind w:right="112"/>
              <w:spacing w:after="0" w:line="216" w:lineRule="exact"/>
              <w:rPr>
                <w:sz w:val="20"/>
                <w:szCs w:val="20"/>
                <w:color w:val="auto"/>
              </w:rPr>
            </w:pPr>
            <w:r>
              <w:rPr>
                <w:rFonts w:ascii="Times New Roman" w:cs="Times New Roman" w:eastAsia="Times New Roman" w:hAnsi="Times New Roman"/>
                <w:sz w:val="22"/>
                <w:szCs w:val="22"/>
                <w:b w:val="1"/>
                <w:bCs w:val="1"/>
                <w:color w:val="auto"/>
                <w:w w:val="98"/>
              </w:rPr>
              <w:t>Extended Revolving</w:t>
            </w:r>
          </w:p>
        </w:tc>
        <w:tc>
          <w:tcPr>
            <w:tcW w:w="2300" w:type="dxa"/>
            <w:vAlign w:val="bottom"/>
            <w:tcBorders>
              <w:right w:val="single" w:sz="8" w:color="auto"/>
            </w:tcBorders>
            <w:shd w:val="clear" w:color="auto" w:fill="D9D9D9"/>
          </w:tcPr>
          <w:p>
            <w:pPr>
              <w:spacing w:after="0"/>
              <w:rPr>
                <w:sz w:val="18"/>
                <w:szCs w:val="18"/>
                <w:color w:val="auto"/>
              </w:rPr>
            </w:pPr>
          </w:p>
        </w:tc>
      </w:tr>
      <w:tr>
        <w:trPr>
          <w:trHeight w:val="283"/>
        </w:trPr>
        <w:tc>
          <w:tcPr>
            <w:tcW w:w="408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280" w:type="dxa"/>
            <w:vAlign w:val="bottom"/>
            <w:tcBorders>
              <w:bottom w:val="single" w:sz="8" w:color="auto"/>
            </w:tcBorders>
            <w:shd w:val="clear" w:color="auto" w:fill="D9D9D9"/>
          </w:tcPr>
          <w:p>
            <w:pPr>
              <w:spacing w:after="0"/>
              <w:rPr>
                <w:sz w:val="24"/>
                <w:szCs w:val="24"/>
                <w:color w:val="auto"/>
              </w:rPr>
            </w:pPr>
          </w:p>
        </w:tc>
        <w:tc>
          <w:tcPr>
            <w:tcW w:w="2320" w:type="dxa"/>
            <w:vAlign w:val="bottom"/>
            <w:tcBorders>
              <w:bottom w:val="single" w:sz="8" w:color="auto"/>
              <w:right w:val="single" w:sz="8" w:color="auto"/>
            </w:tcBorders>
            <w:gridSpan w:val="3"/>
            <w:shd w:val="clear" w:color="auto" w:fill="D9D9D9"/>
          </w:tcPr>
          <w:p>
            <w:pPr>
              <w:jc w:val="center"/>
              <w:ind w:right="300"/>
              <w:spacing w:after="0"/>
              <w:rPr>
                <w:sz w:val="20"/>
                <w:szCs w:val="20"/>
                <w:color w:val="auto"/>
              </w:rPr>
            </w:pPr>
            <w:r>
              <w:rPr>
                <w:rFonts w:ascii="Times New Roman" w:cs="Times New Roman" w:eastAsia="Times New Roman" w:hAnsi="Times New Roman"/>
                <w:sz w:val="22"/>
                <w:szCs w:val="22"/>
                <w:b w:val="1"/>
                <w:bCs w:val="1"/>
                <w:color w:val="auto"/>
                <w:w w:val="97"/>
              </w:rPr>
              <w:t>Commitment</w:t>
            </w:r>
          </w:p>
        </w:tc>
        <w:tc>
          <w:tcPr>
            <w:tcW w:w="200" w:type="dxa"/>
            <w:vAlign w:val="bottom"/>
            <w:tcBorders>
              <w:bottom w:val="single" w:sz="8" w:color="auto"/>
            </w:tcBorders>
            <w:shd w:val="clear" w:color="auto" w:fill="D9D9D9"/>
          </w:tcPr>
          <w:p>
            <w:pPr>
              <w:spacing w:after="0"/>
              <w:rPr>
                <w:sz w:val="24"/>
                <w:szCs w:val="24"/>
                <w:color w:val="auto"/>
              </w:rPr>
            </w:pPr>
          </w:p>
        </w:tc>
        <w:tc>
          <w:tcPr>
            <w:tcW w:w="2080" w:type="dxa"/>
            <w:vAlign w:val="bottom"/>
            <w:tcBorders>
              <w:bottom w:val="single" w:sz="8" w:color="auto"/>
              <w:right w:val="single" w:sz="8" w:color="auto"/>
            </w:tcBorders>
            <w:shd w:val="clear" w:color="auto" w:fill="D9D9D9"/>
          </w:tcPr>
          <w:p>
            <w:pPr>
              <w:jc w:val="center"/>
              <w:ind w:right="112"/>
              <w:spacing w:after="0"/>
              <w:rPr>
                <w:sz w:val="20"/>
                <w:szCs w:val="20"/>
                <w:color w:val="auto"/>
              </w:rPr>
            </w:pPr>
            <w:r>
              <w:rPr>
                <w:rFonts w:ascii="Times New Roman" w:cs="Times New Roman" w:eastAsia="Times New Roman" w:hAnsi="Times New Roman"/>
                <w:sz w:val="22"/>
                <w:szCs w:val="22"/>
                <w:b w:val="1"/>
                <w:bCs w:val="1"/>
                <w:color w:val="auto"/>
                <w:w w:val="97"/>
              </w:rPr>
              <w:t>Commitment</w:t>
            </w:r>
          </w:p>
        </w:tc>
        <w:tc>
          <w:tcPr>
            <w:tcW w:w="2300" w:type="dxa"/>
            <w:vAlign w:val="bottom"/>
            <w:tcBorders>
              <w:bottom w:val="single" w:sz="8" w:color="auto"/>
              <w:right w:val="single" w:sz="8" w:color="auto"/>
            </w:tcBorders>
            <w:shd w:val="clear" w:color="auto" w:fill="D9D9D9"/>
          </w:tcPr>
          <w:p>
            <w:pPr>
              <w:spacing w:after="0"/>
              <w:rPr>
                <w:sz w:val="24"/>
                <w:szCs w:val="24"/>
                <w:color w:val="auto"/>
              </w:rPr>
            </w:pPr>
          </w:p>
        </w:tc>
      </w:tr>
      <w:tr>
        <w:trPr>
          <w:trHeight w:val="26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Citibank N.A.</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20"/>
                <w:szCs w:val="20"/>
                <w:color w:val="auto"/>
                <w:w w:val="97"/>
              </w:rPr>
              <w:t>[****]</w:t>
            </w:r>
          </w:p>
        </w:tc>
        <w:tc>
          <w:tcPr>
            <w:tcW w:w="56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7"/>
              </w:rPr>
              <w:t>[****]</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$200,000,000</w:t>
            </w:r>
          </w:p>
        </w:tc>
      </w:tr>
      <w:tr>
        <w:trPr>
          <w:trHeight w:val="26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Bank of America, N.A.</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20"/>
                <w:szCs w:val="20"/>
                <w:color w:val="auto"/>
                <w:w w:val="97"/>
              </w:rPr>
              <w:t>[****]</w:t>
            </w:r>
          </w:p>
        </w:tc>
        <w:tc>
          <w:tcPr>
            <w:tcW w:w="56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7"/>
              </w:rPr>
              <w:t>[****]</w:t>
            </w:r>
          </w:p>
        </w:tc>
        <w:tc>
          <w:tcPr>
            <w:tcW w:w="2300" w:type="dxa"/>
            <w:vAlign w:val="bottom"/>
            <w:tcBorders>
              <w:bottom w:val="single" w:sz="8" w:color="auto"/>
              <w:right w:val="single" w:sz="8" w:color="auto"/>
            </w:tcBorders>
          </w:tcPr>
          <w:p>
            <w:pPr>
              <w:spacing w:after="0"/>
              <w:rPr>
                <w:sz w:val="22"/>
                <w:szCs w:val="22"/>
                <w:color w:val="auto"/>
              </w:rPr>
            </w:pPr>
          </w:p>
        </w:tc>
      </w:tr>
      <w:tr>
        <w:trPr>
          <w:trHeight w:val="26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Barclays Bank PLC</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20"/>
                <w:szCs w:val="20"/>
                <w:color w:val="auto"/>
                <w:w w:val="97"/>
              </w:rPr>
              <w:t>[****]</w:t>
            </w:r>
          </w:p>
        </w:tc>
        <w:tc>
          <w:tcPr>
            <w:tcW w:w="56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00" w:type="dxa"/>
            <w:vAlign w:val="bottom"/>
            <w:tcBorders>
              <w:bottom w:val="single" w:sz="8" w:color="auto"/>
              <w:right w:val="single" w:sz="8" w:color="auto"/>
            </w:tcBorders>
          </w:tcPr>
          <w:p>
            <w:pPr>
              <w:spacing w:after="0"/>
              <w:rPr>
                <w:sz w:val="22"/>
                <w:szCs w:val="22"/>
                <w:color w:val="auto"/>
              </w:rPr>
            </w:pPr>
          </w:p>
        </w:tc>
      </w:tr>
      <w:tr>
        <w:trPr>
          <w:trHeight w:val="26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Credit Suisse AG, Cayman Islands Branch</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20"/>
                <w:szCs w:val="20"/>
                <w:color w:val="auto"/>
                <w:w w:val="97"/>
              </w:rPr>
              <w:t>[****]</w:t>
            </w:r>
          </w:p>
        </w:tc>
        <w:tc>
          <w:tcPr>
            <w:tcW w:w="56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00" w:type="dxa"/>
            <w:vAlign w:val="bottom"/>
            <w:tcBorders>
              <w:bottom w:val="single" w:sz="8" w:color="auto"/>
              <w:right w:val="single" w:sz="8" w:color="auto"/>
            </w:tcBorders>
          </w:tcPr>
          <w:p>
            <w:pPr>
              <w:spacing w:after="0"/>
              <w:rPr>
                <w:sz w:val="22"/>
                <w:szCs w:val="22"/>
                <w:color w:val="auto"/>
              </w:rPr>
            </w:pPr>
          </w:p>
        </w:tc>
      </w:tr>
      <w:tr>
        <w:trPr>
          <w:trHeight w:val="26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Deutsche Bank AG New York Branch</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20"/>
                <w:szCs w:val="20"/>
                <w:color w:val="auto"/>
                <w:w w:val="97"/>
              </w:rPr>
              <w:t>[****]</w:t>
            </w:r>
          </w:p>
        </w:tc>
        <w:tc>
          <w:tcPr>
            <w:tcW w:w="56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7"/>
              </w:rPr>
              <w:t>[****]</w:t>
            </w:r>
          </w:p>
        </w:tc>
        <w:tc>
          <w:tcPr>
            <w:tcW w:w="2300" w:type="dxa"/>
            <w:vAlign w:val="bottom"/>
            <w:tcBorders>
              <w:bottom w:val="single" w:sz="8" w:color="auto"/>
              <w:right w:val="single" w:sz="8" w:color="auto"/>
            </w:tcBorders>
          </w:tcPr>
          <w:p>
            <w:pPr>
              <w:spacing w:after="0"/>
              <w:rPr>
                <w:sz w:val="22"/>
                <w:szCs w:val="22"/>
                <w:color w:val="auto"/>
              </w:rPr>
            </w:pPr>
          </w:p>
        </w:tc>
      </w:tr>
      <w:tr>
        <w:trPr>
          <w:trHeight w:val="26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Goldman Sachs Bank USA</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20"/>
                <w:szCs w:val="20"/>
                <w:color w:val="auto"/>
                <w:w w:val="97"/>
              </w:rPr>
              <w:t>[****]</w:t>
            </w:r>
          </w:p>
        </w:tc>
        <w:tc>
          <w:tcPr>
            <w:tcW w:w="56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00" w:type="dxa"/>
            <w:vAlign w:val="bottom"/>
            <w:tcBorders>
              <w:bottom w:val="single" w:sz="8" w:color="auto"/>
              <w:right w:val="single" w:sz="8" w:color="auto"/>
            </w:tcBorders>
          </w:tcPr>
          <w:p>
            <w:pPr>
              <w:spacing w:after="0"/>
              <w:rPr>
                <w:sz w:val="22"/>
                <w:szCs w:val="22"/>
                <w:color w:val="auto"/>
              </w:rPr>
            </w:pPr>
          </w:p>
        </w:tc>
      </w:tr>
      <w:tr>
        <w:trPr>
          <w:trHeight w:val="196"/>
        </w:trPr>
        <w:tc>
          <w:tcPr>
            <w:tcW w:w="4080" w:type="dxa"/>
            <w:vAlign w:val="bottom"/>
            <w:tcBorders>
              <w:left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22"/>
                <w:szCs w:val="22"/>
                <w:color w:val="auto"/>
              </w:rPr>
              <w:t>Industrial and Commercial Bank of China</w:t>
            </w:r>
          </w:p>
        </w:tc>
        <w:tc>
          <w:tcPr>
            <w:tcW w:w="280" w:type="dxa"/>
            <w:vAlign w:val="bottom"/>
          </w:tcPr>
          <w:p>
            <w:pPr>
              <w:spacing w:after="0"/>
              <w:rPr>
                <w:sz w:val="17"/>
                <w:szCs w:val="17"/>
                <w:color w:val="auto"/>
              </w:rPr>
            </w:pPr>
          </w:p>
        </w:tc>
        <w:tc>
          <w:tcPr>
            <w:tcW w:w="1760" w:type="dxa"/>
            <w:vAlign w:val="bottom"/>
            <w:gridSpan w:val="2"/>
          </w:tcPr>
          <w:p>
            <w:pPr>
              <w:jc w:val="center"/>
              <w:ind w:left="179"/>
              <w:spacing w:after="0" w:line="196" w:lineRule="exact"/>
              <w:rPr>
                <w:sz w:val="20"/>
                <w:szCs w:val="20"/>
                <w:color w:val="auto"/>
              </w:rPr>
            </w:pPr>
            <w:r>
              <w:rPr>
                <w:rFonts w:ascii="Times New Roman" w:cs="Times New Roman" w:eastAsia="Times New Roman" w:hAnsi="Times New Roman"/>
                <w:sz w:val="20"/>
                <w:szCs w:val="20"/>
                <w:color w:val="auto"/>
                <w:w w:val="97"/>
              </w:rPr>
              <w:t>[****]</w:t>
            </w:r>
          </w:p>
        </w:tc>
        <w:tc>
          <w:tcPr>
            <w:tcW w:w="56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22"/>
                <w:szCs w:val="22"/>
                <w:color w:val="auto"/>
                <w:w w:val="98"/>
              </w:rPr>
              <w:t>[****]</w:t>
            </w:r>
          </w:p>
        </w:tc>
        <w:tc>
          <w:tcPr>
            <w:tcW w:w="2300" w:type="dxa"/>
            <w:vAlign w:val="bottom"/>
            <w:tcBorders>
              <w:right w:val="single" w:sz="8" w:color="auto"/>
            </w:tcBorders>
          </w:tcPr>
          <w:p>
            <w:pPr>
              <w:spacing w:after="0"/>
              <w:rPr>
                <w:sz w:val="17"/>
                <w:szCs w:val="17"/>
                <w:color w:val="auto"/>
              </w:rPr>
            </w:pPr>
          </w:p>
        </w:tc>
      </w:tr>
      <w:tr>
        <w:trPr>
          <w:trHeight w:val="28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Limited, New York Branch</w:t>
            </w: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r>
      <w:tr>
        <w:trPr>
          <w:trHeight w:val="264"/>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JPMorgan Chase Bank, N.A.</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20"/>
                <w:szCs w:val="20"/>
                <w:color w:val="auto"/>
                <w:w w:val="97"/>
              </w:rPr>
              <w:t>[****]</w:t>
            </w:r>
          </w:p>
        </w:tc>
        <w:tc>
          <w:tcPr>
            <w:tcW w:w="56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00" w:type="dxa"/>
            <w:vAlign w:val="bottom"/>
            <w:tcBorders>
              <w:bottom w:val="single" w:sz="8" w:color="auto"/>
              <w:right w:val="single" w:sz="8" w:color="auto"/>
            </w:tcBorders>
          </w:tcPr>
          <w:p>
            <w:pPr>
              <w:spacing w:after="0"/>
              <w:rPr>
                <w:sz w:val="22"/>
                <w:szCs w:val="22"/>
                <w:color w:val="auto"/>
              </w:rPr>
            </w:pPr>
          </w:p>
        </w:tc>
      </w:tr>
      <w:tr>
        <w:trPr>
          <w:trHeight w:val="26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Morgan Stanley Bank, N.A.</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20"/>
                <w:szCs w:val="20"/>
                <w:color w:val="auto"/>
                <w:w w:val="97"/>
              </w:rPr>
              <w:t>[****]</w:t>
            </w:r>
          </w:p>
        </w:tc>
        <w:tc>
          <w:tcPr>
            <w:tcW w:w="56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00" w:type="dxa"/>
            <w:vAlign w:val="bottom"/>
            <w:tcBorders>
              <w:bottom w:val="single" w:sz="8" w:color="auto"/>
              <w:right w:val="single" w:sz="8" w:color="auto"/>
            </w:tcBorders>
          </w:tcPr>
          <w:p>
            <w:pPr>
              <w:spacing w:after="0"/>
              <w:rPr>
                <w:sz w:val="22"/>
                <w:szCs w:val="22"/>
                <w:color w:val="auto"/>
              </w:rPr>
            </w:pPr>
          </w:p>
        </w:tc>
      </w:tr>
      <w:tr>
        <w:trPr>
          <w:trHeight w:val="26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Morgan Stanley Senior Funding, Inc.</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20"/>
                <w:szCs w:val="20"/>
                <w:color w:val="auto"/>
                <w:w w:val="97"/>
              </w:rPr>
              <w:t>[****]</w:t>
            </w:r>
          </w:p>
        </w:tc>
        <w:tc>
          <w:tcPr>
            <w:tcW w:w="56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00" w:type="dxa"/>
            <w:vAlign w:val="bottom"/>
            <w:tcBorders>
              <w:bottom w:val="single" w:sz="8" w:color="auto"/>
              <w:right w:val="single" w:sz="8" w:color="auto"/>
            </w:tcBorders>
          </w:tcPr>
          <w:p>
            <w:pPr>
              <w:spacing w:after="0"/>
              <w:rPr>
                <w:sz w:val="22"/>
                <w:szCs w:val="22"/>
                <w:color w:val="auto"/>
              </w:rPr>
            </w:pPr>
          </w:p>
        </w:tc>
      </w:tr>
      <w:tr>
        <w:trPr>
          <w:trHeight w:val="26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Sumitomo Mitsui Banking Corporation</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20"/>
                <w:szCs w:val="20"/>
                <w:color w:val="auto"/>
                <w:w w:val="97"/>
              </w:rPr>
              <w:t>[****]</w:t>
            </w:r>
          </w:p>
        </w:tc>
        <w:tc>
          <w:tcPr>
            <w:tcW w:w="56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00" w:type="dxa"/>
            <w:vAlign w:val="bottom"/>
            <w:tcBorders>
              <w:bottom w:val="single" w:sz="8" w:color="auto"/>
              <w:right w:val="single" w:sz="8" w:color="auto"/>
            </w:tcBorders>
          </w:tcPr>
          <w:p>
            <w:pPr>
              <w:spacing w:after="0"/>
              <w:rPr>
                <w:sz w:val="22"/>
                <w:szCs w:val="22"/>
                <w:color w:val="auto"/>
              </w:rPr>
            </w:pPr>
          </w:p>
        </w:tc>
      </w:tr>
      <w:tr>
        <w:trPr>
          <w:trHeight w:val="26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BNP Paribas</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20"/>
                <w:szCs w:val="20"/>
                <w:color w:val="auto"/>
                <w:w w:val="97"/>
              </w:rPr>
              <w:t>[****]</w:t>
            </w:r>
          </w:p>
        </w:tc>
        <w:tc>
          <w:tcPr>
            <w:tcW w:w="56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00" w:type="dxa"/>
            <w:vAlign w:val="bottom"/>
            <w:tcBorders>
              <w:bottom w:val="single" w:sz="8" w:color="auto"/>
              <w:right w:val="single" w:sz="8" w:color="auto"/>
            </w:tcBorders>
          </w:tcPr>
          <w:p>
            <w:pPr>
              <w:spacing w:after="0"/>
              <w:rPr>
                <w:sz w:val="22"/>
                <w:szCs w:val="22"/>
                <w:color w:val="auto"/>
              </w:rPr>
            </w:pPr>
          </w:p>
        </w:tc>
      </w:tr>
      <w:tr>
        <w:trPr>
          <w:trHeight w:val="196"/>
        </w:trPr>
        <w:tc>
          <w:tcPr>
            <w:tcW w:w="4080" w:type="dxa"/>
            <w:vAlign w:val="bottom"/>
            <w:tcBorders>
              <w:left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22"/>
                <w:szCs w:val="22"/>
                <w:color w:val="auto"/>
              </w:rPr>
              <w:t>Credit Agricole Corporate and Investment</w:t>
            </w:r>
          </w:p>
        </w:tc>
        <w:tc>
          <w:tcPr>
            <w:tcW w:w="280" w:type="dxa"/>
            <w:vAlign w:val="bottom"/>
          </w:tcPr>
          <w:p>
            <w:pPr>
              <w:spacing w:after="0"/>
              <w:rPr>
                <w:sz w:val="17"/>
                <w:szCs w:val="17"/>
                <w:color w:val="auto"/>
              </w:rPr>
            </w:pPr>
          </w:p>
        </w:tc>
        <w:tc>
          <w:tcPr>
            <w:tcW w:w="1760" w:type="dxa"/>
            <w:vAlign w:val="bottom"/>
            <w:gridSpan w:val="2"/>
          </w:tcPr>
          <w:p>
            <w:pPr>
              <w:jc w:val="center"/>
              <w:ind w:left="179"/>
              <w:spacing w:after="0" w:line="196" w:lineRule="exact"/>
              <w:rPr>
                <w:sz w:val="20"/>
                <w:szCs w:val="20"/>
                <w:color w:val="auto"/>
              </w:rPr>
            </w:pPr>
            <w:r>
              <w:rPr>
                <w:rFonts w:ascii="Times New Roman" w:cs="Times New Roman" w:eastAsia="Times New Roman" w:hAnsi="Times New Roman"/>
                <w:sz w:val="20"/>
                <w:szCs w:val="20"/>
                <w:color w:val="auto"/>
                <w:w w:val="97"/>
              </w:rPr>
              <w:t>[****]</w:t>
            </w:r>
          </w:p>
        </w:tc>
        <w:tc>
          <w:tcPr>
            <w:tcW w:w="56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22"/>
                <w:szCs w:val="22"/>
                <w:color w:val="auto"/>
                <w:w w:val="98"/>
              </w:rPr>
              <w:t>[****]</w:t>
            </w:r>
          </w:p>
        </w:tc>
        <w:tc>
          <w:tcPr>
            <w:tcW w:w="2300" w:type="dxa"/>
            <w:vAlign w:val="bottom"/>
            <w:tcBorders>
              <w:right w:val="single" w:sz="8" w:color="auto"/>
            </w:tcBorders>
          </w:tcPr>
          <w:p>
            <w:pPr>
              <w:spacing w:after="0"/>
              <w:rPr>
                <w:sz w:val="17"/>
                <w:szCs w:val="17"/>
                <w:color w:val="auto"/>
              </w:rPr>
            </w:pPr>
          </w:p>
        </w:tc>
      </w:tr>
      <w:tr>
        <w:trPr>
          <w:trHeight w:val="28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Bank</w:t>
            </w: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right w:val="single" w:sz="8" w:color="auto"/>
            </w:tcBorders>
          </w:tcPr>
          <w:p>
            <w:pPr>
              <w:spacing w:after="0"/>
              <w:rPr>
                <w:sz w:val="24"/>
                <w:szCs w:val="24"/>
                <w:color w:val="auto"/>
              </w:rPr>
            </w:pPr>
          </w:p>
        </w:tc>
      </w:tr>
      <w:tr>
        <w:trPr>
          <w:trHeight w:val="264"/>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HSBC Bank USA, N.A.</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20"/>
                <w:szCs w:val="20"/>
                <w:color w:val="auto"/>
                <w:w w:val="97"/>
              </w:rPr>
              <w:t>[****]</w:t>
            </w:r>
          </w:p>
        </w:tc>
        <w:tc>
          <w:tcPr>
            <w:tcW w:w="56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7"/>
              </w:rPr>
              <w:t>[****]</w:t>
            </w:r>
          </w:p>
        </w:tc>
        <w:tc>
          <w:tcPr>
            <w:tcW w:w="2300" w:type="dxa"/>
            <w:vAlign w:val="bottom"/>
            <w:tcBorders>
              <w:bottom w:val="single" w:sz="8" w:color="auto"/>
              <w:right w:val="single" w:sz="8" w:color="auto"/>
            </w:tcBorders>
          </w:tcPr>
          <w:p>
            <w:pPr>
              <w:spacing w:after="0"/>
              <w:rPr>
                <w:sz w:val="22"/>
                <w:szCs w:val="22"/>
                <w:color w:val="auto"/>
              </w:rPr>
            </w:pPr>
          </w:p>
        </w:tc>
      </w:tr>
      <w:tr>
        <w:trPr>
          <w:trHeight w:val="26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MUFG Union Bank, N.A.</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20"/>
                <w:szCs w:val="20"/>
                <w:color w:val="auto"/>
                <w:w w:val="97"/>
              </w:rPr>
              <w:t>[****]</w:t>
            </w:r>
          </w:p>
        </w:tc>
        <w:tc>
          <w:tcPr>
            <w:tcW w:w="56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00" w:type="dxa"/>
            <w:vAlign w:val="bottom"/>
            <w:tcBorders>
              <w:bottom w:val="single" w:sz="8" w:color="auto"/>
              <w:right w:val="single" w:sz="8" w:color="auto"/>
            </w:tcBorders>
          </w:tcPr>
          <w:p>
            <w:pPr>
              <w:spacing w:after="0"/>
              <w:rPr>
                <w:sz w:val="22"/>
                <w:szCs w:val="22"/>
                <w:color w:val="auto"/>
              </w:rPr>
            </w:pPr>
          </w:p>
        </w:tc>
      </w:tr>
      <w:tr>
        <w:trPr>
          <w:trHeight w:val="26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Standard Chartered Bank</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20"/>
                <w:szCs w:val="20"/>
                <w:color w:val="auto"/>
                <w:w w:val="97"/>
              </w:rPr>
              <w:t>[****]</w:t>
            </w:r>
          </w:p>
        </w:tc>
        <w:tc>
          <w:tcPr>
            <w:tcW w:w="56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00" w:type="dxa"/>
            <w:vAlign w:val="bottom"/>
            <w:tcBorders>
              <w:bottom w:val="single" w:sz="8" w:color="auto"/>
              <w:right w:val="single" w:sz="8" w:color="auto"/>
            </w:tcBorders>
          </w:tcPr>
          <w:p>
            <w:pPr>
              <w:spacing w:after="0"/>
              <w:rPr>
                <w:sz w:val="22"/>
                <w:szCs w:val="22"/>
                <w:color w:val="auto"/>
              </w:rPr>
            </w:pPr>
          </w:p>
        </w:tc>
      </w:tr>
      <w:tr>
        <w:trPr>
          <w:trHeight w:val="26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U.S. Bank National Association</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20"/>
                <w:szCs w:val="20"/>
                <w:color w:val="auto"/>
                <w:w w:val="97"/>
              </w:rPr>
              <w:t>[****]</w:t>
            </w:r>
          </w:p>
        </w:tc>
        <w:tc>
          <w:tcPr>
            <w:tcW w:w="56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00" w:type="dxa"/>
            <w:vAlign w:val="bottom"/>
            <w:tcBorders>
              <w:bottom w:val="single" w:sz="8" w:color="auto"/>
              <w:right w:val="single" w:sz="8" w:color="auto"/>
            </w:tcBorders>
          </w:tcPr>
          <w:p>
            <w:pPr>
              <w:spacing w:after="0"/>
              <w:rPr>
                <w:sz w:val="22"/>
                <w:szCs w:val="22"/>
                <w:color w:val="auto"/>
              </w:rPr>
            </w:pPr>
          </w:p>
        </w:tc>
      </w:tr>
      <w:tr>
        <w:trPr>
          <w:trHeight w:val="26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BOKF, NA dba Bank of Texas</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20"/>
                <w:szCs w:val="20"/>
                <w:color w:val="auto"/>
                <w:w w:val="97"/>
              </w:rPr>
              <w:t>[****]</w:t>
            </w:r>
          </w:p>
        </w:tc>
        <w:tc>
          <w:tcPr>
            <w:tcW w:w="56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7"/>
              </w:rPr>
              <w:t>[****]</w:t>
            </w:r>
          </w:p>
        </w:tc>
        <w:tc>
          <w:tcPr>
            <w:tcW w:w="2300" w:type="dxa"/>
            <w:vAlign w:val="bottom"/>
            <w:tcBorders>
              <w:bottom w:val="single" w:sz="8" w:color="auto"/>
              <w:right w:val="single" w:sz="8" w:color="auto"/>
            </w:tcBorders>
          </w:tcPr>
          <w:p>
            <w:pPr>
              <w:spacing w:after="0"/>
              <w:rPr>
                <w:sz w:val="22"/>
                <w:szCs w:val="22"/>
                <w:color w:val="auto"/>
              </w:rPr>
            </w:pPr>
          </w:p>
        </w:tc>
      </w:tr>
      <w:tr>
        <w:trPr>
          <w:trHeight w:val="26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Texas Capital Bank, N.A.</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79"/>
              <w:spacing w:after="0"/>
              <w:rPr>
                <w:sz w:val="20"/>
                <w:szCs w:val="20"/>
                <w:color w:val="auto"/>
              </w:rPr>
            </w:pPr>
            <w:r>
              <w:rPr>
                <w:rFonts w:ascii="Times New Roman" w:cs="Times New Roman" w:eastAsia="Times New Roman" w:hAnsi="Times New Roman"/>
                <w:sz w:val="20"/>
                <w:szCs w:val="20"/>
                <w:color w:val="auto"/>
                <w:w w:val="97"/>
              </w:rPr>
              <w:t>[****]</w:t>
            </w:r>
          </w:p>
        </w:tc>
        <w:tc>
          <w:tcPr>
            <w:tcW w:w="56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7"/>
              </w:rPr>
              <w:t>[****]</w:t>
            </w:r>
          </w:p>
        </w:tc>
        <w:tc>
          <w:tcPr>
            <w:tcW w:w="2300" w:type="dxa"/>
            <w:vAlign w:val="bottom"/>
            <w:tcBorders>
              <w:bottom w:val="single" w:sz="8" w:color="auto"/>
              <w:right w:val="single" w:sz="8" w:color="auto"/>
            </w:tcBorders>
          </w:tcPr>
          <w:p>
            <w:pPr>
              <w:spacing w:after="0"/>
              <w:rPr>
                <w:sz w:val="22"/>
                <w:szCs w:val="22"/>
                <w:color w:val="auto"/>
              </w:rPr>
            </w:pPr>
          </w:p>
        </w:tc>
      </w:tr>
      <w:tr>
        <w:trPr>
          <w:trHeight w:val="26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2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59"/>
              <w:spacing w:after="0"/>
              <w:rPr>
                <w:sz w:val="20"/>
                <w:szCs w:val="20"/>
                <w:color w:val="auto"/>
              </w:rPr>
            </w:pPr>
            <w:r>
              <w:rPr>
                <w:rFonts w:ascii="Times New Roman" w:cs="Times New Roman" w:eastAsia="Times New Roman" w:hAnsi="Times New Roman"/>
                <w:sz w:val="22"/>
                <w:szCs w:val="22"/>
                <w:b w:val="1"/>
                <w:bCs w:val="1"/>
                <w:color w:val="auto"/>
                <w:w w:val="97"/>
              </w:rPr>
              <w:t>$1,530,500,000</w:t>
            </w:r>
          </w:p>
        </w:tc>
        <w:tc>
          <w:tcPr>
            <w:tcW w:w="560" w:type="dxa"/>
            <w:vAlign w:val="bottom"/>
            <w:tcBorders>
              <w:bottom w:val="single" w:sz="8" w:color="auto"/>
              <w:right w:val="single" w:sz="8" w:color="auto"/>
            </w:tcBorders>
          </w:tcPr>
          <w:p>
            <w:pPr>
              <w:spacing w:after="0"/>
              <w:rPr>
                <w:sz w:val="22"/>
                <w:szCs w:val="22"/>
                <w:color w:val="auto"/>
              </w:rPr>
            </w:pPr>
          </w:p>
        </w:tc>
        <w:tc>
          <w:tcPr>
            <w:tcW w:w="2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$12,000,000</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$200,000,000</w:t>
            </w:r>
          </w:p>
        </w:tc>
      </w:tr>
    </w:tbl>
    <w:p>
      <w:pPr>
        <w:sectPr>
          <w:pgSz w:w="11900" w:h="16838" w:orient="portrait"/>
          <w:cols w:equalWidth="0" w:num="1">
            <w:col w:w="11260"/>
          </w:cols>
          <w:pgMar w:left="320" w:top="1428" w:right="319" w:bottom="1440" w:gutter="0" w:footer="0" w:header="0"/>
        </w:sectPr>
      </w:pPr>
    </w:p>
    <w:bookmarkStart w:id="218" w:name="page219"/>
    <w:bookmarkEnd w:id="218"/>
    <w:p>
      <w:pPr>
        <w:ind w:left="10020"/>
        <w:spacing w:after="0"/>
        <w:rPr>
          <w:sz w:val="20"/>
          <w:szCs w:val="20"/>
          <w:color w:val="auto"/>
        </w:rPr>
      </w:pPr>
      <w:r>
        <w:rPr>
          <w:rFonts w:ascii="Times New Roman" w:cs="Times New Roman" w:eastAsia="Times New Roman" w:hAnsi="Times New Roman"/>
          <w:sz w:val="20"/>
          <w:szCs w:val="20"/>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41210" cy="2825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559">
                      <a:extLst>
                        <a:ext uri="{28A0092B-C50C-407E-A947-70E740481C1C}"/>
                      </a:extLst>
                    </a:blip>
                    <a:srcRect/>
                    <a:stretch>
                      <a:fillRect/>
                    </a:stretch>
                  </pic:blipFill>
                  <pic:spPr bwMode="auto">
                    <a:xfrm>
                      <a:off x="0" y="0"/>
                      <a:ext cx="7141210" cy="282575"/>
                    </a:xfrm>
                    <a:prstGeom prst="rect">
                      <a:avLst/>
                    </a:prstGeom>
                    <a:noFill/>
                  </pic:spPr>
                </pic:pic>
              </a:graphicData>
            </a:graphic>
          </wp:anchor>
        </w:drawing>
      </w:r>
    </w:p>
    <w:p>
      <w:pPr>
        <w:spacing w:after="0" w:line="218" w:lineRule="exact"/>
        <w:rPr>
          <w:sz w:val="20"/>
          <w:szCs w:val="20"/>
          <w:color w:val="auto"/>
        </w:rPr>
      </w:pPr>
    </w:p>
    <w:p>
      <w:pPr>
        <w:ind w:left="40" w:right="180"/>
        <w:spacing w:after="0" w:line="255" w:lineRule="auto"/>
        <w:rPr>
          <w:sz w:val="20"/>
          <w:szCs w:val="20"/>
          <w:color w:val="auto"/>
        </w:rPr>
      </w:pPr>
      <w:r>
        <w:rPr>
          <w:rFonts w:ascii="Times New Roman" w:cs="Times New Roman" w:eastAsia="Times New Roman" w:hAnsi="Times New Roman"/>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FIFTH AMENDMENT TO AMENDED AND RESTATED CREDIT AND GUARANTY AGREEMENT</w:t>
      </w:r>
    </w:p>
    <w:p>
      <w:pPr>
        <w:spacing w:after="0" w:line="219" w:lineRule="exact"/>
        <w:rPr>
          <w:sz w:val="20"/>
          <w:szCs w:val="20"/>
          <w:color w:val="auto"/>
        </w:rPr>
      </w:pPr>
    </w:p>
    <w:p>
      <w:pPr>
        <w:jc w:val="both"/>
        <w:ind w:firstLine="1295"/>
        <w:spacing w:after="0" w:line="250" w:lineRule="auto"/>
        <w:rPr>
          <w:sz w:val="20"/>
          <w:szCs w:val="20"/>
          <w:color w:val="auto"/>
        </w:rPr>
      </w:pPr>
      <w:r>
        <w:rPr>
          <w:rFonts w:ascii="Times New Roman" w:cs="Times New Roman" w:eastAsia="Times New Roman" w:hAnsi="Times New Roman"/>
          <w:sz w:val="22"/>
          <w:szCs w:val="22"/>
          <w:color w:val="auto"/>
        </w:rPr>
        <w:t>THIS FIFTH AMENDMENT TO AMENDED AND RESTATED CREDIT AND GUARANTY AGREEMENT (this “</w:t>
      </w:r>
      <w:r>
        <w:rPr>
          <w:rFonts w:ascii="Times New Roman" w:cs="Times New Roman" w:eastAsia="Times New Roman" w:hAnsi="Times New Roman"/>
          <w:sz w:val="22"/>
          <w:szCs w:val="22"/>
          <w:i w:val="1"/>
          <w:iCs w:val="1"/>
          <w:color w:val="auto"/>
        </w:rPr>
        <w:t>Fifth Amendment</w:t>
      </w:r>
      <w:r>
        <w:rPr>
          <w:rFonts w:ascii="Times New Roman" w:cs="Times New Roman" w:eastAsia="Times New Roman" w:hAnsi="Times New Roman"/>
          <w:sz w:val="22"/>
          <w:szCs w:val="22"/>
          <w:color w:val="auto"/>
        </w:rPr>
        <w:t>”), is dated as of December 10, 2018 and is among American Airlines, Inc., a Delaware corporation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American Airlines Group Inc., a Delaware corporation (the “</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i w:val="1"/>
          <w:iCs w:val="1"/>
          <w:color w:val="auto"/>
        </w:rPr>
        <w:t>Guarantor</w:t>
      </w:r>
      <w:r>
        <w:rPr>
          <w:rFonts w:ascii="Times New Roman" w:cs="Times New Roman" w:eastAsia="Times New Roman" w:hAnsi="Times New Roman"/>
          <w:sz w:val="22"/>
          <w:szCs w:val="22"/>
          <w:color w:val="auto"/>
        </w:rPr>
        <w:t>”), the Consenting Revolving Lenders (as defined below) party hereto, HSBC Bank USA, N.A. (“</w:t>
      </w:r>
      <w:r>
        <w:rPr>
          <w:rFonts w:ascii="Times New Roman" w:cs="Times New Roman" w:eastAsia="Times New Roman" w:hAnsi="Times New Roman"/>
          <w:sz w:val="22"/>
          <w:szCs w:val="22"/>
          <w:i w:val="1"/>
          <w:iCs w:val="1"/>
          <w:color w:val="auto"/>
        </w:rPr>
        <w:t>HSBC</w:t>
      </w:r>
      <w:r>
        <w:rPr>
          <w:rFonts w:ascii="Times New Roman" w:cs="Times New Roman" w:eastAsia="Times New Roman" w:hAnsi="Times New Roman"/>
          <w:sz w:val="22"/>
          <w:szCs w:val="22"/>
          <w:color w:val="auto"/>
        </w:rPr>
        <w:t>”), MUFG Union Bank, N.A. (“</w:t>
      </w:r>
      <w:r>
        <w:rPr>
          <w:rFonts w:ascii="Times New Roman" w:cs="Times New Roman" w:eastAsia="Times New Roman" w:hAnsi="Times New Roman"/>
          <w:sz w:val="22"/>
          <w:szCs w:val="22"/>
          <w:i w:val="1"/>
          <w:iCs w:val="1"/>
          <w:color w:val="auto"/>
        </w:rPr>
        <w:t>MUFG</w:t>
      </w:r>
      <w:r>
        <w:rPr>
          <w:rFonts w:ascii="Times New Roman" w:cs="Times New Roman" w:eastAsia="Times New Roman" w:hAnsi="Times New Roman"/>
          <w:sz w:val="22"/>
          <w:szCs w:val="22"/>
          <w:color w:val="auto"/>
        </w:rPr>
        <w:t>”) and BOKF, NA dba Bank of Texas (“</w:t>
      </w:r>
      <w:r>
        <w:rPr>
          <w:rFonts w:ascii="Times New Roman" w:cs="Times New Roman" w:eastAsia="Times New Roman" w:hAnsi="Times New Roman"/>
          <w:sz w:val="22"/>
          <w:szCs w:val="22"/>
          <w:i w:val="1"/>
          <w:iCs w:val="1"/>
          <w:color w:val="auto"/>
        </w:rPr>
        <w:t>BoT</w:t>
      </w:r>
      <w:r>
        <w:rPr>
          <w:rFonts w:ascii="Times New Roman" w:cs="Times New Roman" w:eastAsia="Times New Roman" w:hAnsi="Times New Roman"/>
          <w:sz w:val="22"/>
          <w:szCs w:val="22"/>
          <w:color w:val="auto"/>
        </w:rPr>
        <w:t>” and together with HSBC and MUFG, collectively, the “</w:t>
      </w:r>
      <w:r>
        <w:rPr>
          <w:rFonts w:ascii="Times New Roman" w:cs="Times New Roman" w:eastAsia="Times New Roman" w:hAnsi="Times New Roman"/>
          <w:sz w:val="22"/>
          <w:szCs w:val="22"/>
          <w:i w:val="1"/>
          <w:iCs w:val="1"/>
          <w:color w:val="auto"/>
        </w:rPr>
        <w:t>New Revolving Lenders</w:t>
      </w:r>
      <w:r>
        <w:rPr>
          <w:rFonts w:ascii="Times New Roman" w:cs="Times New Roman" w:eastAsia="Times New Roman" w:hAnsi="Times New Roman"/>
          <w:sz w:val="22"/>
          <w:szCs w:val="22"/>
          <w:color w:val="auto"/>
        </w:rPr>
        <w:t>”) and Deutsche Bank AG New York Branch, as administrative agent (in such capacity,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xml:space="preserve">”) and as an issuing lender (in such capacity, an </w:t>
      </w:r>
      <w:r>
        <w:rPr>
          <w:rFonts w:ascii="Times New Roman" w:cs="Times New Roman" w:eastAsia="Times New Roman" w:hAnsi="Times New Roman"/>
          <w:sz w:val="22"/>
          <w:szCs w:val="22"/>
          <w:i w:val="1"/>
          <w:iCs w:val="1"/>
          <w:color w:val="auto"/>
        </w:rPr>
        <w:t>“Issuing Lender</w:t>
      </w:r>
      <w:r>
        <w:rPr>
          <w:rFonts w:ascii="Times New Roman" w:cs="Times New Roman" w:eastAsia="Times New Roman" w:hAnsi="Times New Roman"/>
          <w:sz w:val="22"/>
          <w:szCs w:val="22"/>
          <w:color w:val="auto"/>
        </w:rPr>
        <w:t>”). Unless otherwise indicated, all capitalized terms used herein and not otherwise defined shall have the respective meanings provided to such terms in the Credit Agreement as defined below.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jc w:val="both"/>
        <w:ind w:firstLine="1295"/>
        <w:spacing w:after="0" w:line="248" w:lineRule="auto"/>
        <w:rPr>
          <w:sz w:val="20"/>
          <w:szCs w:val="20"/>
          <w:color w:val="auto"/>
        </w:rPr>
      </w:pPr>
      <w:r>
        <w:rPr>
          <w:rFonts w:ascii="Times New Roman" w:cs="Times New Roman" w:eastAsia="Times New Roman" w:hAnsi="Times New Roman"/>
          <w:sz w:val="22"/>
          <w:szCs w:val="22"/>
          <w:color w:val="auto"/>
        </w:rPr>
        <w:t>WHEREAS, the Borrower, the Guarantor, the lenders from time to time party thereto, the Administrative Agent and certain other parties thereto are parties to that certain Amended and Restated Credit and Guaranty Agreement, dated as of May 21, 2015 (as amended by that First Amendment to Amended and Restated Credit and Guaranty Agreement, dated October 26, 2015, as further amended by that Second Amendment to Amended and Restated Credit and Guaranty Agreement, dated March 14, 2017, as further amended by that Third Amendment to Amended and Restated Credit and Guaranty Agreement dated August 21, 2017, as further amended by that certain Fourth Amendment to Amended and Restated Credit and Guaranty Agreement, dated as of May 15, 2018 and as further amended and restated, supplemented or otherwise modified, but not including the Fifth Amendment Effective Date as defined below, the “</w:t>
      </w:r>
      <w:r>
        <w:rPr>
          <w:rFonts w:ascii="Times New Roman" w:cs="Times New Roman" w:eastAsia="Times New Roman" w:hAnsi="Times New Roman"/>
          <w:sz w:val="22"/>
          <w:szCs w:val="22"/>
          <w:i w:val="1"/>
          <w:iCs w:val="1"/>
          <w:color w:val="auto"/>
        </w:rPr>
        <w:t>Credit Agreement</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jc w:val="both"/>
        <w:ind w:firstLine="1295"/>
        <w:spacing w:after="0" w:line="256" w:lineRule="auto"/>
        <w:rPr>
          <w:sz w:val="20"/>
          <w:szCs w:val="20"/>
          <w:color w:val="auto"/>
        </w:rPr>
      </w:pPr>
      <w:r>
        <w:rPr>
          <w:rFonts w:ascii="Times New Roman" w:cs="Times New Roman" w:eastAsia="Times New Roman" w:hAnsi="Times New Roman"/>
          <w:sz w:val="22"/>
          <w:szCs w:val="22"/>
          <w:color w:val="auto"/>
        </w:rPr>
        <w:t>WHEREAS, pursuant to Section 2.28(b) of the Credit Agreement, the Borrower may make a Revolver Extension Offer to all Revolving Lenders holding Revolving Commitments under the Credit Agreement to extend the maturity date of each such Revolving Lender’s Revolving Commitment;</w:t>
      </w:r>
    </w:p>
    <w:p>
      <w:pPr>
        <w:spacing w:after="0" w:line="175" w:lineRule="exact"/>
        <w:rPr>
          <w:sz w:val="20"/>
          <w:szCs w:val="20"/>
          <w:color w:val="auto"/>
        </w:rPr>
      </w:pPr>
    </w:p>
    <w:p>
      <w:pPr>
        <w:jc w:val="both"/>
        <w:ind w:firstLine="1295"/>
        <w:spacing w:after="0" w:line="263" w:lineRule="auto"/>
        <w:rPr>
          <w:sz w:val="20"/>
          <w:szCs w:val="20"/>
          <w:color w:val="auto"/>
        </w:rPr>
      </w:pPr>
      <w:r>
        <w:rPr>
          <w:rFonts w:ascii="Times New Roman" w:cs="Times New Roman" w:eastAsia="Times New Roman" w:hAnsi="Times New Roman"/>
          <w:sz w:val="22"/>
          <w:szCs w:val="22"/>
          <w:color w:val="auto"/>
        </w:rPr>
        <w:t>WHEREAS, the Borrower hereby (i) requests that each Revolving Lender that is a party to the Credit Agreement immediately prior to the Fifth Amendment Effective Date (each, an “</w:t>
      </w:r>
      <w:r>
        <w:rPr>
          <w:rFonts w:ascii="Times New Roman" w:cs="Times New Roman" w:eastAsia="Times New Roman" w:hAnsi="Times New Roman"/>
          <w:sz w:val="22"/>
          <w:szCs w:val="22"/>
          <w:i w:val="1"/>
          <w:iCs w:val="1"/>
          <w:color w:val="auto"/>
        </w:rPr>
        <w:t>Existing Revolving Lender</w:t>
      </w:r>
      <w:r>
        <w:rPr>
          <w:rFonts w:ascii="Times New Roman" w:cs="Times New Roman" w:eastAsia="Times New Roman" w:hAnsi="Times New Roman"/>
          <w:sz w:val="22"/>
          <w:szCs w:val="22"/>
          <w:color w:val="auto"/>
        </w:rPr>
        <w:t>”) extend the maturity of such Existing Revolving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219" w:name="page220"/>
    <w:bookmarkEnd w:id="219"/>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Revolving Commitment pursuant to, and in accordance with the terms of, Section 2.28(b), (c), (d) and (e) of the Credit Agreement and this Fifth Amendment (with such request constituting a Revolver Extension Offer for purposes of the Credit Agreement) and requests that the Administrative Agent waive any applicable notice period otherwise required thereby and (ii) specifies as the Minimum Extension Condition for such Revolving Extension Offer that all such Revolving Commitments be subject to the Revolving Extension contemplated hereby;</w:t>
      </w:r>
    </w:p>
    <w:p>
      <w:pPr>
        <w:spacing w:after="0" w:line="173" w:lineRule="exact"/>
        <w:rPr>
          <w:sz w:val="20"/>
          <w:szCs w:val="20"/>
          <w:color w:val="auto"/>
        </w:rPr>
      </w:pPr>
    </w:p>
    <w:p>
      <w:pPr>
        <w:jc w:val="both"/>
        <w:ind w:firstLine="1295"/>
        <w:spacing w:after="0" w:line="257" w:lineRule="auto"/>
        <w:rPr>
          <w:sz w:val="20"/>
          <w:szCs w:val="20"/>
          <w:color w:val="auto"/>
        </w:rPr>
      </w:pPr>
      <w:r>
        <w:rPr>
          <w:rFonts w:ascii="Times New Roman" w:cs="Times New Roman" w:eastAsia="Times New Roman" w:hAnsi="Times New Roman"/>
          <w:sz w:val="22"/>
          <w:szCs w:val="22"/>
          <w:color w:val="auto"/>
        </w:rPr>
        <w:t>WHEREAS, the undersigned Existing Revolving Lenders (the “</w:t>
      </w:r>
      <w:r>
        <w:rPr>
          <w:rFonts w:ascii="Times New Roman" w:cs="Times New Roman" w:eastAsia="Times New Roman" w:hAnsi="Times New Roman"/>
          <w:sz w:val="22"/>
          <w:szCs w:val="22"/>
          <w:i w:val="1"/>
          <w:iCs w:val="1"/>
          <w:color w:val="auto"/>
        </w:rPr>
        <w:t>Consenting Revolving Lenders</w:t>
      </w:r>
      <w:r>
        <w:rPr>
          <w:rFonts w:ascii="Times New Roman" w:cs="Times New Roman" w:eastAsia="Times New Roman" w:hAnsi="Times New Roman"/>
          <w:sz w:val="22"/>
          <w:szCs w:val="22"/>
          <w:color w:val="auto"/>
        </w:rPr>
        <w:t>” and together with the New Revolving Lenders, the “</w:t>
      </w:r>
      <w:r>
        <w:rPr>
          <w:rFonts w:ascii="Times New Roman" w:cs="Times New Roman" w:eastAsia="Times New Roman" w:hAnsi="Times New Roman"/>
          <w:sz w:val="22"/>
          <w:szCs w:val="22"/>
          <w:i w:val="1"/>
          <w:iCs w:val="1"/>
          <w:color w:val="auto"/>
        </w:rPr>
        <w:t>Extending Revolving Lenders</w:t>
      </w:r>
      <w:r>
        <w:rPr>
          <w:rFonts w:ascii="Times New Roman" w:cs="Times New Roman" w:eastAsia="Times New Roman" w:hAnsi="Times New Roman"/>
          <w:sz w:val="22"/>
          <w:szCs w:val="22"/>
          <w:color w:val="auto"/>
        </w:rPr>
        <w:t>”) are willing to extend the maturity date of their respective Revolving Commitments (the “</w:t>
      </w:r>
      <w:r>
        <w:rPr>
          <w:rFonts w:ascii="Times New Roman" w:cs="Times New Roman" w:eastAsia="Times New Roman" w:hAnsi="Times New Roman"/>
          <w:sz w:val="22"/>
          <w:szCs w:val="22"/>
          <w:i w:val="1"/>
          <w:iCs w:val="1"/>
          <w:color w:val="auto"/>
        </w:rPr>
        <w:t>Extended Revolving Commitments</w:t>
      </w:r>
      <w:r>
        <w:rPr>
          <w:rFonts w:ascii="Times New Roman" w:cs="Times New Roman" w:eastAsia="Times New Roman" w:hAnsi="Times New Roman"/>
          <w:sz w:val="22"/>
          <w:szCs w:val="22"/>
          <w:color w:val="auto"/>
        </w:rPr>
        <w:t>”), subject to and on the terms and conditions set forth herein and in Section 2.28(b), (c), (d) and (e) of the Credit Agreement;</w:t>
      </w:r>
    </w:p>
    <w:p>
      <w:pPr>
        <w:spacing w:after="0" w:line="174" w:lineRule="exact"/>
        <w:rPr>
          <w:sz w:val="20"/>
          <w:szCs w:val="20"/>
          <w:color w:val="auto"/>
        </w:rPr>
      </w:pPr>
    </w:p>
    <w:p>
      <w:pPr>
        <w:jc w:val="both"/>
        <w:ind w:firstLine="1295"/>
        <w:spacing w:after="0" w:line="256" w:lineRule="auto"/>
        <w:rPr>
          <w:sz w:val="20"/>
          <w:szCs w:val="20"/>
          <w:color w:val="auto"/>
        </w:rPr>
      </w:pPr>
      <w:r>
        <w:rPr>
          <w:rFonts w:ascii="Times New Roman" w:cs="Times New Roman" w:eastAsia="Times New Roman" w:hAnsi="Times New Roman"/>
          <w:sz w:val="22"/>
          <w:szCs w:val="22"/>
          <w:color w:val="auto"/>
        </w:rPr>
        <w:t>WHEREAS, the undersigned Consenting Revolving Lenders, New Revolving Lenders and the Borrower desire to reallocate the Revolving Commitments (the “</w:t>
      </w:r>
      <w:r>
        <w:rPr>
          <w:rFonts w:ascii="Times New Roman" w:cs="Times New Roman" w:eastAsia="Times New Roman" w:hAnsi="Times New Roman"/>
          <w:sz w:val="22"/>
          <w:szCs w:val="22"/>
          <w:i w:val="1"/>
          <w:iCs w:val="1"/>
          <w:color w:val="auto"/>
        </w:rPr>
        <w:t>Reallocation</w:t>
      </w:r>
      <w:r>
        <w:rPr>
          <w:rFonts w:ascii="Times New Roman" w:cs="Times New Roman" w:eastAsia="Times New Roman" w:hAnsi="Times New Roman"/>
          <w:sz w:val="22"/>
          <w:szCs w:val="22"/>
          <w:color w:val="auto"/>
        </w:rPr>
        <w:t>”) and that each Revolving Lender will hold such Revolving Commitment as is set out opposite its name on Schedule 1;</w:t>
      </w:r>
    </w:p>
    <w:p>
      <w:pPr>
        <w:spacing w:after="0" w:line="175" w:lineRule="exact"/>
        <w:rPr>
          <w:sz w:val="20"/>
          <w:szCs w:val="20"/>
          <w:color w:val="auto"/>
        </w:rPr>
      </w:pPr>
    </w:p>
    <w:p>
      <w:pPr>
        <w:jc w:val="both"/>
        <w:ind w:firstLine="1295"/>
        <w:spacing w:after="0" w:line="263" w:lineRule="auto"/>
        <w:rPr>
          <w:sz w:val="20"/>
          <w:szCs w:val="20"/>
          <w:color w:val="auto"/>
        </w:rPr>
      </w:pPr>
      <w:r>
        <w:rPr>
          <w:rFonts w:ascii="Times New Roman" w:cs="Times New Roman" w:eastAsia="Times New Roman" w:hAnsi="Times New Roman"/>
          <w:sz w:val="22"/>
          <w:szCs w:val="22"/>
          <w:color w:val="auto"/>
        </w:rPr>
        <w:t>WHEREAS, the Borrower, the Administrative Agent, the undersigned Existing Revolving Lenders and New Revolving Lenders wish to amend the Credit Agreement to provide for certain other modifications to the Credit Agreement, in each case, on the terms and subject to the conditions set forth herein;</w:t>
      </w:r>
    </w:p>
    <w:p>
      <w:pPr>
        <w:spacing w:after="0" w:line="166" w:lineRule="exact"/>
        <w:rPr>
          <w:sz w:val="20"/>
          <w:szCs w:val="20"/>
          <w:color w:val="auto"/>
        </w:rPr>
      </w:pPr>
    </w:p>
    <w:p>
      <w:pPr>
        <w:jc w:val="both"/>
        <w:ind w:firstLine="1295"/>
        <w:spacing w:after="0" w:line="256" w:lineRule="auto"/>
        <w:rPr>
          <w:sz w:val="20"/>
          <w:szCs w:val="20"/>
          <w:color w:val="auto"/>
        </w:rPr>
      </w:pPr>
      <w:r>
        <w:rPr>
          <w:rFonts w:ascii="Times New Roman" w:cs="Times New Roman" w:eastAsia="Times New Roman" w:hAnsi="Times New Roman"/>
          <w:sz w:val="22"/>
          <w:szCs w:val="22"/>
          <w:color w:val="auto"/>
        </w:rPr>
        <w:t>WHEREAS, pursuant to Section 2.28(b) of the Credit Agreement, any Existing Revolving Lender who is not a Consenting Lender (each, a “</w:t>
      </w:r>
      <w:r>
        <w:rPr>
          <w:rFonts w:ascii="Times New Roman" w:cs="Times New Roman" w:eastAsia="Times New Roman" w:hAnsi="Times New Roman"/>
          <w:sz w:val="22"/>
          <w:szCs w:val="22"/>
          <w:i w:val="1"/>
          <w:iCs w:val="1"/>
          <w:color w:val="auto"/>
        </w:rPr>
        <w:t>Non-Consenting Revolving Lender</w:t>
      </w:r>
      <w:r>
        <w:rPr>
          <w:rFonts w:ascii="Times New Roman" w:cs="Times New Roman" w:eastAsia="Times New Roman" w:hAnsi="Times New Roman"/>
          <w:sz w:val="22"/>
          <w:szCs w:val="22"/>
          <w:color w:val="auto"/>
        </w:rPr>
        <w:t>”) shall continue to have Revolving Credit Commitments (the “</w:t>
      </w:r>
      <w:r>
        <w:rPr>
          <w:rFonts w:ascii="Times New Roman" w:cs="Times New Roman" w:eastAsia="Times New Roman" w:hAnsi="Times New Roman"/>
          <w:sz w:val="22"/>
          <w:szCs w:val="22"/>
          <w:i w:val="1"/>
          <w:iCs w:val="1"/>
          <w:color w:val="auto"/>
        </w:rPr>
        <w:t>Non-Extended Revolver Commitments</w:t>
      </w:r>
      <w:r>
        <w:rPr>
          <w:rFonts w:ascii="Times New Roman" w:cs="Times New Roman" w:eastAsia="Times New Roman" w:hAnsi="Times New Roman"/>
          <w:sz w:val="22"/>
          <w:szCs w:val="22"/>
          <w:color w:val="auto"/>
        </w:rPr>
        <w:t>”); and</w:t>
      </w:r>
    </w:p>
    <w:p>
      <w:pPr>
        <w:spacing w:after="0" w:line="175" w:lineRule="exact"/>
        <w:rPr>
          <w:sz w:val="20"/>
          <w:szCs w:val="20"/>
          <w:color w:val="auto"/>
        </w:rPr>
      </w:pPr>
    </w:p>
    <w:p>
      <w:pPr>
        <w:jc w:val="both"/>
        <w:ind w:right="20" w:firstLine="1295"/>
        <w:spacing w:after="0" w:line="283"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145" w:lineRule="exact"/>
        <w:rPr>
          <w:sz w:val="20"/>
          <w:szCs w:val="20"/>
          <w:color w:val="auto"/>
        </w:rPr>
      </w:pPr>
    </w:p>
    <w:p>
      <w:pPr>
        <w:jc w:val="both"/>
        <w:ind w:firstLine="1618"/>
        <w:spacing w:after="0" w:line="274" w:lineRule="auto"/>
        <w:rPr>
          <w:sz w:val="20"/>
          <w:szCs w:val="20"/>
          <w:color w:val="auto"/>
        </w:rPr>
      </w:pPr>
      <w:r>
        <w:rPr>
          <w:rFonts w:ascii="Times New Roman" w:cs="Times New Roman" w:eastAsia="Times New Roman" w:hAnsi="Times New Roman"/>
          <w:sz w:val="20"/>
          <w:szCs w:val="20"/>
          <w:u w:val="single" w:color="auto"/>
          <w:color w:val="auto"/>
        </w:rPr>
        <w:t>SECTION ONE - Reallocation of Revolving Commitments</w:t>
      </w:r>
      <w:r>
        <w:rPr>
          <w:rFonts w:ascii="Times New Roman" w:cs="Times New Roman" w:eastAsia="Times New Roman" w:hAnsi="Times New Roman"/>
          <w:sz w:val="20"/>
          <w:szCs w:val="20"/>
          <w:color w:val="auto"/>
        </w:rPr>
        <w:t>. On the Fifth Amendment Effective Date, the Borrower, the Existing Revolving Lenders and the New Revolving Lenders agree that (1) there shall be an automatic termination of the total Revolving Commitments in excess of $1,000,000,000; (2) the Total Revolving Commitments shall be $1,000,000,000, consisting of $985,600,000 of Extended Revolver Commitments and $14,400,000 of Non-Extended Revolver Commitments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each New Revolving Lender shall become a Revolving Lender under the Credit Agreement (as amended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161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TWO - Extension of Revolving Facility</w:t>
      </w:r>
      <w:r>
        <w:rPr>
          <w:rFonts w:ascii="Times New Roman" w:cs="Times New Roman" w:eastAsia="Times New Roman" w:hAnsi="Times New Roman"/>
          <w:sz w:val="22"/>
          <w:szCs w:val="22"/>
          <w:color w:val="auto"/>
        </w:rPr>
        <w:t>. On the Fifth Amendment Effective Date (immediately after giving effect to the Reallocation contemplated in Section One), the Borrower, each Extending Revolving Lender and each Non-Consenting Revolving Lender agrees the Credit Agreement is modified as follows:</w:t>
      </w:r>
    </w:p>
    <w:p>
      <w:pPr>
        <w:spacing w:after="0" w:line="188" w:lineRule="exact"/>
        <w:rPr>
          <w:sz w:val="20"/>
          <w:szCs w:val="20"/>
          <w:color w:val="auto"/>
        </w:rPr>
      </w:pPr>
    </w:p>
    <w:p>
      <w:pPr>
        <w:ind w:right="380" w:firstLine="1302"/>
        <w:spacing w:after="0" w:line="270" w:lineRule="auto"/>
        <w:tabs>
          <w:tab w:leader="none" w:pos="1579"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1.01 of the Credit Agreement is hereby amended by adding the following definitions in appropriate alphabetical order:</w:t>
      </w:r>
    </w:p>
    <w:p>
      <w:pPr>
        <w:spacing w:after="0" w:line="155" w:lineRule="exact"/>
        <w:rPr>
          <w:sz w:val="20"/>
          <w:szCs w:val="20"/>
          <w:color w:val="auto"/>
        </w:rPr>
      </w:pPr>
    </w:p>
    <w:p>
      <w:pPr>
        <w:jc w:val="both"/>
        <w:ind w:firstLine="1295"/>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Fifth Amendment</w:t>
      </w:r>
      <w:r>
        <w:rPr>
          <w:rFonts w:ascii="Times New Roman" w:cs="Times New Roman" w:eastAsia="Times New Roman" w:hAnsi="Times New Roman"/>
          <w:sz w:val="22"/>
          <w:szCs w:val="22"/>
          <w:color w:val="auto"/>
        </w:rPr>
        <w:t>” means the Fifth Amendment to this Credit Agreement, dated as of December 10, 2018 among the Borrower, Deutsche Bank AG New York Branch, as administrative agent and as an issuing lender and the Lenders party thereto.”</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Fifth Amendment Effective Date</w:t>
      </w:r>
      <w:r>
        <w:rPr>
          <w:rFonts w:ascii="Times New Roman" w:cs="Times New Roman" w:eastAsia="Times New Roman" w:hAnsi="Times New Roman"/>
          <w:sz w:val="22"/>
          <w:szCs w:val="22"/>
          <w:color w:val="auto"/>
        </w:rPr>
        <w:t>” shall have the meaning provided in the Fifth Amendment.”;</w:t>
      </w:r>
    </w:p>
    <w:p>
      <w:pPr>
        <w:spacing w:after="0" w:line="219" w:lineRule="exact"/>
        <w:rPr>
          <w:sz w:val="20"/>
          <w:szCs w:val="20"/>
          <w:color w:val="auto"/>
        </w:rPr>
      </w:pPr>
    </w:p>
    <w:p>
      <w:pPr>
        <w:jc w:val="both"/>
        <w:ind w:firstLine="1295"/>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Fifth Amendment Extended Revolving Commitments</w:t>
      </w:r>
      <w:r>
        <w:rPr>
          <w:rFonts w:ascii="Times New Roman" w:cs="Times New Roman" w:eastAsia="Times New Roman" w:hAnsi="Times New Roman"/>
          <w:sz w:val="22"/>
          <w:szCs w:val="22"/>
          <w:color w:val="auto"/>
        </w:rPr>
        <w:t>” means the Revolving Commitments of each Fifth Amendment Extending Revolving Lender.”</w:t>
      </w:r>
    </w:p>
    <w:p>
      <w:pPr>
        <w:spacing w:after="0" w:line="151" w:lineRule="exact"/>
        <w:rPr>
          <w:sz w:val="20"/>
          <w:szCs w:val="20"/>
          <w:color w:val="auto"/>
        </w:rPr>
      </w:pPr>
    </w:p>
    <w:p>
      <w:pPr>
        <w:jc w:val="both"/>
        <w:ind w:firstLine="1295"/>
        <w:spacing w:after="0" w:line="257" w:lineRule="auto"/>
        <w:rPr>
          <w:sz w:val="20"/>
          <w:szCs w:val="20"/>
          <w:color w:val="auto"/>
        </w:rPr>
      </w:pPr>
      <w:r>
        <w:rPr>
          <w:rFonts w:ascii="Times New Roman" w:cs="Times New Roman" w:eastAsia="Times New Roman" w:hAnsi="Times New Roman"/>
          <w:sz w:val="22"/>
          <w:szCs w:val="22"/>
          <w:i w:val="1"/>
          <w:iCs w:val="1"/>
          <w:color w:val="auto"/>
        </w:rPr>
        <w:t>““Fifth Amendment Extending Revolving Lender</w:t>
      </w:r>
      <w:r>
        <w:rPr>
          <w:rFonts w:ascii="Times New Roman" w:cs="Times New Roman" w:eastAsia="Times New Roman" w:hAnsi="Times New Roman"/>
          <w:sz w:val="22"/>
          <w:szCs w:val="22"/>
          <w:color w:val="auto"/>
        </w:rPr>
        <w:t>” shall mean each Revolving Lender (including the Fifth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Amendment New Revolving Lenders) that has provided a signature page on or prior to December 10, 2018 voting in favor of accepting the Fifth Amendment Extension Offer and extending the Revolving Facility Maturity Date as set forth in the Fifth Amendment.”</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Fifth Amendment Extension Offer</w:t>
      </w:r>
      <w:r>
        <w:rPr>
          <w:rFonts w:ascii="Times New Roman" w:cs="Times New Roman" w:eastAsia="Times New Roman" w:hAnsi="Times New Roman"/>
          <w:sz w:val="22"/>
          <w:szCs w:val="22"/>
          <w:color w:val="auto"/>
        </w:rPr>
        <w:t>” means the Extension Offer made pursuant to the Fifth Amendment.”</w:t>
      </w:r>
    </w:p>
    <w:p>
      <w:pPr>
        <w:spacing w:after="0" w:line="219" w:lineRule="exact"/>
        <w:rPr>
          <w:sz w:val="20"/>
          <w:szCs w:val="20"/>
          <w:color w:val="auto"/>
        </w:rPr>
      </w:pPr>
    </w:p>
    <w:p>
      <w:pPr>
        <w:jc w:val="both"/>
        <w:ind w:firstLine="1295"/>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Fifth Amendment Non-Extended Revolving Commitments</w:t>
      </w:r>
      <w:r>
        <w:rPr>
          <w:rFonts w:ascii="Times New Roman" w:cs="Times New Roman" w:eastAsia="Times New Roman" w:hAnsi="Times New Roman"/>
          <w:sz w:val="22"/>
          <w:szCs w:val="22"/>
          <w:color w:val="auto"/>
        </w:rPr>
        <w:t>” means the Revolving Commitments of each Fifth Amendment Non-Extending Revolving Lender.”</w:t>
      </w:r>
    </w:p>
    <w:p>
      <w:pPr>
        <w:spacing w:after="0" w:line="151" w:lineRule="exact"/>
        <w:rPr>
          <w:sz w:val="20"/>
          <w:szCs w:val="20"/>
          <w:color w:val="auto"/>
        </w:rPr>
      </w:pPr>
    </w:p>
    <w:p>
      <w:pPr>
        <w:jc w:val="both"/>
        <w:ind w:firstLine="1295"/>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Fifth Amendment Non-Extending Revolving Lender</w:t>
      </w:r>
      <w:r>
        <w:rPr>
          <w:rFonts w:ascii="Times New Roman" w:cs="Times New Roman" w:eastAsia="Times New Roman" w:hAnsi="Times New Roman"/>
          <w:sz w:val="22"/>
          <w:szCs w:val="22"/>
          <w:color w:val="auto"/>
        </w:rPr>
        <w:t>” shall mean each Revolving Lender other than the Fifth Amendment Extending Revolving Lenders.”</w:t>
      </w:r>
    </w:p>
    <w:p>
      <w:pPr>
        <w:spacing w:after="0" w:line="1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Fifth Amendment New Revolving Lenders</w:t>
      </w:r>
      <w:r>
        <w:rPr>
          <w:rFonts w:ascii="Times New Roman" w:cs="Times New Roman" w:eastAsia="Times New Roman" w:hAnsi="Times New Roman"/>
          <w:sz w:val="22"/>
          <w:szCs w:val="22"/>
          <w:color w:val="auto"/>
        </w:rPr>
        <w:t>” shall mean each New Revolving Lender (as defined in the Fifth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Amendment).”</w:t>
      </w:r>
    </w:p>
    <w:p>
      <w:pPr>
        <w:spacing w:after="0" w:line="191" w:lineRule="exact"/>
        <w:rPr>
          <w:sz w:val="20"/>
          <w:szCs w:val="20"/>
          <w:color w:val="auto"/>
        </w:rPr>
      </w:pPr>
    </w:p>
    <w:p>
      <w:pPr>
        <w:ind w:right="220" w:firstLine="1302"/>
        <w:spacing w:after="0" w:line="274" w:lineRule="auto"/>
        <w:tabs>
          <w:tab w:leader="none" w:pos="159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Applicable Margin</w:t>
      </w:r>
      <w:r>
        <w:rPr>
          <w:rFonts w:ascii="Times New Roman" w:cs="Times New Roman" w:eastAsia="Times New Roman" w:hAnsi="Times New Roman"/>
          <w:sz w:val="22"/>
          <w:szCs w:val="22"/>
          <w:color w:val="auto"/>
        </w:rPr>
        <w:t>” appearing in Section 1.01 of the Credit Agreement is hereby amended and restated in its entirety as follows:</w:t>
      </w:r>
    </w:p>
    <w:p>
      <w:pPr>
        <w:spacing w:after="0" w:line="16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Margin</w:t>
      </w:r>
      <w:r>
        <w:rPr>
          <w:rFonts w:ascii="Times New Roman" w:cs="Times New Roman" w:eastAsia="Times New Roman" w:hAnsi="Times New Roman"/>
          <w:sz w:val="22"/>
          <w:szCs w:val="22"/>
          <w:color w:val="auto"/>
        </w:rPr>
        <w:t>” shall mean the rate per annum determined pursuant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840" w:type="dxa"/>
            <w:vAlign w:val="bottom"/>
            <w:tcBorders>
              <w:top w:val="single" w:sz="8" w:color="auto"/>
              <w:left w:val="single" w:sz="8" w:color="auto"/>
              <w:right w:val="single" w:sz="8" w:color="auto"/>
            </w:tcBorders>
            <w:vMerge w:val="restart"/>
          </w:tcPr>
          <w:p>
            <w:pPr>
              <w:ind w:left="1280"/>
              <w:spacing w:after="0"/>
              <w:rPr>
                <w:sz w:val="20"/>
                <w:szCs w:val="20"/>
                <w:color w:val="auto"/>
              </w:rPr>
            </w:pPr>
            <w:r>
              <w:rPr>
                <w:rFonts w:ascii="Times New Roman" w:cs="Times New Roman" w:eastAsia="Times New Roman" w:hAnsi="Times New Roman"/>
                <w:sz w:val="22"/>
                <w:szCs w:val="22"/>
                <w:color w:val="auto"/>
              </w:rPr>
              <w:t>Class of Loans</w:t>
            </w:r>
          </w:p>
        </w:tc>
        <w:tc>
          <w:tcPr>
            <w:tcW w:w="3720" w:type="dxa"/>
            <w:vAlign w:val="bottom"/>
            <w:tcBorders>
              <w:top w:val="single" w:sz="8" w:color="auto"/>
              <w:right w:val="single" w:sz="8" w:color="auto"/>
            </w:tcBorders>
          </w:tcPr>
          <w:p>
            <w:pPr>
              <w:ind w:left="1000"/>
              <w:spacing w:after="0" w:line="216" w:lineRule="exact"/>
              <w:rPr>
                <w:sz w:val="20"/>
                <w:szCs w:val="20"/>
                <w:color w:val="auto"/>
              </w:rPr>
            </w:pPr>
            <w:r>
              <w:rPr>
                <w:rFonts w:ascii="Times New Roman" w:cs="Times New Roman" w:eastAsia="Times New Roman" w:hAnsi="Times New Roman"/>
                <w:sz w:val="22"/>
                <w:szCs w:val="22"/>
                <w:color w:val="auto"/>
              </w:rPr>
              <w:t>Applicable Margin</w:t>
            </w:r>
          </w:p>
        </w:tc>
        <w:tc>
          <w:tcPr>
            <w:tcW w:w="3700" w:type="dxa"/>
            <w:vAlign w:val="bottom"/>
            <w:tcBorders>
              <w:top w:val="single" w:sz="8" w:color="auto"/>
              <w:right w:val="single" w:sz="8" w:color="auto"/>
            </w:tcBorders>
          </w:tcPr>
          <w:p>
            <w:pPr>
              <w:ind w:left="1000"/>
              <w:spacing w:after="0" w:line="216" w:lineRule="exact"/>
              <w:rPr>
                <w:sz w:val="20"/>
                <w:szCs w:val="20"/>
                <w:color w:val="auto"/>
              </w:rPr>
            </w:pPr>
            <w:r>
              <w:rPr>
                <w:rFonts w:ascii="Times New Roman" w:cs="Times New Roman" w:eastAsia="Times New Roman" w:hAnsi="Times New Roman"/>
                <w:sz w:val="22"/>
                <w:szCs w:val="22"/>
                <w:color w:val="auto"/>
              </w:rPr>
              <w:t>Applicable Margin</w:t>
            </w:r>
          </w:p>
        </w:tc>
        <w:tc>
          <w:tcPr>
            <w:tcW w:w="0" w:type="dxa"/>
            <w:vAlign w:val="bottom"/>
          </w:tcPr>
          <w:p>
            <w:pPr>
              <w:spacing w:after="0"/>
              <w:rPr>
                <w:sz w:val="1"/>
                <w:szCs w:val="1"/>
                <w:color w:val="auto"/>
              </w:rPr>
            </w:pPr>
          </w:p>
        </w:tc>
      </w:tr>
      <w:tr>
        <w:trPr>
          <w:trHeight w:val="174"/>
        </w:trPr>
        <w:tc>
          <w:tcPr>
            <w:tcW w:w="3840" w:type="dxa"/>
            <w:vAlign w:val="bottom"/>
            <w:tcBorders>
              <w:left w:val="single" w:sz="8" w:color="auto"/>
              <w:right w:val="single" w:sz="8" w:color="auto"/>
            </w:tcBorders>
            <w:vMerge w:val="continue"/>
          </w:tcPr>
          <w:p>
            <w:pPr>
              <w:spacing w:after="0"/>
              <w:rPr>
                <w:sz w:val="15"/>
                <w:szCs w:val="15"/>
                <w:color w:val="auto"/>
              </w:rPr>
            </w:pPr>
          </w:p>
        </w:tc>
        <w:tc>
          <w:tcPr>
            <w:tcW w:w="3720" w:type="dxa"/>
            <w:vAlign w:val="bottom"/>
            <w:tcBorders>
              <w:right w:val="single" w:sz="8" w:color="auto"/>
            </w:tcBorders>
            <w:vMerge w:val="restart"/>
          </w:tcPr>
          <w:p>
            <w:pPr>
              <w:ind w:left="1100"/>
              <w:spacing w:after="0"/>
              <w:rPr>
                <w:sz w:val="20"/>
                <w:szCs w:val="20"/>
                <w:color w:val="auto"/>
              </w:rPr>
            </w:pPr>
            <w:r>
              <w:rPr>
                <w:rFonts w:ascii="Times New Roman" w:cs="Times New Roman" w:eastAsia="Times New Roman" w:hAnsi="Times New Roman"/>
                <w:sz w:val="22"/>
                <w:szCs w:val="22"/>
                <w:color w:val="auto"/>
              </w:rPr>
              <w:t>Eurodollar Loans</w:t>
            </w:r>
          </w:p>
        </w:tc>
        <w:tc>
          <w:tcPr>
            <w:tcW w:w="3700" w:type="dxa"/>
            <w:vAlign w:val="bottom"/>
            <w:tcBorders>
              <w:right w:val="single" w:sz="8" w:color="auto"/>
            </w:tcBorders>
            <w:vMerge w:val="restart"/>
          </w:tcPr>
          <w:p>
            <w:pPr>
              <w:ind w:left="1320"/>
              <w:spacing w:after="0"/>
              <w:rPr>
                <w:sz w:val="20"/>
                <w:szCs w:val="20"/>
                <w:color w:val="auto"/>
              </w:rPr>
            </w:pPr>
            <w:r>
              <w:rPr>
                <w:rFonts w:ascii="Times New Roman" w:cs="Times New Roman" w:eastAsia="Times New Roman" w:hAnsi="Times New Roman"/>
                <w:sz w:val="22"/>
                <w:szCs w:val="22"/>
                <w:color w:val="auto"/>
              </w:rPr>
              <w:t>ABR Loans</w:t>
            </w:r>
          </w:p>
        </w:tc>
        <w:tc>
          <w:tcPr>
            <w:tcW w:w="0" w:type="dxa"/>
            <w:vAlign w:val="bottom"/>
          </w:tcPr>
          <w:p>
            <w:pPr>
              <w:spacing w:after="0"/>
              <w:rPr>
                <w:sz w:val="1"/>
                <w:szCs w:val="1"/>
                <w:color w:val="auto"/>
              </w:rPr>
            </w:pPr>
          </w:p>
        </w:tc>
      </w:tr>
      <w:tr>
        <w:trPr>
          <w:trHeight w:val="109"/>
        </w:trPr>
        <w:tc>
          <w:tcPr>
            <w:tcW w:w="3840" w:type="dxa"/>
            <w:vAlign w:val="bottom"/>
            <w:tcBorders>
              <w:left w:val="single" w:sz="8" w:color="auto"/>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vMerge w:val="continue"/>
          </w:tcPr>
          <w:p>
            <w:pPr>
              <w:spacing w:after="0"/>
              <w:rPr>
                <w:sz w:val="9"/>
                <w:szCs w:val="9"/>
                <w:color w:val="auto"/>
              </w:rPr>
            </w:pPr>
          </w:p>
        </w:tc>
        <w:tc>
          <w:tcPr>
            <w:tcW w:w="37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84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w w:val="98"/>
              </w:rPr>
              <w:t>Term Loans outstanding prior to the Fourth</w:t>
            </w:r>
          </w:p>
        </w:tc>
        <w:tc>
          <w:tcPr>
            <w:tcW w:w="3720" w:type="dxa"/>
            <w:vAlign w:val="bottom"/>
            <w:tcBorders>
              <w:right w:val="single" w:sz="8" w:color="auto"/>
            </w:tcBorders>
          </w:tcPr>
          <w:p>
            <w:pPr>
              <w:ind w:left="20"/>
              <w:spacing w:after="0" w:line="197" w:lineRule="exact"/>
              <w:rPr>
                <w:sz w:val="20"/>
                <w:szCs w:val="20"/>
                <w:color w:val="auto"/>
              </w:rPr>
            </w:pPr>
            <w:r>
              <w:rPr>
                <w:rFonts w:ascii="Times New Roman" w:cs="Times New Roman" w:eastAsia="Times New Roman" w:hAnsi="Times New Roman"/>
                <w:sz w:val="22"/>
                <w:szCs w:val="22"/>
                <w:color w:val="auto"/>
              </w:rPr>
              <w:t>2.00%</w:t>
            </w:r>
          </w:p>
        </w:tc>
        <w:tc>
          <w:tcPr>
            <w:tcW w:w="3700" w:type="dxa"/>
            <w:vAlign w:val="bottom"/>
            <w:tcBorders>
              <w:right w:val="single" w:sz="8" w:color="auto"/>
            </w:tcBorders>
          </w:tcPr>
          <w:p>
            <w:pPr>
              <w:spacing w:after="0" w:line="197" w:lineRule="exact"/>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83"/>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Amendment Effective Date</w:t>
            </w:r>
          </w:p>
        </w:tc>
        <w:tc>
          <w:tcPr>
            <w:tcW w:w="372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4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2018 Replacement Term Loans</w:t>
            </w:r>
          </w:p>
        </w:tc>
        <w:tc>
          <w:tcPr>
            <w:tcW w:w="3720" w:type="dxa"/>
            <w:vAlign w:val="bottom"/>
            <w:tcBorders>
              <w:right w:val="single" w:sz="8" w:color="auto"/>
            </w:tcBorders>
          </w:tcPr>
          <w:p>
            <w:pPr>
              <w:ind w:left="20"/>
              <w:spacing w:after="0" w:line="197" w:lineRule="exact"/>
              <w:rPr>
                <w:sz w:val="20"/>
                <w:szCs w:val="20"/>
                <w:color w:val="auto"/>
              </w:rPr>
            </w:pPr>
            <w:r>
              <w:rPr>
                <w:rFonts w:ascii="Times New Roman" w:cs="Times New Roman" w:eastAsia="Times New Roman" w:hAnsi="Times New Roman"/>
                <w:sz w:val="22"/>
                <w:szCs w:val="22"/>
                <w:color w:val="auto"/>
              </w:rPr>
              <w:t>From and after Fourth Amendment</w:t>
            </w:r>
          </w:p>
        </w:tc>
        <w:tc>
          <w:tcPr>
            <w:tcW w:w="3700" w:type="dxa"/>
            <w:vAlign w:val="bottom"/>
            <w:tcBorders>
              <w:right w:val="single" w:sz="8" w:color="auto"/>
            </w:tcBorders>
          </w:tcPr>
          <w:p>
            <w:pPr>
              <w:spacing w:after="0" w:line="197" w:lineRule="exact"/>
              <w:rPr>
                <w:sz w:val="20"/>
                <w:szCs w:val="20"/>
                <w:color w:val="auto"/>
              </w:rPr>
            </w:pPr>
            <w:r>
              <w:rPr>
                <w:rFonts w:ascii="Times New Roman" w:cs="Times New Roman" w:eastAsia="Times New Roman" w:hAnsi="Times New Roman"/>
                <w:sz w:val="22"/>
                <w:szCs w:val="22"/>
                <w:color w:val="auto"/>
              </w:rPr>
              <w:t>From and after the Fourth Amendment</w:t>
            </w:r>
          </w:p>
        </w:tc>
        <w:tc>
          <w:tcPr>
            <w:tcW w:w="0" w:type="dxa"/>
            <w:vAlign w:val="bottom"/>
          </w:tcPr>
          <w:p>
            <w:pPr>
              <w:spacing w:after="0"/>
              <w:rPr>
                <w:sz w:val="1"/>
                <w:szCs w:val="1"/>
                <w:color w:val="auto"/>
              </w:rPr>
            </w:pPr>
          </w:p>
        </w:tc>
      </w:tr>
      <w:tr>
        <w:trPr>
          <w:trHeight w:val="283"/>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Effective Date: 1.75%</w:t>
            </w:r>
          </w:p>
        </w:tc>
        <w:tc>
          <w:tcPr>
            <w:tcW w:w="3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Effective Date: 0.75%</w:t>
            </w:r>
          </w:p>
        </w:tc>
        <w:tc>
          <w:tcPr>
            <w:tcW w:w="0" w:type="dxa"/>
            <w:vAlign w:val="bottom"/>
          </w:tcPr>
          <w:p>
            <w:pPr>
              <w:spacing w:after="0"/>
              <w:rPr>
                <w:sz w:val="1"/>
                <w:szCs w:val="1"/>
                <w:color w:val="auto"/>
              </w:rPr>
            </w:pPr>
          </w:p>
        </w:tc>
      </w:tr>
      <w:tr>
        <w:trPr>
          <w:trHeight w:val="196"/>
        </w:trPr>
        <w:tc>
          <w:tcPr>
            <w:tcW w:w="384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Revolving Loans in respect of Fifth</w:t>
            </w:r>
          </w:p>
        </w:tc>
        <w:tc>
          <w:tcPr>
            <w:tcW w:w="3720" w:type="dxa"/>
            <w:vAlign w:val="bottom"/>
            <w:tcBorders>
              <w:right w:val="single" w:sz="8" w:color="auto"/>
            </w:tcBorders>
          </w:tcPr>
          <w:p>
            <w:pPr>
              <w:ind w:left="20"/>
              <w:spacing w:after="0" w:line="197" w:lineRule="exact"/>
              <w:rPr>
                <w:sz w:val="20"/>
                <w:szCs w:val="20"/>
                <w:color w:val="auto"/>
              </w:rPr>
            </w:pPr>
            <w:r>
              <w:rPr>
                <w:rFonts w:ascii="Times New Roman" w:cs="Times New Roman" w:eastAsia="Times New Roman" w:hAnsi="Times New Roman"/>
                <w:sz w:val="22"/>
                <w:szCs w:val="22"/>
                <w:color w:val="auto"/>
              </w:rPr>
              <w:t>2.00%</w:t>
            </w:r>
          </w:p>
        </w:tc>
        <w:tc>
          <w:tcPr>
            <w:tcW w:w="3700" w:type="dxa"/>
            <w:vAlign w:val="bottom"/>
            <w:tcBorders>
              <w:right w:val="single" w:sz="8" w:color="auto"/>
            </w:tcBorders>
          </w:tcPr>
          <w:p>
            <w:pPr>
              <w:spacing w:after="0" w:line="197" w:lineRule="exact"/>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Amendment Extended Revolving</w:t>
            </w:r>
          </w:p>
        </w:tc>
        <w:tc>
          <w:tcPr>
            <w:tcW w:w="37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Commitments</w:t>
            </w:r>
          </w:p>
        </w:tc>
        <w:tc>
          <w:tcPr>
            <w:tcW w:w="372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4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Revolving Loans in respect of Fifth</w:t>
            </w:r>
          </w:p>
        </w:tc>
        <w:tc>
          <w:tcPr>
            <w:tcW w:w="3720" w:type="dxa"/>
            <w:vAlign w:val="bottom"/>
            <w:tcBorders>
              <w:right w:val="single" w:sz="8" w:color="auto"/>
            </w:tcBorders>
          </w:tcPr>
          <w:p>
            <w:pPr>
              <w:ind w:left="20"/>
              <w:spacing w:after="0" w:line="197" w:lineRule="exact"/>
              <w:rPr>
                <w:sz w:val="20"/>
                <w:szCs w:val="20"/>
                <w:color w:val="auto"/>
              </w:rPr>
            </w:pPr>
            <w:r>
              <w:rPr>
                <w:rFonts w:ascii="Times New Roman" w:cs="Times New Roman" w:eastAsia="Times New Roman" w:hAnsi="Times New Roman"/>
                <w:sz w:val="22"/>
                <w:szCs w:val="22"/>
                <w:color w:val="auto"/>
              </w:rPr>
              <w:t>2.25%</w:t>
            </w:r>
          </w:p>
        </w:tc>
        <w:tc>
          <w:tcPr>
            <w:tcW w:w="3700" w:type="dxa"/>
            <w:vAlign w:val="bottom"/>
            <w:tcBorders>
              <w:right w:val="single" w:sz="8" w:color="auto"/>
            </w:tcBorders>
          </w:tcPr>
          <w:p>
            <w:pPr>
              <w:spacing w:after="0" w:line="197" w:lineRule="exact"/>
              <w:rPr>
                <w:sz w:val="20"/>
                <w:szCs w:val="20"/>
                <w:color w:val="auto"/>
              </w:rPr>
            </w:pPr>
            <w:r>
              <w:rPr>
                <w:rFonts w:ascii="Times New Roman" w:cs="Times New Roman" w:eastAsia="Times New Roman" w:hAnsi="Times New Roman"/>
                <w:sz w:val="22"/>
                <w:szCs w:val="22"/>
                <w:color w:val="auto"/>
              </w:rPr>
              <w:t>1.25%</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Amendment Non-Extended Revolving</w:t>
            </w:r>
          </w:p>
        </w:tc>
        <w:tc>
          <w:tcPr>
            <w:tcW w:w="372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Commitments</w:t>
            </w:r>
          </w:p>
        </w:tc>
        <w:tc>
          <w:tcPr>
            <w:tcW w:w="372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780" w:firstLine="1302"/>
        <w:spacing w:after="0" w:line="274" w:lineRule="auto"/>
        <w:tabs>
          <w:tab w:leader="none" w:pos="157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Commitment Fee Rate</w:t>
      </w:r>
      <w:r>
        <w:rPr>
          <w:rFonts w:ascii="Times New Roman" w:cs="Times New Roman" w:eastAsia="Times New Roman" w:hAnsi="Times New Roman"/>
          <w:sz w:val="22"/>
          <w:szCs w:val="22"/>
          <w:color w:val="auto"/>
        </w:rPr>
        <w:t>” appearing in Section 1.01 of the Credit Agreement is hereby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 Fee Rate</w:t>
      </w:r>
      <w:r>
        <w:rPr>
          <w:rFonts w:ascii="Times New Roman" w:cs="Times New Roman" w:eastAsia="Times New Roman" w:hAnsi="Times New Roman"/>
          <w:sz w:val="22"/>
          <w:szCs w:val="22"/>
          <w:color w:val="auto"/>
        </w:rPr>
        <w:t>” shall mean (x) in respect of Fifth Amendment Extended Revolving Commitments,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0.625% per annum and (y) in respect of Fifth Amendment Non-Extended Revolving Commitments, 0.75% per annum.”.</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firstLine="1302"/>
        <w:spacing w:after="0" w:line="265" w:lineRule="auto"/>
        <w:tabs>
          <w:tab w:leader="none" w:pos="159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LIBO Rate</w:t>
      </w:r>
      <w:r>
        <w:rPr>
          <w:rFonts w:ascii="Times New Roman" w:cs="Times New Roman" w:eastAsia="Times New Roman" w:hAnsi="Times New Roman"/>
          <w:sz w:val="22"/>
          <w:szCs w:val="22"/>
          <w:color w:val="auto"/>
        </w:rPr>
        <w:t>” appearing in Section 1.01 of the Credit Agreement is hereby amended by adding “and Revolving Loans in respect of Fifth Amendment Extended Revolving Commitments” after “solely in respect of the 2017 Replacement Term Loans” where it is used therein.</w:t>
      </w:r>
    </w:p>
    <w:p>
      <w:pPr>
        <w:spacing w:after="0" w:line="159" w:lineRule="exact"/>
        <w:rPr>
          <w:rFonts w:ascii="Times New Roman" w:cs="Times New Roman" w:eastAsia="Times New Roman" w:hAnsi="Times New Roman"/>
          <w:sz w:val="22"/>
          <w:szCs w:val="22"/>
          <w:color w:val="auto"/>
        </w:rPr>
      </w:pPr>
    </w:p>
    <w:p>
      <w:pPr>
        <w:ind w:right="480" w:firstLine="1302"/>
        <w:spacing w:after="0" w:line="274" w:lineRule="auto"/>
        <w:tabs>
          <w:tab w:leader="none" w:pos="157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Revolving Facility Maturity Date</w:t>
      </w:r>
      <w:r>
        <w:rPr>
          <w:rFonts w:ascii="Times New Roman" w:cs="Times New Roman" w:eastAsia="Times New Roman" w:hAnsi="Times New Roman"/>
          <w:sz w:val="22"/>
          <w:szCs w:val="22"/>
          <w:color w:val="auto"/>
        </w:rPr>
        <w:t>” appearing in Section 1.01 of the Credit Agreement is hereby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60"/>
          </w:cols>
          <w:pgMar w:left="320" w:top="1440" w:right="319" w:bottom="1440" w:gutter="0" w:footer="0" w:header="0"/>
        </w:sectPr>
      </w:pPr>
    </w:p>
    <w:bookmarkStart w:id="222" w:name="page223"/>
    <w:bookmarkEnd w:id="2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820" w:firstLine="971"/>
        <w:spacing w:after="0" w:line="27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Revolving Facility Maturity Date</w:t>
      </w:r>
      <w:r>
        <w:rPr>
          <w:rFonts w:ascii="Times New Roman" w:cs="Times New Roman" w:eastAsia="Times New Roman" w:hAnsi="Times New Roman"/>
          <w:sz w:val="20"/>
          <w:szCs w:val="20"/>
          <w:color w:val="auto"/>
        </w:rPr>
        <w:t>” shall mean, (a) with respect to Fifth Amendment Extended Revolving Commitments, that have not been extended pursuant to Section 2.28(b), but including Revolving Commitments extended or made available pursuant to the Fifth Amendment, October 13, 2023, (b) with respect to Fifth Amendment Non-Extended Revolving Commitments that have not been extended pursuant to Section 2.28(b), October 13, 2022 and</w:t>
      </w:r>
    </w:p>
    <w:p>
      <w:pPr>
        <w:spacing w:after="0" w:line="1" w:lineRule="exact"/>
        <w:rPr>
          <w:sz w:val="20"/>
          <w:szCs w:val="20"/>
          <w:color w:val="auto"/>
        </w:rPr>
      </w:pPr>
    </w:p>
    <w:p>
      <w:pPr>
        <w:jc w:val="both"/>
        <w:ind w:left="820" w:hanging="2"/>
        <w:spacing w:after="0" w:line="245" w:lineRule="auto"/>
        <w:tabs>
          <w:tab w:leader="none" w:pos="113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Extended Revolving Commitments extended after the Fifth Amendment Effective Date, the final maturity date therefor as specified in the applicable Extension Offer accepted by the respective Revolving Lender or Revolving Lenders.”;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7" w:lineRule="exact"/>
        <w:rPr>
          <w:rFonts w:ascii="Times New Roman" w:cs="Times New Roman" w:eastAsia="Times New Roman" w:hAnsi="Times New Roman"/>
          <w:sz w:val="22"/>
          <w:szCs w:val="22"/>
          <w:color w:val="auto"/>
        </w:rPr>
      </w:pPr>
    </w:p>
    <w:p>
      <w:pPr>
        <w:ind w:right="180" w:firstLine="1303"/>
        <w:spacing w:after="0" w:line="287" w:lineRule="auto"/>
        <w:tabs>
          <w:tab w:leader="none" w:pos="1555"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Revolving Commitment</w:t>
      </w:r>
      <w:r>
        <w:rPr>
          <w:rFonts w:ascii="Times New Roman" w:cs="Times New Roman" w:eastAsia="Times New Roman" w:hAnsi="Times New Roman"/>
          <w:sz w:val="22"/>
          <w:szCs w:val="22"/>
          <w:color w:val="auto"/>
        </w:rPr>
        <w:t>” is hereby amended by deleting the last sentence of said definition in its entirety and inserting in lieu thereof the following new sentence: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220" w:firstLine="647"/>
        <w:spacing w:after="0" w:line="256" w:lineRule="auto"/>
        <w:rPr>
          <w:sz w:val="20"/>
          <w:szCs w:val="20"/>
          <w:color w:val="auto"/>
        </w:rPr>
      </w:pPr>
      <w:r>
        <w:rPr>
          <w:rFonts w:ascii="Times New Roman" w:cs="Times New Roman" w:eastAsia="Times New Roman" w:hAnsi="Times New Roman"/>
          <w:sz w:val="22"/>
          <w:szCs w:val="22"/>
          <w:color w:val="auto"/>
        </w:rPr>
        <w:t>“The aggregate amount of the Total Revolving Commitments as of the Fifth Amendment Effective Date is $1,000,000,000, consisting of $985,600,000 of Extended Revolver Commitments and $14,400,000 of Fifth Amendment Non-Extended Revolver Commitments.;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(g) Section 2.09 of the Credit Agreement is hereby amended by inserting the following sentence at the end of the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paragraph:</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1300" w:firstLine="647"/>
        <w:spacing w:after="0" w:line="278" w:lineRule="auto"/>
        <w:rPr>
          <w:sz w:val="20"/>
          <w:szCs w:val="20"/>
          <w:color w:val="auto"/>
        </w:rPr>
      </w:pPr>
      <w:r>
        <w:rPr>
          <w:rFonts w:ascii="Times New Roman" w:cs="Times New Roman" w:eastAsia="Times New Roman" w:hAnsi="Times New Roman"/>
          <w:sz w:val="20"/>
          <w:szCs w:val="20"/>
          <w:color w:val="auto"/>
        </w:rPr>
        <w:t>“Notwithstanding any provision to the contrary set forth in this Agreement, the Revolving Lenders agree that in the event the Administrative Agent determines, pursuant to and in accordance with this Section 2.09, that reasonable means do not exist for ascertaining the applicable LIBO Rate and the Administrative Agent and the Borrower mutually determine that the syndicated loan market has broadly accepted a replacement standard for the LIBO Rate, then the Administrative Agent and Borrower may, without the consent of any Revolving Lender and solely with respect to the Revolving Loans, amend this Agreement to adopt such new broadly accepted market standard and to make such other changes as shall be necessary or appropriate in the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60"/>
          </w:cols>
          <w:pgMar w:left="400" w:top="1440" w:right="339" w:bottom="1440" w:gutter="0" w:footer="0" w:header="0"/>
        </w:sectPr>
      </w:pPr>
    </w:p>
    <w:bookmarkStart w:id="223" w:name="page224"/>
    <w:bookmarkEnd w:id="223"/>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1380"/>
        <w:spacing w:after="0" w:line="270" w:lineRule="auto"/>
        <w:rPr>
          <w:sz w:val="20"/>
          <w:szCs w:val="20"/>
          <w:color w:val="auto"/>
        </w:rPr>
      </w:pPr>
      <w:r>
        <w:rPr>
          <w:rFonts w:ascii="Times New Roman" w:cs="Times New Roman" w:eastAsia="Times New Roman" w:hAnsi="Times New Roman"/>
          <w:sz w:val="22"/>
          <w:szCs w:val="22"/>
          <w:color w:val="auto"/>
        </w:rPr>
        <w:t>determination of the Administrative Agent and the Borrower in order to implement such new market standard herein and in the other Loan Documents.”;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(h) Section 2.20(a) of the Credit Agreement is here 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1380"/>
        <w:spacing w:after="0" w:line="247" w:lineRule="auto"/>
        <w:rPr>
          <w:sz w:val="20"/>
          <w:szCs w:val="20"/>
          <w:color w:val="auto"/>
        </w:rPr>
      </w:pPr>
      <w:r>
        <w:rPr>
          <w:rFonts w:ascii="Times New Roman" w:cs="Times New Roman" w:eastAsia="Times New Roman" w:hAnsi="Times New Roman"/>
          <w:sz w:val="22"/>
          <w:szCs w:val="22"/>
          <w:color w:val="auto"/>
        </w:rPr>
        <w:t>“The Borrower shall pay to the Administrative Agent for the accounts of the Revolving Lenders a commitment fee (the “</w:t>
      </w:r>
      <w:r>
        <w:rPr>
          <w:rFonts w:ascii="Times New Roman" w:cs="Times New Roman" w:eastAsia="Times New Roman" w:hAnsi="Times New Roman"/>
          <w:sz w:val="22"/>
          <w:szCs w:val="22"/>
          <w:i w:val="1"/>
          <w:iCs w:val="1"/>
          <w:color w:val="auto"/>
        </w:rPr>
        <w:t>Commitment Fee</w:t>
      </w:r>
      <w:r>
        <w:rPr>
          <w:rFonts w:ascii="Times New Roman" w:cs="Times New Roman" w:eastAsia="Times New Roman" w:hAnsi="Times New Roman"/>
          <w:sz w:val="22"/>
          <w:szCs w:val="22"/>
          <w:color w:val="auto"/>
        </w:rPr>
        <w:t>”) for the period commencing on the Closing Date to the Revolving Facility Termination Date with respect to the applicable Revolving Commitments or the earlier date of termination of the applicable Revolving Commitment, computed (on the basis of the actual number of days elapsed over a year of 360 days) at the Commitment Fee Rate on the average daily Unused Total Revolving Commitment. Such Commitment Fee, to the extent then accrued, shall be payable quarterly in arrears (a) following the Revolver Availability Date on the last Business Day of each March, June, September and December, (b) on the Revolving Facility Termination Date with respect to the applicable Revolving Commitments and (c) as provided in Section 2.11, upon any reduction or termination in whole or in part of the Total Revolving Commitment (provided that such fee will be prorated based on the Commitment Fee set forth in the Fifth Amendment for the fiscal quarter in which the Fifth Amendment Effective Date occurs).”; and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380" w:right="2960" w:firstLine="3"/>
        <w:spacing w:after="0" w:line="999" w:lineRule="auto"/>
        <w:tabs>
          <w:tab w:leader="none" w:pos="162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shall be added as a new Section 2.29 to the Credit Agreement: “Section 2.29 Fifth Amendment Non-Extending Revolving Lenders</w:t>
      </w:r>
    </w:p>
    <w:p>
      <w:pPr>
        <w:ind w:right="240" w:firstLine="1295"/>
        <w:spacing w:after="0" w:line="256" w:lineRule="auto"/>
        <w:rPr>
          <w:sz w:val="20"/>
          <w:szCs w:val="20"/>
          <w:color w:val="auto"/>
        </w:rPr>
      </w:pPr>
      <w:r>
        <w:rPr>
          <w:rFonts w:ascii="Times New Roman" w:cs="Times New Roman" w:eastAsia="Times New Roman" w:hAnsi="Times New Roman"/>
          <w:sz w:val="22"/>
          <w:szCs w:val="22"/>
          <w:color w:val="auto"/>
        </w:rPr>
        <w:t>If any LC Exposure of any Fifth Amendment Non-Extending Revolving Lender exists on the Revolving Facility Maturity Date applicable to the Fifth Amendment Non-Extended Revolving Commitments of such Fifth Amendment Non-Extending Revolving Lender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1380" w:firstLine="3"/>
        <w:spacing w:after="0" w:line="248" w:lineRule="auto"/>
        <w:tabs>
          <w:tab w:leader="none" w:pos="167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 Exposure of such Fifth Amendment Non-Extending Revolving Lender will, upon at least two (2) Business Days prior notice to the Borrower and the other Revolving Lenders by the Administrative Agent, and subject in any event to the limitation in the first proviso below, automatically be reallocated (effective on the day specified in such notice) among the Fifth Amendment Extending Revolving Lenders pro rata in accordance with their respective Revolving Commitments; provided that (A) the Revolving Extensions of Credit of each such Revolving Lender may not in any event exceed the Revolving Commitment of such Revolving Lender as in effect at the time of such reallocation and (B) at the time of such reallocation, no Event of Default pursuant to Section 7.01(b), (f) or (g) has occurred and is continuing; and</w:t>
      </w:r>
    </w:p>
    <w:p>
      <w:pPr>
        <w:spacing w:after="0" w:line="197" w:lineRule="exact"/>
        <w:rPr>
          <w:rFonts w:ascii="Times New Roman" w:cs="Times New Roman" w:eastAsia="Times New Roman" w:hAnsi="Times New Roman"/>
          <w:sz w:val="22"/>
          <w:szCs w:val="22"/>
          <w:color w:val="auto"/>
        </w:rPr>
      </w:pPr>
    </w:p>
    <w:p>
      <w:pPr>
        <w:jc w:val="both"/>
        <w:ind w:left="1380" w:firstLine="3"/>
        <w:spacing w:after="0" w:line="279" w:lineRule="auto"/>
        <w:tabs>
          <w:tab w:leader="none" w:pos="175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portion (the “</w:t>
      </w:r>
      <w:r>
        <w:rPr>
          <w:rFonts w:ascii="Times New Roman" w:cs="Times New Roman" w:eastAsia="Times New Roman" w:hAnsi="Times New Roman"/>
          <w:sz w:val="20"/>
          <w:szCs w:val="20"/>
          <w:i w:val="1"/>
          <w:iCs w:val="1"/>
          <w:color w:val="auto"/>
        </w:rPr>
        <w:t>Unreallocated Portion</w:t>
      </w:r>
      <w:r>
        <w:rPr>
          <w:rFonts w:ascii="Times New Roman" w:cs="Times New Roman" w:eastAsia="Times New Roman" w:hAnsi="Times New Roman"/>
          <w:sz w:val="20"/>
          <w:szCs w:val="20"/>
          <w:color w:val="auto"/>
        </w:rPr>
        <w:t>”) of the Fifth Amendment Non-Extending Revolving Lender’s LC Exposure cannot be so reallocated, whether by reason of the first proviso in clause (i) above or otherwise, the Borrower will, not later than three (3) Business Days after demand by the Administrative Agent, (A) Cash Collateralize the obligations of the Borrower to the Issuing Lenders in respect of such LC Exposure in an amount at least equal to the aggregate amount of the Unreallocated Portion of such LC Exposure or (B) make other arrangements reasonably satisfactory to the Administrative Agent and the Issuing Lenders to protect them against non-payment by such Fifth Amendment Non-Extending Revolving Lender.”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(j) “Annex A” of the Credit Agreement is hereby amended and restated in its entirety in the form attached hereto</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as Schedule 1.</w:t>
      </w:r>
    </w:p>
    <w:p>
      <w:pPr>
        <w:spacing w:after="0" w:line="195" w:lineRule="exact"/>
        <w:rPr>
          <w:sz w:val="20"/>
          <w:szCs w:val="20"/>
          <w:color w:val="auto"/>
        </w:rPr>
      </w:pPr>
    </w:p>
    <w:p>
      <w:pPr>
        <w:jc w:val="both"/>
        <w:ind w:left="80" w:right="20" w:firstLine="1214"/>
        <w:spacing w:after="0" w:line="263" w:lineRule="auto"/>
        <w:rPr>
          <w:sz w:val="20"/>
          <w:szCs w:val="20"/>
          <w:color w:val="auto"/>
        </w:rPr>
      </w:pPr>
      <w:r>
        <w:rPr>
          <w:rFonts w:ascii="Times New Roman" w:cs="Times New Roman" w:eastAsia="Times New Roman" w:hAnsi="Times New Roman"/>
          <w:sz w:val="22"/>
          <w:szCs w:val="22"/>
          <w:color w:val="auto"/>
        </w:rPr>
        <w:t>Notwithstanding anything in this Fifth Amendment or the Credit Agreement to the contrary, the Administrative Agent hereby waives the minimum notice required by Section 2.28(e) of the Credit Agreement in connection with the Revolver Extension to be effected pursuant to this Fifth Amendment.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1295"/>
        <w:spacing w:after="0" w:line="270" w:lineRule="auto"/>
        <w:rPr>
          <w:sz w:val="20"/>
          <w:szCs w:val="20"/>
          <w:color w:val="auto"/>
        </w:rPr>
      </w:pPr>
      <w:r>
        <w:rPr>
          <w:rFonts w:ascii="Times New Roman" w:cs="Times New Roman" w:eastAsia="Times New Roman" w:hAnsi="Times New Roman"/>
          <w:sz w:val="22"/>
          <w:szCs w:val="22"/>
          <w:u w:val="single" w:color="auto"/>
          <w:color w:val="auto"/>
        </w:rPr>
        <w:t>SECTION THREE - Titles and Roles.</w:t>
      </w:r>
      <w:r>
        <w:rPr>
          <w:rFonts w:ascii="Times New Roman" w:cs="Times New Roman" w:eastAsia="Times New Roman" w:hAnsi="Times New Roman"/>
          <w:sz w:val="22"/>
          <w:szCs w:val="22"/>
          <w:color w:val="auto"/>
        </w:rPr>
        <w:t xml:space="preserve"> The parties hereto agree that, as of the Fifth Amendment Effective Date (as defined below) and in connection with the Fifth Amendment:</w:t>
      </w:r>
    </w:p>
    <w:p>
      <w:pPr>
        <w:spacing w:after="0" w:line="155" w:lineRule="exact"/>
        <w:rPr>
          <w:sz w:val="20"/>
          <w:szCs w:val="20"/>
          <w:color w:val="auto"/>
        </w:rPr>
      </w:pPr>
    </w:p>
    <w:p>
      <w:pPr>
        <w:jc w:val="both"/>
        <w:ind w:firstLine="1302"/>
        <w:spacing w:after="0" w:line="265" w:lineRule="auto"/>
        <w:tabs>
          <w:tab w:leader="none" w:pos="160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Deutsche Bank Securities Inc. (“</w:t>
      </w:r>
      <w:r>
        <w:rPr>
          <w:rFonts w:ascii="Times New Roman" w:cs="Times New Roman" w:eastAsia="Times New Roman" w:hAnsi="Times New Roman"/>
          <w:sz w:val="22"/>
          <w:szCs w:val="22"/>
          <w:i w:val="1"/>
          <w:iCs w:val="1"/>
          <w:color w:val="auto"/>
        </w:rPr>
        <w:t>DBSI</w:t>
      </w:r>
      <w:r>
        <w:rPr>
          <w:rFonts w:ascii="Times New Roman" w:cs="Times New Roman" w:eastAsia="Times New Roman" w:hAnsi="Times New Roman"/>
          <w:sz w:val="22"/>
          <w:szCs w:val="22"/>
          <w:color w:val="auto"/>
        </w:rPr>
        <w:t>”), Barclays Bank PLC (“</w:t>
      </w:r>
      <w:r>
        <w:rPr>
          <w:rFonts w:ascii="Times New Roman" w:cs="Times New Roman" w:eastAsia="Times New Roman" w:hAnsi="Times New Roman"/>
          <w:sz w:val="22"/>
          <w:szCs w:val="22"/>
          <w:i w:val="1"/>
          <w:iCs w:val="1"/>
          <w:color w:val="auto"/>
        </w:rPr>
        <w:t>Barclays</w:t>
      </w:r>
      <w:r>
        <w:rPr>
          <w:rFonts w:ascii="Times New Roman" w:cs="Times New Roman" w:eastAsia="Times New Roman" w:hAnsi="Times New Roman"/>
          <w:sz w:val="22"/>
          <w:szCs w:val="22"/>
          <w:color w:val="auto"/>
        </w:rPr>
        <w:t>”), Citigroup Global Markets Inc. (“</w:t>
      </w:r>
      <w:r>
        <w:rPr>
          <w:rFonts w:ascii="Times New Roman" w:cs="Times New Roman" w:eastAsia="Times New Roman" w:hAnsi="Times New Roman"/>
          <w:sz w:val="22"/>
          <w:szCs w:val="22"/>
          <w:i w:val="1"/>
          <w:iCs w:val="1"/>
          <w:color w:val="auto"/>
        </w:rPr>
        <w:t>Citi</w:t>
      </w:r>
      <w:r>
        <w:rPr>
          <w:rFonts w:ascii="Times New Roman" w:cs="Times New Roman" w:eastAsia="Times New Roman" w:hAnsi="Times New Roman"/>
          <w:sz w:val="22"/>
          <w:szCs w:val="22"/>
          <w:color w:val="auto"/>
        </w:rPr>
        <w:t>”), Credit Suisse Securities (USA) LLC (“</w:t>
      </w:r>
      <w:r>
        <w:rPr>
          <w:rFonts w:ascii="Times New Roman" w:cs="Times New Roman" w:eastAsia="Times New Roman" w:hAnsi="Times New Roman"/>
          <w:sz w:val="22"/>
          <w:szCs w:val="22"/>
          <w:i w:val="1"/>
          <w:iCs w:val="1"/>
          <w:color w:val="auto"/>
        </w:rPr>
        <w:t>CS Securities</w:t>
      </w:r>
      <w:r>
        <w:rPr>
          <w:rFonts w:ascii="Times New Roman" w:cs="Times New Roman" w:eastAsia="Times New Roman" w:hAnsi="Times New Roman"/>
          <w:sz w:val="22"/>
          <w:szCs w:val="22"/>
          <w:color w:val="auto"/>
        </w:rPr>
        <w:t>”), Goldman Sachs Lending Partners LLC (“</w:t>
      </w:r>
      <w:r>
        <w:rPr>
          <w:rFonts w:ascii="Times New Roman" w:cs="Times New Roman" w:eastAsia="Times New Roman" w:hAnsi="Times New Roman"/>
          <w:sz w:val="22"/>
          <w:szCs w:val="22"/>
          <w:i w:val="1"/>
          <w:iCs w:val="1"/>
          <w:color w:val="auto"/>
        </w:rPr>
        <w:t>GSLP</w:t>
      </w:r>
      <w:r>
        <w:rPr>
          <w:rFonts w:ascii="Times New Roman" w:cs="Times New Roman" w:eastAsia="Times New Roman" w:hAnsi="Times New Roman"/>
          <w:sz w:val="22"/>
          <w:szCs w:val="22"/>
          <w:color w:val="auto"/>
        </w:rPr>
        <w:t>”), Industrial and Commercial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of China Limited, New York Branch (“</w:t>
      </w:r>
      <w:r>
        <w:rPr>
          <w:rFonts w:ascii="Times New Roman" w:cs="Times New Roman" w:eastAsia="Times New Roman" w:hAnsi="Times New Roman"/>
          <w:sz w:val="22"/>
          <w:szCs w:val="22"/>
          <w:i w:val="1"/>
          <w:iCs w:val="1"/>
          <w:color w:val="auto"/>
        </w:rPr>
        <w:t>ICBC</w:t>
      </w:r>
      <w:r>
        <w:rPr>
          <w:rFonts w:ascii="Times New Roman" w:cs="Times New Roman" w:eastAsia="Times New Roman" w:hAnsi="Times New Roman"/>
          <w:sz w:val="22"/>
          <w:szCs w:val="22"/>
          <w:color w:val="auto"/>
        </w:rPr>
        <w:t>”), JPMorgan Chase Bank, N.A. (“</w:t>
      </w:r>
      <w:r>
        <w:rPr>
          <w:rFonts w:ascii="Times New Roman" w:cs="Times New Roman" w:eastAsia="Times New Roman" w:hAnsi="Times New Roman"/>
          <w:sz w:val="22"/>
          <w:szCs w:val="22"/>
          <w:i w:val="1"/>
          <w:iCs w:val="1"/>
          <w:color w:val="auto"/>
        </w:rPr>
        <w:t>JPMCB</w:t>
      </w:r>
      <w:r>
        <w:rPr>
          <w:rFonts w:ascii="Times New Roman" w:cs="Times New Roman" w:eastAsia="Times New Roman" w:hAnsi="Times New Roman"/>
          <w:sz w:val="22"/>
          <w:szCs w:val="22"/>
          <w:color w:val="auto"/>
        </w:rPr>
        <w:t>”), Merrill Lynch, Pierce, Fenner &amp; Smith Incorporated (“</w:t>
      </w:r>
      <w:r>
        <w:rPr>
          <w:rFonts w:ascii="Times New Roman" w:cs="Times New Roman" w:eastAsia="Times New Roman" w:hAnsi="Times New Roman"/>
          <w:sz w:val="22"/>
          <w:szCs w:val="22"/>
          <w:i w:val="1"/>
          <w:iCs w:val="1"/>
          <w:color w:val="auto"/>
        </w:rPr>
        <w:t>ML</w:t>
      </w:r>
      <w:r>
        <w:rPr>
          <w:rFonts w:ascii="Times New Roman" w:cs="Times New Roman" w:eastAsia="Times New Roman" w:hAnsi="Times New Roman"/>
          <w:sz w:val="22"/>
          <w:szCs w:val="22"/>
          <w:color w:val="auto"/>
        </w:rPr>
        <w:t>”), Morgan Stanley Senior Funding, Inc. (“</w:t>
      </w:r>
      <w:r>
        <w:rPr>
          <w:rFonts w:ascii="Times New Roman" w:cs="Times New Roman" w:eastAsia="Times New Roman" w:hAnsi="Times New Roman"/>
          <w:sz w:val="22"/>
          <w:szCs w:val="22"/>
          <w:i w:val="1"/>
          <w:iCs w:val="1"/>
          <w:color w:val="auto"/>
        </w:rPr>
        <w:t>MS</w:t>
      </w:r>
      <w:r>
        <w:rPr>
          <w:rFonts w:ascii="Times New Roman" w:cs="Times New Roman" w:eastAsia="Times New Roman" w:hAnsi="Times New Roman"/>
          <w:sz w:val="22"/>
          <w:szCs w:val="22"/>
          <w:color w:val="auto"/>
        </w:rPr>
        <w:t>”), Sumitomo Mitsui Banking Corporation (“</w:t>
      </w:r>
      <w:r>
        <w:rPr>
          <w:rFonts w:ascii="Times New Roman" w:cs="Times New Roman" w:eastAsia="Times New Roman" w:hAnsi="Times New Roman"/>
          <w:sz w:val="22"/>
          <w:szCs w:val="22"/>
          <w:i w:val="1"/>
          <w:iCs w:val="1"/>
          <w:color w:val="auto"/>
        </w:rPr>
        <w:t>SMBC</w:t>
      </w:r>
      <w:r>
        <w:rPr>
          <w:rFonts w:ascii="Times New Roman" w:cs="Times New Roman" w:eastAsia="Times New Roman" w:hAnsi="Times New Roman"/>
          <w:sz w:val="22"/>
          <w:szCs w:val="22"/>
          <w:color w:val="auto"/>
        </w:rPr>
        <w:t>”), BNP Paribas Securities Corp. (“</w:t>
      </w:r>
      <w:r>
        <w:rPr>
          <w:rFonts w:ascii="Times New Roman" w:cs="Times New Roman" w:eastAsia="Times New Roman" w:hAnsi="Times New Roman"/>
          <w:sz w:val="22"/>
          <w:szCs w:val="22"/>
          <w:i w:val="1"/>
          <w:iCs w:val="1"/>
          <w:color w:val="auto"/>
        </w:rPr>
        <w:t>BNP Securities</w:t>
      </w:r>
      <w:r>
        <w:rPr>
          <w:rFonts w:ascii="Times New Roman" w:cs="Times New Roman" w:eastAsia="Times New Roman" w:hAnsi="Times New Roman"/>
          <w:sz w:val="22"/>
          <w:szCs w:val="22"/>
          <w:color w:val="auto"/>
        </w:rPr>
        <w:t>”), Credit Agricole Corporate and Investment Bank (“</w:t>
      </w:r>
      <w:r>
        <w:rPr>
          <w:rFonts w:ascii="Times New Roman" w:cs="Times New Roman" w:eastAsia="Times New Roman" w:hAnsi="Times New Roman"/>
          <w:sz w:val="22"/>
          <w:szCs w:val="22"/>
          <w:i w:val="1"/>
          <w:iCs w:val="1"/>
          <w:color w:val="auto"/>
        </w:rPr>
        <w:t>CA-CIB</w:t>
      </w:r>
      <w:r>
        <w:rPr>
          <w:rFonts w:ascii="Times New Roman" w:cs="Times New Roman" w:eastAsia="Times New Roman" w:hAnsi="Times New Roman"/>
          <w:sz w:val="22"/>
          <w:szCs w:val="22"/>
          <w:color w:val="auto"/>
        </w:rPr>
        <w:t>”), HSBC, MUFG, Standard Chartered Bank (“</w:t>
      </w:r>
      <w:r>
        <w:rPr>
          <w:rFonts w:ascii="Times New Roman" w:cs="Times New Roman" w:eastAsia="Times New Roman" w:hAnsi="Times New Roman"/>
          <w:sz w:val="22"/>
          <w:szCs w:val="22"/>
          <w:i w:val="1"/>
          <w:iCs w:val="1"/>
          <w:color w:val="auto"/>
        </w:rPr>
        <w:t>SCB</w:t>
      </w:r>
      <w:r>
        <w:rPr>
          <w:rFonts w:ascii="Times New Roman" w:cs="Times New Roman" w:eastAsia="Times New Roman" w:hAnsi="Times New Roman"/>
          <w:sz w:val="22"/>
          <w:szCs w:val="22"/>
          <w:color w:val="auto"/>
        </w:rPr>
        <w:t>”), U.S. Bank National Association (“</w:t>
      </w:r>
      <w:r>
        <w:rPr>
          <w:rFonts w:ascii="Times New Roman" w:cs="Times New Roman" w:eastAsia="Times New Roman" w:hAnsi="Times New Roman"/>
          <w:sz w:val="22"/>
          <w:szCs w:val="22"/>
          <w:i w:val="1"/>
          <w:iCs w:val="1"/>
          <w:color w:val="auto"/>
        </w:rPr>
        <w:t>US Bank</w:t>
      </w:r>
      <w:r>
        <w:rPr>
          <w:rFonts w:ascii="Times New Roman" w:cs="Times New Roman" w:eastAsia="Times New Roman" w:hAnsi="Times New Roman"/>
          <w:sz w:val="22"/>
          <w:szCs w:val="22"/>
          <w:color w:val="auto"/>
        </w:rPr>
        <w:t>”), and BoT shall be designated as, and perform the roles associated with, a joint lead arranger and bookrunner;</w:t>
      </w:r>
    </w:p>
    <w:p>
      <w:pPr>
        <w:spacing w:after="0" w:line="176" w:lineRule="exact"/>
        <w:rPr>
          <w:sz w:val="20"/>
          <w:szCs w:val="20"/>
          <w:color w:val="auto"/>
        </w:rPr>
      </w:pPr>
    </w:p>
    <w:p>
      <w:pPr>
        <w:ind w:firstLine="1302"/>
        <w:spacing w:after="0" w:line="270" w:lineRule="auto"/>
        <w:tabs>
          <w:tab w:leader="none" w:pos="161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DBSI, Barclays, Citi, CS Securities, GSLP, ICBC, JPMCB, Bank of America, N.A., MS and SMBC shall be designated as, and perform the roles associated with, a syndication agent; and</w:t>
      </w:r>
    </w:p>
    <w:p>
      <w:pPr>
        <w:spacing w:after="0" w:line="158" w:lineRule="exact"/>
        <w:rPr>
          <w:rFonts w:ascii="Times New Roman" w:cs="Times New Roman" w:eastAsia="Times New Roman" w:hAnsi="Times New Roman"/>
          <w:sz w:val="22"/>
          <w:szCs w:val="22"/>
          <w:color w:val="auto"/>
        </w:rPr>
      </w:pPr>
    </w:p>
    <w:p>
      <w:pPr>
        <w:ind w:firstLine="1302"/>
        <w:spacing w:after="0" w:line="283" w:lineRule="auto"/>
        <w:tabs>
          <w:tab w:leader="none" w:pos="158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BNP Securities, CA-CIB, HSBC, MUFG, SCB, US Bank, and BoT shall be designated as, and perform the roles associated with, a documentation agent.</w:t>
      </w:r>
    </w:p>
    <w:p>
      <w:pPr>
        <w:spacing w:after="0" w:line="145" w:lineRule="exact"/>
        <w:rPr>
          <w:sz w:val="20"/>
          <w:szCs w:val="20"/>
          <w:color w:val="auto"/>
        </w:rPr>
      </w:pPr>
    </w:p>
    <w:p>
      <w:pPr>
        <w:jc w:val="both"/>
        <w:ind w:firstLine="1295"/>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FOUR - Conditions to Effectiveness</w:t>
      </w:r>
      <w:r>
        <w:rPr>
          <w:rFonts w:ascii="Times New Roman" w:cs="Times New Roman" w:eastAsia="Times New Roman" w:hAnsi="Times New Roman"/>
          <w:sz w:val="22"/>
          <w:szCs w:val="22"/>
          <w:color w:val="auto"/>
        </w:rPr>
        <w:t>. The provisions of Sections One and Two of this Fifth Amendment shall become effective on the date (the “</w:t>
      </w:r>
      <w:r>
        <w:rPr>
          <w:rFonts w:ascii="Times New Roman" w:cs="Times New Roman" w:eastAsia="Times New Roman" w:hAnsi="Times New Roman"/>
          <w:sz w:val="22"/>
          <w:szCs w:val="22"/>
          <w:i w:val="1"/>
          <w:iCs w:val="1"/>
          <w:color w:val="auto"/>
        </w:rPr>
        <w:t>Fifth Amendment Effective Date</w:t>
      </w:r>
      <w:r>
        <w:rPr>
          <w:rFonts w:ascii="Times New Roman" w:cs="Times New Roman" w:eastAsia="Times New Roman" w:hAnsi="Times New Roman"/>
          <w:sz w:val="22"/>
          <w:szCs w:val="22"/>
          <w:color w:val="auto"/>
        </w:rPr>
        <w:t>”) when each of the following conditions specified below shall have been satisfied:</w:t>
      </w:r>
    </w:p>
    <w:p>
      <w:pPr>
        <w:spacing w:after="0" w:line="175" w:lineRule="exact"/>
        <w:rPr>
          <w:sz w:val="20"/>
          <w:szCs w:val="20"/>
          <w:color w:val="auto"/>
        </w:rPr>
      </w:pPr>
    </w:p>
    <w:p>
      <w:pPr>
        <w:jc w:val="both"/>
        <w:ind w:firstLine="1302"/>
        <w:spacing w:after="0" w:line="256" w:lineRule="auto"/>
        <w:tabs>
          <w:tab w:leader="none" w:pos="161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the Guarantor, the Administrative Agent, each Issuing Lender, each Consenting Revolving Lender and each New Revolving Lender shall have signed a counterpart hereof (whether the same or different counterparts) and shall have delivered the same to Milbank, Tweed, Hadley &amp; McCloy LLP, 28 Liberty Street, New York, NY 10005, attention: Zara Shirazi;</w:t>
      </w:r>
    </w:p>
    <w:p>
      <w:pPr>
        <w:spacing w:after="0" w:line="174" w:lineRule="exact"/>
        <w:rPr>
          <w:rFonts w:ascii="Times New Roman" w:cs="Times New Roman" w:eastAsia="Times New Roman" w:hAnsi="Times New Roman"/>
          <w:sz w:val="22"/>
          <w:szCs w:val="22"/>
          <w:color w:val="auto"/>
        </w:rPr>
      </w:pPr>
    </w:p>
    <w:p>
      <w:pPr>
        <w:jc w:val="both"/>
        <w:ind w:firstLine="1302"/>
        <w:spacing w:after="0" w:line="253" w:lineRule="auto"/>
        <w:tabs>
          <w:tab w:leader="none" w:pos="165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reasonable invoiced out-of-pocket expenses incurred by the Extending Revolving Lenders and the Administrative Agent pursuant to Section 10.04 of the Credit Agreement (including the reasonable and documented fees other than the Commitment Fee, charges and disbursements of counsel) and all accrued and unpaid fees, owing and payable (including any fees agreed to in connection with this Fifth Amendment) shall have been paid to the extent invoiced at least two (2) Business Days prior to the Fifth Amendment Effective Date (or such shorter period as may be agreed by the Borrower);</w:t>
      </w:r>
    </w:p>
    <w:p>
      <w:pPr>
        <w:spacing w:after="0" w:line="176" w:lineRule="exact"/>
        <w:rPr>
          <w:rFonts w:ascii="Times New Roman" w:cs="Times New Roman" w:eastAsia="Times New Roman" w:hAnsi="Times New Roman"/>
          <w:sz w:val="22"/>
          <w:szCs w:val="22"/>
          <w:color w:val="auto"/>
        </w:rPr>
      </w:pPr>
    </w:p>
    <w:p>
      <w:pPr>
        <w:jc w:val="both"/>
        <w:ind w:firstLine="1302"/>
        <w:spacing w:after="0" w:line="256" w:lineRule="auto"/>
        <w:tabs>
          <w:tab w:leader="none" w:pos="157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(or caused to be paid), for the account of each Extending Revolving Lender, a one time, non-refundable fee equal to the amount set forth in that certain Extending Revolving Lenders’ fee letter, among the Extending Revolving Lenders and the Borrower, dated as of the Fifth Amendment Effective Date;</w:t>
      </w:r>
    </w:p>
    <w:p>
      <w:pPr>
        <w:spacing w:after="0" w:line="188" w:lineRule="exact"/>
        <w:rPr>
          <w:rFonts w:ascii="Times New Roman" w:cs="Times New Roman" w:eastAsia="Times New Roman" w:hAnsi="Times New Roman"/>
          <w:sz w:val="22"/>
          <w:szCs w:val="22"/>
          <w:color w:val="auto"/>
        </w:rPr>
      </w:pPr>
    </w:p>
    <w:p>
      <w:pPr>
        <w:ind w:firstLine="1302"/>
        <w:spacing w:after="0" w:line="270" w:lineRule="auto"/>
        <w:tabs>
          <w:tab w:leader="none" w:pos="160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customary written opinion of Latham &amp; Watkins LLP, special counsel for Parent, the Borrower and each other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addressed to the Administrative Agent and the Revolving Lenders party hereto, and dated the Fifth Amendment Effective Date;</w:t>
      </w:r>
    </w:p>
    <w:p>
      <w:pPr>
        <w:spacing w:after="0" w:line="219" w:lineRule="exact"/>
        <w:rPr>
          <w:sz w:val="20"/>
          <w:szCs w:val="20"/>
          <w:color w:val="auto"/>
        </w:rPr>
      </w:pPr>
    </w:p>
    <w:p>
      <w:pPr>
        <w:jc w:val="both"/>
        <w:ind w:firstLine="1302"/>
        <w:spacing w:after="0" w:line="256" w:lineRule="auto"/>
        <w:tabs>
          <w:tab w:leader="none" w:pos="1579"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to the Administrative Agent (for the account of the Existing Revolving Lenders) all fees and interest accrued pursuant to Sections 2.07, 2.15, 2.16 and 2.21 of the Credit Agreement in respect of the Revolving Facility to, and including, the Fifth Amendment Effective Date, whether or not then due and payable under the terms of the Credit Agreement;</w:t>
      </w:r>
    </w:p>
    <w:p>
      <w:pPr>
        <w:spacing w:after="0" w:line="174" w:lineRule="exact"/>
        <w:rPr>
          <w:rFonts w:ascii="Times New Roman" w:cs="Times New Roman" w:eastAsia="Times New Roman" w:hAnsi="Times New Roman"/>
          <w:sz w:val="22"/>
          <w:szCs w:val="22"/>
          <w:color w:val="auto"/>
        </w:rPr>
      </w:pPr>
    </w:p>
    <w:p>
      <w:pPr>
        <w:ind w:left="1560" w:hanging="258"/>
        <w:spacing w:after="0"/>
        <w:tabs>
          <w:tab w:leader="none" w:pos="1560"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condition to the Revolving Extension effected pursuant to this Fifth Amendment set forth in Section 2.28(b)</w:t>
      </w:r>
    </w:p>
    <w:p>
      <w:pPr>
        <w:spacing w:after="0" w:line="50" w:lineRule="exact"/>
        <w:rPr>
          <w:rFonts w:ascii="Times New Roman" w:cs="Times New Roman" w:eastAsia="Times New Roman" w:hAnsi="Times New Roman"/>
          <w:sz w:val="20"/>
          <w:szCs w:val="20"/>
          <w:color w:val="auto"/>
        </w:rPr>
      </w:pPr>
    </w:p>
    <w:p>
      <w:pPr>
        <w:ind w:left="260" w:hanging="252"/>
        <w:spacing w:after="0"/>
        <w:tabs>
          <w:tab w:leader="none" w:pos="2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Section 2.28(c) of the Credit Agreement shall have been satisfied;</w:t>
      </w:r>
    </w:p>
    <w:p>
      <w:pPr>
        <w:spacing w:after="0" w:line="194" w:lineRule="exact"/>
        <w:rPr>
          <w:rFonts w:ascii="Times New Roman" w:cs="Times New Roman" w:eastAsia="Times New Roman" w:hAnsi="Times New Roman"/>
          <w:sz w:val="22"/>
          <w:szCs w:val="22"/>
          <w:color w:val="auto"/>
        </w:rPr>
      </w:pPr>
    </w:p>
    <w:p>
      <w:pPr>
        <w:jc w:val="both"/>
        <w:ind w:firstLine="1302"/>
        <w:spacing w:after="0" w:line="248" w:lineRule="auto"/>
        <w:tabs>
          <w:tab w:leader="none" w:pos="1604"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certificate of the Secretary or Assistant Secretary (or similar Responsible Officer), dated the Fifth Amendment Effective Date (i) certifying as to the incumbency and specimen signature of each Responsible Officer of the Borrower and the Guarantor executing this Fifth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Times New Roman" w:cs="Times New Roman" w:eastAsia="Times New Roman" w:hAnsi="Times New Roman"/>
          <w:sz w:val="22"/>
          <w:szCs w:val="22"/>
          <w:u w:val="single" w:color="auto"/>
          <w:color w:val="auto"/>
        </w:rPr>
        <w:t>clause (g)</w:t>
      </w:r>
      <w:r>
        <w:rPr>
          <w:rFonts w:ascii="Times New Roman" w:cs="Times New Roman" w:eastAsia="Times New Roman" w:hAnsi="Times New Roman"/>
          <w:sz w:val="22"/>
          <w:szCs w:val="22"/>
          <w:color w:val="auto"/>
        </w:rPr>
        <w:t>),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Fifth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185" w:lineRule="exact"/>
        <w:rPr>
          <w:rFonts w:ascii="Times New Roman" w:cs="Times New Roman" w:eastAsia="Times New Roman" w:hAnsi="Times New Roman"/>
          <w:sz w:val="22"/>
          <w:szCs w:val="22"/>
          <w:color w:val="auto"/>
        </w:rPr>
      </w:pPr>
    </w:p>
    <w:p>
      <w:pPr>
        <w:jc w:val="both"/>
        <w:ind w:firstLine="1302"/>
        <w:spacing w:after="0" w:line="253" w:lineRule="auto"/>
        <w:tabs>
          <w:tab w:leader="none" w:pos="1591"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evidence that the Sixth Amendment to that certain Amended and Restated Credit and Guaranty Agreement, dated as of April 20, 2015 between,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xml:space="preserve">, the Borrower and Citibank N.A. as administrative agent and that the Fourth Amendment to that certain Credit and Guaranty Agreement, dated as of April 29, 2016, between,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the Borrower and Barclays Bank PLC as administrative agent have, or will contemporaneously with the Fifth Amendment Effective Date, become effective; and</w:t>
      </w:r>
    </w:p>
    <w:p>
      <w:pPr>
        <w:spacing w:after="0" w:line="176" w:lineRule="exact"/>
        <w:rPr>
          <w:rFonts w:ascii="Times New Roman" w:cs="Times New Roman" w:eastAsia="Times New Roman" w:hAnsi="Times New Roman"/>
          <w:sz w:val="22"/>
          <w:szCs w:val="22"/>
          <w:color w:val="auto"/>
        </w:rPr>
      </w:pPr>
    </w:p>
    <w:p>
      <w:pPr>
        <w:jc w:val="both"/>
        <w:ind w:firstLine="1302"/>
        <w:spacing w:after="0" w:line="253" w:lineRule="auto"/>
        <w:tabs>
          <w:tab w:leader="none" w:pos="157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 or, in the case of any such representation and warranty that relates to a specified date, as though made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representation or warranty that is qualified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 xml:space="preserve">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for purposes of this clause (i), the representations and warranties contained in (i) Section 3.04(a) of the Credit Agreement shall be deemed to refer to Parent’s Annual Report on Form 10-K for 2017 filed with the SEC (as amended) and all Quarterly Reports on Form 10-Q or Current Reports on Form 8-K that have been filed since December 31, 2017 by Parent with the SEC (as amended) and (ii) Section 3.05(a) of the Credit Agreement shall be deemed to refer to the audited consolidated financial statements of Parent and its Subsidiaries for the fiscal year ended December 31, 2017, included in Parent’s Annual Report on Form 10-K for 2017 filed with the SEC (as amended) and the unaudited consolidated financial statements of Parent and its Subsidiaries for the fiscal quarters ended March 31, 2018, June 30, 2018 and September 30, 2018, and (B) as to the absence of any event occurring and continuing, or resulting from this Fifth Amendment on, the Fifth Amendment Effective Date, that constitutes a Default or Event of Default.</w:t>
      </w:r>
    </w:p>
    <w:p>
      <w:pPr>
        <w:spacing w:after="0" w:line="162" w:lineRule="exact"/>
        <w:rPr>
          <w:sz w:val="20"/>
          <w:szCs w:val="20"/>
          <w:color w:val="auto"/>
        </w:rPr>
      </w:pPr>
    </w:p>
    <w:p>
      <w:pPr>
        <w:jc w:val="both"/>
        <w:ind w:firstLine="1618"/>
        <w:spacing w:after="0" w:line="246" w:lineRule="auto"/>
        <w:rPr>
          <w:sz w:val="20"/>
          <w:szCs w:val="20"/>
          <w:color w:val="auto"/>
        </w:rPr>
      </w:pPr>
      <w:r>
        <w:rPr>
          <w:rFonts w:ascii="Times New Roman" w:cs="Times New Roman" w:eastAsia="Times New Roman" w:hAnsi="Times New Roman"/>
          <w:sz w:val="22"/>
          <w:szCs w:val="22"/>
          <w:u w:val="single" w:color="auto"/>
          <w:color w:val="auto"/>
        </w:rPr>
        <w:t>SECTION FIVE - No Default; Representations and Warranties</w:t>
      </w:r>
      <w:r>
        <w:rPr>
          <w:rFonts w:ascii="Times New Roman" w:cs="Times New Roman" w:eastAsia="Times New Roman" w:hAnsi="Times New Roman"/>
          <w:sz w:val="22"/>
          <w:szCs w:val="22"/>
          <w:color w:val="auto"/>
        </w:rPr>
        <w:t xml:space="preserve">. In order to induce the Extending Revolving Lenders and the Administrative Agent to enter into this Fifth Amendment, the Borrower represents and warrants to each of the Extending Revolving Lenders and the Administrative Agent that, on and as of the date hereof after giving effect to this Fifth Amendment, (i) no Default or Event of Default has occurred and is continuing or would result from giving effect to this Fifth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for purposes of this Section Five, the representations and warranties contained in (i) Section 3.04(a) of the Credit Agreement shall be deemed to refer to Parent’s Annual Report on Form 10-K for 2017 filed with the SEC (as amended) and all Quarterly Reports on Form 10-Q or Current Reports on Form 8-K that have been filed since December 31, 2017 by Parent with the SEC (as amended) and (ii) Section 3.05(a) of the Credit Agreement shall be deemed to refer to the audited consolidated financial statements of Parent and its Subsidiaries for the fiscal year ended December 31, 2017, included in Parent’s Annual Report on Form 10-K for 2017 filed with the SEC (as amended) and the unaudited consolidated financial statements of Parent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Subsidiaries for the fiscal quarters ended March 31, 2018, June 30, 2018 and September 30, 2018.</w:t>
      </w:r>
    </w:p>
    <w:p>
      <w:pPr>
        <w:spacing w:after="0" w:line="219" w:lineRule="exact"/>
        <w:rPr>
          <w:sz w:val="20"/>
          <w:szCs w:val="20"/>
          <w:color w:val="auto"/>
        </w:rPr>
      </w:pPr>
    </w:p>
    <w:p>
      <w:pPr>
        <w:jc w:val="both"/>
        <w:ind w:firstLine="1618"/>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SIX - Confirmation</w:t>
      </w:r>
      <w:r>
        <w:rPr>
          <w:rFonts w:ascii="Times New Roman" w:cs="Times New Roman" w:eastAsia="Times New Roman" w:hAnsi="Times New Roman"/>
          <w:sz w:val="22"/>
          <w:szCs w:val="22"/>
          <w:color w:val="auto"/>
        </w:rPr>
        <w:t>. The Borrower and each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Revolving Commitments (as extended pursuant to this Fifth Amendment) and all obligations of the Guarantors with respect of the guarantee of such obligations, respectively, and (ii) reaffirm the grant of Liens on the Collateral to secure the Obligations (as extended and increased pursuant to this Fifth Amendment) pursuant to the Collateral Documents.</w:t>
      </w:r>
    </w:p>
    <w:p>
      <w:pPr>
        <w:spacing w:after="0" w:line="199" w:lineRule="exact"/>
        <w:rPr>
          <w:sz w:val="20"/>
          <w:szCs w:val="20"/>
          <w:color w:val="auto"/>
        </w:rPr>
      </w:pPr>
    </w:p>
    <w:p>
      <w:pPr>
        <w:jc w:val="both"/>
        <w:ind w:firstLine="1618"/>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SEVEN - Reference to and Effect on the Credit Agreement</w:t>
      </w:r>
      <w:r>
        <w:rPr>
          <w:rFonts w:ascii="Times New Roman" w:cs="Times New Roman" w:eastAsia="Times New Roman" w:hAnsi="Times New Roman"/>
          <w:sz w:val="22"/>
          <w:szCs w:val="22"/>
          <w:color w:val="auto"/>
        </w:rPr>
        <w:t>. On and after the Fifth Amendment Effective Date, each reference in the Credit Agreement to “this Agreement,” “hereunder,” “hereof” or words of like import referring to the Credit Agreement, shall mean and be a reference to the Credit Agreement as amended by this Fifth Amendment. The Credit Agreement and each of the other Loan Documents, as specifically amended by this Fifth Amendment, are and shall continue to be in full force and effect and are hereby in all respects ratified and confirmed. This Fifth Amendment shall be deemed to be a “Loan Document” for all purposes of the Credit Agreement (as amended hereby) and the other Loan Documents. The execution, delivery and effectiveness of this Fifth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182" w:lineRule="exact"/>
        <w:rPr>
          <w:sz w:val="20"/>
          <w:szCs w:val="20"/>
          <w:color w:val="auto"/>
        </w:rPr>
      </w:pPr>
    </w:p>
    <w:p>
      <w:pPr>
        <w:jc w:val="both"/>
        <w:ind w:firstLine="1618"/>
        <w:spacing w:after="0" w:line="251" w:lineRule="auto"/>
        <w:rPr>
          <w:sz w:val="20"/>
          <w:szCs w:val="20"/>
          <w:color w:val="auto"/>
        </w:rPr>
      </w:pPr>
      <w:r>
        <w:rPr>
          <w:rFonts w:ascii="Times New Roman" w:cs="Times New Roman" w:eastAsia="Times New Roman" w:hAnsi="Times New Roman"/>
          <w:sz w:val="22"/>
          <w:szCs w:val="22"/>
          <w:u w:val="single" w:color="auto"/>
          <w:color w:val="auto"/>
        </w:rPr>
        <w:t>SECTION EIGHT - Execution in Counterparts</w:t>
      </w:r>
      <w:r>
        <w:rPr>
          <w:rFonts w:ascii="Times New Roman" w:cs="Times New Roman" w:eastAsia="Times New Roman" w:hAnsi="Times New Roman"/>
          <w:sz w:val="22"/>
          <w:szCs w:val="22"/>
          <w:color w:val="auto"/>
        </w:rPr>
        <w:t>. This Fifth Amendment may be executed in counterparts (and by different parties hereto on different counterparts), each of which shall constitute an original, but all of which when taken together shall constitute a single contract. This Fifth Amendment shall be binding upon and inure to the benefit of the parties hereto and their respective successors and assigns. Delivery of an executed counterpart of a signature page of this Fifth Amendment by facsimile or electronic .pdf copy shall be effective as delivery of a manually executed counterpart of this Fifth Amendment.</w:t>
      </w:r>
    </w:p>
    <w:p>
      <w:pPr>
        <w:spacing w:after="0" w:line="179" w:lineRule="exact"/>
        <w:rPr>
          <w:sz w:val="20"/>
          <w:szCs w:val="20"/>
          <w:color w:val="auto"/>
        </w:rPr>
      </w:pPr>
    </w:p>
    <w:p>
      <w:pPr>
        <w:jc w:val="both"/>
        <w:ind w:firstLine="1618"/>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NINE - Governing Law</w:t>
      </w:r>
      <w:r>
        <w:rPr>
          <w:rFonts w:ascii="Times New Roman" w:cs="Times New Roman" w:eastAsia="Times New Roman" w:hAnsi="Times New Roman"/>
          <w:sz w:val="22"/>
          <w:szCs w:val="22"/>
          <w:color w:val="auto"/>
        </w:rPr>
        <w:t>. THIS FIFTH AMENDMENT AND THE RIGHTS AND OBLIGATIONS OF THE PARTIES UNDER THIS FIFTH AMENDMENT SHALL BE GOVERNED BY, AND CONSTRUED AND INTERPRETED IN ACCORDANCE WITH, THE LAWS OF THE STATE OF NEW YORK.</w:t>
      </w:r>
    </w:p>
    <w:p>
      <w:pPr>
        <w:spacing w:after="0" w:line="166" w:lineRule="exact"/>
        <w:rPr>
          <w:sz w:val="20"/>
          <w:szCs w:val="20"/>
          <w:color w:val="auto"/>
        </w:rPr>
      </w:pPr>
    </w:p>
    <w:p>
      <w:pPr>
        <w:jc w:val="both"/>
        <w:ind w:firstLine="1618"/>
        <w:spacing w:after="0" w:line="270" w:lineRule="auto"/>
        <w:rPr>
          <w:sz w:val="20"/>
          <w:szCs w:val="20"/>
          <w:color w:val="auto"/>
        </w:rPr>
      </w:pPr>
      <w:r>
        <w:rPr>
          <w:rFonts w:ascii="Times New Roman" w:cs="Times New Roman" w:eastAsia="Times New Roman" w:hAnsi="Times New Roman"/>
          <w:sz w:val="22"/>
          <w:szCs w:val="22"/>
          <w:u w:val="single" w:color="auto"/>
          <w:color w:val="auto"/>
        </w:rPr>
        <w:t>SECTION TEN - Miscellaneous</w:t>
      </w:r>
      <w:r>
        <w:rPr>
          <w:rFonts w:ascii="Times New Roman" w:cs="Times New Roman" w:eastAsia="Times New Roman" w:hAnsi="Times New Roman"/>
          <w:sz w:val="22"/>
          <w:szCs w:val="22"/>
          <w:color w:val="auto"/>
        </w:rPr>
        <w:t>. (a) The provisions set forth in Sections 10.03, 10.04, 10.05(b)-(d), 10.09, 10.10, 10.11, 10.13, 10.15, 10.16 and 10.17 of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2"/>
          <w:szCs w:val="22"/>
          <w:color w:val="auto"/>
        </w:rPr>
        <w:t>Agreement are hereby incorporated mutatis mutandis herein by reference thereto as fully and to the same extent as if set forth herein.</w:t>
      </w:r>
    </w:p>
    <w:p>
      <w:pPr>
        <w:spacing w:after="0" w:line="159" w:lineRule="exact"/>
        <w:rPr>
          <w:sz w:val="20"/>
          <w:szCs w:val="20"/>
          <w:color w:val="auto"/>
        </w:rPr>
      </w:pPr>
    </w:p>
    <w:p>
      <w:pPr>
        <w:jc w:val="both"/>
        <w:ind w:firstLine="1302"/>
        <w:spacing w:after="0" w:line="256" w:lineRule="auto"/>
        <w:tabs>
          <w:tab w:leader="none" w:pos="16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withholding Taxes imposed under FATCA, from and after the effective date of this Fifth Amendment, the Borrower and the Administrative Agent shall treat (and the Lenders party hereto hereby authorize the Administrative Agent to treat) the Revolving Facility as not qualifying as a “grandfathered obligation” within the meaning of Treasury Regulation Section 1.1471-2(b)(2)(i).</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THIS PAGE IS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56" w:lineRule="exact"/>
        <w:rPr>
          <w:sz w:val="20"/>
          <w:szCs w:val="20"/>
          <w:color w:val="auto"/>
        </w:rPr>
      </w:pPr>
    </w:p>
    <w:p>
      <w:pPr>
        <w:ind w:firstLine="1295"/>
        <w:spacing w:after="0" w:line="309" w:lineRule="auto"/>
        <w:rPr>
          <w:sz w:val="20"/>
          <w:szCs w:val="20"/>
          <w:color w:val="auto"/>
        </w:rPr>
      </w:pPr>
      <w:r>
        <w:rPr>
          <w:rFonts w:ascii="Times New Roman" w:cs="Times New Roman" w:eastAsia="Times New Roman" w:hAnsi="Times New Roman"/>
          <w:sz w:val="22"/>
          <w:szCs w:val="22"/>
          <w:color w:val="auto"/>
        </w:rPr>
        <w:t>IN WITNESS WHEREOF, the parties hereto have caused this Fifth Amendment to be duly executed and delivered as of the day and year first above written.</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AMERICAN AIRLINES, INC., as the Borrower</w:t>
      </w:r>
    </w:p>
    <w:p>
      <w:pPr>
        <w:spacing w:after="0" w:line="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T. Weir</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Thomas T. Weir</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AMERICAN AIRLINES GROUP INC., as Parent and Guarantor</w:t>
      </w:r>
    </w:p>
    <w:p>
      <w:pPr>
        <w:spacing w:after="0" w:line="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T. Weir</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Thomas T. Weir</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Fifth Amendment to Amended and Restated Credit and Guaranty Agreement (South America)</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5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color w:val="auto"/>
        </w:rPr>
        <w:t>DEUTSCHE BANK AG NEW YORK BRANCH,</w:t>
      </w:r>
    </w:p>
    <w:p>
      <w:pPr>
        <w:spacing w:after="0" w:line="6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Marguerite Sutton</w:t>
      </w:r>
    </w:p>
    <w:p>
      <w:pPr>
        <w:spacing w:after="0" w:line="5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Name: Marguerite Sutton</w:t>
      </w:r>
    </w:p>
    <w:p>
      <w:pPr>
        <w:spacing w:after="0" w:line="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Maria Guinchard</w:t>
      </w:r>
    </w:p>
    <w:p>
      <w:pPr>
        <w:spacing w:after="0" w:line="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Name: Maria Guinchard</w:t>
      </w:r>
    </w:p>
    <w:p>
      <w:pPr>
        <w:spacing w:after="0" w:line="5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Fifth Amendment to Amended and Restated Credit and Guaranty Agreement (South America)</w:t>
      </w:r>
    </w:p>
    <w:p>
      <w:pPr>
        <w:sectPr>
          <w:pgSz w:w="11900" w:h="16838" w:orient="portrait"/>
          <w:cols w:equalWidth="0" w:num="1">
            <w:col w:w="9919"/>
          </w:cols>
          <w:pgMar w:left="540" w:top="1440" w:right="1440" w:bottom="1440" w:gutter="0" w:footer="0" w:header="0"/>
        </w:sectPr>
      </w:pPr>
    </w:p>
    <w:bookmarkStart w:id="232" w:name="page233"/>
    <w:bookmarkEnd w:id="232"/>
    <w:p>
      <w:pPr>
        <w:spacing w:after="0" w:line="15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Schedule 1</w:t>
      </w:r>
    </w:p>
    <w:p>
      <w:pPr>
        <w:spacing w:after="0" w:line="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Lenders and Commitments</w:t>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180" w:type="dxa"/>
            <w:vAlign w:val="bottom"/>
            <w:tcBorders>
              <w:top w:val="single" w:sz="8" w:color="auto"/>
              <w:left w:val="single" w:sz="8" w:color="auto"/>
              <w:right w:val="single" w:sz="8" w:color="auto"/>
            </w:tcBorders>
            <w:shd w:val="clear" w:color="auto" w:fill="D9D9D9"/>
          </w:tcPr>
          <w:p>
            <w:pPr>
              <w:ind w:left="40"/>
              <w:spacing w:after="0" w:line="216" w:lineRule="exact"/>
              <w:rPr>
                <w:sz w:val="20"/>
                <w:szCs w:val="20"/>
                <w:color w:val="auto"/>
              </w:rPr>
            </w:pPr>
            <w:r>
              <w:rPr>
                <w:rFonts w:ascii="Times New Roman" w:cs="Times New Roman" w:eastAsia="Times New Roman" w:hAnsi="Times New Roman"/>
                <w:sz w:val="22"/>
                <w:szCs w:val="22"/>
                <w:b w:val="1"/>
                <w:bCs w:val="1"/>
                <w:color w:val="auto"/>
              </w:rPr>
              <w:t>Name of Bank</w:t>
            </w:r>
          </w:p>
        </w:tc>
        <w:tc>
          <w:tcPr>
            <w:tcW w:w="2360" w:type="dxa"/>
            <w:vAlign w:val="bottom"/>
            <w:tcBorders>
              <w:top w:val="single" w:sz="8" w:color="auto"/>
              <w:right w:val="single" w:sz="8" w:color="auto"/>
            </w:tcBorders>
            <w:shd w:val="clear" w:color="auto" w:fill="D9D9D9"/>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Fifth Amendment</w:t>
            </w:r>
          </w:p>
        </w:tc>
        <w:tc>
          <w:tcPr>
            <w:tcW w:w="2360" w:type="dxa"/>
            <w:vAlign w:val="bottom"/>
            <w:tcBorders>
              <w:top w:val="single" w:sz="8" w:color="auto"/>
              <w:right w:val="single" w:sz="8" w:color="auto"/>
            </w:tcBorders>
            <w:shd w:val="clear" w:color="auto" w:fill="D9D9D9"/>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Fifth Amendment Non-</w:t>
            </w:r>
          </w:p>
        </w:tc>
        <w:tc>
          <w:tcPr>
            <w:tcW w:w="2360" w:type="dxa"/>
            <w:vAlign w:val="bottom"/>
            <w:tcBorders>
              <w:top w:val="single" w:sz="8" w:color="auto"/>
              <w:right w:val="single" w:sz="8" w:color="auto"/>
            </w:tcBorders>
            <w:shd w:val="clear" w:color="auto" w:fill="D9D9D9"/>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LC Commitment</w:t>
            </w:r>
          </w:p>
        </w:tc>
      </w:tr>
      <w:tr>
        <w:trPr>
          <w:trHeight w:val="216"/>
        </w:trPr>
        <w:tc>
          <w:tcPr>
            <w:tcW w:w="4180" w:type="dxa"/>
            <w:vAlign w:val="bottom"/>
            <w:tcBorders>
              <w:left w:val="single" w:sz="8" w:color="auto"/>
              <w:right w:val="single" w:sz="8" w:color="auto"/>
            </w:tcBorders>
            <w:shd w:val="clear" w:color="auto" w:fill="D9D9D9"/>
          </w:tcPr>
          <w:p>
            <w:pPr>
              <w:spacing w:after="0"/>
              <w:rPr>
                <w:sz w:val="18"/>
                <w:szCs w:val="18"/>
                <w:color w:val="auto"/>
              </w:rPr>
            </w:pPr>
          </w:p>
        </w:tc>
        <w:tc>
          <w:tcPr>
            <w:tcW w:w="2360" w:type="dxa"/>
            <w:vAlign w:val="bottom"/>
            <w:tcBorders>
              <w:right w:val="single" w:sz="8" w:color="auto"/>
            </w:tcBorders>
            <w:shd w:val="clear" w:color="auto" w:fill="D9D9D9"/>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Extended Revolving</w:t>
            </w:r>
          </w:p>
        </w:tc>
        <w:tc>
          <w:tcPr>
            <w:tcW w:w="2360" w:type="dxa"/>
            <w:vAlign w:val="bottom"/>
            <w:tcBorders>
              <w:right w:val="single" w:sz="8" w:color="auto"/>
            </w:tcBorders>
            <w:shd w:val="clear" w:color="auto" w:fill="D9D9D9"/>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Extended Revolving</w:t>
            </w:r>
          </w:p>
        </w:tc>
        <w:tc>
          <w:tcPr>
            <w:tcW w:w="2360" w:type="dxa"/>
            <w:vAlign w:val="bottom"/>
            <w:tcBorders>
              <w:right w:val="single" w:sz="8" w:color="auto"/>
            </w:tcBorders>
            <w:shd w:val="clear" w:color="auto" w:fill="D9D9D9"/>
          </w:tcPr>
          <w:p>
            <w:pPr>
              <w:spacing w:after="0"/>
              <w:rPr>
                <w:sz w:val="18"/>
                <w:szCs w:val="18"/>
                <w:color w:val="auto"/>
              </w:rPr>
            </w:pPr>
          </w:p>
        </w:tc>
      </w:tr>
      <w:tr>
        <w:trPr>
          <w:trHeight w:val="283"/>
        </w:trPr>
        <w:tc>
          <w:tcPr>
            <w:tcW w:w="418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23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Commitment</w:t>
            </w:r>
          </w:p>
        </w:tc>
        <w:tc>
          <w:tcPr>
            <w:tcW w:w="23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Commitment</w:t>
            </w:r>
          </w:p>
        </w:tc>
        <w:tc>
          <w:tcPr>
            <w:tcW w:w="2360" w:type="dxa"/>
            <w:vAlign w:val="bottom"/>
            <w:tcBorders>
              <w:bottom w:val="single" w:sz="8" w:color="auto"/>
              <w:right w:val="single" w:sz="8" w:color="auto"/>
            </w:tcBorders>
            <w:shd w:val="clear" w:color="auto" w:fill="D9D9D9"/>
          </w:tcPr>
          <w:p>
            <w:pPr>
              <w:spacing w:after="0"/>
              <w:rPr>
                <w:sz w:val="24"/>
                <w:szCs w:val="24"/>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Deutsche Bank AG New York Branch</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$100,000,000</w:t>
            </w: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Bank of America, N.A.</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Barclays Bank PLC</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Citibank N.A.</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Credit Suisse AG, Cayman Islands Branch</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Goldman Sachs Bank USA</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Goldman Sachs Lending Partners LLC</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196"/>
        </w:trPr>
        <w:tc>
          <w:tcPr>
            <w:tcW w:w="4180" w:type="dxa"/>
            <w:vAlign w:val="bottom"/>
            <w:tcBorders>
              <w:left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22"/>
                <w:szCs w:val="22"/>
                <w:color w:val="auto"/>
              </w:rPr>
              <w:t>Industrial and Commercial Bank of China</w:t>
            </w:r>
          </w:p>
        </w:tc>
        <w:tc>
          <w:tcPr>
            <w:tcW w:w="23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w:t>
            </w:r>
          </w:p>
        </w:tc>
        <w:tc>
          <w:tcPr>
            <w:tcW w:w="23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right w:val="single" w:sz="8" w:color="auto"/>
            </w:tcBorders>
          </w:tcPr>
          <w:p>
            <w:pPr>
              <w:spacing w:after="0"/>
              <w:rPr>
                <w:sz w:val="17"/>
                <w:szCs w:val="17"/>
                <w:color w:val="auto"/>
              </w:rPr>
            </w:pPr>
          </w:p>
        </w:tc>
      </w:tr>
      <w:tr>
        <w:trPr>
          <w:trHeight w:val="28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Limited, New York Branch</w:t>
            </w:r>
          </w:p>
        </w:tc>
        <w:tc>
          <w:tcPr>
            <w:tcW w:w="236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r>
      <w:tr>
        <w:trPr>
          <w:trHeight w:val="264"/>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JPMorgan Chase Bank, N.A.</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Morgan Stanley Bank, N.A.</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Morgan Stanley Senior Funding, Inc.</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Sumitomo Mitsui Banking Corporation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BNP Paribas</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196"/>
        </w:trPr>
        <w:tc>
          <w:tcPr>
            <w:tcW w:w="4180" w:type="dxa"/>
            <w:vAlign w:val="bottom"/>
            <w:tcBorders>
              <w:left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22"/>
                <w:szCs w:val="22"/>
                <w:color w:val="auto"/>
              </w:rPr>
              <w:t>Credit Agricole Corporate and Investment</w:t>
            </w:r>
          </w:p>
        </w:tc>
        <w:tc>
          <w:tcPr>
            <w:tcW w:w="23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w:t>
            </w:r>
          </w:p>
        </w:tc>
        <w:tc>
          <w:tcPr>
            <w:tcW w:w="23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right w:val="single" w:sz="8" w:color="auto"/>
            </w:tcBorders>
          </w:tcPr>
          <w:p>
            <w:pPr>
              <w:spacing w:after="0"/>
              <w:rPr>
                <w:sz w:val="17"/>
                <w:szCs w:val="17"/>
                <w:color w:val="auto"/>
              </w:rPr>
            </w:pPr>
          </w:p>
        </w:tc>
      </w:tr>
      <w:tr>
        <w:trPr>
          <w:trHeight w:val="28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Bank</w:t>
            </w:r>
          </w:p>
        </w:tc>
        <w:tc>
          <w:tcPr>
            <w:tcW w:w="236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r>
      <w:tr>
        <w:trPr>
          <w:trHeight w:val="264"/>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HSBC Bank USA, N.A.</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MUFG Union Bank, N.A.</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Standard Chartered Bank</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U.S. Bank National Association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BOKF, NA dba Bank of Texas</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Texas Capital Bank, N.A.</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$985,600,000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$14,400,000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$100,000,000</w:t>
            </w:r>
          </w:p>
        </w:tc>
      </w:tr>
    </w:tbl>
    <w:p>
      <w:pPr>
        <w:sectPr>
          <w:pgSz w:w="11900" w:h="16838" w:orient="portrait"/>
          <w:cols w:equalWidth="0" w:num="1">
            <w:col w:w="11260"/>
          </w:cols>
          <w:pgMar w:left="320" w:top="1440" w:right="319" w:bottom="1440" w:gutter="0" w:footer="0" w:header="0"/>
        </w:sectPr>
      </w:pPr>
    </w:p>
    <w:bookmarkStart w:id="233" w:name="page234"/>
    <w:bookmarkEnd w:id="233"/>
    <w:p>
      <w:pPr>
        <w:ind w:left="10020"/>
        <w:spacing w:after="0"/>
        <w:rPr>
          <w:sz w:val="20"/>
          <w:szCs w:val="20"/>
          <w:color w:val="auto"/>
        </w:rPr>
      </w:pPr>
      <w:r>
        <w:rPr>
          <w:rFonts w:ascii="Times New Roman" w:cs="Times New Roman" w:eastAsia="Times New Roman" w:hAnsi="Times New Roman"/>
          <w:sz w:val="20"/>
          <w:szCs w:val="20"/>
          <w:b w:val="1"/>
          <w:bCs w:val="1"/>
          <w:color w:val="auto"/>
        </w:rPr>
        <w:t>Exhibit 10.37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41210" cy="2825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560">
                      <a:extLst>
                        <a:ext uri="{28A0092B-C50C-407E-A947-70E740481C1C}"/>
                      </a:extLst>
                    </a:blip>
                    <a:srcRect/>
                    <a:stretch>
                      <a:fillRect/>
                    </a:stretch>
                  </pic:blipFill>
                  <pic:spPr bwMode="auto">
                    <a:xfrm>
                      <a:off x="0" y="0"/>
                      <a:ext cx="7141210" cy="282575"/>
                    </a:xfrm>
                    <a:prstGeom prst="rect">
                      <a:avLst/>
                    </a:prstGeom>
                    <a:noFill/>
                  </pic:spPr>
                </pic:pic>
              </a:graphicData>
            </a:graphic>
          </wp:anchor>
        </w:drawing>
      </w:r>
    </w:p>
    <w:p>
      <w:pPr>
        <w:spacing w:after="0" w:line="259" w:lineRule="exact"/>
        <w:rPr>
          <w:sz w:val="20"/>
          <w:szCs w:val="20"/>
          <w:color w:val="auto"/>
        </w:rPr>
      </w:pPr>
    </w:p>
    <w:p>
      <w:pPr>
        <w:ind w:left="40" w:right="180"/>
        <w:spacing w:after="0" w:line="239" w:lineRule="auto"/>
        <w:rPr>
          <w:sz w:val="20"/>
          <w:szCs w:val="20"/>
          <w:color w:val="auto"/>
        </w:rPr>
      </w:pPr>
      <w:r>
        <w:rPr>
          <w:rFonts w:ascii="Times New Roman" w:cs="Times New Roman" w:eastAsia="Times New Roman" w:hAnsi="Times New Roman"/>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FOURTH AMENDMENT TO CREDIT AND GUARANTY AGREEMENT</w:t>
      </w:r>
    </w:p>
    <w:p>
      <w:pPr>
        <w:spacing w:after="0" w:line="215" w:lineRule="exact"/>
        <w:rPr>
          <w:sz w:val="20"/>
          <w:szCs w:val="20"/>
          <w:color w:val="auto"/>
        </w:rPr>
      </w:pPr>
    </w:p>
    <w:p>
      <w:pPr>
        <w:jc w:val="both"/>
        <w:ind w:firstLine="1295"/>
        <w:spacing w:after="0" w:line="279" w:lineRule="auto"/>
        <w:rPr>
          <w:sz w:val="20"/>
          <w:szCs w:val="20"/>
          <w:color w:val="auto"/>
        </w:rPr>
      </w:pPr>
      <w:r>
        <w:rPr>
          <w:rFonts w:ascii="Times New Roman" w:cs="Times New Roman" w:eastAsia="Times New Roman" w:hAnsi="Times New Roman"/>
          <w:sz w:val="20"/>
          <w:szCs w:val="20"/>
          <w:color w:val="auto"/>
        </w:rPr>
        <w:t>THIS FOURTH AMENDMENT TO CREDIT AND GUARANTY AGREEMENT (this “</w:t>
      </w:r>
      <w:r>
        <w:rPr>
          <w:rFonts w:ascii="Times New Roman" w:cs="Times New Roman" w:eastAsia="Times New Roman" w:hAnsi="Times New Roman"/>
          <w:sz w:val="20"/>
          <w:szCs w:val="20"/>
          <w:i w:val="1"/>
          <w:iCs w:val="1"/>
          <w:color w:val="auto"/>
        </w:rPr>
        <w:t>Fourth Amendment</w:t>
      </w:r>
      <w:r>
        <w:rPr>
          <w:rFonts w:ascii="Times New Roman" w:cs="Times New Roman" w:eastAsia="Times New Roman" w:hAnsi="Times New Roman"/>
          <w:sz w:val="20"/>
          <w:szCs w:val="20"/>
          <w:color w:val="auto"/>
        </w:rPr>
        <w:t>”), is dated as of December 10, 2018 and is among American Airlines, Inc., a Delaware corporation (the “</w:t>
      </w:r>
      <w:r>
        <w:rPr>
          <w:rFonts w:ascii="Times New Roman" w:cs="Times New Roman" w:eastAsia="Times New Roman" w:hAnsi="Times New Roman"/>
          <w:sz w:val="20"/>
          <w:szCs w:val="20"/>
          <w:i w:val="1"/>
          <w:iCs w:val="1"/>
          <w:color w:val="auto"/>
        </w:rPr>
        <w:t>Borrower</w:t>
      </w:r>
      <w:r>
        <w:rPr>
          <w:rFonts w:ascii="Times New Roman" w:cs="Times New Roman" w:eastAsia="Times New Roman" w:hAnsi="Times New Roman"/>
          <w:sz w:val="20"/>
          <w:szCs w:val="20"/>
          <w:color w:val="auto"/>
        </w:rPr>
        <w:t>”), American Airlines Group Inc., a Delaware corporation (the “</w:t>
      </w:r>
      <w:r>
        <w:rPr>
          <w:rFonts w:ascii="Times New Roman" w:cs="Times New Roman" w:eastAsia="Times New Roman" w:hAnsi="Times New Roman"/>
          <w:sz w:val="20"/>
          <w:szCs w:val="20"/>
          <w:i w:val="1"/>
          <w:iCs w:val="1"/>
          <w:color w:val="auto"/>
        </w:rPr>
        <w:t>Parent</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i w:val="1"/>
          <w:iCs w:val="1"/>
          <w:color w:val="auto"/>
        </w:rPr>
        <w:t>Guarantor</w:t>
      </w:r>
      <w:r>
        <w:rPr>
          <w:rFonts w:ascii="Times New Roman" w:cs="Times New Roman" w:eastAsia="Times New Roman" w:hAnsi="Times New Roman"/>
          <w:sz w:val="20"/>
          <w:szCs w:val="20"/>
          <w:color w:val="auto"/>
        </w:rPr>
        <w:t>”), the Consenting Revolving Lenders (as defined below) party hereto, HSBC Bank USA, N.A. (“</w:t>
      </w:r>
      <w:r>
        <w:rPr>
          <w:rFonts w:ascii="Times New Roman" w:cs="Times New Roman" w:eastAsia="Times New Roman" w:hAnsi="Times New Roman"/>
          <w:sz w:val="20"/>
          <w:szCs w:val="20"/>
          <w:i w:val="1"/>
          <w:iCs w:val="1"/>
          <w:color w:val="auto"/>
        </w:rPr>
        <w:t>HSBC</w:t>
      </w:r>
      <w:r>
        <w:rPr>
          <w:rFonts w:ascii="Times New Roman" w:cs="Times New Roman" w:eastAsia="Times New Roman" w:hAnsi="Times New Roman"/>
          <w:sz w:val="20"/>
          <w:szCs w:val="20"/>
          <w:color w:val="auto"/>
        </w:rPr>
        <w:t>”), MUFG Union Bank, N.A. (“</w:t>
      </w:r>
      <w:r>
        <w:rPr>
          <w:rFonts w:ascii="Times New Roman" w:cs="Times New Roman" w:eastAsia="Times New Roman" w:hAnsi="Times New Roman"/>
          <w:sz w:val="20"/>
          <w:szCs w:val="20"/>
          <w:i w:val="1"/>
          <w:iCs w:val="1"/>
          <w:color w:val="auto"/>
        </w:rPr>
        <w:t>MUFG</w:t>
      </w:r>
      <w:r>
        <w:rPr>
          <w:rFonts w:ascii="Times New Roman" w:cs="Times New Roman" w:eastAsia="Times New Roman" w:hAnsi="Times New Roman"/>
          <w:sz w:val="20"/>
          <w:szCs w:val="20"/>
          <w:color w:val="auto"/>
        </w:rPr>
        <w:t>”) and BOKF, NA dba Bank of Texas (“</w:t>
      </w:r>
      <w:r>
        <w:rPr>
          <w:rFonts w:ascii="Times New Roman" w:cs="Times New Roman" w:eastAsia="Times New Roman" w:hAnsi="Times New Roman"/>
          <w:sz w:val="20"/>
          <w:szCs w:val="20"/>
          <w:i w:val="1"/>
          <w:iCs w:val="1"/>
          <w:color w:val="auto"/>
        </w:rPr>
        <w:t>BoT</w:t>
      </w:r>
      <w:r>
        <w:rPr>
          <w:rFonts w:ascii="Times New Roman" w:cs="Times New Roman" w:eastAsia="Times New Roman" w:hAnsi="Times New Roman"/>
          <w:sz w:val="20"/>
          <w:szCs w:val="20"/>
          <w:color w:val="auto"/>
        </w:rPr>
        <w:t>” and together with HSBC and MUFG, collectively, the “</w:t>
      </w:r>
      <w:r>
        <w:rPr>
          <w:rFonts w:ascii="Times New Roman" w:cs="Times New Roman" w:eastAsia="Times New Roman" w:hAnsi="Times New Roman"/>
          <w:sz w:val="20"/>
          <w:szCs w:val="20"/>
          <w:i w:val="1"/>
          <w:iCs w:val="1"/>
          <w:color w:val="auto"/>
        </w:rPr>
        <w:t>New Revolving Lenders</w:t>
      </w:r>
      <w:r>
        <w:rPr>
          <w:rFonts w:ascii="Times New Roman" w:cs="Times New Roman" w:eastAsia="Times New Roman" w:hAnsi="Times New Roman"/>
          <w:sz w:val="20"/>
          <w:szCs w:val="20"/>
          <w:color w:val="auto"/>
        </w:rPr>
        <w:t>”) and Barclays Bank PLC, as administrative agent (in such capacity, the “</w:t>
      </w:r>
      <w:r>
        <w:rPr>
          <w:rFonts w:ascii="Times New Roman" w:cs="Times New Roman" w:eastAsia="Times New Roman" w:hAnsi="Times New Roman"/>
          <w:sz w:val="20"/>
          <w:szCs w:val="20"/>
          <w:i w:val="1"/>
          <w:iCs w:val="1"/>
          <w:color w:val="auto"/>
        </w:rPr>
        <w:t>Administrative Agent</w:t>
      </w:r>
      <w:r>
        <w:rPr>
          <w:rFonts w:ascii="Times New Roman" w:cs="Times New Roman" w:eastAsia="Times New Roman" w:hAnsi="Times New Roman"/>
          <w:sz w:val="20"/>
          <w:szCs w:val="20"/>
          <w:color w:val="auto"/>
        </w:rPr>
        <w:t>”). Unless otherwise indicated, all capitalized terms used herein and not otherwise defined shall have the respective meanings provided to such terms in the Credit Agreement as defined below.</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jc w:val="both"/>
        <w:ind w:firstLine="1295"/>
        <w:spacing w:after="0" w:line="249" w:lineRule="auto"/>
        <w:rPr>
          <w:sz w:val="20"/>
          <w:szCs w:val="20"/>
          <w:color w:val="auto"/>
        </w:rPr>
      </w:pPr>
      <w:r>
        <w:rPr>
          <w:rFonts w:ascii="Times New Roman" w:cs="Times New Roman" w:eastAsia="Times New Roman" w:hAnsi="Times New Roman"/>
          <w:sz w:val="22"/>
          <w:szCs w:val="22"/>
          <w:color w:val="auto"/>
        </w:rPr>
        <w:t>WHEREAS, the Borrower, the Guarantor, the lenders from time to time party thereto, the Administrative Agent and certain other parties thereto are parties to that certain Credit and Guaranty Agreement, dated as of April 29, 2016 (as amended by that certain First Amendment to Credit and Guaranty Agreement, dated October 31, 2016 and as further amended, restated, supplemented or otherwise modified up to, but not including, the Fourth Amendment Effective Date as defined below, the “</w:t>
      </w:r>
      <w:r>
        <w:rPr>
          <w:rFonts w:ascii="Times New Roman" w:cs="Times New Roman" w:eastAsia="Times New Roman" w:hAnsi="Times New Roman"/>
          <w:sz w:val="22"/>
          <w:szCs w:val="22"/>
          <w:i w:val="1"/>
          <w:iCs w:val="1"/>
          <w:color w:val="auto"/>
        </w:rPr>
        <w:t>Credit Agreement</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jc w:val="both"/>
        <w:ind w:firstLine="1295"/>
        <w:spacing w:after="0" w:line="256" w:lineRule="auto"/>
        <w:rPr>
          <w:sz w:val="20"/>
          <w:szCs w:val="20"/>
          <w:color w:val="auto"/>
        </w:rPr>
      </w:pPr>
      <w:r>
        <w:rPr>
          <w:rFonts w:ascii="Times New Roman" w:cs="Times New Roman" w:eastAsia="Times New Roman" w:hAnsi="Times New Roman"/>
          <w:sz w:val="22"/>
          <w:szCs w:val="22"/>
          <w:color w:val="auto"/>
        </w:rPr>
        <w:t>WHEREAS, pursuant to Section 2.28(b) of the Credit Agreement, the Borrower may make a Revolver Extension Offer to all Revolving Lenders holding Revolving Commitments under the Credit Agreement to extend the maturity date of each such Revolving Lender’s Revolving Commitment;</w:t>
      </w:r>
    </w:p>
    <w:p>
      <w:pPr>
        <w:spacing w:after="0" w:line="175" w:lineRule="exact"/>
        <w:rPr>
          <w:sz w:val="20"/>
          <w:szCs w:val="20"/>
          <w:color w:val="auto"/>
        </w:rPr>
      </w:pPr>
    </w:p>
    <w:p>
      <w:pPr>
        <w:jc w:val="both"/>
        <w:ind w:firstLine="1295"/>
        <w:spacing w:after="0" w:line="249" w:lineRule="auto"/>
        <w:rPr>
          <w:sz w:val="20"/>
          <w:szCs w:val="20"/>
          <w:color w:val="auto"/>
        </w:rPr>
      </w:pPr>
      <w:r>
        <w:rPr>
          <w:rFonts w:ascii="Times New Roman" w:cs="Times New Roman" w:eastAsia="Times New Roman" w:hAnsi="Times New Roman"/>
          <w:sz w:val="22"/>
          <w:szCs w:val="22"/>
          <w:color w:val="auto"/>
        </w:rPr>
        <w:t>WHEREAS, the Borrower hereby (i) requests that each Revolving Lender that is a party to the Credit Agreement immediately prior to the Fourth Amendment Effective Date (each, an “</w:t>
      </w:r>
      <w:r>
        <w:rPr>
          <w:rFonts w:ascii="Times New Roman" w:cs="Times New Roman" w:eastAsia="Times New Roman" w:hAnsi="Times New Roman"/>
          <w:sz w:val="22"/>
          <w:szCs w:val="22"/>
          <w:i w:val="1"/>
          <w:iCs w:val="1"/>
          <w:color w:val="auto"/>
        </w:rPr>
        <w:t>Existing Revolving Lender</w:t>
      </w:r>
      <w:r>
        <w:rPr>
          <w:rFonts w:ascii="Times New Roman" w:cs="Times New Roman" w:eastAsia="Times New Roman" w:hAnsi="Times New Roman"/>
          <w:sz w:val="22"/>
          <w:szCs w:val="22"/>
          <w:color w:val="auto"/>
        </w:rPr>
        <w:t>”) extend the maturity of such Existing Revolving Lender’s Revolving Commitment pursuant to, and in accordance with the terms of, Section 2.28(b), (c), (d) and (e) of the Credit Agreement and this Fourth Amendment (with such request constituting a Revolver Extension Offer for purposes of the Credit Agreement) and requests that the Administrative Agent waive any applicable notice period otherwise required thereby and (ii) specifies as the Minimum Extension Condition for such Revolving Extension Offer that all such Revolving Commitments be subject to the Revolving Extension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94" w:right="339" w:bottom="1440" w:gutter="0" w:footer="0" w:header="0"/>
        </w:sectPr>
      </w:pPr>
    </w:p>
    <w:bookmarkStart w:id="234" w:name="page235"/>
    <w:bookmarkEnd w:id="234"/>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1295"/>
        <w:spacing w:after="0" w:line="257" w:lineRule="auto"/>
        <w:rPr>
          <w:sz w:val="20"/>
          <w:szCs w:val="20"/>
          <w:color w:val="auto"/>
        </w:rPr>
      </w:pPr>
      <w:r>
        <w:rPr>
          <w:rFonts w:ascii="Times New Roman" w:cs="Times New Roman" w:eastAsia="Times New Roman" w:hAnsi="Times New Roman"/>
          <w:sz w:val="22"/>
          <w:szCs w:val="22"/>
          <w:color w:val="auto"/>
        </w:rPr>
        <w:t>WHEREAS, the undersigned Existing Revolving Lenders (the “</w:t>
      </w:r>
      <w:r>
        <w:rPr>
          <w:rFonts w:ascii="Times New Roman" w:cs="Times New Roman" w:eastAsia="Times New Roman" w:hAnsi="Times New Roman"/>
          <w:sz w:val="22"/>
          <w:szCs w:val="22"/>
          <w:i w:val="1"/>
          <w:iCs w:val="1"/>
          <w:color w:val="auto"/>
        </w:rPr>
        <w:t>Consenting Revolving Lenders</w:t>
      </w:r>
      <w:r>
        <w:rPr>
          <w:rFonts w:ascii="Times New Roman" w:cs="Times New Roman" w:eastAsia="Times New Roman" w:hAnsi="Times New Roman"/>
          <w:sz w:val="22"/>
          <w:szCs w:val="22"/>
          <w:color w:val="auto"/>
        </w:rPr>
        <w:t>” and together with the New Revolving Lenders, the “</w:t>
      </w:r>
      <w:r>
        <w:rPr>
          <w:rFonts w:ascii="Times New Roman" w:cs="Times New Roman" w:eastAsia="Times New Roman" w:hAnsi="Times New Roman"/>
          <w:sz w:val="22"/>
          <w:szCs w:val="22"/>
          <w:i w:val="1"/>
          <w:iCs w:val="1"/>
          <w:color w:val="auto"/>
        </w:rPr>
        <w:t>Extending Revolving Lenders</w:t>
      </w:r>
      <w:r>
        <w:rPr>
          <w:rFonts w:ascii="Times New Roman" w:cs="Times New Roman" w:eastAsia="Times New Roman" w:hAnsi="Times New Roman"/>
          <w:sz w:val="22"/>
          <w:szCs w:val="22"/>
          <w:color w:val="auto"/>
        </w:rPr>
        <w:t>”) are willing to extend the maturity date of their respective Revolving Commitments (the “</w:t>
      </w:r>
      <w:r>
        <w:rPr>
          <w:rFonts w:ascii="Times New Roman" w:cs="Times New Roman" w:eastAsia="Times New Roman" w:hAnsi="Times New Roman"/>
          <w:sz w:val="22"/>
          <w:szCs w:val="22"/>
          <w:i w:val="1"/>
          <w:iCs w:val="1"/>
          <w:color w:val="auto"/>
        </w:rPr>
        <w:t>Extended Revolving Commitments</w:t>
      </w:r>
      <w:r>
        <w:rPr>
          <w:rFonts w:ascii="Times New Roman" w:cs="Times New Roman" w:eastAsia="Times New Roman" w:hAnsi="Times New Roman"/>
          <w:sz w:val="22"/>
          <w:szCs w:val="22"/>
          <w:color w:val="auto"/>
        </w:rPr>
        <w:t>”), subject to and on the terms and conditions set forth herein and in Section 2.28(b), (c), (d) and (e) of the Credit Agreement;</w:t>
      </w:r>
    </w:p>
    <w:p>
      <w:pPr>
        <w:spacing w:after="0" w:line="174" w:lineRule="exact"/>
        <w:rPr>
          <w:sz w:val="20"/>
          <w:szCs w:val="20"/>
          <w:color w:val="auto"/>
        </w:rPr>
      </w:pPr>
    </w:p>
    <w:p>
      <w:pPr>
        <w:jc w:val="both"/>
        <w:ind w:firstLine="1295"/>
        <w:spacing w:after="0" w:line="256" w:lineRule="auto"/>
        <w:rPr>
          <w:sz w:val="20"/>
          <w:szCs w:val="20"/>
          <w:color w:val="auto"/>
        </w:rPr>
      </w:pPr>
      <w:r>
        <w:rPr>
          <w:rFonts w:ascii="Times New Roman" w:cs="Times New Roman" w:eastAsia="Times New Roman" w:hAnsi="Times New Roman"/>
          <w:sz w:val="22"/>
          <w:szCs w:val="22"/>
          <w:color w:val="auto"/>
        </w:rPr>
        <w:t>WHEREAS, the undersigned Consenting Revolving Lenders, New Revolving Lenders and the Borrower desire to reallocate the Revolving Commitments (the “</w:t>
      </w:r>
      <w:r>
        <w:rPr>
          <w:rFonts w:ascii="Times New Roman" w:cs="Times New Roman" w:eastAsia="Times New Roman" w:hAnsi="Times New Roman"/>
          <w:sz w:val="22"/>
          <w:szCs w:val="22"/>
          <w:i w:val="1"/>
          <w:iCs w:val="1"/>
          <w:color w:val="auto"/>
        </w:rPr>
        <w:t>Reallocation</w:t>
      </w:r>
      <w:r>
        <w:rPr>
          <w:rFonts w:ascii="Times New Roman" w:cs="Times New Roman" w:eastAsia="Times New Roman" w:hAnsi="Times New Roman"/>
          <w:sz w:val="22"/>
          <w:szCs w:val="22"/>
          <w:color w:val="auto"/>
        </w:rPr>
        <w:t>”) and that each Revolving Lender will hold such Revolving Commitment as is set out opposite its name on Schedule 1;</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each Revolving Lender will hold such Revolving Commitment as is set out opposite its name 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1295"/>
        <w:spacing w:after="0" w:line="256" w:lineRule="auto"/>
        <w:rPr>
          <w:sz w:val="20"/>
          <w:szCs w:val="20"/>
          <w:color w:val="auto"/>
        </w:rPr>
      </w:pPr>
      <w:r>
        <w:rPr>
          <w:rFonts w:ascii="Times New Roman" w:cs="Times New Roman" w:eastAsia="Times New Roman" w:hAnsi="Times New Roman"/>
          <w:sz w:val="22"/>
          <w:szCs w:val="22"/>
          <w:color w:val="auto"/>
        </w:rPr>
        <w:t>WHEREAS, the Borrower, the Administrative Agent, and the Revolving Lenders wish to amend the Credit Agreement to provide for certain other modifications to the Credit Agreement, in each case, on the terms and subject to the conditions set forth herein;</w:t>
      </w:r>
    </w:p>
    <w:p>
      <w:pPr>
        <w:spacing w:after="0" w:line="175" w:lineRule="exact"/>
        <w:rPr>
          <w:sz w:val="20"/>
          <w:szCs w:val="20"/>
          <w:color w:val="auto"/>
        </w:rPr>
      </w:pPr>
    </w:p>
    <w:p>
      <w:pPr>
        <w:jc w:val="both"/>
        <w:ind w:firstLine="1295"/>
        <w:spacing w:after="0" w:line="263" w:lineRule="auto"/>
        <w:rPr>
          <w:sz w:val="20"/>
          <w:szCs w:val="20"/>
          <w:color w:val="auto"/>
        </w:rPr>
      </w:pPr>
      <w:r>
        <w:rPr>
          <w:rFonts w:ascii="Times New Roman" w:cs="Times New Roman" w:eastAsia="Times New Roman" w:hAnsi="Times New Roman"/>
          <w:sz w:val="22"/>
          <w:szCs w:val="22"/>
          <w:color w:val="auto"/>
        </w:rPr>
        <w:t>WHEREAS, pursuant to Section 2.28(b) of the Credit Agreement, any Existing Revolving Lender who is not a Consenting Lender (each, a “</w:t>
      </w:r>
      <w:r>
        <w:rPr>
          <w:rFonts w:ascii="Times New Roman" w:cs="Times New Roman" w:eastAsia="Times New Roman" w:hAnsi="Times New Roman"/>
          <w:sz w:val="22"/>
          <w:szCs w:val="22"/>
          <w:i w:val="1"/>
          <w:iCs w:val="1"/>
          <w:color w:val="auto"/>
        </w:rPr>
        <w:t>Non-Consenting Revolving Lender</w:t>
      </w:r>
      <w:r>
        <w:rPr>
          <w:rFonts w:ascii="Times New Roman" w:cs="Times New Roman" w:eastAsia="Times New Roman" w:hAnsi="Times New Roman"/>
          <w:sz w:val="22"/>
          <w:szCs w:val="22"/>
          <w:color w:val="auto"/>
        </w:rPr>
        <w:t>”) shall continue to have Revolving Credit Commitments (the “</w:t>
      </w:r>
      <w:r>
        <w:rPr>
          <w:rFonts w:ascii="Times New Roman" w:cs="Times New Roman" w:eastAsia="Times New Roman" w:hAnsi="Times New Roman"/>
          <w:sz w:val="22"/>
          <w:szCs w:val="22"/>
          <w:i w:val="1"/>
          <w:iCs w:val="1"/>
          <w:color w:val="auto"/>
        </w:rPr>
        <w:t>Non-Extended Revolver Commitments</w:t>
      </w:r>
      <w:r>
        <w:rPr>
          <w:rFonts w:ascii="Times New Roman" w:cs="Times New Roman" w:eastAsia="Times New Roman" w:hAnsi="Times New Roman"/>
          <w:sz w:val="22"/>
          <w:szCs w:val="22"/>
          <w:color w:val="auto"/>
        </w:rPr>
        <w:t>”); and</w:t>
      </w:r>
    </w:p>
    <w:p>
      <w:pPr>
        <w:spacing w:after="0" w:line="166" w:lineRule="exact"/>
        <w:rPr>
          <w:sz w:val="20"/>
          <w:szCs w:val="20"/>
          <w:color w:val="auto"/>
        </w:rPr>
      </w:pPr>
    </w:p>
    <w:p>
      <w:pPr>
        <w:jc w:val="both"/>
        <w:ind w:right="20" w:firstLine="1295"/>
        <w:spacing w:after="0" w:line="270"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159" w:lineRule="exact"/>
        <w:rPr>
          <w:sz w:val="20"/>
          <w:szCs w:val="20"/>
          <w:color w:val="auto"/>
        </w:rPr>
      </w:pPr>
    </w:p>
    <w:p>
      <w:pPr>
        <w:jc w:val="both"/>
        <w:ind w:firstLine="1699"/>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ONE - Reallocation of Revolving Commitments</w:t>
      </w:r>
      <w:r>
        <w:rPr>
          <w:rFonts w:ascii="Times New Roman" w:cs="Times New Roman" w:eastAsia="Times New Roman" w:hAnsi="Times New Roman"/>
          <w:sz w:val="22"/>
          <w:szCs w:val="22"/>
          <w:color w:val="auto"/>
        </w:rPr>
        <w:t>. On the Fourth Amendment Effective Date, the Borrower, the Existing Revolving Lenders and the New Revolving Lenders agree that (1) the Total Revolving Commitments shall be $300,000,000, consisting of $296,400,000 of Extended Revolver Commitments and $3,600,000 of Non-Extended Revolver Commitments and (2) each New Revolving Lender shall become a Revolving Lender under the Credit Agreement (as amended hereby).</w:t>
      </w:r>
    </w:p>
    <w:p>
      <w:pPr>
        <w:spacing w:after="0" w:line="177" w:lineRule="exact"/>
        <w:rPr>
          <w:sz w:val="20"/>
          <w:szCs w:val="20"/>
          <w:color w:val="auto"/>
        </w:rPr>
      </w:pPr>
    </w:p>
    <w:p>
      <w:pPr>
        <w:jc w:val="both"/>
        <w:ind w:right="20" w:firstLine="1295"/>
        <w:spacing w:after="0" w:line="270" w:lineRule="auto"/>
        <w:rPr>
          <w:sz w:val="20"/>
          <w:szCs w:val="20"/>
          <w:color w:val="auto"/>
        </w:rPr>
      </w:pPr>
      <w:r>
        <w:rPr>
          <w:rFonts w:ascii="Times New Roman" w:cs="Times New Roman" w:eastAsia="Times New Roman" w:hAnsi="Times New Roman"/>
          <w:sz w:val="22"/>
          <w:szCs w:val="22"/>
          <w:u w:val="single" w:color="auto"/>
          <w:color w:val="auto"/>
        </w:rPr>
        <w:t>SECTION TWO - Extension of Revolving Facility</w:t>
      </w:r>
      <w:r>
        <w:rPr>
          <w:rFonts w:ascii="Times New Roman" w:cs="Times New Roman" w:eastAsia="Times New Roman" w:hAnsi="Times New Roman"/>
          <w:sz w:val="22"/>
          <w:szCs w:val="22"/>
          <w:color w:val="auto"/>
        </w:rPr>
        <w:t>. On the Fourth Amendment Effective Date (immediately after giving effect to the Reallocation contemplated in Section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2"/>
          <w:szCs w:val="22"/>
          <w:color w:val="auto"/>
        </w:rPr>
        <w:t>the Borrower, each Extending Revolving Lender and each Non-Consenting Revolving Lender agrees the Credit Agreement is modified as follows:</w:t>
      </w:r>
    </w:p>
    <w:p>
      <w:pPr>
        <w:spacing w:after="0" w:line="159" w:lineRule="exact"/>
        <w:rPr>
          <w:sz w:val="20"/>
          <w:szCs w:val="20"/>
          <w:color w:val="auto"/>
        </w:rPr>
      </w:pPr>
    </w:p>
    <w:p>
      <w:pPr>
        <w:ind w:right="380" w:firstLine="1302"/>
        <w:spacing w:after="0" w:line="283" w:lineRule="auto"/>
        <w:tabs>
          <w:tab w:leader="none" w:pos="1579"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1.01 of the Credit Agreement is hereby amended by adding the following definitions in appropriate alphabetical order:</w:t>
      </w:r>
    </w:p>
    <w:p>
      <w:pPr>
        <w:spacing w:after="0" w:line="141" w:lineRule="exact"/>
        <w:rPr>
          <w:sz w:val="20"/>
          <w:szCs w:val="20"/>
          <w:color w:val="auto"/>
        </w:rPr>
      </w:pPr>
    </w:p>
    <w:p>
      <w:pPr>
        <w:jc w:val="both"/>
        <w:ind w:right="20" w:firstLine="1295"/>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Fourth Amendment</w:t>
      </w:r>
      <w:r>
        <w:rPr>
          <w:rFonts w:ascii="Times New Roman" w:cs="Times New Roman" w:eastAsia="Times New Roman" w:hAnsi="Times New Roman"/>
          <w:sz w:val="22"/>
          <w:szCs w:val="22"/>
          <w:color w:val="auto"/>
        </w:rPr>
        <w:t>” means the Fourth Amendment to this Credit Agreement, dated as of December 10, 2018 among the Borrower, Barclays Bank PLC, as administrative agent and as an issuing lender and the Lenders party thereto.”</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Fourth Amendment Effective Date</w:t>
      </w:r>
      <w:r>
        <w:rPr>
          <w:rFonts w:ascii="Times New Roman" w:cs="Times New Roman" w:eastAsia="Times New Roman" w:hAnsi="Times New Roman"/>
          <w:sz w:val="22"/>
          <w:szCs w:val="22"/>
          <w:color w:val="auto"/>
        </w:rPr>
        <w:t>” shall have the meaning provided in the Fourth Amendment.”;</w:t>
      </w:r>
    </w:p>
    <w:p>
      <w:pPr>
        <w:spacing w:after="0" w:line="219" w:lineRule="exact"/>
        <w:rPr>
          <w:sz w:val="20"/>
          <w:szCs w:val="20"/>
          <w:color w:val="auto"/>
        </w:rPr>
      </w:pPr>
    </w:p>
    <w:p>
      <w:pPr>
        <w:jc w:val="both"/>
        <w:ind w:firstLine="1295"/>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Fourth Amendment Extended Revolving Commitments</w:t>
      </w:r>
      <w:r>
        <w:rPr>
          <w:rFonts w:ascii="Times New Roman" w:cs="Times New Roman" w:eastAsia="Times New Roman" w:hAnsi="Times New Roman"/>
          <w:sz w:val="22"/>
          <w:szCs w:val="22"/>
          <w:color w:val="auto"/>
        </w:rPr>
        <w:t>” means the Revolving Commitments of each Fourth Amendment Extending Revolving Lender.”</w:t>
      </w:r>
    </w:p>
    <w:p>
      <w:pPr>
        <w:spacing w:after="0" w:line="137" w:lineRule="exact"/>
        <w:rPr>
          <w:sz w:val="20"/>
          <w:szCs w:val="20"/>
          <w:color w:val="auto"/>
        </w:rPr>
      </w:pPr>
    </w:p>
    <w:p>
      <w:pPr>
        <w:jc w:val="both"/>
        <w:ind w:firstLine="1295"/>
        <w:spacing w:after="0" w:line="253" w:lineRule="auto"/>
        <w:rPr>
          <w:sz w:val="20"/>
          <w:szCs w:val="20"/>
          <w:color w:val="auto"/>
        </w:rPr>
      </w:pPr>
      <w:r>
        <w:rPr>
          <w:rFonts w:ascii="Times New Roman" w:cs="Times New Roman" w:eastAsia="Times New Roman" w:hAnsi="Times New Roman"/>
          <w:sz w:val="22"/>
          <w:szCs w:val="22"/>
          <w:i w:val="1"/>
          <w:iCs w:val="1"/>
          <w:color w:val="auto"/>
        </w:rPr>
        <w:t>““Fourth Amendment Extending Revolving Lender</w:t>
      </w:r>
      <w:r>
        <w:rPr>
          <w:rFonts w:ascii="Times New Roman" w:cs="Times New Roman" w:eastAsia="Times New Roman" w:hAnsi="Times New Roman"/>
          <w:sz w:val="22"/>
          <w:szCs w:val="22"/>
          <w:color w:val="auto"/>
        </w:rPr>
        <w:t>” shall mean each Revolving Lender (including the Fourth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Amendment New Revolving Lenders) that has provided a signature page on or prior to December 10, 2018 voting in favor of accepting the Fourth Amendment Extension Offer and extending the Revolving Facility Maturity Date as set forth in the Fourth Amendment.”</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Fourth Amendment Extension Offer</w:t>
      </w:r>
      <w:r>
        <w:rPr>
          <w:rFonts w:ascii="Times New Roman" w:cs="Times New Roman" w:eastAsia="Times New Roman" w:hAnsi="Times New Roman"/>
          <w:sz w:val="22"/>
          <w:szCs w:val="22"/>
          <w:color w:val="auto"/>
        </w:rPr>
        <w:t>” means the Extension Offer made pursuant to the Fourth Amendment.”</w:t>
      </w:r>
    </w:p>
    <w:p>
      <w:pPr>
        <w:spacing w:after="0" w:line="232" w:lineRule="exact"/>
        <w:rPr>
          <w:sz w:val="20"/>
          <w:szCs w:val="20"/>
          <w:color w:val="auto"/>
        </w:rPr>
      </w:pPr>
    </w:p>
    <w:p>
      <w:pPr>
        <w:jc w:val="both"/>
        <w:ind w:firstLine="1295"/>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Fourth Amendment Non-Extended Revolving Commitments</w:t>
      </w:r>
      <w:r>
        <w:rPr>
          <w:rFonts w:ascii="Times New Roman" w:cs="Times New Roman" w:eastAsia="Times New Roman" w:hAnsi="Times New Roman"/>
          <w:sz w:val="22"/>
          <w:szCs w:val="22"/>
          <w:color w:val="auto"/>
        </w:rPr>
        <w:t>” means the Revolving Commitments of each Fourth Amendment Non-Extending Revolving Lender.”</w:t>
      </w:r>
    </w:p>
    <w:p>
      <w:pPr>
        <w:spacing w:after="0" w:line="151" w:lineRule="exact"/>
        <w:rPr>
          <w:sz w:val="20"/>
          <w:szCs w:val="20"/>
          <w:color w:val="auto"/>
        </w:rPr>
      </w:pPr>
    </w:p>
    <w:p>
      <w:pPr>
        <w:jc w:val="both"/>
        <w:ind w:right="20" w:firstLine="1295"/>
        <w:spacing w:after="0" w:line="27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Fourth Amendment Non-Extending Revolving Lender</w:t>
      </w:r>
      <w:r>
        <w:rPr>
          <w:rFonts w:ascii="Times New Roman" w:cs="Times New Roman" w:eastAsia="Times New Roman" w:hAnsi="Times New Roman"/>
          <w:sz w:val="22"/>
          <w:szCs w:val="22"/>
          <w:color w:val="auto"/>
        </w:rPr>
        <w:t>” shall mean each Revolving Lender other than the Fourth Amendment Extending Revolving Lenders.”</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Fourth Amendment New Revolving Lenders</w:t>
      </w:r>
      <w:r>
        <w:rPr>
          <w:rFonts w:ascii="Times New Roman" w:cs="Times New Roman" w:eastAsia="Times New Roman" w:hAnsi="Times New Roman"/>
          <w:sz w:val="20"/>
          <w:szCs w:val="20"/>
          <w:color w:val="auto"/>
        </w:rPr>
        <w:t>” shall mean each New Revolving Lender (as defined in the Fourth</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Amendment).”</w:t>
      </w:r>
    </w:p>
    <w:p>
      <w:pPr>
        <w:spacing w:after="0" w:line="202" w:lineRule="exact"/>
        <w:rPr>
          <w:sz w:val="20"/>
          <w:szCs w:val="20"/>
          <w:color w:val="auto"/>
        </w:rPr>
      </w:pPr>
    </w:p>
    <w:p>
      <w:pPr>
        <w:ind w:right="220" w:firstLine="1302"/>
        <w:spacing w:after="0" w:line="274" w:lineRule="auto"/>
        <w:tabs>
          <w:tab w:leader="none" w:pos="159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Applicable Margin</w:t>
      </w:r>
      <w:r>
        <w:rPr>
          <w:rFonts w:ascii="Times New Roman" w:cs="Times New Roman" w:eastAsia="Times New Roman" w:hAnsi="Times New Roman"/>
          <w:sz w:val="22"/>
          <w:szCs w:val="22"/>
          <w:color w:val="auto"/>
        </w:rPr>
        <w:t>” appearing in Section 1.01 of the Credit Agreement is hereby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Margin</w:t>
      </w:r>
      <w:r>
        <w:rPr>
          <w:rFonts w:ascii="Times New Roman" w:cs="Times New Roman" w:eastAsia="Times New Roman" w:hAnsi="Times New Roman"/>
          <w:sz w:val="22"/>
          <w:szCs w:val="22"/>
          <w:color w:val="auto"/>
        </w:rPr>
        <w:t>” shall mean the rate per annum determined pursuant to the following:</w:t>
      </w:r>
    </w:p>
    <w:p>
      <w:pPr>
        <w:spacing w:after="0" w:line="244" w:lineRule="exact"/>
        <w:rPr>
          <w:sz w:val="20"/>
          <w:szCs w:val="20"/>
          <w:color w:val="auto"/>
        </w:rPr>
      </w:pPr>
    </w:p>
    <w:tbl>
      <w:tblPr>
        <w:tblLayout w:type="fixed"/>
        <w:tblInd w:w="1090" w:type="dxa"/>
        <w:tblCellMar>
          <w:top w:w="0" w:type="dxa"/>
          <w:left w:w="0" w:type="dxa"/>
          <w:bottom w:w="0" w:type="dxa"/>
          <w:right w:w="0" w:type="dxa"/>
        </w:tblCellMar>
      </w:tblPr>
      <w:tr>
        <w:trPr>
          <w:trHeight w:val="216"/>
        </w:trPr>
        <w:tc>
          <w:tcPr>
            <w:tcW w:w="2680" w:type="dxa"/>
            <w:vAlign w:val="bottom"/>
            <w:tcBorders>
              <w:top w:val="single" w:sz="8" w:color="00000A"/>
              <w:left w:val="single" w:sz="8" w:color="00000A"/>
              <w:right w:val="single" w:sz="8" w:color="00000A"/>
            </w:tcBorders>
          </w:tcPr>
          <w:p>
            <w:pPr>
              <w:ind w:left="700"/>
              <w:spacing w:after="0" w:line="216" w:lineRule="exact"/>
              <w:rPr>
                <w:sz w:val="20"/>
                <w:szCs w:val="20"/>
                <w:color w:val="auto"/>
              </w:rPr>
            </w:pPr>
            <w:r>
              <w:rPr>
                <w:rFonts w:ascii="Times New Roman" w:cs="Times New Roman" w:eastAsia="Times New Roman" w:hAnsi="Times New Roman"/>
                <w:sz w:val="22"/>
                <w:szCs w:val="22"/>
                <w:color w:val="auto"/>
              </w:rPr>
              <w:t>Class of Loans</w:t>
            </w:r>
          </w:p>
        </w:tc>
        <w:tc>
          <w:tcPr>
            <w:tcW w:w="2440" w:type="dxa"/>
            <w:vAlign w:val="bottom"/>
            <w:tcBorders>
              <w:top w:val="single" w:sz="8" w:color="00000A"/>
              <w:right w:val="single" w:sz="8" w:color="00000A"/>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7"/>
              </w:rPr>
              <w:t>Applicable Margin</w:t>
            </w:r>
          </w:p>
        </w:tc>
        <w:tc>
          <w:tcPr>
            <w:tcW w:w="3000" w:type="dxa"/>
            <w:vAlign w:val="bottom"/>
            <w:tcBorders>
              <w:top w:val="single" w:sz="8" w:color="00000A"/>
              <w:right w:val="single" w:sz="8" w:color="00000A"/>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7"/>
              </w:rPr>
              <w:t>Applicable Margin ABR Loans</w:t>
            </w:r>
          </w:p>
        </w:tc>
      </w:tr>
      <w:tr>
        <w:trPr>
          <w:trHeight w:val="283"/>
        </w:trPr>
        <w:tc>
          <w:tcPr>
            <w:tcW w:w="2680" w:type="dxa"/>
            <w:vAlign w:val="bottom"/>
            <w:tcBorders>
              <w:left w:val="single" w:sz="8" w:color="00000A"/>
              <w:bottom w:val="single" w:sz="8" w:color="00000A"/>
              <w:right w:val="single" w:sz="8" w:color="00000A"/>
            </w:tcBorders>
          </w:tcPr>
          <w:p>
            <w:pPr>
              <w:spacing w:after="0"/>
              <w:rPr>
                <w:sz w:val="24"/>
                <w:szCs w:val="24"/>
                <w:color w:val="auto"/>
              </w:rPr>
            </w:pPr>
          </w:p>
        </w:tc>
        <w:tc>
          <w:tcPr>
            <w:tcW w:w="244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7"/>
              </w:rPr>
              <w:t>Eurodollar Loans</w:t>
            </w:r>
          </w:p>
        </w:tc>
        <w:tc>
          <w:tcPr>
            <w:tcW w:w="3000" w:type="dxa"/>
            <w:vAlign w:val="bottom"/>
            <w:tcBorders>
              <w:bottom w:val="single" w:sz="8" w:color="00000A"/>
              <w:right w:val="single" w:sz="8" w:color="00000A"/>
            </w:tcBorders>
          </w:tcPr>
          <w:p>
            <w:pPr>
              <w:spacing w:after="0"/>
              <w:rPr>
                <w:sz w:val="24"/>
                <w:szCs w:val="24"/>
                <w:color w:val="auto"/>
              </w:rPr>
            </w:pPr>
          </w:p>
        </w:tc>
      </w:tr>
      <w:tr>
        <w:trPr>
          <w:trHeight w:val="196"/>
        </w:trPr>
        <w:tc>
          <w:tcPr>
            <w:tcW w:w="2680" w:type="dxa"/>
            <w:vAlign w:val="bottom"/>
            <w:tcBorders>
              <w:left w:val="single" w:sz="8" w:color="00000A"/>
              <w:right w:val="single" w:sz="8" w:color="00000A"/>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Replacement Class B Term</w:t>
            </w:r>
          </w:p>
        </w:tc>
        <w:tc>
          <w:tcPr>
            <w:tcW w:w="2440" w:type="dxa"/>
            <w:vAlign w:val="bottom"/>
            <w:tcBorders>
              <w:right w:val="single" w:sz="8" w:color="00000A"/>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4"/>
              </w:rPr>
              <w:t>2.00%</w:t>
            </w:r>
          </w:p>
        </w:tc>
        <w:tc>
          <w:tcPr>
            <w:tcW w:w="3000" w:type="dxa"/>
            <w:vAlign w:val="bottom"/>
            <w:tcBorders>
              <w:right w:val="single" w:sz="8" w:color="00000A"/>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8"/>
              </w:rPr>
              <w:t>1.00%</w:t>
            </w:r>
          </w:p>
        </w:tc>
      </w:tr>
      <w:tr>
        <w:trPr>
          <w:trHeight w:val="283"/>
        </w:trPr>
        <w:tc>
          <w:tcPr>
            <w:tcW w:w="2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2"/>
                <w:szCs w:val="22"/>
                <w:color w:val="auto"/>
              </w:rPr>
              <w:t>Loans</w:t>
            </w:r>
          </w:p>
        </w:tc>
        <w:tc>
          <w:tcPr>
            <w:tcW w:w="2440" w:type="dxa"/>
            <w:vAlign w:val="bottom"/>
            <w:tcBorders>
              <w:bottom w:val="single" w:sz="8" w:color="00000A"/>
              <w:right w:val="single" w:sz="8" w:color="00000A"/>
            </w:tcBorders>
          </w:tcPr>
          <w:p>
            <w:pPr>
              <w:spacing w:after="0"/>
              <w:rPr>
                <w:sz w:val="24"/>
                <w:szCs w:val="24"/>
                <w:color w:val="auto"/>
              </w:rPr>
            </w:pPr>
          </w:p>
        </w:tc>
        <w:tc>
          <w:tcPr>
            <w:tcW w:w="3000" w:type="dxa"/>
            <w:vAlign w:val="bottom"/>
            <w:tcBorders>
              <w:bottom w:val="single" w:sz="8" w:color="00000A"/>
              <w:right w:val="single" w:sz="8" w:color="00000A"/>
            </w:tcBorders>
          </w:tcPr>
          <w:p>
            <w:pPr>
              <w:spacing w:after="0"/>
              <w:rPr>
                <w:sz w:val="24"/>
                <w:szCs w:val="24"/>
                <w:color w:val="auto"/>
              </w:rPr>
            </w:pPr>
          </w:p>
        </w:tc>
      </w:tr>
      <w:tr>
        <w:trPr>
          <w:trHeight w:val="196"/>
        </w:trPr>
        <w:tc>
          <w:tcPr>
            <w:tcW w:w="2680" w:type="dxa"/>
            <w:vAlign w:val="bottom"/>
            <w:tcBorders>
              <w:left w:val="single" w:sz="8" w:color="00000A"/>
              <w:right w:val="single" w:sz="8" w:color="00000A"/>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w w:val="98"/>
              </w:rPr>
              <w:t>Revolving Loans in respect of</w:t>
            </w:r>
          </w:p>
        </w:tc>
        <w:tc>
          <w:tcPr>
            <w:tcW w:w="2440" w:type="dxa"/>
            <w:vAlign w:val="bottom"/>
            <w:tcBorders>
              <w:right w:val="single" w:sz="8" w:color="00000A"/>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4"/>
              </w:rPr>
              <w:t>2.00%</w:t>
            </w:r>
          </w:p>
        </w:tc>
        <w:tc>
          <w:tcPr>
            <w:tcW w:w="3000" w:type="dxa"/>
            <w:vAlign w:val="bottom"/>
            <w:tcBorders>
              <w:right w:val="single" w:sz="8" w:color="00000A"/>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8"/>
              </w:rPr>
              <w:t>1.00%</w:t>
            </w:r>
          </w:p>
        </w:tc>
      </w:tr>
      <w:tr>
        <w:trPr>
          <w:trHeight w:val="216"/>
        </w:trPr>
        <w:tc>
          <w:tcPr>
            <w:tcW w:w="2680" w:type="dxa"/>
            <w:vAlign w:val="bottom"/>
            <w:tcBorders>
              <w:left w:val="single" w:sz="8" w:color="00000A"/>
              <w:right w:val="single" w:sz="8" w:color="00000A"/>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w w:val="99"/>
              </w:rPr>
              <w:t>Fourth Amendment Extended</w:t>
            </w:r>
          </w:p>
        </w:tc>
        <w:tc>
          <w:tcPr>
            <w:tcW w:w="2440" w:type="dxa"/>
            <w:vAlign w:val="bottom"/>
            <w:tcBorders>
              <w:right w:val="single" w:sz="8" w:color="00000A"/>
            </w:tcBorders>
          </w:tcPr>
          <w:p>
            <w:pPr>
              <w:spacing w:after="0"/>
              <w:rPr>
                <w:sz w:val="18"/>
                <w:szCs w:val="18"/>
                <w:color w:val="auto"/>
              </w:rPr>
            </w:pPr>
          </w:p>
        </w:tc>
        <w:tc>
          <w:tcPr>
            <w:tcW w:w="3000" w:type="dxa"/>
            <w:vAlign w:val="bottom"/>
            <w:tcBorders>
              <w:right w:val="single" w:sz="8" w:color="00000A"/>
            </w:tcBorders>
          </w:tcPr>
          <w:p>
            <w:pPr>
              <w:spacing w:after="0"/>
              <w:rPr>
                <w:sz w:val="18"/>
                <w:szCs w:val="18"/>
                <w:color w:val="auto"/>
              </w:rPr>
            </w:pPr>
          </w:p>
        </w:tc>
      </w:tr>
      <w:tr>
        <w:trPr>
          <w:trHeight w:val="283"/>
        </w:trPr>
        <w:tc>
          <w:tcPr>
            <w:tcW w:w="2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2"/>
                <w:szCs w:val="22"/>
                <w:color w:val="auto"/>
              </w:rPr>
              <w:t>Revolving Commitments</w:t>
            </w:r>
          </w:p>
        </w:tc>
        <w:tc>
          <w:tcPr>
            <w:tcW w:w="2440" w:type="dxa"/>
            <w:vAlign w:val="bottom"/>
            <w:tcBorders>
              <w:bottom w:val="single" w:sz="8" w:color="00000A"/>
              <w:right w:val="single" w:sz="8" w:color="00000A"/>
            </w:tcBorders>
          </w:tcPr>
          <w:p>
            <w:pPr>
              <w:spacing w:after="0"/>
              <w:rPr>
                <w:sz w:val="24"/>
                <w:szCs w:val="24"/>
                <w:color w:val="auto"/>
              </w:rPr>
            </w:pPr>
          </w:p>
        </w:tc>
        <w:tc>
          <w:tcPr>
            <w:tcW w:w="3000" w:type="dxa"/>
            <w:vAlign w:val="bottom"/>
            <w:tcBorders>
              <w:bottom w:val="single" w:sz="8" w:color="00000A"/>
              <w:right w:val="single" w:sz="8" w:color="00000A"/>
            </w:tcBorders>
          </w:tcPr>
          <w:p>
            <w:pPr>
              <w:spacing w:after="0"/>
              <w:rPr>
                <w:sz w:val="24"/>
                <w:szCs w:val="24"/>
                <w:color w:val="auto"/>
              </w:rPr>
            </w:pPr>
          </w:p>
        </w:tc>
      </w:tr>
      <w:tr>
        <w:trPr>
          <w:trHeight w:val="196"/>
        </w:trPr>
        <w:tc>
          <w:tcPr>
            <w:tcW w:w="2680" w:type="dxa"/>
            <w:vAlign w:val="bottom"/>
            <w:tcBorders>
              <w:left w:val="single" w:sz="8" w:color="00000A"/>
              <w:right w:val="single" w:sz="8" w:color="00000A"/>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w w:val="98"/>
              </w:rPr>
              <w:t>Revolving Loans in respect of</w:t>
            </w:r>
          </w:p>
        </w:tc>
        <w:tc>
          <w:tcPr>
            <w:tcW w:w="2440" w:type="dxa"/>
            <w:vAlign w:val="bottom"/>
            <w:tcBorders>
              <w:right w:val="single" w:sz="8" w:color="00000A"/>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4"/>
              </w:rPr>
              <w:t>2.25%</w:t>
            </w:r>
          </w:p>
        </w:tc>
        <w:tc>
          <w:tcPr>
            <w:tcW w:w="3000" w:type="dxa"/>
            <w:vAlign w:val="bottom"/>
            <w:tcBorders>
              <w:right w:val="single" w:sz="8" w:color="00000A"/>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8"/>
              </w:rPr>
              <w:t>1.25%</w:t>
            </w:r>
          </w:p>
        </w:tc>
      </w:tr>
      <w:tr>
        <w:trPr>
          <w:trHeight w:val="216"/>
        </w:trPr>
        <w:tc>
          <w:tcPr>
            <w:tcW w:w="2680" w:type="dxa"/>
            <w:vAlign w:val="bottom"/>
            <w:tcBorders>
              <w:left w:val="single" w:sz="8" w:color="00000A"/>
              <w:right w:val="single" w:sz="8" w:color="00000A"/>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Fourth Amendment Non-</w:t>
            </w:r>
          </w:p>
        </w:tc>
        <w:tc>
          <w:tcPr>
            <w:tcW w:w="2440" w:type="dxa"/>
            <w:vAlign w:val="bottom"/>
            <w:tcBorders>
              <w:right w:val="single" w:sz="8" w:color="00000A"/>
            </w:tcBorders>
          </w:tcPr>
          <w:p>
            <w:pPr>
              <w:spacing w:after="0"/>
              <w:rPr>
                <w:sz w:val="18"/>
                <w:szCs w:val="18"/>
                <w:color w:val="auto"/>
              </w:rPr>
            </w:pPr>
          </w:p>
        </w:tc>
        <w:tc>
          <w:tcPr>
            <w:tcW w:w="3000" w:type="dxa"/>
            <w:vAlign w:val="bottom"/>
            <w:tcBorders>
              <w:right w:val="single" w:sz="8" w:color="00000A"/>
            </w:tcBorders>
          </w:tcPr>
          <w:p>
            <w:pPr>
              <w:spacing w:after="0"/>
              <w:rPr>
                <w:sz w:val="18"/>
                <w:szCs w:val="18"/>
                <w:color w:val="auto"/>
              </w:rPr>
            </w:pPr>
          </w:p>
        </w:tc>
      </w:tr>
      <w:tr>
        <w:trPr>
          <w:trHeight w:val="216"/>
        </w:trPr>
        <w:tc>
          <w:tcPr>
            <w:tcW w:w="2680" w:type="dxa"/>
            <w:vAlign w:val="bottom"/>
            <w:tcBorders>
              <w:left w:val="single" w:sz="8" w:color="00000A"/>
              <w:right w:val="single" w:sz="8" w:color="00000A"/>
            </w:tcBorders>
          </w:tcPr>
          <w:p>
            <w:pPr>
              <w:ind w:left="40"/>
              <w:spacing w:after="0" w:line="216" w:lineRule="exact"/>
              <w:rPr>
                <w:sz w:val="20"/>
                <w:szCs w:val="20"/>
                <w:color w:val="auto"/>
              </w:rPr>
            </w:pPr>
            <w:r>
              <w:rPr>
                <w:rFonts w:ascii="Times New Roman" w:cs="Times New Roman" w:eastAsia="Times New Roman" w:hAnsi="Times New Roman"/>
                <w:sz w:val="22"/>
                <w:szCs w:val="22"/>
                <w:color w:val="auto"/>
              </w:rPr>
              <w:t>Extended Revolving</w:t>
            </w:r>
          </w:p>
        </w:tc>
        <w:tc>
          <w:tcPr>
            <w:tcW w:w="2440" w:type="dxa"/>
            <w:vAlign w:val="bottom"/>
            <w:tcBorders>
              <w:right w:val="single" w:sz="8" w:color="00000A"/>
            </w:tcBorders>
          </w:tcPr>
          <w:p>
            <w:pPr>
              <w:spacing w:after="0"/>
              <w:rPr>
                <w:sz w:val="18"/>
                <w:szCs w:val="18"/>
                <w:color w:val="auto"/>
              </w:rPr>
            </w:pPr>
          </w:p>
        </w:tc>
        <w:tc>
          <w:tcPr>
            <w:tcW w:w="3000" w:type="dxa"/>
            <w:vAlign w:val="bottom"/>
            <w:tcBorders>
              <w:right w:val="single" w:sz="8" w:color="00000A"/>
            </w:tcBorders>
          </w:tcPr>
          <w:p>
            <w:pPr>
              <w:spacing w:after="0"/>
              <w:rPr>
                <w:sz w:val="18"/>
                <w:szCs w:val="18"/>
                <w:color w:val="auto"/>
              </w:rPr>
            </w:pPr>
          </w:p>
        </w:tc>
      </w:tr>
      <w:tr>
        <w:trPr>
          <w:trHeight w:val="283"/>
        </w:trPr>
        <w:tc>
          <w:tcPr>
            <w:tcW w:w="26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2"/>
                <w:szCs w:val="22"/>
                <w:color w:val="auto"/>
              </w:rPr>
              <w:t>Commitments</w:t>
            </w:r>
          </w:p>
        </w:tc>
        <w:tc>
          <w:tcPr>
            <w:tcW w:w="2440" w:type="dxa"/>
            <w:vAlign w:val="bottom"/>
            <w:tcBorders>
              <w:bottom w:val="single" w:sz="8" w:color="00000A"/>
              <w:right w:val="single" w:sz="8" w:color="00000A"/>
            </w:tcBorders>
          </w:tcPr>
          <w:p>
            <w:pPr>
              <w:spacing w:after="0"/>
              <w:rPr>
                <w:sz w:val="24"/>
                <w:szCs w:val="24"/>
                <w:color w:val="auto"/>
              </w:rPr>
            </w:pPr>
          </w:p>
        </w:tc>
        <w:tc>
          <w:tcPr>
            <w:tcW w:w="3000" w:type="dxa"/>
            <w:vAlign w:val="bottom"/>
            <w:tcBorders>
              <w:bottom w:val="single" w:sz="8" w:color="00000A"/>
              <w:right w:val="single" w:sz="8" w:color="00000A"/>
            </w:tcBorders>
          </w:tcPr>
          <w:p>
            <w:pPr>
              <w:spacing w:after="0"/>
              <w:rPr>
                <w:sz w:val="24"/>
                <w:szCs w:val="24"/>
                <w:color w:val="auto"/>
              </w:rPr>
            </w:pPr>
          </w:p>
        </w:tc>
      </w:tr>
    </w:tbl>
    <w:p>
      <w:pPr>
        <w:spacing w:after="0" w:line="292" w:lineRule="exact"/>
        <w:rPr>
          <w:sz w:val="20"/>
          <w:szCs w:val="20"/>
          <w:color w:val="auto"/>
        </w:rPr>
      </w:pPr>
    </w:p>
    <w:p>
      <w:pPr>
        <w:ind w:left="-220" w:right="760" w:firstLine="1302"/>
        <w:spacing w:after="0" w:line="274" w:lineRule="auto"/>
        <w:tabs>
          <w:tab w:leader="none" w:pos="1359"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Commitment Fee Rate</w:t>
      </w:r>
      <w:r>
        <w:rPr>
          <w:rFonts w:ascii="Times New Roman" w:cs="Times New Roman" w:eastAsia="Times New Roman" w:hAnsi="Times New Roman"/>
          <w:sz w:val="22"/>
          <w:szCs w:val="22"/>
          <w:color w:val="auto"/>
        </w:rPr>
        <w:t>” appearing in Section 1.01 of the Credit Agreement is hereby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440" w:firstLine="1294"/>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 Fee Rate</w:t>
      </w:r>
      <w:r>
        <w:rPr>
          <w:rFonts w:ascii="Times New Roman" w:cs="Times New Roman" w:eastAsia="Times New Roman" w:hAnsi="Times New Roman"/>
          <w:sz w:val="22"/>
          <w:szCs w:val="22"/>
          <w:color w:val="auto"/>
        </w:rPr>
        <w:t>” shall mean (x) in respect of Fourth Amendment Extended Revolving Commitments, 0.625% per annum and (y) in respect of Fourth Amendment Non-Extended Revolving Commitments, 0.75% per annum.”;</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 w:right="620" w:firstLine="1302"/>
        <w:spacing w:after="0" w:line="270" w:lineRule="auto"/>
        <w:tabs>
          <w:tab w:leader="none" w:pos="137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“LIBO Rate” appearing in Section 1.01 of the Credit Agreement is hereby amended by adding “and Revolving Loans in respect of Fourth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0"/>
          </w:cols>
          <w:pgMar w:left="540" w:top="1440" w:right="339" w:bottom="1440" w:gutter="0" w:footer="0" w:header="0"/>
        </w:sectPr>
      </w:pPr>
    </w:p>
    <w:bookmarkStart w:id="237" w:name="page238"/>
    <w:bookmarkEnd w:id="237"/>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Extended Revolving Commitments” after “solely in respect of the 2017 Class B Term Loans” where it is used therein.</w:t>
      </w:r>
    </w:p>
    <w:p>
      <w:pPr>
        <w:spacing w:after="0" w:line="215" w:lineRule="exact"/>
        <w:rPr>
          <w:sz w:val="20"/>
          <w:szCs w:val="20"/>
          <w:color w:val="auto"/>
        </w:rPr>
      </w:pPr>
    </w:p>
    <w:p>
      <w:pPr>
        <w:ind w:right="460" w:firstLine="1302"/>
        <w:spacing w:after="0" w:line="274" w:lineRule="auto"/>
        <w:tabs>
          <w:tab w:leader="none" w:pos="157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Revolving Facility Maturity Date</w:t>
      </w:r>
      <w:r>
        <w:rPr>
          <w:rFonts w:ascii="Times New Roman" w:cs="Times New Roman" w:eastAsia="Times New Roman" w:hAnsi="Times New Roman"/>
          <w:sz w:val="22"/>
          <w:szCs w:val="22"/>
          <w:color w:val="auto"/>
        </w:rPr>
        <w:t>” appearing in Section 1.01 of the Credit Agreement is hereby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900" w:firstLine="971"/>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Facility Maturity Date</w:t>
      </w:r>
      <w:r>
        <w:rPr>
          <w:rFonts w:ascii="Times New Roman" w:cs="Times New Roman" w:eastAsia="Times New Roman" w:hAnsi="Times New Roman"/>
          <w:sz w:val="22"/>
          <w:szCs w:val="22"/>
          <w:color w:val="auto"/>
        </w:rPr>
        <w:t>” shall mean, (a) with respect to Fourth Amendment Extended Revolving Commitments, that have not been extended pursuant to Section 2.28(b), but including Revolving Commitments extended or made available pursuant to the Fourth Amendment, October 13, 2023, (b) with respect to Fourth Amendment Non-Extended Revolving Commitments that have not been extended pursuant to Section 2.28(b), October 13, 2022 and (c) with respect to Extended Revolving Commitments extended after the Fourth Amendment Effective Date, the final maturity date therefor as specified in the applicable Extension Offer accepted by the respective Revolving Lender or Revolving Lenders.”;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0" w:right="180" w:firstLine="1303"/>
        <w:spacing w:after="0" w:line="274" w:lineRule="auto"/>
        <w:tabs>
          <w:tab w:leader="none" w:pos="163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i w:val="1"/>
          <w:iCs w:val="1"/>
          <w:color w:val="auto"/>
        </w:rPr>
        <w:t>Revolving Commitment</w:t>
      </w:r>
      <w:r>
        <w:rPr>
          <w:rFonts w:ascii="Times New Roman" w:cs="Times New Roman" w:eastAsia="Times New Roman" w:hAnsi="Times New Roman"/>
          <w:sz w:val="22"/>
          <w:szCs w:val="22"/>
          <w:color w:val="auto"/>
        </w:rPr>
        <w:t>” is hereby amended by deleting the last sentence of said definition in its entirety and inserting in lieu thereof the following new sentence: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900" w:firstLine="971"/>
        <w:spacing w:after="0" w:line="263" w:lineRule="auto"/>
        <w:rPr>
          <w:sz w:val="20"/>
          <w:szCs w:val="20"/>
          <w:color w:val="auto"/>
        </w:rPr>
      </w:pPr>
      <w:r>
        <w:rPr>
          <w:rFonts w:ascii="Times New Roman" w:cs="Times New Roman" w:eastAsia="Times New Roman" w:hAnsi="Times New Roman"/>
          <w:sz w:val="22"/>
          <w:szCs w:val="22"/>
          <w:color w:val="auto"/>
        </w:rPr>
        <w:t>“The aggregate amount of the Total Revolving Commitments as of the Fourth Amendment Effective Date is $300,000,000, consisting of $296,400,000 of Extended Revolver Commitments and $3,600,000 of Fourth Amendment Non-Extended Revolver Commitments.”;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(g) Section 2.20(a) of the Credit Agreement is here 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1295"/>
        <w:spacing w:after="0" w:line="256" w:lineRule="auto"/>
        <w:rPr>
          <w:sz w:val="20"/>
          <w:szCs w:val="20"/>
          <w:color w:val="auto"/>
        </w:rPr>
      </w:pPr>
      <w:r>
        <w:rPr>
          <w:rFonts w:ascii="Times New Roman" w:cs="Times New Roman" w:eastAsia="Times New Roman" w:hAnsi="Times New Roman"/>
          <w:sz w:val="22"/>
          <w:szCs w:val="22"/>
          <w:color w:val="auto"/>
        </w:rPr>
        <w:t>“The Borrower shall pay to the Administrative Agent for the accounts of the Revolving Lenders a commitment fee (the “</w:t>
      </w:r>
      <w:r>
        <w:rPr>
          <w:rFonts w:ascii="Times New Roman" w:cs="Times New Roman" w:eastAsia="Times New Roman" w:hAnsi="Times New Roman"/>
          <w:sz w:val="22"/>
          <w:szCs w:val="22"/>
          <w:i w:val="1"/>
          <w:iCs w:val="1"/>
          <w:color w:val="auto"/>
        </w:rPr>
        <w:t>Commitment Fee</w:t>
      </w:r>
      <w:r>
        <w:rPr>
          <w:rFonts w:ascii="Times New Roman" w:cs="Times New Roman" w:eastAsia="Times New Roman" w:hAnsi="Times New Roman"/>
          <w:sz w:val="22"/>
          <w:szCs w:val="22"/>
          <w:color w:val="auto"/>
        </w:rPr>
        <w:t>”) for the period commencing on the Revolver Availability Date (or such other date agreed by the Borrower and the Revolving Lenders) and ending on the Revolving Facility Termination Date with respect to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Revolving Commitments or the earlier date of termination of the applicable Revolving Commitment, computed (on the basis of the actual number of days elapsed over a year of 360 days) at the Commitment Fee Rate on the average daily Unused Total Revolving Commitment. Such Commitment Fee, to the extent then accrued, shall be payable quarterly in arrears (a) following the Revolver Availability Date on the last Business Day of each March, June, September and December, (b) on the Revolving Facility Termination Date with respect to the applicable Revolving Commitments and (c) as provided in Section 2.11, upon any reduction or termination in whole or in part of the Total Revolving Commitment (provided that such fee will be prorated based on the Commitment Fee set forth in the Fourth Amendment for the fiscal quarter in which the Fourth Amendment Effective Date occurs).”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(h) Section 2.20(b) of the Credit Agreement is hereby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1295"/>
        <w:spacing w:after="0" w:line="274" w:lineRule="auto"/>
        <w:rPr>
          <w:sz w:val="20"/>
          <w:szCs w:val="20"/>
          <w:color w:val="auto"/>
        </w:rPr>
      </w:pPr>
      <w:r>
        <w:rPr>
          <w:rFonts w:ascii="Times New Roman" w:cs="Times New Roman" w:eastAsia="Times New Roman" w:hAnsi="Times New Roman"/>
          <w:sz w:val="22"/>
          <w:szCs w:val="22"/>
          <w:color w:val="auto"/>
        </w:rPr>
        <w:t>Lender as of such date, an upfront fee (the “</w:t>
      </w:r>
      <w:r>
        <w:rPr>
          <w:rFonts w:ascii="Times New Roman" w:cs="Times New Roman" w:eastAsia="Times New Roman" w:hAnsi="Times New Roman"/>
          <w:sz w:val="22"/>
          <w:szCs w:val="22"/>
          <w:i w:val="1"/>
          <w:iCs w:val="1"/>
          <w:color w:val="auto"/>
        </w:rPr>
        <w:t>Upfront Fee</w:t>
      </w:r>
      <w:r>
        <w:rPr>
          <w:rFonts w:ascii="Times New Roman" w:cs="Times New Roman" w:eastAsia="Times New Roman" w:hAnsi="Times New Roman"/>
          <w:sz w:val="22"/>
          <w:szCs w:val="22"/>
          <w:color w:val="auto"/>
        </w:rPr>
        <w:t>”) as set forth in the Revolving Lenders Fee Letter, dated as of the Fourth Amendment Effective Date.”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(i) “Annex A” of the Credit Agreement is hereby amended and restated in its entirety in the form attached hereto</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as Schedule 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1295"/>
        <w:spacing w:after="0" w:line="263" w:lineRule="auto"/>
        <w:rPr>
          <w:sz w:val="20"/>
          <w:szCs w:val="20"/>
          <w:color w:val="auto"/>
        </w:rPr>
      </w:pPr>
      <w:r>
        <w:rPr>
          <w:rFonts w:ascii="Times New Roman" w:cs="Times New Roman" w:eastAsia="Times New Roman" w:hAnsi="Times New Roman"/>
          <w:sz w:val="22"/>
          <w:szCs w:val="22"/>
          <w:color w:val="auto"/>
        </w:rPr>
        <w:t>Notwithstanding anything in this Fourth Amendment or the Credit Agreement to the contrary, the Administrative Agent hereby waives the minimum notice required by Section 2.28(e) of the Credit Agreement in connection with the extension of the Revolving Commitments to be effectuated by this Fourth Amendment.</w:t>
      </w:r>
    </w:p>
    <w:p>
      <w:pPr>
        <w:spacing w:after="0" w:line="166" w:lineRule="exact"/>
        <w:rPr>
          <w:sz w:val="20"/>
          <w:szCs w:val="20"/>
          <w:color w:val="auto"/>
        </w:rPr>
      </w:pPr>
    </w:p>
    <w:p>
      <w:pPr>
        <w:jc w:val="both"/>
        <w:ind w:firstLine="1295"/>
        <w:spacing w:after="0" w:line="270" w:lineRule="auto"/>
        <w:rPr>
          <w:sz w:val="20"/>
          <w:szCs w:val="20"/>
          <w:color w:val="auto"/>
        </w:rPr>
      </w:pPr>
      <w:r>
        <w:rPr>
          <w:rFonts w:ascii="Times New Roman" w:cs="Times New Roman" w:eastAsia="Times New Roman" w:hAnsi="Times New Roman"/>
          <w:sz w:val="22"/>
          <w:szCs w:val="22"/>
          <w:u w:val="single" w:color="auto"/>
          <w:color w:val="auto"/>
        </w:rPr>
        <w:t>SECTION THREE - Titles and Roles.</w:t>
      </w:r>
      <w:r>
        <w:rPr>
          <w:rFonts w:ascii="Times New Roman" w:cs="Times New Roman" w:eastAsia="Times New Roman" w:hAnsi="Times New Roman"/>
          <w:sz w:val="22"/>
          <w:szCs w:val="22"/>
          <w:color w:val="auto"/>
        </w:rPr>
        <w:t xml:space="preserve"> The parties hereto agree that, as of the Fourth Amendment Effective Date (as defined below) and in connection with the Fourth Amendment:</w:t>
      </w:r>
    </w:p>
    <w:p>
      <w:pPr>
        <w:spacing w:after="0" w:line="155" w:lineRule="exact"/>
        <w:rPr>
          <w:sz w:val="20"/>
          <w:szCs w:val="20"/>
          <w:color w:val="auto"/>
        </w:rPr>
      </w:pPr>
    </w:p>
    <w:p>
      <w:pPr>
        <w:jc w:val="both"/>
        <w:ind w:firstLine="1302"/>
        <w:spacing w:after="0" w:line="257" w:lineRule="auto"/>
        <w:tabs>
          <w:tab w:leader="none" w:pos="162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Barclays Bank PLC (“</w:t>
      </w:r>
      <w:r>
        <w:rPr>
          <w:rFonts w:ascii="Times New Roman" w:cs="Times New Roman" w:eastAsia="Times New Roman" w:hAnsi="Times New Roman"/>
          <w:sz w:val="22"/>
          <w:szCs w:val="22"/>
          <w:i w:val="1"/>
          <w:iCs w:val="1"/>
          <w:color w:val="auto"/>
        </w:rPr>
        <w:t>Barclays</w:t>
      </w:r>
      <w:r>
        <w:rPr>
          <w:rFonts w:ascii="Times New Roman" w:cs="Times New Roman" w:eastAsia="Times New Roman" w:hAnsi="Times New Roman"/>
          <w:sz w:val="22"/>
          <w:szCs w:val="22"/>
          <w:color w:val="auto"/>
        </w:rPr>
        <w:t>”), Citigroup Global Markets Inc. (“</w:t>
      </w:r>
      <w:r>
        <w:rPr>
          <w:rFonts w:ascii="Times New Roman" w:cs="Times New Roman" w:eastAsia="Times New Roman" w:hAnsi="Times New Roman"/>
          <w:sz w:val="22"/>
          <w:szCs w:val="22"/>
          <w:i w:val="1"/>
          <w:iCs w:val="1"/>
          <w:color w:val="auto"/>
        </w:rPr>
        <w:t>Citi</w:t>
      </w:r>
      <w:r>
        <w:rPr>
          <w:rFonts w:ascii="Times New Roman" w:cs="Times New Roman" w:eastAsia="Times New Roman" w:hAnsi="Times New Roman"/>
          <w:sz w:val="22"/>
          <w:szCs w:val="22"/>
          <w:color w:val="auto"/>
        </w:rPr>
        <w:t>”), Credit Suisse Securities (USA) LLC (“</w:t>
      </w:r>
      <w:r>
        <w:rPr>
          <w:rFonts w:ascii="Times New Roman" w:cs="Times New Roman" w:eastAsia="Times New Roman" w:hAnsi="Times New Roman"/>
          <w:sz w:val="22"/>
          <w:szCs w:val="22"/>
          <w:i w:val="1"/>
          <w:iCs w:val="1"/>
          <w:color w:val="auto"/>
        </w:rPr>
        <w:t>CS Securities</w:t>
      </w:r>
      <w:r>
        <w:rPr>
          <w:rFonts w:ascii="Times New Roman" w:cs="Times New Roman" w:eastAsia="Times New Roman" w:hAnsi="Times New Roman"/>
          <w:sz w:val="22"/>
          <w:szCs w:val="22"/>
          <w:color w:val="auto"/>
        </w:rPr>
        <w:t>”), Deutsche Bank Securities Inc. (“</w:t>
      </w:r>
      <w:r>
        <w:rPr>
          <w:rFonts w:ascii="Times New Roman" w:cs="Times New Roman" w:eastAsia="Times New Roman" w:hAnsi="Times New Roman"/>
          <w:sz w:val="22"/>
          <w:szCs w:val="22"/>
          <w:i w:val="1"/>
          <w:iCs w:val="1"/>
          <w:color w:val="auto"/>
        </w:rPr>
        <w:t>DBSI</w:t>
      </w:r>
      <w:r>
        <w:rPr>
          <w:rFonts w:ascii="Times New Roman" w:cs="Times New Roman" w:eastAsia="Times New Roman" w:hAnsi="Times New Roman"/>
          <w:sz w:val="22"/>
          <w:szCs w:val="22"/>
          <w:color w:val="auto"/>
        </w:rPr>
        <w:t>”), Goldman Sachs Lending Partners LLC (“</w:t>
      </w:r>
      <w:r>
        <w:rPr>
          <w:rFonts w:ascii="Times New Roman" w:cs="Times New Roman" w:eastAsia="Times New Roman" w:hAnsi="Times New Roman"/>
          <w:sz w:val="22"/>
          <w:szCs w:val="22"/>
          <w:i w:val="1"/>
          <w:iCs w:val="1"/>
          <w:color w:val="auto"/>
        </w:rPr>
        <w:t>GSLP</w:t>
      </w:r>
      <w:r>
        <w:rPr>
          <w:rFonts w:ascii="Times New Roman" w:cs="Times New Roman" w:eastAsia="Times New Roman" w:hAnsi="Times New Roman"/>
          <w:sz w:val="22"/>
          <w:szCs w:val="22"/>
          <w:color w:val="auto"/>
        </w:rPr>
        <w:t>”), Industrial and Commercial Bank of China Limited, New York Branch (“</w:t>
      </w:r>
      <w:r>
        <w:rPr>
          <w:rFonts w:ascii="Times New Roman" w:cs="Times New Roman" w:eastAsia="Times New Roman" w:hAnsi="Times New Roman"/>
          <w:sz w:val="22"/>
          <w:szCs w:val="22"/>
          <w:i w:val="1"/>
          <w:iCs w:val="1"/>
          <w:color w:val="auto"/>
        </w:rPr>
        <w:t>ICBC</w:t>
      </w:r>
      <w:r>
        <w:rPr>
          <w:rFonts w:ascii="Times New Roman" w:cs="Times New Roman" w:eastAsia="Times New Roman" w:hAnsi="Times New Roman"/>
          <w:sz w:val="22"/>
          <w:szCs w:val="22"/>
          <w:color w:val="auto"/>
        </w:rPr>
        <w:t>”), JPMorgan Chase Bank, N.A. (“</w:t>
      </w:r>
      <w:r>
        <w:rPr>
          <w:rFonts w:ascii="Times New Roman" w:cs="Times New Roman" w:eastAsia="Times New Roman" w:hAnsi="Times New Roman"/>
          <w:sz w:val="22"/>
          <w:szCs w:val="22"/>
          <w:i w:val="1"/>
          <w:iCs w:val="1"/>
          <w:color w:val="auto"/>
        </w:rPr>
        <w:t>JPMCB</w:t>
      </w:r>
      <w:r>
        <w:rPr>
          <w:rFonts w:ascii="Times New Roman" w:cs="Times New Roman" w:eastAsia="Times New Roman" w:hAnsi="Times New Roman"/>
          <w:sz w:val="22"/>
          <w:szCs w:val="22"/>
          <w:color w:val="auto"/>
        </w:rPr>
        <w:t>”), Merrill Lynch, Pierce, Fenner &amp; Smith Incorporated (“</w:t>
      </w:r>
      <w:r>
        <w:rPr>
          <w:rFonts w:ascii="Times New Roman" w:cs="Times New Roman" w:eastAsia="Times New Roman" w:hAnsi="Times New Roman"/>
          <w:sz w:val="22"/>
          <w:szCs w:val="22"/>
          <w:i w:val="1"/>
          <w:iCs w:val="1"/>
          <w:color w:val="auto"/>
        </w:rPr>
        <w:t>ML</w:t>
      </w:r>
      <w:r>
        <w:rPr>
          <w:rFonts w:ascii="Times New Roman" w:cs="Times New Roman" w:eastAsia="Times New Roman" w:hAnsi="Times New Roman"/>
          <w:sz w:val="22"/>
          <w:szCs w:val="22"/>
          <w:color w:val="auto"/>
        </w:rPr>
        <w:t>”), Morgan Stanley Senior Funding,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MS</w:t>
      </w:r>
      <w:r>
        <w:rPr>
          <w:rFonts w:ascii="Times New Roman" w:cs="Times New Roman" w:eastAsia="Times New Roman" w:hAnsi="Times New Roman"/>
          <w:sz w:val="20"/>
          <w:szCs w:val="20"/>
          <w:color w:val="auto"/>
        </w:rPr>
        <w:t>”), Sumitomo Mitsui Banking Corporation (“</w:t>
      </w:r>
      <w:r>
        <w:rPr>
          <w:rFonts w:ascii="Times New Roman" w:cs="Times New Roman" w:eastAsia="Times New Roman" w:hAnsi="Times New Roman"/>
          <w:sz w:val="20"/>
          <w:szCs w:val="20"/>
          <w:i w:val="1"/>
          <w:iCs w:val="1"/>
          <w:color w:val="auto"/>
        </w:rPr>
        <w:t>SMBC</w:t>
      </w:r>
      <w:r>
        <w:rPr>
          <w:rFonts w:ascii="Times New Roman" w:cs="Times New Roman" w:eastAsia="Times New Roman" w:hAnsi="Times New Roman"/>
          <w:sz w:val="20"/>
          <w:szCs w:val="20"/>
          <w:color w:val="auto"/>
        </w:rPr>
        <w:t>”), BNP Paribas Securities Corp. (“</w:t>
      </w:r>
      <w:r>
        <w:rPr>
          <w:rFonts w:ascii="Times New Roman" w:cs="Times New Roman" w:eastAsia="Times New Roman" w:hAnsi="Times New Roman"/>
          <w:sz w:val="20"/>
          <w:szCs w:val="20"/>
          <w:i w:val="1"/>
          <w:iCs w:val="1"/>
          <w:color w:val="auto"/>
        </w:rPr>
        <w:t>BNP Securities</w:t>
      </w:r>
      <w:r>
        <w:rPr>
          <w:rFonts w:ascii="Times New Roman" w:cs="Times New Roman" w:eastAsia="Times New Roman" w:hAnsi="Times New Roman"/>
          <w:sz w:val="20"/>
          <w:szCs w:val="20"/>
          <w:color w:val="auto"/>
        </w:rPr>
        <w:t>”), Credit Agricole Corporate and Investment Bank (“</w:t>
      </w:r>
      <w:r>
        <w:rPr>
          <w:rFonts w:ascii="Times New Roman" w:cs="Times New Roman" w:eastAsia="Times New Roman" w:hAnsi="Times New Roman"/>
          <w:sz w:val="20"/>
          <w:szCs w:val="20"/>
          <w:i w:val="1"/>
          <w:iCs w:val="1"/>
          <w:color w:val="auto"/>
        </w:rPr>
        <w:t>CA-CIB</w:t>
      </w:r>
      <w:r>
        <w:rPr>
          <w:rFonts w:ascii="Times New Roman" w:cs="Times New Roman" w:eastAsia="Times New Roman" w:hAnsi="Times New Roman"/>
          <w:sz w:val="20"/>
          <w:szCs w:val="20"/>
          <w:color w:val="auto"/>
        </w:rPr>
        <w:t>”), HSBC, MUFG, Standard Chartered Bank (“</w:t>
      </w:r>
      <w:r>
        <w:rPr>
          <w:rFonts w:ascii="Times New Roman" w:cs="Times New Roman" w:eastAsia="Times New Roman" w:hAnsi="Times New Roman"/>
          <w:sz w:val="20"/>
          <w:szCs w:val="20"/>
          <w:i w:val="1"/>
          <w:iCs w:val="1"/>
          <w:color w:val="auto"/>
        </w:rPr>
        <w:t>SCB</w:t>
      </w:r>
      <w:r>
        <w:rPr>
          <w:rFonts w:ascii="Times New Roman" w:cs="Times New Roman" w:eastAsia="Times New Roman" w:hAnsi="Times New Roman"/>
          <w:sz w:val="20"/>
          <w:szCs w:val="20"/>
          <w:color w:val="auto"/>
        </w:rPr>
        <w:t>”), U.S. Bank National Association (“</w:t>
      </w:r>
      <w:r>
        <w:rPr>
          <w:rFonts w:ascii="Times New Roman" w:cs="Times New Roman" w:eastAsia="Times New Roman" w:hAnsi="Times New Roman"/>
          <w:sz w:val="20"/>
          <w:szCs w:val="20"/>
          <w:i w:val="1"/>
          <w:iCs w:val="1"/>
          <w:color w:val="auto"/>
        </w:rPr>
        <w:t>US Bank</w:t>
      </w:r>
      <w:r>
        <w:rPr>
          <w:rFonts w:ascii="Times New Roman" w:cs="Times New Roman" w:eastAsia="Times New Roman" w:hAnsi="Times New Roman"/>
          <w:sz w:val="20"/>
          <w:szCs w:val="20"/>
          <w:color w:val="auto"/>
        </w:rPr>
        <w:t>”), and BoT shall be designated as, and perform the roles associated with, a joint lead arranger and bookrunner;</w:t>
      </w:r>
    </w:p>
    <w:p>
      <w:pPr>
        <w:spacing w:after="0" w:line="151" w:lineRule="exact"/>
        <w:rPr>
          <w:sz w:val="20"/>
          <w:szCs w:val="20"/>
          <w:color w:val="auto"/>
        </w:rPr>
      </w:pPr>
    </w:p>
    <w:p>
      <w:pPr>
        <w:ind w:firstLine="1302"/>
        <w:spacing w:after="0" w:line="270" w:lineRule="auto"/>
        <w:tabs>
          <w:tab w:leader="none" w:pos="1618"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Barclays, Citi, CS Securities, DBSI, GSLP, ICBC, JPMCB, Bank of America, N.A., MS and SMBC shall be designated as, and perform the roles associated with, a syndication agent; and</w:t>
      </w:r>
    </w:p>
    <w:p>
      <w:pPr>
        <w:spacing w:after="0" w:line="158" w:lineRule="exact"/>
        <w:rPr>
          <w:rFonts w:ascii="Times New Roman" w:cs="Times New Roman" w:eastAsia="Times New Roman" w:hAnsi="Times New Roman"/>
          <w:sz w:val="22"/>
          <w:szCs w:val="22"/>
          <w:color w:val="auto"/>
        </w:rPr>
      </w:pPr>
    </w:p>
    <w:p>
      <w:pPr>
        <w:ind w:firstLine="1302"/>
        <w:spacing w:after="0" w:line="270" w:lineRule="auto"/>
        <w:tabs>
          <w:tab w:leader="none" w:pos="158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BNP Securities, CA-CIB, HSBC, MUFG, SCB, US Bank, and BoT shall be designated as, and perform the roles associated with, a documentation agent.</w:t>
      </w:r>
    </w:p>
    <w:p>
      <w:pPr>
        <w:spacing w:after="0" w:line="159" w:lineRule="exact"/>
        <w:rPr>
          <w:sz w:val="20"/>
          <w:szCs w:val="20"/>
          <w:color w:val="auto"/>
        </w:rPr>
      </w:pPr>
    </w:p>
    <w:p>
      <w:pPr>
        <w:jc w:val="both"/>
        <w:ind w:firstLine="1295"/>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FOUR - Conditions to Effectiveness</w:t>
      </w:r>
      <w:r>
        <w:rPr>
          <w:rFonts w:ascii="Times New Roman" w:cs="Times New Roman" w:eastAsia="Times New Roman" w:hAnsi="Times New Roman"/>
          <w:sz w:val="22"/>
          <w:szCs w:val="22"/>
          <w:color w:val="auto"/>
        </w:rPr>
        <w:t>. The provisions of Sections One and Two of this Fourth Amendment shall become effective on the date (the “</w:t>
      </w:r>
      <w:r>
        <w:rPr>
          <w:rFonts w:ascii="Times New Roman" w:cs="Times New Roman" w:eastAsia="Times New Roman" w:hAnsi="Times New Roman"/>
          <w:sz w:val="22"/>
          <w:szCs w:val="22"/>
          <w:i w:val="1"/>
          <w:iCs w:val="1"/>
          <w:color w:val="auto"/>
        </w:rPr>
        <w:t>Fourth Amendment Effective Date</w:t>
      </w:r>
      <w:r>
        <w:rPr>
          <w:rFonts w:ascii="Times New Roman" w:cs="Times New Roman" w:eastAsia="Times New Roman" w:hAnsi="Times New Roman"/>
          <w:sz w:val="22"/>
          <w:szCs w:val="22"/>
          <w:color w:val="auto"/>
        </w:rPr>
        <w:t>”) when each of the following conditions specified below shall have been satisfied:</w:t>
      </w:r>
    </w:p>
    <w:p>
      <w:pPr>
        <w:spacing w:after="0" w:line="166" w:lineRule="exact"/>
        <w:rPr>
          <w:sz w:val="20"/>
          <w:szCs w:val="20"/>
          <w:color w:val="auto"/>
        </w:rPr>
      </w:pPr>
    </w:p>
    <w:p>
      <w:pPr>
        <w:jc w:val="both"/>
        <w:ind w:firstLine="1302"/>
        <w:spacing w:after="0" w:line="256" w:lineRule="auto"/>
        <w:tabs>
          <w:tab w:leader="none" w:pos="160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the Guarantor, the Administrative Agent, each Consenting Revolving Lender and each New Revolving Lender shall have signed a counterpart hereof (whether the same or different counterparts) and shall have delivered the same to Milbank, Tweed, Hadley &amp; McCloy LLP, 28 Liberty Street, New York, NY 10005, attention: Zara Shirazi;</w:t>
      </w:r>
    </w:p>
    <w:p>
      <w:pPr>
        <w:spacing w:after="0" w:line="174" w:lineRule="exact"/>
        <w:rPr>
          <w:rFonts w:ascii="Times New Roman" w:cs="Times New Roman" w:eastAsia="Times New Roman" w:hAnsi="Times New Roman"/>
          <w:sz w:val="22"/>
          <w:szCs w:val="22"/>
          <w:color w:val="auto"/>
        </w:rPr>
      </w:pPr>
    </w:p>
    <w:p>
      <w:pPr>
        <w:jc w:val="both"/>
        <w:ind w:firstLine="1302"/>
        <w:spacing w:after="0" w:line="251" w:lineRule="auto"/>
        <w:tabs>
          <w:tab w:leader="none" w:pos="165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reasonable invoiced out-of-pocket expenses incurred by the Extending Revolving Lenders and the Administrative Agent pursuant to Section 10.04 of the Credit Agreement (including the reasonable and documented fees, charges and disbursements of counsel) and all accrued and unpaid fees (other than the Commitment Fee which shall be payable in accordance with the Credit Agreement), owing and payable (including any fees agreed to in connection with this Fourth Amendment) shall have been paid to the extent invoiced at least two (2) Business Days prior to the Fourth Amendment Effective Date (or such shorter period as may be agreed by the Borrower);</w:t>
      </w:r>
    </w:p>
    <w:p>
      <w:pPr>
        <w:spacing w:after="0" w:line="192" w:lineRule="exact"/>
        <w:rPr>
          <w:rFonts w:ascii="Times New Roman" w:cs="Times New Roman" w:eastAsia="Times New Roman" w:hAnsi="Times New Roman"/>
          <w:sz w:val="22"/>
          <w:szCs w:val="22"/>
          <w:color w:val="auto"/>
        </w:rPr>
      </w:pPr>
    </w:p>
    <w:p>
      <w:pPr>
        <w:jc w:val="both"/>
        <w:ind w:firstLine="1302"/>
        <w:spacing w:after="0" w:line="256" w:lineRule="auto"/>
        <w:tabs>
          <w:tab w:leader="none" w:pos="157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paid (or caused to be paid), for the account of each Extending Revolving Lender, a one time, non-refundable fee equal to the amount set forth in that certain Extending Revolving Lenders’ fee letter, among the Extending Revolving Lenders and the Borrower, dated as of the Fourth Amendment Effective Date;</w:t>
      </w:r>
    </w:p>
    <w:p>
      <w:pPr>
        <w:spacing w:after="0" w:line="174" w:lineRule="exact"/>
        <w:rPr>
          <w:rFonts w:ascii="Times New Roman" w:cs="Times New Roman" w:eastAsia="Times New Roman" w:hAnsi="Times New Roman"/>
          <w:sz w:val="22"/>
          <w:szCs w:val="22"/>
          <w:color w:val="auto"/>
        </w:rPr>
      </w:pPr>
    </w:p>
    <w:p>
      <w:pPr>
        <w:jc w:val="both"/>
        <w:ind w:firstLine="1302"/>
        <w:spacing w:after="0" w:line="263" w:lineRule="auto"/>
        <w:tabs>
          <w:tab w:leader="none" w:pos="160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customary written opinion of Latham &amp; Watkins LLP, special counsel for Parent, the Borrower and the Guarantor addressed to the Administrative Agent and the Extending Revolving Lenders party hereto, and dated the Fourth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firstLine="1302"/>
        <w:spacing w:after="0" w:line="270" w:lineRule="auto"/>
        <w:tabs>
          <w:tab w:leader="none" w:pos="138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condition to the Revolving Extension effected pursuant to this Fourth Amendment set forth in Section 2.28(b) and 2.28(c) of the Credit Agreement shall have been satisfied;</w:t>
      </w:r>
    </w:p>
    <w:p>
      <w:pPr>
        <w:spacing w:after="0" w:line="158" w:lineRule="exact"/>
        <w:rPr>
          <w:rFonts w:ascii="Times New Roman" w:cs="Times New Roman" w:eastAsia="Times New Roman" w:hAnsi="Times New Roman"/>
          <w:sz w:val="22"/>
          <w:szCs w:val="22"/>
          <w:color w:val="auto"/>
        </w:rPr>
      </w:pPr>
    </w:p>
    <w:p>
      <w:pPr>
        <w:jc w:val="both"/>
        <w:ind w:left="-220" w:firstLine="1302"/>
        <w:spacing w:after="0" w:line="248" w:lineRule="auto"/>
        <w:tabs>
          <w:tab w:leader="none" w:pos="134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certificate of the Secretary or Assistant Secretary (or similar Responsible Officer), dated the Fourth Amendment Effective Date (i) certifying as to the incumbency and specimen signature of each Responsible Officer of the Borrower and the Guarantor executing this Fourth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Fourth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185" w:lineRule="exact"/>
        <w:rPr>
          <w:rFonts w:ascii="Times New Roman" w:cs="Times New Roman" w:eastAsia="Times New Roman" w:hAnsi="Times New Roman"/>
          <w:sz w:val="22"/>
          <w:szCs w:val="22"/>
          <w:color w:val="auto"/>
        </w:rPr>
      </w:pPr>
    </w:p>
    <w:p>
      <w:pPr>
        <w:jc w:val="both"/>
        <w:ind w:left="-220" w:firstLine="1302"/>
        <w:spacing w:after="0" w:line="253" w:lineRule="auto"/>
        <w:tabs>
          <w:tab w:leader="none" w:pos="1371"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evidence that the Fifth Amendment to that certain Amended and Restated Credit and Guaranty Agreement dated the date hereof,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xml:space="preserve">, the Borrower and Deutsche Bank AG New York Branch as administrative agent and the Sixth Amendment to that certain Amended and Restated Credit and Guaranty Agreement, dated as of the date hereof, among, </w:t>
      </w:r>
      <w:r>
        <w:rPr>
          <w:rFonts w:ascii="Times New Roman" w:cs="Times New Roman" w:eastAsia="Times New Roman" w:hAnsi="Times New Roman"/>
          <w:sz w:val="22"/>
          <w:szCs w:val="22"/>
          <w:i w:val="1"/>
          <w:iCs w:val="1"/>
          <w:color w:val="auto"/>
        </w:rPr>
        <w:t>inter alios</w:t>
      </w:r>
      <w:r>
        <w:rPr>
          <w:rFonts w:ascii="Times New Roman" w:cs="Times New Roman" w:eastAsia="Times New Roman" w:hAnsi="Times New Roman"/>
          <w:sz w:val="22"/>
          <w:szCs w:val="22"/>
          <w:color w:val="auto"/>
        </w:rPr>
        <w:t>, the Borrower and Citibank N.A. as administrative agent have, or will contemporaneously with the Fourth Amendment Effective Date, become effective; and</w:t>
      </w:r>
    </w:p>
    <w:p>
      <w:pPr>
        <w:spacing w:after="0" w:line="176" w:lineRule="exact"/>
        <w:rPr>
          <w:rFonts w:ascii="Times New Roman" w:cs="Times New Roman" w:eastAsia="Times New Roman" w:hAnsi="Times New Roman"/>
          <w:sz w:val="22"/>
          <w:szCs w:val="22"/>
          <w:color w:val="auto"/>
        </w:rPr>
      </w:pPr>
    </w:p>
    <w:p>
      <w:pPr>
        <w:jc w:val="both"/>
        <w:ind w:left="-220" w:firstLine="1302"/>
        <w:spacing w:after="0" w:line="248" w:lineRule="auto"/>
        <w:tabs>
          <w:tab w:leader="none" w:pos="1384"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 or, in the case of any such representation and warranty that relates to a specified date, as though made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for purposes of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the representations and warranties contained in (i) Section 3.04(a) of the Credit Agreement shall be deemed to refer to Parent’s Annual Report on Form 10-K for 2017 (as amended) filed with the SEC and all Quarterly Reports on Form 10-Q or Current Reports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20"/>
          </w:cols>
          <w:pgMar w:left="540" w:top="1440" w:right="339" w:bottom="1440" w:gutter="0" w:footer="0" w:header="0"/>
        </w:sectPr>
      </w:pPr>
    </w:p>
    <w:bookmarkStart w:id="241" w:name="page242"/>
    <w:bookmarkEnd w:id="241"/>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Form 8-K that have been filed after December 31, 2017 by Parent with the SEC (as amended) and (ii) Section 3.05(a) of the Credit Agreement shall be deemed to refer to the audited consolidated financial statements of Parent and its Subsidiaries for the fiscal year ended December 31, 2017, included in Parent’s Annual Report on Form 10-K for 2017 filed with the SEC (as amended) and the unaudited consolidated financial statements of Parent and its Subsidiaries for the fiscal quarters ended March 31, 2018, June 30, 2018, and September 30, 2018, and (B) as to the absence of any event occurring and continuing, or resulting from this Fourth Amendment on, the Fourth Amendment Effective Date, that constitutes a Default or Event of Default.</w:t>
      </w:r>
    </w:p>
    <w:p>
      <w:pPr>
        <w:spacing w:after="0" w:line="179" w:lineRule="exact"/>
        <w:rPr>
          <w:sz w:val="20"/>
          <w:szCs w:val="20"/>
          <w:color w:val="auto"/>
        </w:rPr>
      </w:pPr>
    </w:p>
    <w:p>
      <w:pPr>
        <w:jc w:val="both"/>
        <w:ind w:firstLine="1295"/>
        <w:spacing w:after="0" w:line="273" w:lineRule="auto"/>
        <w:rPr>
          <w:sz w:val="20"/>
          <w:szCs w:val="20"/>
          <w:color w:val="auto"/>
        </w:rPr>
      </w:pPr>
      <w:r>
        <w:rPr>
          <w:rFonts w:ascii="Times New Roman" w:cs="Times New Roman" w:eastAsia="Times New Roman" w:hAnsi="Times New Roman"/>
          <w:sz w:val="20"/>
          <w:szCs w:val="20"/>
          <w:u w:val="single" w:color="auto"/>
          <w:color w:val="auto"/>
        </w:rPr>
        <w:t>SECTION FIVE - No Default; Representations and Warranties</w:t>
      </w:r>
      <w:r>
        <w:rPr>
          <w:rFonts w:ascii="Times New Roman" w:cs="Times New Roman" w:eastAsia="Times New Roman" w:hAnsi="Times New Roman"/>
          <w:sz w:val="20"/>
          <w:szCs w:val="20"/>
          <w:color w:val="auto"/>
        </w:rPr>
        <w:t xml:space="preserve">. In order to induce the Extending Revolving Lenders and the Administrative Agent to enter into this Fourth Amendment, the Borrower represents and warrants to each of the Extending Revolving Lenders and the Administrative Agent that, on and as of the date hereof after giving effect to this Fourth Amendment, (i) no Default or Event of Default has occurred and is continuing or would result from giving effect to this Fourth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for purposes of this Section Five, the representations and warranties contained in (i) Section 3.04(a) of the Credit Agreement shall be deemed to refer to Parent’s Annual Report on Form 10-K for 2016 (as amended) filed with the SEC and all Quarterly Reports on Form 10-Q or Current Reports on Form 8-K that have been filed after December 31, 2016 by Parent with the SEC (as amended) and (ii) Section 3.05(a) of the Credit Agreement shall be deemed to refer to the audited consolidated financial statements of Parent and its Subsidiaries for the fiscal year ended December 31, 2016, included in Parent’s Annual Report on Form 10-K for 2016 filed with the SEC (as amended) and the unaudited consolidated financial statements of Parent and its Subsidiaries for the fiscal quarters ended June 30, 2018 and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80" w:firstLine="1294"/>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SIX - Confirmation</w:t>
      </w:r>
      <w:r>
        <w:rPr>
          <w:rFonts w:ascii="Times New Roman" w:cs="Times New Roman" w:eastAsia="Times New Roman" w:hAnsi="Times New Roman"/>
          <w:sz w:val="22"/>
          <w:szCs w:val="22"/>
          <w:color w:val="auto"/>
        </w:rPr>
        <w:t>. The Borrower and the Guarantor hereby confirm that all of their obligations under the Credit Agreement (as amended hereby) are and shall continue to be, in full force and effect. The parties hereto (i) confirm and agree that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“Obligations” and “Guaranteed Obligations” as used in the Credit Agreement and the other Loan Documents, shall include, without limitation, all obligations of the Borrower with respect to the Revolving Commitments (as increased pursuant to this Fourth Amendment) and all obligations of the Guarantor with respect of the guarantee of such obligations, respectively, and (ii) reaffirm the grant of Liens on the Collateral to secure the Obligations (as extended and increased pursuant to this Fourth Amendment) pursuant to the Collateral Documents.</w:t>
      </w:r>
    </w:p>
    <w:p>
      <w:pPr>
        <w:spacing w:after="0" w:line="177" w:lineRule="exact"/>
        <w:rPr>
          <w:sz w:val="20"/>
          <w:szCs w:val="20"/>
          <w:color w:val="auto"/>
        </w:rPr>
      </w:pPr>
    </w:p>
    <w:p>
      <w:pPr>
        <w:jc w:val="both"/>
        <w:ind w:firstLine="1294"/>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SEVEN - Reference to and Effect on the Credit Agreement</w:t>
      </w:r>
      <w:r>
        <w:rPr>
          <w:rFonts w:ascii="Times New Roman" w:cs="Times New Roman" w:eastAsia="Times New Roman" w:hAnsi="Times New Roman"/>
          <w:sz w:val="22"/>
          <w:szCs w:val="22"/>
          <w:color w:val="auto"/>
        </w:rPr>
        <w:t>. On and after the Fourth Amendment Effective Date, each reference in the Credit Agreement to “this Agreement,” “hereunder,” “hereof” or words of like import referring to the Credit Agreement, shall mean and be a reference to the Credit Agreement as amended by this Fourth Amendment. The Credit Agreement and each of the other Loan Documents, as specifically amended by this Fourth Amendment, are and shall continue to be in full force and effect and are hereby in all respects ratified and confirmed. This Fourth Amendment shall be deemed to be a “Loan Document” for all purposes of the Credit Agreement (as amended hereby) and the other Loan Documents. The execution, delivery and effectiveness of this Fourth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196" w:lineRule="exact"/>
        <w:rPr>
          <w:sz w:val="20"/>
          <w:szCs w:val="20"/>
          <w:color w:val="auto"/>
        </w:rPr>
      </w:pPr>
    </w:p>
    <w:p>
      <w:pPr>
        <w:jc w:val="both"/>
        <w:ind w:firstLine="1294"/>
        <w:spacing w:after="0" w:line="280" w:lineRule="auto"/>
        <w:rPr>
          <w:sz w:val="20"/>
          <w:szCs w:val="20"/>
          <w:color w:val="auto"/>
        </w:rPr>
      </w:pPr>
      <w:r>
        <w:rPr>
          <w:rFonts w:ascii="Times New Roman" w:cs="Times New Roman" w:eastAsia="Times New Roman" w:hAnsi="Times New Roman"/>
          <w:sz w:val="20"/>
          <w:szCs w:val="20"/>
          <w:u w:val="single" w:color="auto"/>
          <w:color w:val="auto"/>
        </w:rPr>
        <w:t>SECTION EIGHT - Execution in Counterparts</w:t>
      </w:r>
      <w:r>
        <w:rPr>
          <w:rFonts w:ascii="Times New Roman" w:cs="Times New Roman" w:eastAsia="Times New Roman" w:hAnsi="Times New Roman"/>
          <w:sz w:val="20"/>
          <w:szCs w:val="20"/>
          <w:color w:val="auto"/>
        </w:rPr>
        <w:t>. This Fourth Amendment may be executed in counterparts (and by different parties hereto on different counterparts), each of which shall constitute an original, but all of which when taken together shall constitute a single contract. This Fourth Amendment shall be binding upon and inure to the benefit of the parties hereto and their respective successors and assigns. Delivery of an executed counterpart of a signature page of this Fourth Amendment by facsimile or electronic .pdf copy shall be effective as delivery of a manually executed counterpart of this Fourth Amendment.</w:t>
      </w:r>
    </w:p>
    <w:p>
      <w:pPr>
        <w:spacing w:after="0" w:line="169" w:lineRule="exact"/>
        <w:rPr>
          <w:sz w:val="20"/>
          <w:szCs w:val="20"/>
          <w:color w:val="auto"/>
        </w:rPr>
      </w:pPr>
    </w:p>
    <w:p>
      <w:pPr>
        <w:jc w:val="both"/>
        <w:ind w:firstLine="1294"/>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NINE - Governing Law</w:t>
      </w:r>
      <w:r>
        <w:rPr>
          <w:rFonts w:ascii="Times New Roman" w:cs="Times New Roman" w:eastAsia="Times New Roman" w:hAnsi="Times New Roman"/>
          <w:sz w:val="22"/>
          <w:szCs w:val="22"/>
          <w:color w:val="auto"/>
        </w:rPr>
        <w:t>. THIS FOURTH AMENDMENT AND THE RIGHTS AND OBLIGATIONS OF THE PARTIES UNDER THIS FOURTH AMENDMENT SHALL BE GOVERNED BY, AND CONSTRUED AND INTERPRETED IN ACCORDANCE WITH, THE LAWS OF THE STATE OF NEW YORK.</w:t>
      </w:r>
    </w:p>
    <w:p>
      <w:pPr>
        <w:spacing w:after="0" w:line="175" w:lineRule="exact"/>
        <w:rPr>
          <w:sz w:val="20"/>
          <w:szCs w:val="20"/>
          <w:color w:val="auto"/>
        </w:rPr>
      </w:pPr>
    </w:p>
    <w:p>
      <w:pPr>
        <w:jc w:val="both"/>
        <w:ind w:firstLine="1294"/>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TEN - Miscellaneous</w:t>
      </w:r>
      <w:r>
        <w:rPr>
          <w:rFonts w:ascii="Times New Roman" w:cs="Times New Roman" w:eastAsia="Times New Roman" w:hAnsi="Times New Roman"/>
          <w:sz w:val="22"/>
          <w:szCs w:val="22"/>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166" w:lineRule="exact"/>
        <w:rPr>
          <w:sz w:val="20"/>
          <w:szCs w:val="20"/>
          <w:color w:val="auto"/>
        </w:rPr>
      </w:pPr>
    </w:p>
    <w:p>
      <w:pPr>
        <w:jc w:val="both"/>
        <w:ind w:left="-80" w:firstLine="1302"/>
        <w:spacing w:after="0" w:line="256" w:lineRule="auto"/>
        <w:tabs>
          <w:tab w:leader="none" w:pos="15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withholding Taxes imposed under FATCA, from and after the effective date of this Fourth Amendment, the Borrower and the Administrative Agent shall treat (and the Lenders party hereto hereby authorize the Administrative Agent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160"/>
          </w:cols>
          <w:pgMar w:left="400" w:top="1440" w:right="339" w:bottom="1440" w:gutter="0" w:footer="0" w:header="0"/>
        </w:sectPr>
      </w:pPr>
    </w:p>
    <w:bookmarkStart w:id="243" w:name="page244"/>
    <w:bookmarkEnd w:id="243"/>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2"/>
          <w:szCs w:val="22"/>
          <w:color w:val="auto"/>
        </w:rPr>
        <w:t>treat) the Revolving Facility as not qualifying as a “grandfathered obligation” within the meaning of Treasury Regulation Section 1.1471-2(b)(2)(i).</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THIS PAGE IS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40" w:right="359" w:bottom="1440" w:gutter="0" w:footer="0" w:header="0"/>
        </w:sectPr>
      </w:pPr>
    </w:p>
    <w:bookmarkStart w:id="244" w:name="page245"/>
    <w:bookmarkEnd w:id="244"/>
    <w:p>
      <w:pPr>
        <w:ind w:firstLine="1295"/>
        <w:spacing w:after="0" w:line="309" w:lineRule="auto"/>
        <w:rPr>
          <w:sz w:val="20"/>
          <w:szCs w:val="20"/>
          <w:color w:val="auto"/>
        </w:rPr>
      </w:pPr>
      <w:r>
        <w:rPr>
          <w:rFonts w:ascii="Times New Roman" w:cs="Times New Roman" w:eastAsia="Times New Roman" w:hAnsi="Times New Roman"/>
          <w:sz w:val="22"/>
          <w:szCs w:val="22"/>
          <w:color w:val="auto"/>
        </w:rPr>
        <w:t>IN WITNESS WHEREOF, the parties hereto have caused this Fourth Amendment to be duly executed and delivered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AMERICAN AIRLINES, INC., as the Borrower</w:t>
      </w:r>
    </w:p>
    <w:p>
      <w:pPr>
        <w:spacing w:after="0" w:line="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T. Weir</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Thomas T. Weir</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AMERICAN AIRLINES GROUP INC., as Parent and Guarantor</w:t>
      </w:r>
    </w:p>
    <w:p>
      <w:pPr>
        <w:spacing w:after="0" w:line="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Thomas T. Weir</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Thomas T. Weir</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Fourth Amendment to Credit and Guaranty Agreement (Spare Parts)</w:t>
      </w:r>
    </w:p>
    <w:p>
      <w:pPr>
        <w:sectPr>
          <w:pgSz w:w="11900" w:h="16838" w:orient="portrait"/>
          <w:cols w:equalWidth="0" w:num="1">
            <w:col w:w="11240"/>
          </w:cols>
          <w:pgMar w:left="320" w:top="1434" w:right="339" w:bottom="1440" w:gutter="0" w:footer="0" w:header="0"/>
        </w:sectPr>
      </w:pPr>
    </w:p>
    <w:bookmarkStart w:id="245" w:name="page246"/>
    <w:bookmarkEnd w:id="245"/>
    <w:p>
      <w:pPr>
        <w:ind w:left="3720"/>
        <w:spacing w:after="0"/>
        <w:rPr>
          <w:sz w:val="20"/>
          <w:szCs w:val="20"/>
          <w:color w:val="auto"/>
        </w:rPr>
      </w:pPr>
      <w:r>
        <w:rPr>
          <w:rFonts w:ascii="Times New Roman" w:cs="Times New Roman" w:eastAsia="Times New Roman" w:hAnsi="Times New Roman"/>
          <w:sz w:val="20"/>
          <w:szCs w:val="20"/>
          <w:color w:val="auto"/>
        </w:rPr>
        <w:t>BARCLAYS BANK PLC,</w:t>
      </w:r>
    </w:p>
    <w:p>
      <w:pPr>
        <w:spacing w:after="0" w:line="6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Craig Malloy</w:t>
      </w:r>
    </w:p>
    <w:p>
      <w:pPr>
        <w:spacing w:after="0" w:line="5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Name: Craig Malloy</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Amendment to Credit and Guaranty Agreement (Spare Parts)</w:t>
      </w:r>
    </w:p>
    <w:p>
      <w:pPr>
        <w:sectPr>
          <w:pgSz w:w="11900" w:h="16838" w:orient="portrait"/>
          <w:cols w:equalWidth="0" w:num="1">
            <w:col w:w="9959"/>
          </w:cols>
          <w:pgMar w:left="500" w:top="1434" w:right="1440" w:bottom="1440" w:gutter="0" w:footer="0" w:header="0"/>
        </w:sectPr>
      </w:pPr>
    </w:p>
    <w:bookmarkStart w:id="246" w:name="page247"/>
    <w:bookmarkEnd w:id="246"/>
    <w:tbl>
      <w:tblPr>
        <w:tblLayout w:type="fixed"/>
        <w:tblInd w:w="10" w:type="dxa"/>
        <w:tblCellMar>
          <w:top w:w="0" w:type="dxa"/>
          <w:left w:w="0" w:type="dxa"/>
          <w:bottom w:w="0" w:type="dxa"/>
          <w:right w:w="0" w:type="dxa"/>
        </w:tblCellMar>
      </w:tblPr>
      <w:tr>
        <w:trPr>
          <w:trHeight w:val="288"/>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36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i w:val="1"/>
                <w:iCs w:val="1"/>
                <w:color w:val="auto"/>
                <w:w w:val="96"/>
              </w:rPr>
              <w:t>Schedule 1</w:t>
            </w:r>
          </w:p>
        </w:tc>
      </w:tr>
      <w:tr>
        <w:trPr>
          <w:trHeight w:val="244"/>
        </w:trPr>
        <w:tc>
          <w:tcPr>
            <w:tcW w:w="4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80" w:type="dxa"/>
            <w:vAlign w:val="bottom"/>
            <w:gridSpan w:val="3"/>
          </w:tcPr>
          <w:p>
            <w:pPr>
              <w:jc w:val="center"/>
              <w:ind w:left="259"/>
              <w:spacing w:after="0" w:line="244" w:lineRule="exact"/>
              <w:rPr>
                <w:sz w:val="20"/>
                <w:szCs w:val="20"/>
                <w:color w:val="auto"/>
              </w:rPr>
            </w:pPr>
            <w:r>
              <w:rPr>
                <w:rFonts w:ascii="Times New Roman" w:cs="Times New Roman" w:eastAsia="Times New Roman" w:hAnsi="Times New Roman"/>
                <w:sz w:val="22"/>
                <w:szCs w:val="22"/>
                <w:b w:val="1"/>
                <w:bCs w:val="1"/>
                <w:color w:val="auto"/>
                <w:w w:val="98"/>
              </w:rPr>
              <w:t>ANNEX A</w:t>
            </w:r>
          </w:p>
        </w:tc>
        <w:tc>
          <w:tcPr>
            <w:tcW w:w="3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360" w:type="dxa"/>
            <w:vAlign w:val="bottom"/>
          </w:tcPr>
          <w:p>
            <w:pPr>
              <w:spacing w:after="0"/>
              <w:rPr>
                <w:sz w:val="21"/>
                <w:szCs w:val="2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762"/>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5"/>
          </w:tcPr>
          <w:p>
            <w:pPr>
              <w:jc w:val="center"/>
              <w:ind w:right="1912"/>
              <w:spacing w:after="0"/>
              <w:rPr>
                <w:sz w:val="20"/>
                <w:szCs w:val="20"/>
                <w:color w:val="auto"/>
              </w:rPr>
            </w:pPr>
            <w:r>
              <w:rPr>
                <w:rFonts w:ascii="Times New Roman" w:cs="Times New Roman" w:eastAsia="Times New Roman" w:hAnsi="Times New Roman"/>
                <w:sz w:val="22"/>
                <w:szCs w:val="22"/>
                <w:b w:val="1"/>
                <w:bCs w:val="1"/>
                <w:color w:val="auto"/>
                <w:w w:val="98"/>
              </w:rPr>
              <w:t>Lenders and Commitments</w:t>
            </w:r>
          </w:p>
        </w:tc>
        <w:tc>
          <w:tcPr>
            <w:tcW w:w="2360" w:type="dxa"/>
            <w:vAlign w:val="bottom"/>
          </w:tcPr>
          <w:p>
            <w:pPr>
              <w:spacing w:after="0"/>
              <w:rPr>
                <w:sz w:val="24"/>
                <w:szCs w:val="24"/>
                <w:color w:val="auto"/>
              </w:rPr>
            </w:pPr>
          </w:p>
        </w:tc>
      </w:tr>
      <w:tr>
        <w:trPr>
          <w:trHeight w:val="304"/>
        </w:trPr>
        <w:tc>
          <w:tcPr>
            <w:tcW w:w="4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80" w:type="dxa"/>
            <w:vAlign w:val="bottom"/>
            <w:tcBorders>
              <w:top w:val="single" w:sz="8" w:color="auto"/>
              <w:bottom w:val="single" w:sz="8" w:color="auto"/>
            </w:tcBorders>
            <w:gridSpan w:val="3"/>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r>
        <w:trPr>
          <w:trHeight w:val="196"/>
        </w:trPr>
        <w:tc>
          <w:tcPr>
            <w:tcW w:w="4180" w:type="dxa"/>
            <w:vAlign w:val="bottom"/>
            <w:tcBorders>
              <w:left w:val="single" w:sz="8" w:color="auto"/>
              <w:right w:val="single" w:sz="8" w:color="auto"/>
            </w:tcBorders>
            <w:shd w:val="clear" w:color="auto" w:fill="D9D9D9"/>
          </w:tcPr>
          <w:p>
            <w:pPr>
              <w:ind w:left="40"/>
              <w:spacing w:after="0" w:line="196" w:lineRule="exact"/>
              <w:rPr>
                <w:sz w:val="20"/>
                <w:szCs w:val="20"/>
                <w:color w:val="auto"/>
              </w:rPr>
            </w:pPr>
            <w:r>
              <w:rPr>
                <w:rFonts w:ascii="Times New Roman" w:cs="Times New Roman" w:eastAsia="Times New Roman" w:hAnsi="Times New Roman"/>
                <w:sz w:val="22"/>
                <w:szCs w:val="22"/>
                <w:b w:val="1"/>
                <w:bCs w:val="1"/>
                <w:color w:val="auto"/>
              </w:rPr>
              <w:t>Name of Bank</w:t>
            </w:r>
          </w:p>
        </w:tc>
        <w:tc>
          <w:tcPr>
            <w:tcW w:w="180" w:type="dxa"/>
            <w:vAlign w:val="bottom"/>
            <w:shd w:val="clear" w:color="auto" w:fill="D9D9D9"/>
          </w:tcPr>
          <w:p>
            <w:pPr>
              <w:spacing w:after="0"/>
              <w:rPr>
                <w:sz w:val="17"/>
                <w:szCs w:val="17"/>
                <w:color w:val="auto"/>
              </w:rPr>
            </w:pPr>
          </w:p>
        </w:tc>
        <w:tc>
          <w:tcPr>
            <w:tcW w:w="2180" w:type="dxa"/>
            <w:vAlign w:val="bottom"/>
            <w:tcBorders>
              <w:right w:val="single" w:sz="8" w:color="auto"/>
            </w:tcBorders>
            <w:gridSpan w:val="3"/>
            <w:shd w:val="clear" w:color="auto" w:fill="D9D9D9"/>
          </w:tcPr>
          <w:p>
            <w:pPr>
              <w:jc w:val="center"/>
              <w:ind w:right="220"/>
              <w:spacing w:after="0" w:line="196" w:lineRule="exact"/>
              <w:rPr>
                <w:sz w:val="20"/>
                <w:szCs w:val="20"/>
                <w:color w:val="auto"/>
              </w:rPr>
            </w:pPr>
            <w:r>
              <w:rPr>
                <w:rFonts w:ascii="Times New Roman" w:cs="Times New Roman" w:eastAsia="Times New Roman" w:hAnsi="Times New Roman"/>
                <w:sz w:val="22"/>
                <w:szCs w:val="22"/>
                <w:b w:val="1"/>
                <w:bCs w:val="1"/>
                <w:color w:val="auto"/>
                <w:w w:val="98"/>
              </w:rPr>
              <w:t>Fourth Amendment</w:t>
            </w:r>
          </w:p>
        </w:tc>
        <w:tc>
          <w:tcPr>
            <w:tcW w:w="2360" w:type="dxa"/>
            <w:vAlign w:val="bottom"/>
            <w:tcBorders>
              <w:right w:val="single" w:sz="8" w:color="auto"/>
            </w:tcBorders>
            <w:gridSpan w:val="2"/>
            <w:shd w:val="clear" w:color="auto" w:fill="D9D9D9"/>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w w:val="98"/>
              </w:rPr>
              <w:t>Fourth Amendment</w:t>
            </w:r>
          </w:p>
        </w:tc>
        <w:tc>
          <w:tcPr>
            <w:tcW w:w="2360" w:type="dxa"/>
            <w:vAlign w:val="bottom"/>
            <w:tcBorders>
              <w:right w:val="single" w:sz="8" w:color="auto"/>
            </w:tcBorders>
            <w:shd w:val="clear" w:color="auto" w:fill="D9D9D9"/>
          </w:tcPr>
          <w:p>
            <w:pPr>
              <w:jc w:val="center"/>
              <w:spacing w:after="0" w:line="196" w:lineRule="exact"/>
              <w:rPr>
                <w:sz w:val="20"/>
                <w:szCs w:val="20"/>
                <w:color w:val="auto"/>
              </w:rPr>
            </w:pPr>
            <w:r>
              <w:rPr>
                <w:rFonts w:ascii="Times New Roman" w:cs="Times New Roman" w:eastAsia="Times New Roman" w:hAnsi="Times New Roman"/>
                <w:sz w:val="20"/>
                <w:szCs w:val="20"/>
                <w:b w:val="1"/>
                <w:bCs w:val="1"/>
                <w:color w:val="auto"/>
                <w:w w:val="98"/>
              </w:rPr>
              <w:t>LC Commitment</w:t>
            </w:r>
          </w:p>
        </w:tc>
      </w:tr>
      <w:tr>
        <w:trPr>
          <w:trHeight w:val="216"/>
        </w:trPr>
        <w:tc>
          <w:tcPr>
            <w:tcW w:w="4180" w:type="dxa"/>
            <w:vAlign w:val="bottom"/>
            <w:tcBorders>
              <w:left w:val="single" w:sz="8" w:color="auto"/>
              <w:right w:val="single" w:sz="8" w:color="auto"/>
            </w:tcBorders>
            <w:shd w:val="clear" w:color="auto" w:fill="D9D9D9"/>
          </w:tcPr>
          <w:p>
            <w:pPr>
              <w:spacing w:after="0"/>
              <w:rPr>
                <w:sz w:val="18"/>
                <w:szCs w:val="18"/>
                <w:color w:val="auto"/>
              </w:rPr>
            </w:pPr>
          </w:p>
        </w:tc>
        <w:tc>
          <w:tcPr>
            <w:tcW w:w="180" w:type="dxa"/>
            <w:vAlign w:val="bottom"/>
            <w:shd w:val="clear" w:color="auto" w:fill="D9D9D9"/>
          </w:tcPr>
          <w:p>
            <w:pPr>
              <w:spacing w:after="0"/>
              <w:rPr>
                <w:sz w:val="18"/>
                <w:szCs w:val="18"/>
                <w:color w:val="auto"/>
              </w:rPr>
            </w:pPr>
          </w:p>
        </w:tc>
        <w:tc>
          <w:tcPr>
            <w:tcW w:w="2180" w:type="dxa"/>
            <w:vAlign w:val="bottom"/>
            <w:tcBorders>
              <w:right w:val="single" w:sz="8" w:color="auto"/>
            </w:tcBorders>
            <w:gridSpan w:val="3"/>
            <w:shd w:val="clear" w:color="auto" w:fill="D9D9D9"/>
          </w:tcPr>
          <w:p>
            <w:pPr>
              <w:jc w:val="center"/>
              <w:ind w:right="200"/>
              <w:spacing w:after="0" w:line="216" w:lineRule="exact"/>
              <w:rPr>
                <w:sz w:val="20"/>
                <w:szCs w:val="20"/>
                <w:color w:val="auto"/>
              </w:rPr>
            </w:pPr>
            <w:r>
              <w:rPr>
                <w:rFonts w:ascii="Times New Roman" w:cs="Times New Roman" w:eastAsia="Times New Roman" w:hAnsi="Times New Roman"/>
                <w:sz w:val="22"/>
                <w:szCs w:val="22"/>
                <w:b w:val="1"/>
                <w:bCs w:val="1"/>
                <w:color w:val="auto"/>
                <w:w w:val="98"/>
              </w:rPr>
              <w:t>Extended Revolving</w:t>
            </w:r>
          </w:p>
        </w:tc>
        <w:tc>
          <w:tcPr>
            <w:tcW w:w="2360" w:type="dxa"/>
            <w:vAlign w:val="bottom"/>
            <w:tcBorders>
              <w:right w:val="single" w:sz="8" w:color="auto"/>
            </w:tcBorders>
            <w:gridSpan w:val="2"/>
            <w:shd w:val="clear" w:color="auto" w:fill="D9D9D9"/>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Non-Extended Revolving</w:t>
            </w:r>
          </w:p>
        </w:tc>
        <w:tc>
          <w:tcPr>
            <w:tcW w:w="2360" w:type="dxa"/>
            <w:vAlign w:val="bottom"/>
            <w:tcBorders>
              <w:right w:val="single" w:sz="8" w:color="auto"/>
            </w:tcBorders>
            <w:shd w:val="clear" w:color="auto" w:fill="D9D9D9"/>
          </w:tcPr>
          <w:p>
            <w:pPr>
              <w:spacing w:after="0"/>
              <w:rPr>
                <w:sz w:val="18"/>
                <w:szCs w:val="18"/>
                <w:color w:val="auto"/>
              </w:rPr>
            </w:pPr>
          </w:p>
        </w:tc>
      </w:tr>
      <w:tr>
        <w:trPr>
          <w:trHeight w:val="283"/>
        </w:trPr>
        <w:tc>
          <w:tcPr>
            <w:tcW w:w="418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spacing w:after="0"/>
              <w:rPr>
                <w:sz w:val="24"/>
                <w:szCs w:val="24"/>
                <w:color w:val="auto"/>
              </w:rPr>
            </w:pPr>
          </w:p>
        </w:tc>
        <w:tc>
          <w:tcPr>
            <w:tcW w:w="2180" w:type="dxa"/>
            <w:vAlign w:val="bottom"/>
            <w:tcBorders>
              <w:bottom w:val="single" w:sz="8" w:color="auto"/>
              <w:right w:val="single" w:sz="8" w:color="auto"/>
            </w:tcBorders>
            <w:gridSpan w:val="3"/>
            <w:shd w:val="clear" w:color="auto" w:fill="D9D9D9"/>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w w:val="97"/>
              </w:rPr>
              <w:t>Commitment</w:t>
            </w:r>
          </w:p>
        </w:tc>
        <w:tc>
          <w:tcPr>
            <w:tcW w:w="340" w:type="dxa"/>
            <w:vAlign w:val="bottom"/>
            <w:tcBorders>
              <w:bottom w:val="single" w:sz="8" w:color="auto"/>
            </w:tcBorders>
            <w:shd w:val="clear" w:color="auto" w:fill="D9D9D9"/>
          </w:tcPr>
          <w:p>
            <w:pPr>
              <w:spacing w:after="0"/>
              <w:rPr>
                <w:sz w:val="24"/>
                <w:szCs w:val="24"/>
                <w:color w:val="auto"/>
              </w:rPr>
            </w:pPr>
          </w:p>
        </w:tc>
        <w:tc>
          <w:tcPr>
            <w:tcW w:w="2020" w:type="dxa"/>
            <w:vAlign w:val="bottom"/>
            <w:tcBorders>
              <w:bottom w:val="single" w:sz="8" w:color="auto"/>
              <w:right w:val="single" w:sz="8" w:color="auto"/>
            </w:tcBorders>
            <w:shd w:val="clear" w:color="auto" w:fill="D9D9D9"/>
          </w:tcPr>
          <w:p>
            <w:pPr>
              <w:jc w:val="center"/>
              <w:ind w:right="252"/>
              <w:spacing w:after="0"/>
              <w:rPr>
                <w:sz w:val="20"/>
                <w:szCs w:val="20"/>
                <w:color w:val="auto"/>
              </w:rPr>
            </w:pPr>
            <w:r>
              <w:rPr>
                <w:rFonts w:ascii="Times New Roman" w:cs="Times New Roman" w:eastAsia="Times New Roman" w:hAnsi="Times New Roman"/>
                <w:sz w:val="22"/>
                <w:szCs w:val="22"/>
                <w:b w:val="1"/>
                <w:bCs w:val="1"/>
                <w:color w:val="auto"/>
                <w:w w:val="97"/>
              </w:rPr>
              <w:t>Commitment</w:t>
            </w:r>
          </w:p>
        </w:tc>
        <w:tc>
          <w:tcPr>
            <w:tcW w:w="2360" w:type="dxa"/>
            <w:vAlign w:val="bottom"/>
            <w:tcBorders>
              <w:bottom w:val="single" w:sz="8" w:color="auto"/>
              <w:right w:val="single" w:sz="8" w:color="auto"/>
            </w:tcBorders>
            <w:shd w:val="clear" w:color="auto" w:fill="D9D9D9"/>
          </w:tcPr>
          <w:p>
            <w:pPr>
              <w:spacing w:after="0"/>
              <w:rPr>
                <w:sz w:val="24"/>
                <w:szCs w:val="24"/>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Barclays Bank PLC</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Bank of America, N.A.</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Citibank N.A.</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Credit Suisse AG, Cayman Islands Branch</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Deutsche Bank AG New York Branch</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Goldman Sachs Bank USA</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196"/>
        </w:trPr>
        <w:tc>
          <w:tcPr>
            <w:tcW w:w="4180" w:type="dxa"/>
            <w:vAlign w:val="bottom"/>
            <w:tcBorders>
              <w:left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22"/>
                <w:szCs w:val="22"/>
                <w:color w:val="auto"/>
              </w:rPr>
              <w:t>Industrial and Commercial Bank of China</w:t>
            </w:r>
          </w:p>
        </w:tc>
        <w:tc>
          <w:tcPr>
            <w:tcW w:w="180" w:type="dxa"/>
            <w:vAlign w:val="bottom"/>
          </w:tcPr>
          <w:p>
            <w:pPr>
              <w:spacing w:after="0"/>
              <w:rPr>
                <w:sz w:val="17"/>
                <w:szCs w:val="17"/>
                <w:color w:val="auto"/>
              </w:rPr>
            </w:pPr>
          </w:p>
        </w:tc>
        <w:tc>
          <w:tcPr>
            <w:tcW w:w="1760" w:type="dxa"/>
            <w:vAlign w:val="bottom"/>
            <w:gridSpan w:val="2"/>
          </w:tcPr>
          <w:p>
            <w:pPr>
              <w:jc w:val="center"/>
              <w:ind w:left="119"/>
              <w:spacing w:after="0" w:line="196"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right w:val="single" w:sz="8" w:color="auto"/>
            </w:tcBorders>
          </w:tcPr>
          <w:p>
            <w:pPr>
              <w:spacing w:after="0"/>
              <w:rPr>
                <w:sz w:val="17"/>
                <w:szCs w:val="17"/>
                <w:color w:val="auto"/>
              </w:rPr>
            </w:pPr>
          </w:p>
        </w:tc>
      </w:tr>
      <w:tr>
        <w:trPr>
          <w:trHeight w:val="28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Limited, New York Branch</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r>
      <w:tr>
        <w:trPr>
          <w:trHeight w:val="264"/>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JPMorgan Chase Bank, N.A.</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Morgan Stanley Bank, N.A.</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Morgan Stanley Senior Funding, Inc.</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Sumitomo Mitsui Banking Corporation</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BNP Paribas</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196"/>
        </w:trPr>
        <w:tc>
          <w:tcPr>
            <w:tcW w:w="4180" w:type="dxa"/>
            <w:vAlign w:val="bottom"/>
            <w:tcBorders>
              <w:left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22"/>
                <w:szCs w:val="22"/>
                <w:color w:val="auto"/>
              </w:rPr>
              <w:t>Credit Agricole Corporate and Investment</w:t>
            </w:r>
          </w:p>
        </w:tc>
        <w:tc>
          <w:tcPr>
            <w:tcW w:w="180" w:type="dxa"/>
            <w:vAlign w:val="bottom"/>
          </w:tcPr>
          <w:p>
            <w:pPr>
              <w:spacing w:after="0"/>
              <w:rPr>
                <w:sz w:val="17"/>
                <w:szCs w:val="17"/>
                <w:color w:val="auto"/>
              </w:rPr>
            </w:pPr>
          </w:p>
        </w:tc>
        <w:tc>
          <w:tcPr>
            <w:tcW w:w="1760" w:type="dxa"/>
            <w:vAlign w:val="bottom"/>
            <w:gridSpan w:val="2"/>
          </w:tcPr>
          <w:p>
            <w:pPr>
              <w:jc w:val="center"/>
              <w:ind w:left="119"/>
              <w:spacing w:after="0" w:line="196"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gridSpan w:val="2"/>
          </w:tcPr>
          <w:p>
            <w:pPr>
              <w:jc w:val="center"/>
              <w:spacing w:after="0" w:line="196" w:lineRule="exact"/>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right w:val="single" w:sz="8" w:color="auto"/>
            </w:tcBorders>
          </w:tcPr>
          <w:p>
            <w:pPr>
              <w:spacing w:after="0"/>
              <w:rPr>
                <w:sz w:val="17"/>
                <w:szCs w:val="17"/>
                <w:color w:val="auto"/>
              </w:rPr>
            </w:pPr>
          </w:p>
        </w:tc>
      </w:tr>
      <w:tr>
        <w:trPr>
          <w:trHeight w:val="28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Bank</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r>
      <w:tr>
        <w:trPr>
          <w:trHeight w:val="264"/>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HSBC Bank USA, N.A.</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MUFG Union Bank, N.A.</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Standard Chartered Bank</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U.S. Bank National Association</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BOKF, NA dba Bank of Texas</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Texas Capital Bank, N.A.</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22"/>
                <w:szCs w:val="22"/>
                <w:color w:val="auto"/>
                <w:w w:val="98"/>
              </w:rPr>
              <w:t>[****]</w:t>
            </w:r>
          </w:p>
        </w:tc>
        <w:tc>
          <w:tcPr>
            <w:tcW w:w="4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2360" w:type="dxa"/>
            <w:vAlign w:val="bottom"/>
            <w:tcBorders>
              <w:bottom w:val="single" w:sz="8" w:color="auto"/>
              <w:right w:val="single" w:sz="8" w:color="auto"/>
            </w:tcBorders>
          </w:tcPr>
          <w:p>
            <w:pPr>
              <w:spacing w:after="0"/>
              <w:rPr>
                <w:sz w:val="22"/>
                <w:szCs w:val="22"/>
                <w:color w:val="auto"/>
              </w:rPr>
            </w:pPr>
          </w:p>
        </w:tc>
      </w:tr>
      <w:tr>
        <w:trPr>
          <w:trHeight w:val="263"/>
        </w:trPr>
        <w:tc>
          <w:tcPr>
            <w:tcW w:w="4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ind w:left="119"/>
              <w:spacing w:after="0"/>
              <w:rPr>
                <w:sz w:val="20"/>
                <w:szCs w:val="20"/>
                <w:color w:val="auto"/>
              </w:rPr>
            </w:pPr>
            <w:r>
              <w:rPr>
                <w:rFonts w:ascii="Times New Roman" w:cs="Times New Roman" w:eastAsia="Times New Roman" w:hAnsi="Times New Roman"/>
                <w:sz w:val="22"/>
                <w:szCs w:val="22"/>
                <w:b w:val="1"/>
                <w:bCs w:val="1"/>
                <w:color w:val="auto"/>
                <w:w w:val="97"/>
              </w:rPr>
              <w:t>$296,400,000</w:t>
            </w:r>
          </w:p>
        </w:tc>
        <w:tc>
          <w:tcPr>
            <w:tcW w:w="42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$3,600,000</w:t>
            </w:r>
          </w:p>
        </w:tc>
        <w:tc>
          <w:tcPr>
            <w:tcW w:w="2360" w:type="dxa"/>
            <w:vAlign w:val="bottom"/>
            <w:tcBorders>
              <w:bottom w:val="single" w:sz="8" w:color="auto"/>
              <w:right w:val="single" w:sz="8" w:color="auto"/>
            </w:tcBorders>
          </w:tcPr>
          <w:p>
            <w:pPr>
              <w:jc w:val="right"/>
              <w:ind w:right="975"/>
              <w:spacing w:after="0"/>
              <w:rPr>
                <w:sz w:val="20"/>
                <w:szCs w:val="20"/>
                <w:color w:val="auto"/>
              </w:rPr>
            </w:pPr>
            <w:r>
              <w:rPr>
                <w:rFonts w:ascii="Times New Roman" w:cs="Times New Roman" w:eastAsia="Times New Roman" w:hAnsi="Times New Roman"/>
                <w:sz w:val="22"/>
                <w:szCs w:val="22"/>
                <w:b w:val="1"/>
                <w:bCs w:val="1"/>
                <w:color w:val="auto"/>
              </w:rPr>
              <w:t>$0</w:t>
            </w:r>
          </w:p>
        </w:tc>
      </w:tr>
    </w:tbl>
    <w:p>
      <w:pPr>
        <w:sectPr>
          <w:pgSz w:w="11900" w:h="16838" w:orient="portrait"/>
          <w:cols w:equalWidth="0" w:num="1">
            <w:col w:w="11260"/>
          </w:cols>
          <w:pgMar w:left="320" w:top="1428" w:right="319" w:bottom="1440" w:gutter="0" w:footer="0" w:header="0"/>
        </w:sectPr>
      </w:pPr>
    </w:p>
    <w:bookmarkStart w:id="247" w:name="page248"/>
    <w:bookmarkEnd w:id="247"/>
    <w:p>
      <w:pPr>
        <w:ind w:left="10220"/>
        <w:spacing w:after="0"/>
        <w:rPr>
          <w:sz w:val="20"/>
          <w:szCs w:val="20"/>
          <w:color w:val="auto"/>
        </w:rPr>
      </w:pPr>
      <w:r>
        <w:rPr>
          <w:rFonts w:ascii="Times New Roman" w:cs="Times New Roman" w:eastAsia="Times New Roman" w:hAnsi="Times New Roman"/>
          <w:sz w:val="17"/>
          <w:szCs w:val="17"/>
          <w:b w:val="1"/>
          <w:bCs w:val="1"/>
          <w:color w:val="auto"/>
        </w:rPr>
        <w:t>Exhibit 10.81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41210" cy="2825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561">
                      <a:extLst>
                        <a:ext uri="{28A0092B-C50C-407E-A947-70E740481C1C}"/>
                      </a:extLst>
                    </a:blip>
                    <a:srcRect/>
                    <a:stretch>
                      <a:fillRect/>
                    </a:stretch>
                  </pic:blipFill>
                  <pic:spPr bwMode="auto">
                    <a:xfrm>
                      <a:off x="0" y="0"/>
                      <a:ext cx="7141210" cy="282575"/>
                    </a:xfrm>
                    <a:prstGeom prst="rect">
                      <a:avLst/>
                    </a:prstGeom>
                    <a:noFill/>
                  </pic:spPr>
                </pic:pic>
              </a:graphicData>
            </a:graphic>
          </wp:anchor>
        </w:drawing>
      </w:r>
    </w:p>
    <w:p>
      <w:pPr>
        <w:spacing w:after="0" w:line="189" w:lineRule="exact"/>
        <w:rPr>
          <w:sz w:val="20"/>
          <w:szCs w:val="20"/>
          <w:color w:val="auto"/>
        </w:rPr>
      </w:pPr>
    </w:p>
    <w:p>
      <w:pPr>
        <w:ind w:left="40" w:right="180"/>
        <w:spacing w:after="0" w:line="255" w:lineRule="auto"/>
        <w:rPr>
          <w:sz w:val="20"/>
          <w:szCs w:val="20"/>
          <w:color w:val="auto"/>
        </w:rPr>
      </w:pPr>
      <w:r>
        <w:rPr>
          <w:rFonts w:ascii="Times New Roman" w:cs="Times New Roman" w:eastAsia="Times New Roman" w:hAnsi="Times New Roman"/>
          <w:sz w:val="18"/>
          <w:szCs w:val="18"/>
          <w:b w:val="1"/>
          <w:bCs w:val="1"/>
          <w:color w:val="auto"/>
        </w:rPr>
        <w:t>Certain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AGREEMENT NO.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Agreement No. 03735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BOEING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AIRLINES,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Relating to Boeing Model 737 MAX Aircraft</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This SUPPLEMENTAL AGREEMENT No. 5 (</w:t>
      </w:r>
      <w:r>
        <w:rPr>
          <w:rFonts w:ascii="Times New Roman" w:cs="Times New Roman" w:eastAsia="Times New Roman" w:hAnsi="Times New Roman"/>
          <w:sz w:val="18"/>
          <w:szCs w:val="18"/>
          <w:b w:val="1"/>
          <w:bCs w:val="1"/>
          <w:i w:val="1"/>
          <w:iCs w:val="1"/>
          <w:color w:val="auto"/>
        </w:rPr>
        <w:t>SA-5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entered into as of August 8 , 2016 (</w:t>
      </w:r>
      <w:r>
        <w:rPr>
          <w:rFonts w:ascii="Times New Roman" w:cs="Times New Roman" w:eastAsia="Times New Roman" w:hAnsi="Times New Roman"/>
          <w:sz w:val="18"/>
          <w:szCs w:val="18"/>
          <w:b w:val="1"/>
          <w:bCs w:val="1"/>
          <w:i w:val="1"/>
          <w:iCs w:val="1"/>
          <w:color w:val="auto"/>
        </w:rPr>
        <w:t>SA-5 Effective Date</w:t>
      </w:r>
      <w:r>
        <w:rPr>
          <w:rFonts w:ascii="Times New Roman" w:cs="Times New Roman" w:eastAsia="Times New Roman" w:hAnsi="Times New Roman"/>
          <w:sz w:val="18"/>
          <w:szCs w:val="18"/>
          <w:color w:val="auto"/>
        </w:rPr>
        <w:t>), by and between THE BOEING COMPANY, a Delaware corporation with offices in Washington state (</w:t>
      </w:r>
      <w:r>
        <w:rPr>
          <w:rFonts w:ascii="Times New Roman" w:cs="Times New Roman" w:eastAsia="Times New Roman" w:hAnsi="Times New Roman"/>
          <w:sz w:val="18"/>
          <w:szCs w:val="18"/>
          <w:b w:val="1"/>
          <w:bCs w:val="1"/>
          <w:i w:val="1"/>
          <w:iCs w:val="1"/>
          <w:color w:val="auto"/>
        </w:rPr>
        <w:t>Boeing</w:t>
      </w:r>
      <w:r>
        <w:rPr>
          <w:rFonts w:ascii="Times New Roman" w:cs="Times New Roman" w:eastAsia="Times New Roman" w:hAnsi="Times New Roman"/>
          <w:sz w:val="18"/>
          <w:szCs w:val="18"/>
          <w:color w:val="auto"/>
        </w:rPr>
        <w:t>) and AMERICAN AIRLINES, INC. a Delaware corporation with offices in Fort Worth, Texas, together with its successors and permitted assigns (</w:t>
      </w:r>
      <w:r>
        <w:rPr>
          <w:rFonts w:ascii="Times New Roman" w:cs="Times New Roman" w:eastAsia="Times New Roman" w:hAnsi="Times New Roman"/>
          <w:sz w:val="18"/>
          <w:szCs w:val="18"/>
          <w:b w:val="1"/>
          <w:bCs w:val="1"/>
          <w:i w:val="1"/>
          <w:iCs w:val="1"/>
          <w:color w:val="auto"/>
        </w:rPr>
        <w:t>Customer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-314325</wp:posOffset>
            </wp:positionV>
            <wp:extent cx="2857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56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4"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auto"/>
        </w:rPr>
        <w:t>WHEREAS, Boeing and Customer entered into Purchase Agreement No. 03735 dated February 1, 2013 relating to Boeing Model 737 MAX Aircraft, as amended and supplemented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and capitalized terms used herein without definitions shall have the meanings specified therefore in such Purchase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Customer and Boeing desire to add Letter Agreement AAL-PA-03735-LA-1600852 entitled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Customer and Boeing desire to add Letter Agreement AAL-PA-03735-LA-1603773 entitled “[****]”;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10240" w:val="left"/>
        </w:tabs>
        <w:rPr>
          <w:sz w:val="20"/>
          <w:szCs w:val="20"/>
          <w:color w:val="auto"/>
        </w:rPr>
      </w:pPr>
      <w:r>
        <w:rPr>
          <w:rFonts w:ascii="Times New Roman" w:cs="Times New Roman" w:eastAsia="Times New Roman" w:hAnsi="Times New Roman"/>
          <w:sz w:val="18"/>
          <w:szCs w:val="18"/>
          <w:color w:val="auto"/>
        </w:rPr>
        <w:t>PA 03735</w:t>
      </w:r>
      <w:r>
        <w:rPr>
          <w:sz w:val="20"/>
          <w:szCs w:val="20"/>
          <w:color w:val="auto"/>
        </w:rPr>
        <w:tab/>
      </w:r>
      <w:r>
        <w:rPr>
          <w:rFonts w:ascii="Times New Roman" w:cs="Times New Roman" w:eastAsia="Times New Roman" w:hAnsi="Times New Roman"/>
          <w:sz w:val="18"/>
          <w:szCs w:val="18"/>
          <w:color w:val="auto"/>
        </w:rPr>
        <w:t>SA-5, Page 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BOEING PROPRIETARY</w:t>
      </w:r>
    </w:p>
    <w:p>
      <w:pPr>
        <w:sectPr>
          <w:pgSz w:w="11900" w:h="16838" w:orient="portrait"/>
          <w:cols w:equalWidth="0" w:num="1">
            <w:col w:w="11240"/>
          </w:cols>
          <w:pgMar w:left="320" w:top="104" w:right="339" w:bottom="1440" w:gutter="0" w:footer="0" w:header="0"/>
        </w:sectPr>
      </w:pPr>
    </w:p>
    <w:bookmarkStart w:id="248" w:name="page249"/>
    <w:bookmarkEnd w:id="248"/>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agree that the Purchase Agreement is amended as set forth below and otherwise agree as follows:</w:t>
      </w:r>
    </w:p>
    <w:p>
      <w:pPr>
        <w:spacing w:after="0" w:line="211" w:lineRule="exact"/>
        <w:rPr>
          <w:sz w:val="20"/>
          <w:szCs w:val="20"/>
          <w:color w:val="auto"/>
        </w:rPr>
      </w:pPr>
    </w:p>
    <w:p>
      <w:pPr>
        <w:ind w:left="480" w:hanging="454"/>
        <w:spacing w:after="0"/>
        <w:tabs>
          <w:tab w:leader="none" w:pos="4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Table of Contents</w:t>
      </w:r>
      <w:r>
        <w:rPr>
          <w:rFonts w:ascii="Times New Roman" w:cs="Times New Roman" w:eastAsia="Times New Roman" w:hAnsi="Times New Roman"/>
          <w:sz w:val="18"/>
          <w:szCs w:val="18"/>
          <w:color w:val="auto"/>
        </w:rPr>
        <w:t>.</w:t>
      </w:r>
    </w:p>
    <w:p>
      <w:pPr>
        <w:spacing w:after="0" w:line="26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Table Of Contents</w:t>
      </w:r>
      <w:r>
        <w:rPr>
          <w:rFonts w:ascii="Times New Roman" w:cs="Times New Roman" w:eastAsia="Times New Roman" w:hAnsi="Times New Roman"/>
          <w:sz w:val="18"/>
          <w:szCs w:val="18"/>
          <w:color w:val="auto"/>
        </w:rPr>
        <w:t>” to the Purchase Agreement referencing SA-4 in the footer is deleted in its entirety and is replaced with the new “</w:t>
      </w:r>
      <w:r>
        <w:rPr>
          <w:rFonts w:ascii="Times New Roman" w:cs="Times New Roman" w:eastAsia="Times New Roman" w:hAnsi="Times New Roman"/>
          <w:sz w:val="18"/>
          <w:szCs w:val="18"/>
          <w:u w:val="single" w:color="auto"/>
          <w:color w:val="auto"/>
        </w:rPr>
        <w:t>Table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Contents</w:t>
      </w:r>
      <w:r>
        <w:rPr>
          <w:rFonts w:ascii="Times New Roman" w:cs="Times New Roman" w:eastAsia="Times New Roman" w:hAnsi="Times New Roman"/>
          <w:sz w:val="18"/>
          <w:szCs w:val="18"/>
          <w:color w:val="auto"/>
        </w:rPr>
        <w:t>” (attached hereto) referencing SA-5 in the footer to reflect changes made to the Purchase Agreement by this SA-5. Such new Table of Contents is hereby incorporated into the Purchase Agreement in replacement of its predecessor.</w:t>
      </w:r>
    </w:p>
    <w:p>
      <w:pPr>
        <w:spacing w:after="0" w:line="164" w:lineRule="exact"/>
        <w:rPr>
          <w:sz w:val="20"/>
          <w:szCs w:val="20"/>
          <w:color w:val="auto"/>
        </w:rPr>
      </w:pPr>
    </w:p>
    <w:p>
      <w:pPr>
        <w:ind w:left="480" w:hanging="454"/>
        <w:spacing w:after="0"/>
        <w:tabs>
          <w:tab w:leader="none" w:pos="4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 Letter Agreement No. AAL-PA-03735-LA1600852 entitled “[****]” is hereby incorporated into the Purchase Agreement (</w:t>
      </w:r>
      <w:r>
        <w:rPr>
          <w:rFonts w:ascii="Times New Roman" w:cs="Times New Roman" w:eastAsia="Times New Roman" w:hAnsi="Times New Roman"/>
          <w:sz w:val="18"/>
          <w:szCs w:val="18"/>
          <w:b w:val="1"/>
          <w:bCs w:val="1"/>
          <w:i w:val="1"/>
          <w:iCs w:val="1"/>
          <w:color w:val="auto"/>
        </w:rPr>
        <w:t>New Letter Agreement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1600852</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Letter Agreement No. AAL-PA-03735-LA-1603773 entitled “[****]” is hereby incorporated into the Purchase Agreement (</w:t>
      </w:r>
      <w:r>
        <w:rPr>
          <w:rFonts w:ascii="Times New Roman" w:cs="Times New Roman" w:eastAsia="Times New Roman" w:hAnsi="Times New Roman"/>
          <w:sz w:val="18"/>
          <w:szCs w:val="18"/>
          <w:b w:val="1"/>
          <w:bCs w:val="1"/>
          <w:i w:val="1"/>
          <w:iCs w:val="1"/>
          <w:color w:val="auto"/>
        </w:rPr>
        <w:t>New Letter Agreement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1603773</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480" w:hanging="454"/>
        <w:spacing w:after="0"/>
        <w:tabs>
          <w:tab w:leader="none" w:pos="4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65"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3.1 The Purchase Agreement is amended as set forth above, by the revised Table of Contents, the New Letter Agreement 1600852, and the New Letter Agreement 1603773. All other terms and conditions of the Purchase Agreement remain unchanged and are in full force and effect.</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[This space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10240" w:val="left"/>
        </w:tabs>
        <w:rPr>
          <w:sz w:val="20"/>
          <w:szCs w:val="20"/>
          <w:color w:val="auto"/>
        </w:rPr>
      </w:pPr>
      <w:r>
        <w:rPr>
          <w:rFonts w:ascii="Times New Roman" w:cs="Times New Roman" w:eastAsia="Times New Roman" w:hAnsi="Times New Roman"/>
          <w:sz w:val="18"/>
          <w:szCs w:val="18"/>
          <w:color w:val="auto"/>
        </w:rPr>
        <w:t>PA 03735</w:t>
      </w:r>
      <w:r>
        <w:rPr>
          <w:sz w:val="20"/>
          <w:szCs w:val="20"/>
          <w:color w:val="auto"/>
        </w:rPr>
        <w:tab/>
      </w:r>
      <w:r>
        <w:rPr>
          <w:rFonts w:ascii="Times New Roman" w:cs="Times New Roman" w:eastAsia="Times New Roman" w:hAnsi="Times New Roman"/>
          <w:sz w:val="18"/>
          <w:szCs w:val="18"/>
          <w:color w:val="auto"/>
        </w:rPr>
        <w:t>SA-5, Page 2</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BOEING PROPRIETARY</w:t>
      </w:r>
    </w:p>
    <w:p>
      <w:pPr>
        <w:sectPr>
          <w:pgSz w:w="11900" w:h="16838" w:orient="portrait"/>
          <w:cols w:equalWidth="0" w:num="1">
            <w:col w:w="11220"/>
          </w:cols>
          <w:pgMar w:left="320" w:top="1440" w:right="359" w:bottom="1440" w:gutter="0" w:footer="0" w:header="0"/>
        </w:sectPr>
      </w:pPr>
    </w:p>
    <w:bookmarkStart w:id="249" w:name="page250"/>
    <w:bookmarkEnd w:id="2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AGREED AND ACCEPTED this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32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563">
                      <a:extLst>
                        <a:ext uri="{28A0092B-C50C-407E-A947-70E740481C1C}"/>
                      </a:extLst>
                    </a:blip>
                    <a:srcRect/>
                    <a:stretch>
                      <a:fillRect/>
                    </a:stretch>
                  </pic:blipFill>
                  <pic:spPr bwMode="auto">
                    <a:xfrm>
                      <a:off x="0" y="0"/>
                      <a:ext cx="33223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BOEING COMPANY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32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564">
                      <a:extLst>
                        <a:ext uri="{28A0092B-C50C-407E-A947-70E740481C1C}"/>
                      </a:extLst>
                    </a:blip>
                    <a:srcRect/>
                    <a:stretch>
                      <a:fillRect/>
                    </a:stretch>
                  </pic:blipFill>
                  <pic:spPr bwMode="auto">
                    <a:xfrm>
                      <a:off x="0" y="0"/>
                      <a:ext cx="33223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32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565">
                      <a:extLst>
                        <a:ext uri="{28A0092B-C50C-407E-A947-70E740481C1C}"/>
                      </a:extLst>
                    </a:blip>
                    <a:srcRect/>
                    <a:stretch>
                      <a:fillRect/>
                    </a:stretch>
                  </pic:blipFill>
                  <pic:spPr bwMode="auto">
                    <a:xfrm>
                      <a:off x="0" y="0"/>
                      <a:ext cx="33223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332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566">
                      <a:extLst>
                        <a:ext uri="{28A0092B-C50C-407E-A947-70E740481C1C}"/>
                      </a:extLst>
                    </a:blip>
                    <a:srcRect/>
                    <a:stretch>
                      <a:fillRect/>
                    </a:stretch>
                  </pic:blipFill>
                  <pic:spPr bwMode="auto">
                    <a:xfrm>
                      <a:off x="0" y="0"/>
                      <a:ext cx="33223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AMERICAN AIRLINES, INC.</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333057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567">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333057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568">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333057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569">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ectPr>
          <w:pgSz w:w="11900" w:h="16838" w:orient="portrait"/>
          <w:cols w:equalWidth="0" w:num="2">
            <w:col w:w="5280" w:space="720"/>
            <w:col w:w="5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0220" w:val="left"/>
        </w:tabs>
        <w:rPr>
          <w:sz w:val="20"/>
          <w:szCs w:val="20"/>
          <w:color w:val="auto"/>
        </w:rPr>
      </w:pPr>
      <w:r>
        <w:rPr>
          <w:rFonts w:ascii="Times New Roman" w:cs="Times New Roman" w:eastAsia="Times New Roman" w:hAnsi="Times New Roman"/>
          <w:sz w:val="18"/>
          <w:szCs w:val="18"/>
          <w:color w:val="auto"/>
        </w:rPr>
        <w:t>PA 03735</w:t>
      </w:r>
      <w:r>
        <w:rPr>
          <w:sz w:val="20"/>
          <w:szCs w:val="20"/>
          <w:color w:val="auto"/>
        </w:rPr>
        <w:tab/>
      </w:r>
      <w:r>
        <w:rPr>
          <w:rFonts w:ascii="Times New Roman" w:cs="Times New Roman" w:eastAsia="Times New Roman" w:hAnsi="Times New Roman"/>
          <w:sz w:val="18"/>
          <w:szCs w:val="18"/>
          <w:color w:val="auto"/>
        </w:rPr>
        <w:t>SA-5, Page 3</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BOEING PROPRIETARY</w:t>
      </w:r>
    </w:p>
    <w:p>
      <w:pPr>
        <w:sectPr>
          <w:pgSz w:w="11900" w:h="16838" w:orient="portrait"/>
          <w:cols w:equalWidth="0" w:num="1">
            <w:col w:w="11200"/>
          </w:cols>
          <w:pgMar w:left="340" w:top="1440" w:right="359" w:bottom="1440" w:gutter="0" w:footer="0" w:header="0"/>
          <w:type w:val="continuous"/>
        </w:sectPr>
      </w:pPr>
    </w:p>
    <w:bookmarkStart w:id="250" w:name="page251"/>
    <w:bookmarkEnd w:id="250"/>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14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SA</w:t>
            </w:r>
          </w:p>
        </w:tc>
      </w:tr>
      <w:tr>
        <w:trPr>
          <w:trHeight w:val="193"/>
        </w:trPr>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14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75"/>
        </w:trPr>
        <w:tc>
          <w:tcPr>
            <w:tcW w:w="920" w:type="dxa"/>
            <w:vAlign w:val="bottom"/>
            <w:tcBorders>
              <w:bottom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7"/>
              </w:rPr>
              <w:t>ARTICLES</w:t>
            </w:r>
          </w:p>
        </w:tc>
        <w:tc>
          <w:tcPr>
            <w:tcW w:w="118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3"/>
        </w:trPr>
        <w:tc>
          <w:tcPr>
            <w:tcW w:w="21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Article 1.</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Quantity, Model and Description</w:t>
            </w:r>
          </w:p>
        </w:tc>
        <w:tc>
          <w:tcPr>
            <w:tcW w:w="1480" w:type="dxa"/>
            <w:vAlign w:val="bottom"/>
          </w:tcPr>
          <w:p>
            <w:pPr>
              <w:spacing w:after="0"/>
              <w:rPr>
                <w:sz w:val="24"/>
                <w:szCs w:val="24"/>
                <w:color w:val="auto"/>
              </w:rPr>
            </w:pPr>
          </w:p>
        </w:tc>
      </w:tr>
      <w:tr>
        <w:trPr>
          <w:trHeight w:val="229"/>
        </w:trPr>
        <w:tc>
          <w:tcPr>
            <w:tcW w:w="21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Article 2.</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Delivery Schedule</w:t>
            </w:r>
          </w:p>
        </w:tc>
        <w:tc>
          <w:tcPr>
            <w:tcW w:w="1480" w:type="dxa"/>
            <w:vAlign w:val="bottom"/>
          </w:tcPr>
          <w:p>
            <w:pPr>
              <w:spacing w:after="0"/>
              <w:rPr>
                <w:sz w:val="19"/>
                <w:szCs w:val="19"/>
                <w:color w:val="auto"/>
              </w:rPr>
            </w:pPr>
          </w:p>
        </w:tc>
      </w:tr>
      <w:tr>
        <w:trPr>
          <w:trHeight w:val="229"/>
        </w:trPr>
        <w:tc>
          <w:tcPr>
            <w:tcW w:w="21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Article 3.</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Price</w:t>
            </w:r>
          </w:p>
        </w:tc>
        <w:tc>
          <w:tcPr>
            <w:tcW w:w="1480" w:type="dxa"/>
            <w:vAlign w:val="bottom"/>
          </w:tcPr>
          <w:p>
            <w:pPr>
              <w:spacing w:after="0"/>
              <w:rPr>
                <w:sz w:val="19"/>
                <w:szCs w:val="19"/>
                <w:color w:val="auto"/>
              </w:rPr>
            </w:pPr>
          </w:p>
        </w:tc>
      </w:tr>
      <w:tr>
        <w:trPr>
          <w:trHeight w:val="229"/>
        </w:trPr>
        <w:tc>
          <w:tcPr>
            <w:tcW w:w="21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Article 4.</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Payment</w:t>
            </w:r>
          </w:p>
        </w:tc>
        <w:tc>
          <w:tcPr>
            <w:tcW w:w="1480" w:type="dxa"/>
            <w:vAlign w:val="bottom"/>
          </w:tcPr>
          <w:p>
            <w:pPr>
              <w:spacing w:after="0"/>
              <w:rPr>
                <w:sz w:val="19"/>
                <w:szCs w:val="19"/>
                <w:color w:val="auto"/>
              </w:rPr>
            </w:pPr>
          </w:p>
        </w:tc>
      </w:tr>
      <w:tr>
        <w:trPr>
          <w:trHeight w:val="229"/>
        </w:trPr>
        <w:tc>
          <w:tcPr>
            <w:tcW w:w="21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Article 5.</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Additional Terms</w:t>
            </w:r>
          </w:p>
        </w:tc>
        <w:tc>
          <w:tcPr>
            <w:tcW w:w="1480" w:type="dxa"/>
            <w:vAlign w:val="bottom"/>
          </w:tcPr>
          <w:p>
            <w:pPr>
              <w:spacing w:after="0"/>
              <w:rPr>
                <w:sz w:val="19"/>
                <w:szCs w:val="19"/>
                <w:color w:val="auto"/>
              </w:rPr>
            </w:pPr>
          </w:p>
        </w:tc>
      </w:tr>
      <w:tr>
        <w:trPr>
          <w:trHeight w:val="234"/>
        </w:trPr>
        <w:tc>
          <w:tcPr>
            <w:tcW w:w="21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Article 6.</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Confidentiality</w:t>
            </w:r>
          </w:p>
        </w:tc>
        <w:tc>
          <w:tcPr>
            <w:tcW w:w="1480" w:type="dxa"/>
            <w:vAlign w:val="bottom"/>
          </w:tcPr>
          <w:p>
            <w:pPr>
              <w:spacing w:after="0"/>
              <w:rPr>
                <w:sz w:val="20"/>
                <w:szCs w:val="20"/>
                <w:color w:val="auto"/>
              </w:rPr>
            </w:pPr>
          </w:p>
        </w:tc>
      </w:tr>
      <w:tr>
        <w:trPr>
          <w:trHeight w:val="297"/>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TABLE</w:t>
            </w:r>
          </w:p>
        </w:tc>
        <w:tc>
          <w:tcPr>
            <w:tcW w:w="2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58"/>
        </w:trPr>
        <w:tc>
          <w:tcPr>
            <w:tcW w:w="21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1R2.</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Aircraft Information Table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97"/>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EXHIBITS</w:t>
            </w:r>
          </w:p>
        </w:tc>
        <w:tc>
          <w:tcPr>
            <w:tcW w:w="122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3"/>
        </w:trPr>
        <w:tc>
          <w:tcPr>
            <w:tcW w:w="21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Aircraft Configuration</w:t>
            </w:r>
          </w:p>
        </w:tc>
        <w:tc>
          <w:tcPr>
            <w:tcW w:w="1480" w:type="dxa"/>
            <w:vAlign w:val="bottom"/>
          </w:tcPr>
          <w:p>
            <w:pPr>
              <w:spacing w:after="0"/>
              <w:rPr>
                <w:sz w:val="24"/>
                <w:szCs w:val="24"/>
                <w:color w:val="auto"/>
              </w:rPr>
            </w:pPr>
          </w:p>
        </w:tc>
      </w:tr>
      <w:tr>
        <w:trPr>
          <w:trHeight w:val="229"/>
        </w:trPr>
        <w:tc>
          <w:tcPr>
            <w:tcW w:w="21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Aircraft Delivery Requirements and Responsibilities</w:t>
            </w:r>
          </w:p>
        </w:tc>
        <w:tc>
          <w:tcPr>
            <w:tcW w:w="1480" w:type="dxa"/>
            <w:vAlign w:val="bottom"/>
          </w:tcPr>
          <w:p>
            <w:pPr>
              <w:spacing w:after="0"/>
              <w:rPr>
                <w:sz w:val="19"/>
                <w:szCs w:val="19"/>
                <w:color w:val="auto"/>
              </w:rPr>
            </w:pPr>
          </w:p>
        </w:tc>
      </w:tr>
      <w:tr>
        <w:trPr>
          <w:trHeight w:val="234"/>
        </w:trPr>
        <w:tc>
          <w:tcPr>
            <w:tcW w:w="21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Definitions</w:t>
            </w:r>
          </w:p>
        </w:tc>
        <w:tc>
          <w:tcPr>
            <w:tcW w:w="1480" w:type="dxa"/>
            <w:vAlign w:val="bottom"/>
          </w:tcPr>
          <w:p>
            <w:pPr>
              <w:spacing w:after="0"/>
              <w:rPr>
                <w:sz w:val="20"/>
                <w:szCs w:val="20"/>
                <w:color w:val="auto"/>
              </w:rPr>
            </w:pPr>
          </w:p>
        </w:tc>
      </w:tr>
      <w:tr>
        <w:trPr>
          <w:trHeight w:val="297"/>
        </w:trPr>
        <w:tc>
          <w:tcPr>
            <w:tcW w:w="96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SUPPLEMENTAL EXHIBITS</w:t>
            </w:r>
          </w:p>
        </w:tc>
        <w:tc>
          <w:tcPr>
            <w:tcW w:w="1480" w:type="dxa"/>
            <w:vAlign w:val="bottom"/>
          </w:tcPr>
          <w:p>
            <w:pPr>
              <w:spacing w:after="0"/>
              <w:rPr>
                <w:sz w:val="24"/>
                <w:szCs w:val="24"/>
                <w:color w:val="auto"/>
              </w:rPr>
            </w:pPr>
          </w:p>
        </w:tc>
      </w:tr>
      <w:tr>
        <w:trPr>
          <w:trHeight w:val="20"/>
        </w:trPr>
        <w:tc>
          <w:tcPr>
            <w:tcW w:w="2060" w:type="dxa"/>
            <w:vAlign w:val="bottom"/>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53"/>
        </w:trPr>
        <w:tc>
          <w:tcPr>
            <w:tcW w:w="21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AE1.</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4"/>
                <w:szCs w:val="24"/>
                <w:color w:val="auto"/>
              </w:rPr>
            </w:pPr>
          </w:p>
        </w:tc>
      </w:tr>
      <w:tr>
        <w:trPr>
          <w:trHeight w:val="229"/>
        </w:trPr>
        <w:tc>
          <w:tcPr>
            <w:tcW w:w="21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BFE1.</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BFE Variables</w:t>
            </w:r>
          </w:p>
        </w:tc>
        <w:tc>
          <w:tcPr>
            <w:tcW w:w="1480" w:type="dxa"/>
            <w:vAlign w:val="bottom"/>
          </w:tcPr>
          <w:p>
            <w:pPr>
              <w:spacing w:after="0"/>
              <w:rPr>
                <w:sz w:val="19"/>
                <w:szCs w:val="19"/>
                <w:color w:val="auto"/>
              </w:rPr>
            </w:pPr>
          </w:p>
        </w:tc>
      </w:tr>
      <w:tr>
        <w:trPr>
          <w:trHeight w:val="229"/>
        </w:trPr>
        <w:tc>
          <w:tcPr>
            <w:tcW w:w="21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CS1R1.</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Customer Support Variables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21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EE1.</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9"/>
                <w:szCs w:val="19"/>
                <w:color w:val="auto"/>
              </w:rPr>
            </w:pPr>
          </w:p>
        </w:tc>
      </w:tr>
      <w:tr>
        <w:trPr>
          <w:trHeight w:val="234"/>
        </w:trPr>
        <w:tc>
          <w:tcPr>
            <w:tcW w:w="21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SLP1.</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0"/>
                <w:szCs w:val="20"/>
                <w:color w:val="auto"/>
              </w:rPr>
            </w:pPr>
          </w:p>
        </w:tc>
      </w:tr>
      <w:tr>
        <w:trPr>
          <w:trHeight w:val="297"/>
        </w:trPr>
        <w:tc>
          <w:tcPr>
            <w:tcW w:w="20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LETTER AGREEMENTS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3"/>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LA-1106648</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Special Matters</w:t>
            </w:r>
          </w:p>
        </w:tc>
        <w:tc>
          <w:tcPr>
            <w:tcW w:w="1480" w:type="dxa"/>
            <w:vAlign w:val="bottom"/>
          </w:tcPr>
          <w:p>
            <w:pPr>
              <w:spacing w:after="0"/>
              <w:rPr>
                <w:sz w:val="24"/>
                <w:szCs w:val="24"/>
                <w:color w:val="auto"/>
              </w:rPr>
            </w:pPr>
          </w:p>
        </w:tc>
      </w:tr>
      <w:tr>
        <w:trPr>
          <w:trHeight w:val="229"/>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LA-1106649</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9"/>
                <w:szCs w:val="19"/>
                <w:color w:val="auto"/>
              </w:rPr>
            </w:pPr>
          </w:p>
        </w:tc>
      </w:tr>
      <w:tr>
        <w:trPr>
          <w:trHeight w:val="229"/>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LA-1106650R2</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LA-1106651</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9"/>
                <w:szCs w:val="19"/>
                <w:color w:val="auto"/>
              </w:rPr>
            </w:pPr>
          </w:p>
        </w:tc>
      </w:tr>
      <w:tr>
        <w:trPr>
          <w:trHeight w:val="229"/>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LA-1106652</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Aircraft Model Substitution</w:t>
            </w:r>
          </w:p>
        </w:tc>
        <w:tc>
          <w:tcPr>
            <w:tcW w:w="1480" w:type="dxa"/>
            <w:vAlign w:val="bottom"/>
          </w:tcPr>
          <w:p>
            <w:pPr>
              <w:spacing w:after="0"/>
              <w:rPr>
                <w:sz w:val="19"/>
                <w:szCs w:val="19"/>
                <w:color w:val="auto"/>
              </w:rPr>
            </w:pPr>
          </w:p>
        </w:tc>
      </w:tr>
      <w:tr>
        <w:trPr>
          <w:trHeight w:val="229"/>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LA-1106654</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AGTA Terms Revisions for MAX</w:t>
            </w:r>
          </w:p>
        </w:tc>
        <w:tc>
          <w:tcPr>
            <w:tcW w:w="1480" w:type="dxa"/>
            <w:vAlign w:val="bottom"/>
          </w:tcPr>
          <w:p>
            <w:pPr>
              <w:spacing w:after="0"/>
              <w:rPr>
                <w:sz w:val="19"/>
                <w:szCs w:val="19"/>
                <w:color w:val="auto"/>
              </w:rPr>
            </w:pPr>
          </w:p>
        </w:tc>
      </w:tr>
      <w:tr>
        <w:trPr>
          <w:trHeight w:val="229"/>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LA-1106655</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Open Matters – 737 MAX</w:t>
            </w:r>
          </w:p>
        </w:tc>
        <w:tc>
          <w:tcPr>
            <w:tcW w:w="1480" w:type="dxa"/>
            <w:vAlign w:val="bottom"/>
          </w:tcPr>
          <w:p>
            <w:pPr>
              <w:spacing w:after="0"/>
              <w:rPr>
                <w:sz w:val="19"/>
                <w:szCs w:val="19"/>
                <w:color w:val="auto"/>
              </w:rPr>
            </w:pPr>
          </w:p>
        </w:tc>
      </w:tr>
      <w:tr>
        <w:trPr>
          <w:trHeight w:val="229"/>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LA-1106656R1</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LA-1106657R1</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LA-1106663 R1</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LA-1106664 R1</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LA-1106658</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9"/>
                <w:szCs w:val="19"/>
                <w:color w:val="auto"/>
              </w:rPr>
            </w:pPr>
          </w:p>
        </w:tc>
      </w:tr>
      <w:tr>
        <w:trPr>
          <w:trHeight w:val="229"/>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LA-1106659R1</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LA-1106660</w:t>
            </w:r>
          </w:p>
        </w:tc>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Spare Parts Initial Provisioning</w:t>
            </w:r>
          </w:p>
        </w:tc>
        <w:tc>
          <w:tcPr>
            <w:tcW w:w="14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40"/>
        <w:spacing w:after="0"/>
        <w:tabs>
          <w:tab w:leader="none" w:pos="10200" w:val="left"/>
        </w:tabs>
        <w:rPr>
          <w:sz w:val="20"/>
          <w:szCs w:val="20"/>
          <w:color w:val="auto"/>
        </w:rPr>
      </w:pPr>
      <w:r>
        <w:rPr>
          <w:rFonts w:ascii="Times New Roman" w:cs="Times New Roman" w:eastAsia="Times New Roman" w:hAnsi="Times New Roman"/>
          <w:sz w:val="18"/>
          <w:szCs w:val="18"/>
          <w:color w:val="auto"/>
        </w:rPr>
        <w:t>TABLE OF CONTENTS, Page 1 of 2</w:t>
      </w:r>
      <w:r>
        <w:rPr>
          <w:sz w:val="20"/>
          <w:szCs w:val="20"/>
          <w:color w:val="auto"/>
        </w:rPr>
        <w:tab/>
      </w:r>
      <w:r>
        <w:rPr>
          <w:rFonts w:ascii="Times New Roman" w:cs="Times New Roman" w:eastAsia="Times New Roman" w:hAnsi="Times New Roman"/>
          <w:sz w:val="17"/>
          <w:szCs w:val="17"/>
          <w:color w:val="auto"/>
        </w:rPr>
        <w:t>SA-5</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120"/>
          </w:cols>
          <w:pgMar w:left="340" w:top="1440" w:right="439" w:bottom="1440" w:gutter="0" w:footer="0" w:header="0"/>
        </w:sectPr>
      </w:pPr>
    </w:p>
    <w:bookmarkStart w:id="251" w:name="page252"/>
    <w:bookmarkEnd w:id="251"/>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4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TABLE OF CONTENTS, continued</w:t>
            </w:r>
          </w:p>
        </w:tc>
        <w:tc>
          <w:tcPr>
            <w:tcW w:w="180" w:type="dxa"/>
            <w:vAlign w:val="bottom"/>
          </w:tcPr>
          <w:p>
            <w:pPr>
              <w:spacing w:after="0"/>
              <w:rPr>
                <w:sz w:val="19"/>
                <w:szCs w:val="19"/>
                <w:color w:val="auto"/>
              </w:rPr>
            </w:pPr>
          </w:p>
        </w:tc>
      </w:tr>
      <w:tr>
        <w:trPr>
          <w:trHeight w:val="148"/>
        </w:trPr>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32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SA</w:t>
            </w:r>
          </w:p>
        </w:tc>
        <w:tc>
          <w:tcPr>
            <w:tcW w:w="180" w:type="dxa"/>
            <w:vAlign w:val="bottom"/>
          </w:tcPr>
          <w:p>
            <w:pPr>
              <w:spacing w:after="0"/>
              <w:rPr>
                <w:sz w:val="12"/>
                <w:szCs w:val="12"/>
                <w:color w:val="auto"/>
              </w:rPr>
            </w:pPr>
          </w:p>
        </w:tc>
      </w:tr>
      <w:tr>
        <w:trPr>
          <w:trHeight w:val="193"/>
        </w:trPr>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3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Borders>
              <w:bottom w:val="single" w:sz="8" w:color="auto"/>
            </w:tcBorders>
          </w:tcPr>
          <w:p>
            <w:pPr>
              <w:spacing w:after="0"/>
              <w:rPr>
                <w:sz w:val="16"/>
                <w:szCs w:val="16"/>
                <w:color w:val="auto"/>
              </w:rPr>
            </w:pPr>
          </w:p>
        </w:tc>
      </w:tr>
      <w:tr>
        <w:trPr>
          <w:trHeight w:val="175"/>
        </w:trPr>
        <w:tc>
          <w:tcPr>
            <w:tcW w:w="96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LETTER AGREEMENTS, continued</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353"/>
        </w:trPr>
        <w:tc>
          <w:tcPr>
            <w:tcW w:w="1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LA-1106661R2</w:t>
            </w:r>
          </w:p>
        </w:tc>
        <w:tc>
          <w:tcPr>
            <w:tcW w:w="12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LA-1106667</w:t>
            </w:r>
          </w:p>
        </w:tc>
        <w:tc>
          <w:tcPr>
            <w:tcW w:w="1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LA-1106668</w:t>
            </w:r>
          </w:p>
        </w:tc>
        <w:tc>
          <w:tcPr>
            <w:tcW w:w="1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LA-1106669</w:t>
            </w:r>
          </w:p>
        </w:tc>
        <w:tc>
          <w:tcPr>
            <w:tcW w:w="1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LA-1106670</w:t>
            </w:r>
          </w:p>
        </w:tc>
        <w:tc>
          <w:tcPr>
            <w:tcW w:w="9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Confidentiality</w:t>
            </w:r>
          </w:p>
        </w:tc>
        <w:tc>
          <w:tcPr>
            <w:tcW w:w="180" w:type="dxa"/>
            <w:vAlign w:val="bottom"/>
          </w:tcPr>
          <w:p>
            <w:pPr>
              <w:spacing w:after="0"/>
              <w:rPr>
                <w:sz w:val="19"/>
                <w:szCs w:val="19"/>
                <w:color w:val="auto"/>
              </w:rPr>
            </w:pPr>
          </w:p>
        </w:tc>
      </w:tr>
      <w:tr>
        <w:trPr>
          <w:trHeight w:val="22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LA-1106671R1</w:t>
            </w:r>
          </w:p>
        </w:tc>
        <w:tc>
          <w:tcPr>
            <w:tcW w:w="9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Miscellaneous Commitments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LA-1106672</w:t>
            </w:r>
          </w:p>
        </w:tc>
        <w:tc>
          <w:tcPr>
            <w:tcW w:w="1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LA-1106673R1*</w:t>
            </w:r>
          </w:p>
        </w:tc>
        <w:tc>
          <w:tcPr>
            <w:tcW w:w="9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CS1 Special Matters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LA-1106677</w:t>
            </w:r>
          </w:p>
        </w:tc>
        <w:tc>
          <w:tcPr>
            <w:tcW w:w="1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LA-1600073</w:t>
            </w:r>
          </w:p>
        </w:tc>
        <w:tc>
          <w:tcPr>
            <w:tcW w:w="1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8"/>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LA-1600852</w:t>
            </w:r>
          </w:p>
        </w:tc>
        <w:tc>
          <w:tcPr>
            <w:tcW w:w="1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38"/>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LA-1603773</w:t>
            </w:r>
          </w:p>
        </w:tc>
        <w:tc>
          <w:tcPr>
            <w:tcW w:w="1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593"/>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05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This is an intended gap as there are no Letter Agreements LA-1106674 through LA-1106676 incorporated by the Purchase Agreement.</w:t>
            </w:r>
          </w:p>
        </w:tc>
        <w:tc>
          <w:tcPr>
            <w:tcW w:w="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40"/>
        <w:spacing w:after="0"/>
        <w:tabs>
          <w:tab w:leader="none" w:pos="10200" w:val="left"/>
        </w:tabs>
        <w:rPr>
          <w:sz w:val="20"/>
          <w:szCs w:val="20"/>
          <w:color w:val="auto"/>
        </w:rPr>
      </w:pPr>
      <w:r>
        <w:rPr>
          <w:rFonts w:ascii="Times New Roman" w:cs="Times New Roman" w:eastAsia="Times New Roman" w:hAnsi="Times New Roman"/>
          <w:sz w:val="18"/>
          <w:szCs w:val="18"/>
          <w:color w:val="auto"/>
        </w:rPr>
        <w:t>TABLE OF CONTENTS, Page 2 of 2</w:t>
      </w:r>
      <w:r>
        <w:rPr>
          <w:sz w:val="20"/>
          <w:szCs w:val="20"/>
          <w:color w:val="auto"/>
        </w:rPr>
        <w:tab/>
      </w:r>
      <w:r>
        <w:rPr>
          <w:rFonts w:ascii="Times New Roman" w:cs="Times New Roman" w:eastAsia="Times New Roman" w:hAnsi="Times New Roman"/>
          <w:sz w:val="17"/>
          <w:szCs w:val="17"/>
          <w:color w:val="auto"/>
        </w:rPr>
        <w:t>SA-5</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120"/>
          </w:cols>
          <w:pgMar w:left="340" w:top="1440" w:right="439" w:bottom="1440" w:gutter="0" w:footer="0" w:header="0"/>
        </w:sectPr>
      </w:pPr>
    </w:p>
    <w:bookmarkStart w:id="252" w:name="page253"/>
    <w:bookmarkEnd w:id="2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1339215</wp:posOffset>
            </wp:positionV>
            <wp:extent cx="1626870" cy="419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570">
                      <a:clrChange>
                        <a:clrFrom>
                          <a:srgbClr val="FFFFFF"/>
                        </a:clrFrom>
                        <a:clrTo>
                          <a:srgbClr val="FFFFFF">
                            <a:alpha val="0"/>
                          </a:srgbClr>
                        </a:clrTo>
                      </a:clrChange>
                      <a:extLst>
                        <a:ext uri="{28A0092B-C50C-407E-A947-70E740481C1C}"/>
                      </a:extLst>
                    </a:blip>
                    <a:srcRect/>
                    <a:stretch>
                      <a:fillRect/>
                    </a:stretch>
                  </pic:blipFill>
                  <pic:spPr bwMode="auto">
                    <a:xfrm>
                      <a:off x="0" y="0"/>
                      <a:ext cx="162687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The Boeing Company</w:t>
      </w:r>
    </w:p>
    <w:p>
      <w:pPr>
        <w:ind w:left="8440"/>
        <w:spacing w:after="0" w:line="218" w:lineRule="auto"/>
        <w:rPr>
          <w:sz w:val="20"/>
          <w:szCs w:val="20"/>
          <w:color w:val="auto"/>
        </w:rPr>
      </w:pPr>
      <w:r>
        <w:rPr>
          <w:rFonts w:ascii="Times New Roman" w:cs="Times New Roman" w:eastAsia="Times New Roman" w:hAnsi="Times New Roman"/>
          <w:sz w:val="18"/>
          <w:szCs w:val="18"/>
          <w:color w:val="auto"/>
        </w:rPr>
        <w:t>P.O. Box 3707</w:t>
      </w:r>
    </w:p>
    <w:p>
      <w:pPr>
        <w:spacing w:after="0" w:line="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7"/>
          <w:szCs w:val="17"/>
          <w:color w:val="auto"/>
        </w:rPr>
        <w:t>Seattle, WA 98124-2207</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AAL-PA-03735-LA-1600852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619616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Dallas-Fort Worth Airport, Texas 75261-9616</w:t>
      </w:r>
    </w:p>
    <w:p>
      <w:pPr>
        <w:sectPr>
          <w:pgSz w:w="11900" w:h="16838" w:orient="portrait"/>
          <w:cols w:equalWidth="0" w:num="1">
            <w:col w:w="11220"/>
          </w:cols>
          <w:pgMar w:left="320" w:top="1440" w:right="359" w:bottom="1440" w:gutter="0" w:footer="0" w:header="0"/>
        </w:sectPr>
      </w:pP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Subject: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660" w:space="720"/>
            <w:col w:w="9840"/>
          </w:cols>
          <w:pgMar w:left="320" w:top="1440" w:right="359" w:bottom="1440" w:gutter="0" w:footer="0" w:header="0"/>
          <w:type w:val="continuous"/>
        </w:sectPr>
      </w:pP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Reference: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right="780"/>
        <w:spacing w:after="0" w:line="255" w:lineRule="auto"/>
        <w:rPr>
          <w:sz w:val="20"/>
          <w:szCs w:val="20"/>
          <w:color w:val="auto"/>
        </w:rPr>
      </w:pPr>
      <w:r>
        <w:rPr>
          <w:rFonts w:ascii="Times New Roman" w:cs="Times New Roman" w:eastAsia="Times New Roman" w:hAnsi="Times New Roman"/>
          <w:sz w:val="18"/>
          <w:szCs w:val="18"/>
          <w:color w:val="auto"/>
        </w:rPr>
        <w:t>Purchase Agreement No. 03735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between The Boeing Company (</w:t>
      </w:r>
      <w:r>
        <w:rPr>
          <w:rFonts w:ascii="Times New Roman" w:cs="Times New Roman" w:eastAsia="Times New Roman" w:hAnsi="Times New Roman"/>
          <w:sz w:val="18"/>
          <w:szCs w:val="18"/>
          <w:b w:val="1"/>
          <w:bCs w:val="1"/>
          <w:color w:val="auto"/>
        </w:rPr>
        <w:t>Boeing</w:t>
      </w:r>
      <w:r>
        <w:rPr>
          <w:rFonts w:ascii="Times New Roman" w:cs="Times New Roman" w:eastAsia="Times New Roman" w:hAnsi="Times New Roman"/>
          <w:sz w:val="18"/>
          <w:szCs w:val="18"/>
          <w:color w:val="auto"/>
        </w:rPr>
        <w:t>) and American Airlines, Inc.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relating to Model 737-8 MAX aircraft (</w:t>
      </w:r>
      <w:r>
        <w:rPr>
          <w:rFonts w:ascii="Times New Roman" w:cs="Times New Roman" w:eastAsia="Times New Roman" w:hAnsi="Times New Roman"/>
          <w:sz w:val="18"/>
          <w:szCs w:val="18"/>
          <w:b w:val="1"/>
          <w:bCs w:val="1"/>
          <w:color w:val="auto"/>
        </w:rPr>
        <w:t>Aircraft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800" w:space="580"/>
            <w:col w:w="9840"/>
          </w:cols>
          <w:pgMar w:left="320" w:top="1440" w:right="359" w:bottom="1440" w:gutter="0" w:footer="0" w:header="0"/>
          <w:type w:val="continuous"/>
        </w:sectPr>
      </w:pPr>
    </w:p>
    <w:p>
      <w:pPr>
        <w:spacing w:after="0" w:line="7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This letter agreement (</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is entered into on the date below and amends and supplements the Purchase Agreement referenced above. All capitalized terms used in but not otherwise defined in this Letter Agreement shall have the same meaning as in the Purchase Agreement.</w:t>
      </w:r>
    </w:p>
    <w:p>
      <w:pPr>
        <w:spacing w:after="0" w:line="15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Customer has [****] that Boeing [****] in the Aircraft certain [****] which is more fully described in the options listed in Attachment A to this Letter Agreement (collectively referred to as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 accordance with the terms and conditions of this Letter Agreement. [****] that is identified in the Detail Specification for the Aircraft is [****] that Boeing is [****] in accordance with Section 2 below, but is otherwise [****] for purposes of the Purchase Agreement.</w:t>
      </w:r>
    </w:p>
    <w:p>
      <w:pPr>
        <w:spacing w:after="0" w:line="182"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 during the [****] and manufacture of the Aircraft to [****] at the time of delivery of the Aircraft. To achieve this, Boeing and Customer will [****] in a manner consistent with (i) the terms and conditions [****]; and (ii) [****].</w:t>
      </w:r>
    </w:p>
    <w:p>
      <w:pPr>
        <w:spacing w:after="0" w:line="149" w:lineRule="exact"/>
        <w:rPr>
          <w:sz w:val="20"/>
          <w:szCs w:val="20"/>
          <w:color w:val="auto"/>
        </w:rPr>
      </w:pPr>
    </w:p>
    <w:p>
      <w:pPr>
        <w:ind w:left="480" w:hanging="454"/>
        <w:spacing w:after="0"/>
        <w:tabs>
          <w:tab w:leader="none" w:pos="4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Customer Responsibilities</w:t>
      </w:r>
      <w:r>
        <w:rPr>
          <w:rFonts w:ascii="Times New Roman" w:cs="Times New Roman" w:eastAsia="Times New Roman" w:hAnsi="Times New Roman"/>
          <w:sz w:val="18"/>
          <w:szCs w:val="18"/>
          <w:color w:val="auto"/>
        </w:rPr>
        <w: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Customer has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Customer will provide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Customer will [****]. Such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 specify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1.3.2 specify that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1.3.3 specify the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 require [****]; and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 require [****].</w:t>
      </w:r>
    </w:p>
    <w:p>
      <w:pPr>
        <w:sectPr>
          <w:pgSz w:w="11900" w:h="16838" w:orient="portrait"/>
          <w:cols w:equalWidth="0" w:num="1">
            <w:col w:w="1122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AAL-PA-03735-LA-1600852</w:t>
      </w: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 Page 1</w:t>
      </w:r>
    </w:p>
    <w:p>
      <w:pPr>
        <w:spacing w:after="0" w:line="406" w:lineRule="exact"/>
        <w:rPr>
          <w:sz w:val="20"/>
          <w:szCs w:val="20"/>
          <w:color w:val="auto"/>
        </w:rPr>
      </w:pPr>
    </w:p>
    <w:p>
      <w:pPr>
        <w:sectPr>
          <w:pgSz w:w="11900" w:h="16838" w:orient="portrait"/>
          <w:cols w:equalWidth="0" w:num="2">
            <w:col w:w="9740" w:space="720"/>
            <w:col w:w="760"/>
          </w:cols>
          <w:pgMar w:left="320" w:top="1440" w:right="359" w:bottom="1440" w:gutter="0" w:footer="0" w:header="0"/>
          <w:type w:val="continuous"/>
        </w:sectPr>
      </w:pP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BOEING PROPRIETARY</w:t>
      </w:r>
    </w:p>
    <w:p>
      <w:pPr>
        <w:sectPr>
          <w:pgSz w:w="11900" w:h="16838" w:orient="portrait"/>
          <w:cols w:equalWidth="0" w:num="1">
            <w:col w:w="11220"/>
          </w:cols>
          <w:pgMar w:left="320" w:top="1440" w:right="359" w:bottom="1440" w:gutter="0" w:footer="0" w:header="0"/>
          <w:type w:val="continuous"/>
        </w:sectPr>
      </w:pPr>
    </w:p>
    <w:bookmarkStart w:id="253" w:name="page254"/>
    <w:bookmarkEnd w:id="2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1322070</wp:posOffset>
            </wp:positionV>
            <wp:extent cx="1626870" cy="419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571">
                      <a:clrChange>
                        <a:clrFrom>
                          <a:srgbClr val="FFFFFF"/>
                        </a:clrFrom>
                        <a:clrTo>
                          <a:srgbClr val="FFFFFF">
                            <a:alpha val="0"/>
                          </a:srgbClr>
                        </a:clrTo>
                      </a:clrChange>
                      <a:extLst>
                        <a:ext uri="{28A0092B-C50C-407E-A947-70E740481C1C}"/>
                      </a:extLst>
                    </a:blip>
                    <a:srcRect/>
                    <a:stretch>
                      <a:fillRect/>
                    </a:stretch>
                  </pic:blipFill>
                  <pic:spPr bwMode="auto">
                    <a:xfrm>
                      <a:off x="0" y="0"/>
                      <a:ext cx="162687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0" w:hanging="454"/>
        <w:spacing w:after="0"/>
        <w:tabs>
          <w:tab w:leader="none" w:pos="4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Boeing Responsibilities</w:t>
      </w:r>
      <w:r>
        <w:rPr>
          <w:rFonts w:ascii="Times New Roman" w:cs="Times New Roman" w:eastAsia="Times New Roman" w:hAnsi="Times New Roman"/>
          <w:sz w:val="18"/>
          <w:szCs w:val="18"/>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Boeing shall: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 perform the [****] described in Attachment B to this Letter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assist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2.1.3 approve the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 place, [****] and which shall also include a statement that [****]; additionally the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2.1.5 notify Customer as soon as possible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2.1.6 manage all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2.1.7 coordinate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2.1.8 provide Aircraft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2.1.9 ensure that the [****];</w:t>
      </w:r>
    </w:p>
    <w:p>
      <w:pPr>
        <w:spacing w:after="0" w:line="17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2.1.10 [****] in the Aircraft, in accordance with the terms and conditions of the Purchase Agreement (including, without limitation, the [****]) the [****] identified in Section 3.1 of this Letter Agreement;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2.1.11 ensure that at the time of Aircraft delivery, the [****] referenced in Attachment A to this Letter Agreement;</w:t>
      </w:r>
    </w:p>
    <w:p>
      <w:pPr>
        <w:spacing w:after="0" w:line="17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2.1.12 if necessary, and upon request of Customer, use commercially [****] to assist Customer in causing [****] under the [****] with the objective of delivery of the Aircraft on the delivery date (that is scheduled in accordance with Section 6.1 of the AGTA) with [****] in the Aircraft and certified by the FAA; and</w:t>
      </w:r>
    </w:p>
    <w:p>
      <w:pPr>
        <w:spacing w:after="0" w:line="123"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2.1.13 prior to delivery of the applicable Aircraft, obtain [****] of the Aircraft with [****], including the [****] identified in Section 3.1 of this Letter Agreement.</w:t>
      </w:r>
    </w:p>
    <w:p>
      <w:pPr>
        <w:spacing w:after="0" w:line="149" w:lineRule="exact"/>
        <w:rPr>
          <w:sz w:val="20"/>
          <w:szCs w:val="20"/>
          <w:color w:val="auto"/>
        </w:rPr>
      </w:pPr>
    </w:p>
    <w:p>
      <w:pPr>
        <w:ind w:left="480" w:hanging="454"/>
        <w:spacing w:after="0"/>
        <w:tabs>
          <w:tab w:leader="none" w:pos="4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 may contain [****] of the following two (2) types: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The [****] required to [****] on the Aircraft is the [****] and is part of the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Customer’s [****</w:t>
      </w:r>
      <w:r>
        <w:rPr>
          <w:rFonts w:ascii="Times New Roman" w:cs="Times New Roman" w:eastAsia="Times New Roman" w:hAnsi="Times New Roman"/>
          <w:sz w:val="18"/>
          <w:szCs w:val="18"/>
          <w:color w:val="auto"/>
        </w:rPr>
        <w:t>]. The [****] to the Aircraft [****] and is not part of the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 As between Customer and Boeing, Customer is solely responsible for specifying the [****] and ensuring that Customer’s [****] meets such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and the [****] Customer’s [****] will have total responsibility for the [****] of any of Customer’s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10440" w:val="left"/>
        </w:tabs>
        <w:rPr>
          <w:sz w:val="20"/>
          <w:szCs w:val="20"/>
          <w:color w:val="auto"/>
        </w:rPr>
      </w:pPr>
      <w:r>
        <w:rPr>
          <w:rFonts w:ascii="Times New Roman" w:cs="Times New Roman" w:eastAsia="Times New Roman" w:hAnsi="Times New Roman"/>
          <w:sz w:val="18"/>
          <w:szCs w:val="18"/>
          <w:color w:val="auto"/>
        </w:rPr>
        <w:t>AAL-PA-03735-LA-1600852</w:t>
      </w:r>
      <w:r>
        <w:rPr>
          <w:sz w:val="20"/>
          <w:szCs w:val="20"/>
          <w:color w:val="auto"/>
        </w:rPr>
        <w:tab/>
      </w:r>
      <w:r>
        <w:rPr>
          <w:rFonts w:ascii="Times New Roman" w:cs="Times New Roman" w:eastAsia="Times New Roman" w:hAnsi="Times New Roman"/>
          <w:sz w:val="17"/>
          <w:szCs w:val="17"/>
          <w:color w:val="auto"/>
        </w:rPr>
        <w:t>LA Page 2</w:t>
      </w:r>
    </w:p>
    <w:p>
      <w:pPr>
        <w:ind w:left="2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20"/>
          </w:cols>
          <w:pgMar w:left="320" w:top="1440" w:right="3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BOEING PROPRIETARY</w:t>
      </w:r>
    </w:p>
    <w:p>
      <w:pPr>
        <w:sectPr>
          <w:pgSz w:w="11900" w:h="16838" w:orient="portrait"/>
          <w:cols w:equalWidth="0" w:num="1">
            <w:col w:w="11220"/>
          </w:cols>
          <w:pgMar w:left="320" w:top="1440" w:right="359" w:bottom="1440" w:gutter="0" w:footer="0" w:header="0"/>
          <w:type w:val="continuous"/>
        </w:sectPr>
      </w:pPr>
    </w:p>
    <w:bookmarkStart w:id="254" w:name="page255"/>
    <w:bookmarkEnd w:id="2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1322070</wp:posOffset>
            </wp:positionV>
            <wp:extent cx="1626870" cy="419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572">
                      <a:clrChange>
                        <a:clrFrom>
                          <a:srgbClr val="FFFFFF"/>
                        </a:clrFrom>
                        <a:clrTo>
                          <a:srgbClr val="FFFFFF">
                            <a:alpha val="0"/>
                          </a:srgbClr>
                        </a:clrTo>
                      </a:clrChange>
                      <a:extLst>
                        <a:ext uri="{28A0092B-C50C-407E-A947-70E740481C1C}"/>
                      </a:extLst>
                    </a:blip>
                    <a:srcRect/>
                    <a:stretch>
                      <a:fillRect/>
                    </a:stretch>
                  </pic:blipFill>
                  <pic:spPr bwMode="auto">
                    <a:xfrm>
                      <a:off x="0" y="0"/>
                      <a:ext cx="162687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3.2.2 The [****] of any Customer’s [****] or the lack of any [****] will not be a valid condition for Customer’s [****] at the time of Aircraft delivery.</w:t>
      </w:r>
    </w:p>
    <w:p>
      <w:pPr>
        <w:spacing w:after="0" w:line="17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3.2.3 Boeing has no [****] to support Customer’s [****]. Boeing will only [****] if in Boeing’s reasonable opinion such [****] is necessary to [****] on the Aircraft.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3.2.4 Boeing shall not be responsible for [****] for Customer’s [****].</w:t>
      </w:r>
    </w:p>
    <w:p>
      <w:pPr>
        <w:spacing w:after="0" w:line="211" w:lineRule="exact"/>
        <w:rPr>
          <w:sz w:val="20"/>
          <w:szCs w:val="20"/>
          <w:color w:val="auto"/>
        </w:rPr>
      </w:pPr>
    </w:p>
    <w:p>
      <w:pPr>
        <w:ind w:left="480" w:hanging="454"/>
        <w:spacing w:after="0"/>
        <w:tabs>
          <w:tab w:leader="none" w:pos="4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w:t>
      </w:r>
      <w:r>
        <w:rPr>
          <w:rFonts w:ascii="Times New Roman" w:cs="Times New Roman" w:eastAsia="Times New Roman" w:hAnsi="Times New Roman"/>
          <w:sz w:val="18"/>
          <w:szCs w:val="18"/>
          <w:color w:val="auto"/>
        </w:rPr>
        <w:t>.</w:t>
      </w:r>
    </w:p>
    <w:p>
      <w:pPr>
        <w:spacing w:after="0" w:line="25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4.1 Customer and [****] may change the [****] of Boeing. Customer may [****] at any time, and Boeing shall [****] in a timely manner. Any [****] that Boeing gives to a [****] shall be subject to [****] through Boeing’s [****] of the Purchase Agreement.</w:t>
      </w:r>
    </w:p>
    <w:p>
      <w:pPr>
        <w:spacing w:after="0" w:line="16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4.2 Boeing and Customer recognize that the [****] nature of the [****] in order to ensure (i) [****] with the Aircraft and all [****], and (ii) [****] of the Aircraft with the [****] therein. In such event, Boeing will notify Customer and [****]. If, within [****] as may be mutually agreed in writing) after such notification, (i) Customer and Boeing [****] or [****] and (ii) so long as Boeing has [****] with Customer to [****], then any [****] in delivery of the Aircraft will be [****] and [****]. The [****] of any mutually agreed [****] may result in Boeing [****] contained in Attachment A to this Letter Agreement.</w:t>
      </w:r>
    </w:p>
    <w:p>
      <w:pPr>
        <w:spacing w:after="0" w:line="18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4.3 Boeing’s [****] of the Aircraft as it relates to [****] as described in the options listed in Attachment A to this Letter Agreement, as such Attachment A may be amended from time to time.</w:t>
      </w:r>
    </w:p>
    <w:p>
      <w:pPr>
        <w:spacing w:after="0" w:line="149" w:lineRule="exact"/>
        <w:rPr>
          <w:sz w:val="20"/>
          <w:szCs w:val="20"/>
          <w:color w:val="auto"/>
        </w:rPr>
      </w:pPr>
    </w:p>
    <w:p>
      <w:pPr>
        <w:ind w:left="480" w:hanging="454"/>
        <w:spacing w:after="0"/>
        <w:tabs>
          <w:tab w:leader="none" w:pos="4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Boeing and Customer agree to follow the sequential steps identified in this Section 5 to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5.1.1 Boeing shall [****] with Boeing.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5.1.2 Within [****] Boeing and Customer shall [****] or other course of action.</w:t>
      </w:r>
    </w:p>
    <w:p>
      <w:pPr>
        <w:spacing w:after="0" w:line="225"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5.2 If Boeing and Customer are [****] on an alternate [****] or course of action within such time, the [****] to Boeing in Section 8 of this Letter Agreement shall apply.</w:t>
      </w:r>
    </w:p>
    <w:p>
      <w:pPr>
        <w:spacing w:after="0" w:line="149" w:lineRule="exact"/>
        <w:rPr>
          <w:sz w:val="20"/>
          <w:szCs w:val="20"/>
          <w:color w:val="auto"/>
        </w:rPr>
      </w:pPr>
    </w:p>
    <w:p>
      <w:pPr>
        <w:ind w:left="480" w:hanging="454"/>
        <w:spacing w:after="0"/>
        <w:tabs>
          <w:tab w:leader="none" w:pos="4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Proprietary Rights</w:t>
      </w:r>
      <w:r>
        <w:rPr>
          <w:rFonts w:ascii="Times New Roman" w:cs="Times New Roman" w:eastAsia="Times New Roman" w:hAnsi="Times New Roman"/>
          <w:sz w:val="18"/>
          <w:szCs w:val="18"/>
          <w:color w:val="auto"/>
        </w:rPr>
        <w: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Boeing’s [****] for the [****] will not impose upon Boeing any [****] Customer may have in the [****].</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AAL-PA-03735-LA-1600852</w:t>
      </w: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 Page 3</w:t>
      </w:r>
    </w:p>
    <w:p>
      <w:pPr>
        <w:spacing w:after="0" w:line="406" w:lineRule="exact"/>
        <w:rPr>
          <w:sz w:val="20"/>
          <w:szCs w:val="20"/>
          <w:color w:val="auto"/>
        </w:rPr>
      </w:pPr>
    </w:p>
    <w:p>
      <w:pPr>
        <w:sectPr>
          <w:pgSz w:w="11900" w:h="16838" w:orient="portrait"/>
          <w:cols w:equalWidth="0" w:num="2">
            <w:col w:w="9740" w:space="720"/>
            <w:col w:w="760"/>
          </w:cols>
          <w:pgMar w:left="320" w:top="1440" w:right="359" w:bottom="1440" w:gutter="0" w:footer="0" w:header="0"/>
          <w:type w:val="continuous"/>
        </w:sectPr>
      </w:pP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BOEING PROPRIETARY</w:t>
      </w:r>
    </w:p>
    <w:p>
      <w:pPr>
        <w:sectPr>
          <w:pgSz w:w="11900" w:h="16838" w:orient="portrait"/>
          <w:cols w:equalWidth="0" w:num="1">
            <w:col w:w="11220"/>
          </w:cols>
          <w:pgMar w:left="320" w:top="1440" w:right="359" w:bottom="1440" w:gutter="0" w:footer="0" w:header="0"/>
          <w:type w:val="continuous"/>
        </w:sectPr>
      </w:pPr>
    </w:p>
    <w:bookmarkStart w:id="255" w:name="page256"/>
    <w:bookmarkEnd w:id="2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1322070</wp:posOffset>
            </wp:positionV>
            <wp:extent cx="1626870" cy="419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573">
                      <a:clrChange>
                        <a:clrFrom>
                          <a:srgbClr val="FFFFFF"/>
                        </a:clrFrom>
                        <a:clrTo>
                          <a:srgbClr val="FFFFFF">
                            <a:alpha val="0"/>
                          </a:srgbClr>
                        </a:clrTo>
                      </a:clrChange>
                      <a:extLst>
                        <a:ext uri="{28A0092B-C50C-407E-A947-70E740481C1C}"/>
                      </a:extLst>
                    </a:blip>
                    <a:srcRect/>
                    <a:stretch>
                      <a:fillRect/>
                    </a:stretch>
                  </pic:blipFill>
                  <pic:spPr bwMode="auto">
                    <a:xfrm>
                      <a:off x="0" y="0"/>
                      <a:ext cx="162687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0" w:hanging="454"/>
        <w:spacing w:after="0"/>
        <w:tabs>
          <w:tab w:leader="none" w:pos="4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 B and C to the AGTA</w:t>
      </w:r>
      <w:r>
        <w:rPr>
          <w:rFonts w:ascii="Times New Roman" w:cs="Times New Roman" w:eastAsia="Times New Roman" w:hAnsi="Times New Roman"/>
          <w:sz w:val="18"/>
          <w:szCs w:val="18"/>
          <w:color w:val="auto"/>
        </w:rPr>
        <w:t>.</w:t>
      </w:r>
    </w:p>
    <w:p>
      <w:pPr>
        <w:spacing w:after="0" w:line="251"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 is deemed to be BFE for the purposes of Exhibit B to the AGTA, entitled “</w:t>
      </w:r>
      <w:r>
        <w:rPr>
          <w:rFonts w:ascii="Times New Roman" w:cs="Times New Roman" w:eastAsia="Times New Roman" w:hAnsi="Times New Roman"/>
          <w:sz w:val="18"/>
          <w:szCs w:val="18"/>
          <w:u w:val="single" w:color="auto"/>
          <w:color w:val="auto"/>
        </w:rPr>
        <w:t>Customer Support Document</w:t>
      </w:r>
      <w:r>
        <w:rPr>
          <w:rFonts w:ascii="Times New Roman" w:cs="Times New Roman" w:eastAsia="Times New Roman" w:hAnsi="Times New Roman"/>
          <w:sz w:val="18"/>
          <w:szCs w:val="18"/>
          <w:color w:val="auto"/>
        </w:rPr>
        <w:t>”, and Exhibit C to the AGTA, entitled “</w:t>
      </w:r>
      <w:r>
        <w:rPr>
          <w:rFonts w:ascii="Times New Roman" w:cs="Times New Roman" w:eastAsia="Times New Roman" w:hAnsi="Times New Roman"/>
          <w:sz w:val="18"/>
          <w:szCs w:val="18"/>
          <w:u w:val="single" w:color="auto"/>
          <w:color w:val="auto"/>
        </w:rPr>
        <w:t>Product Assurance Document</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480" w:hanging="454"/>
        <w:spacing w:after="0"/>
        <w:tabs>
          <w:tab w:leader="none" w:pos="4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Boeing [****</w:t>
      </w:r>
      <w:r>
        <w:rPr>
          <w:rFonts w:ascii="Times New Roman" w:cs="Times New Roman" w:eastAsia="Times New Roman" w:hAnsi="Times New Roman"/>
          <w:sz w:val="18"/>
          <w:szCs w:val="18"/>
          <w:color w:val="auto"/>
        </w:rPr>
        <w:t>].</w:t>
      </w:r>
    </w:p>
    <w:p>
      <w:pPr>
        <w:spacing w:after="0" w:line="265"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8.1 If Customer [****] as provided in this Letter Agreement or if [****] (for any reason [****] under the purchase order terms) to [****] in accordance with the [****], then, in addition to [****], Boeing will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8.1.1 [****] and</w:t>
      </w:r>
    </w:p>
    <w:p>
      <w:pPr>
        <w:spacing w:after="0" w:line="22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color w:val="auto"/>
        </w:rPr>
        <w:t>8.1.1.1 if the [****] to Section 5.1 of the Exhibit A to the AGTA entitled “Buyer Furnished Equipment Provisions Document” (</w:t>
      </w:r>
      <w:r>
        <w:rPr>
          <w:rFonts w:ascii="Times New Roman" w:cs="Times New Roman" w:eastAsia="Times New Roman" w:hAnsi="Times New Roman"/>
          <w:sz w:val="18"/>
          <w:szCs w:val="18"/>
          <w:b w:val="1"/>
          <w:bCs w:val="1"/>
          <w:color w:val="auto"/>
        </w:rPr>
        <w:t>AGTA Exhibit A BFE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Provisions Document</w:t>
      </w:r>
      <w:r>
        <w:rPr>
          <w:rFonts w:ascii="Times New Roman" w:cs="Times New Roman" w:eastAsia="Times New Roman" w:hAnsi="Times New Roman"/>
          <w:sz w:val="18"/>
          <w:szCs w:val="18"/>
          <w:color w:val="auto"/>
        </w:rPr>
        <w:t>), then the provisions of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8.1.1.2 if the [****] pursuant to Section 5.2 of the AGTA Exhibit A BFE Provisions Document, then Boeing will [****];</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8.1.2 [****]; and/or</w:t>
      </w:r>
    </w:p>
    <w:p>
      <w:pPr>
        <w:spacing w:after="0" w:line="17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8.1.3 [****] by the amount of Boeing’s [****], including but not limited to, (i) [****] by Boeing, (ii) any [****] in accordance with [****] as established by Boeing and agreed to by the [****]; and (iii) [****] and [****] from any applicable [****].</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 Boeing will use [****] described in Section 8.1.3. Notwithstanding the last clause of 8.1.3, Boeing has no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 If Boeing [****] set forth herein, then any [****] of the Aircraft, to the [****], will be the [****] of Boeing.</w:t>
      </w:r>
    </w:p>
    <w:p>
      <w:pPr>
        <w:spacing w:after="0" w:line="211" w:lineRule="exact"/>
        <w:rPr>
          <w:sz w:val="20"/>
          <w:szCs w:val="20"/>
          <w:color w:val="auto"/>
        </w:rPr>
      </w:pPr>
    </w:p>
    <w:p>
      <w:pPr>
        <w:ind w:left="480" w:hanging="454"/>
        <w:spacing w:after="0"/>
        <w:tabs>
          <w:tab w:leader="none" w:pos="4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6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u w:val="single" w:color="auto"/>
          <w:color w:val="auto"/>
        </w:rPr>
        <w:t>Estimated [****]</w:t>
      </w:r>
      <w:r>
        <w:rPr>
          <w:rFonts w:ascii="Times New Roman" w:cs="Times New Roman" w:eastAsia="Times New Roman" w:hAnsi="Times New Roman"/>
          <w:sz w:val="18"/>
          <w:szCs w:val="18"/>
          <w:color w:val="auto"/>
        </w:rPr>
        <w:t>. An [****] by Boeing has been included in the Aircraft [****] to establish the [****] for each Aircraft. The [****] in Table 1(R1) will be adjusted at time of execution of Supplemental Agreement SA-5 to [****].</w:t>
      </w:r>
    </w:p>
    <w:p>
      <w:pPr>
        <w:spacing w:after="0" w:line="149" w:lineRule="exact"/>
        <w:rPr>
          <w:sz w:val="20"/>
          <w:szCs w:val="20"/>
          <w:color w:val="auto"/>
        </w:rPr>
      </w:pPr>
    </w:p>
    <w:p>
      <w:pPr>
        <w:ind w:left="480" w:hanging="454"/>
        <w:spacing w:after="0"/>
        <w:tabs>
          <w:tab w:leader="none" w:pos="4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will at all times [****] with Customer [****] and Boeing will have [****] have, but will not be [****].</w:t>
      </w:r>
    </w:p>
    <w:p>
      <w:pPr>
        <w:spacing w:after="0" w:line="211" w:lineRule="exact"/>
        <w:rPr>
          <w:sz w:val="20"/>
          <w:szCs w:val="20"/>
          <w:color w:val="auto"/>
        </w:rPr>
      </w:pPr>
    </w:p>
    <w:p>
      <w:pPr>
        <w:ind w:left="480" w:hanging="454"/>
        <w:spacing w:after="0"/>
        <w:tabs>
          <w:tab w:leader="none" w:pos="4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Treatment.</w:t>
      </w:r>
    </w:p>
    <w:p>
      <w:pPr>
        <w:spacing w:after="0" w:line="26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Customer understands and agrees that 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AAL-PA-03735-LA-1600852</w:t>
      </w: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 Page 4</w:t>
      </w:r>
    </w:p>
    <w:p>
      <w:pPr>
        <w:spacing w:after="0" w:line="406" w:lineRule="exact"/>
        <w:rPr>
          <w:sz w:val="20"/>
          <w:szCs w:val="20"/>
          <w:color w:val="auto"/>
        </w:rPr>
      </w:pPr>
    </w:p>
    <w:p>
      <w:pPr>
        <w:sectPr>
          <w:pgSz w:w="11900" w:h="16838" w:orient="portrait"/>
          <w:cols w:equalWidth="0" w:num="2">
            <w:col w:w="9740" w:space="720"/>
            <w:col w:w="760"/>
          </w:cols>
          <w:pgMar w:left="320" w:top="1440" w:right="359" w:bottom="1440" w:gutter="0" w:footer="0" w:header="0"/>
          <w:type w:val="continuous"/>
        </w:sectPr>
      </w:pP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BOEING PROPRIETARY</w:t>
      </w:r>
    </w:p>
    <w:p>
      <w:pPr>
        <w:sectPr>
          <w:pgSz w:w="11900" w:h="16838" w:orient="portrait"/>
          <w:cols w:equalWidth="0" w:num="1">
            <w:col w:w="11220"/>
          </w:cols>
          <w:pgMar w:left="320" w:top="1440" w:right="359" w:bottom="1440" w:gutter="0" w:footer="0" w:header="0"/>
          <w:type w:val="continuous"/>
        </w:sectPr>
      </w:pPr>
    </w:p>
    <w:bookmarkStart w:id="256" w:name="page257"/>
    <w:bookmarkEnd w:id="2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1322070</wp:posOffset>
            </wp:positionV>
            <wp:extent cx="1626870" cy="419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574">
                      <a:clrChange>
                        <a:clrFrom>
                          <a:srgbClr val="FFFFFF"/>
                        </a:clrFrom>
                        <a:clrTo>
                          <a:srgbClr val="FFFFFF">
                            <a:alpha val="0"/>
                          </a:srgbClr>
                        </a:clrTo>
                      </a:clrChange>
                      <a:extLst>
                        <a:ext uri="{28A0092B-C50C-407E-A947-70E740481C1C}"/>
                      </a:extLst>
                    </a:blip>
                    <a:srcRect/>
                    <a:stretch>
                      <a:fillRect/>
                    </a:stretch>
                  </pic:blipFill>
                  <pic:spPr bwMode="auto">
                    <a:xfrm>
                      <a:off x="0" y="0"/>
                      <a:ext cx="162687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0420" w:val="left"/>
        </w:tabs>
        <w:rPr>
          <w:sz w:val="20"/>
          <w:szCs w:val="20"/>
          <w:color w:val="auto"/>
        </w:rPr>
      </w:pPr>
      <w:r>
        <w:rPr>
          <w:rFonts w:ascii="Times New Roman" w:cs="Times New Roman" w:eastAsia="Times New Roman" w:hAnsi="Times New Roman"/>
          <w:sz w:val="18"/>
          <w:szCs w:val="18"/>
          <w:color w:val="auto"/>
        </w:rPr>
        <w:t>AAL-PA-03735-LA-1600852</w:t>
      </w:r>
      <w:r>
        <w:rPr>
          <w:sz w:val="20"/>
          <w:szCs w:val="20"/>
          <w:color w:val="auto"/>
        </w:rPr>
        <w:tab/>
      </w:r>
      <w:r>
        <w:rPr>
          <w:rFonts w:ascii="Times New Roman" w:cs="Times New Roman" w:eastAsia="Times New Roman" w:hAnsi="Times New Roman"/>
          <w:sz w:val="17"/>
          <w:szCs w:val="17"/>
          <w:color w:val="auto"/>
        </w:rPr>
        <w:t>LA Page 5</w:t>
      </w: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00"/>
          </w:cols>
          <w:pgMar w:left="340" w:top="1440" w:right="35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BOEING PROPRIETARY</w:t>
      </w:r>
    </w:p>
    <w:p>
      <w:pPr>
        <w:sectPr>
          <w:pgSz w:w="11900" w:h="16838" w:orient="portrait"/>
          <w:cols w:equalWidth="0" w:num="1">
            <w:col w:w="11200"/>
          </w:cols>
          <w:pgMar w:left="340" w:top="1440" w:right="359" w:bottom="1440" w:gutter="0" w:footer="0" w:header="0"/>
          <w:type w:val="continuous"/>
        </w:sectPr>
      </w:pPr>
    </w:p>
    <w:bookmarkStart w:id="257" w:name="page258"/>
    <w:bookmarkEnd w:id="2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1322070</wp:posOffset>
            </wp:positionV>
            <wp:extent cx="1626870" cy="419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575">
                      <a:clrChange>
                        <a:clrFrom>
                          <a:srgbClr val="FFFFFF"/>
                        </a:clrFrom>
                        <a:clrTo>
                          <a:srgbClr val="FFFFFF">
                            <a:alpha val="0"/>
                          </a:srgbClr>
                        </a:clrTo>
                      </a:clrChange>
                      <a:extLst>
                        <a:ext uri="{28A0092B-C50C-407E-A947-70E740481C1C}"/>
                      </a:extLst>
                    </a:blip>
                    <a:srcRect/>
                    <a:stretch>
                      <a:fillRect/>
                    </a:stretch>
                  </pic:blipFill>
                  <pic:spPr bwMode="auto">
                    <a:xfrm>
                      <a:off x="0" y="0"/>
                      <a:ext cx="162687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If the foregoing correctly sets forth your understanding of our agreement with respect to the matters treated above, please indicate your acceptance and approval below.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BOEING COMPANY</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The Boeing Company</w:t>
            </w:r>
          </w:p>
        </w:tc>
      </w:tr>
      <w:tr>
        <w:trPr>
          <w:trHeight w:val="43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8, 2016</w:t>
            </w:r>
          </w:p>
        </w:tc>
      </w:tr>
      <w:tr>
        <w:trPr>
          <w:trHeight w:val="439"/>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AIRLINES, INC.</w:t>
            </w:r>
          </w:p>
        </w:tc>
      </w:tr>
      <w:tr>
        <w:trPr>
          <w:trHeight w:val="445"/>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American Airlines, Inc.</w:t>
            </w:r>
          </w:p>
        </w:tc>
      </w:tr>
      <w:tr>
        <w:trPr>
          <w:trHeight w:val="43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AAL-PA-03735-LA-1600852</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 Page 6</w:t>
      </w:r>
    </w:p>
    <w:p>
      <w:pPr>
        <w:spacing w:after="0" w:line="420" w:lineRule="exact"/>
        <w:rPr>
          <w:sz w:val="20"/>
          <w:szCs w:val="20"/>
          <w:color w:val="auto"/>
        </w:rPr>
      </w:pPr>
    </w:p>
    <w:p>
      <w:pPr>
        <w:sectPr>
          <w:pgSz w:w="11900" w:h="16838" w:orient="portrait"/>
          <w:cols w:equalWidth="0" w:num="2">
            <w:col w:w="9740" w:space="720"/>
            <w:col w:w="760"/>
          </w:cols>
          <w:pgMar w:left="320" w:top="1440" w:right="359" w:bottom="1440" w:gutter="0" w:footer="0" w:header="0"/>
          <w:type w:val="continuous"/>
        </w:sectPr>
      </w:pP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BOEING PROPRIETARY</w:t>
      </w:r>
    </w:p>
    <w:p>
      <w:pPr>
        <w:sectPr>
          <w:pgSz w:w="11900" w:h="16838" w:orient="portrait"/>
          <w:cols w:equalWidth="0" w:num="1">
            <w:col w:w="11220"/>
          </w:cols>
          <w:pgMar w:left="320" w:top="1440" w:right="359" w:bottom="1440" w:gutter="0" w:footer="0" w:header="0"/>
          <w:type w:val="continuous"/>
        </w:sectPr>
      </w:pPr>
    </w:p>
    <w:bookmarkStart w:id="258" w:name="page259"/>
    <w:bookmarkEnd w:id="2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1322070</wp:posOffset>
            </wp:positionV>
            <wp:extent cx="1626870" cy="419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576">
                      <a:clrChange>
                        <a:clrFrom>
                          <a:srgbClr val="FFFFFF"/>
                        </a:clrFrom>
                        <a:clrTo>
                          <a:srgbClr val="FFFFFF">
                            <a:alpha val="0"/>
                          </a:srgbClr>
                        </a:clrTo>
                      </a:clrChange>
                      <a:extLst>
                        <a:ext uri="{28A0092B-C50C-407E-A947-70E740481C1C}"/>
                      </a:extLst>
                    </a:blip>
                    <a:srcRect/>
                    <a:stretch>
                      <a:fillRect/>
                    </a:stretch>
                  </pic:blipFill>
                  <pic:spPr bwMode="auto">
                    <a:xfrm>
                      <a:off x="0" y="0"/>
                      <a:ext cx="162687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Attachment A</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 describe(s) the items of equipment that under the terms and conditions of this Letter Agreement are considered to be [****]. Each</w:t>
      </w:r>
    </w:p>
    <w:p>
      <w:pPr>
        <w:spacing w:after="0" w:line="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such [****] is fully described in the [****] as described in Exhibit A to the Purchase Agreement. Final configuration will be based on Customer acceptance of any or all [****] listed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Number and Title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AAL-PA-03735-LA-1600852</w:t>
      </w: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 Page 7</w:t>
      </w:r>
    </w:p>
    <w:p>
      <w:pPr>
        <w:spacing w:after="0" w:line="406" w:lineRule="exact"/>
        <w:rPr>
          <w:sz w:val="20"/>
          <w:szCs w:val="20"/>
          <w:color w:val="auto"/>
        </w:rPr>
      </w:pPr>
    </w:p>
    <w:p>
      <w:pPr>
        <w:sectPr>
          <w:pgSz w:w="11900" w:h="16838" w:orient="portrait"/>
          <w:cols w:equalWidth="0" w:num="2">
            <w:col w:w="9740" w:space="720"/>
            <w:col w:w="780"/>
          </w:cols>
          <w:pgMar w:left="320" w:top="1440" w:right="339" w:bottom="1440" w:gutter="0" w:footer="0" w:header="0"/>
          <w:type w:val="continuous"/>
        </w:sectPr>
      </w:pP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BOEING PROPRIETARY</w:t>
      </w:r>
    </w:p>
    <w:p>
      <w:pPr>
        <w:sectPr>
          <w:pgSz w:w="11900" w:h="16838" w:orient="portrait"/>
          <w:cols w:equalWidth="0" w:num="1">
            <w:col w:w="11240"/>
          </w:cols>
          <w:pgMar w:left="320" w:top="1440" w:right="339" w:bottom="1440" w:gutter="0" w:footer="0" w:header="0"/>
          <w:type w:val="continuous"/>
        </w:sectPr>
      </w:pPr>
    </w:p>
    <w:bookmarkStart w:id="259" w:name="page260"/>
    <w:bookmarkEnd w:id="2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1322070</wp:posOffset>
            </wp:positionV>
            <wp:extent cx="1626870" cy="419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577">
                      <a:clrChange>
                        <a:clrFrom>
                          <a:srgbClr val="FFFFFF"/>
                        </a:clrFrom>
                        <a:clrTo>
                          <a:srgbClr val="FFFFFF">
                            <a:alpha val="0"/>
                          </a:srgbClr>
                        </a:clrTo>
                      </a:clrChange>
                      <a:extLst>
                        <a:ext uri="{28A0092B-C50C-407E-A947-70E740481C1C}"/>
                      </a:extLst>
                    </a:blip>
                    <a:srcRect/>
                    <a:stretch>
                      <a:fillRect/>
                    </a:stretch>
                  </pic:blipFill>
                  <pic:spPr bwMode="auto">
                    <a:xfrm>
                      <a:off x="0" y="0"/>
                      <a:ext cx="162687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Attachment B</w:t>
      </w: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Attachment B describes the functions that Boeing will perform as [****] to support (i) the [****] and (ii) the [****] on the Aircraft.</w:t>
      </w:r>
    </w:p>
    <w:p>
      <w:pPr>
        <w:spacing w:after="0" w:line="36" w:lineRule="exact"/>
        <w:rPr>
          <w:sz w:val="20"/>
          <w:szCs w:val="20"/>
          <w:color w:val="auto"/>
        </w:rPr>
      </w:pPr>
    </w:p>
    <w:p>
      <w:pPr>
        <w:ind w:left="480" w:hanging="454"/>
        <w:spacing w:after="0"/>
        <w:tabs>
          <w:tab w:leader="none" w:pos="4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Boeing will perform the following functions [****]. Boeing will have [****] which, in Boeing’s reasonable opinion, [****]. Boeing will be [****] for:</w:t>
      </w:r>
    </w:p>
    <w:p>
      <w:pPr>
        <w:spacing w:after="0" w:line="47" w:lineRule="exact"/>
        <w:rPr>
          <w:sz w:val="20"/>
          <w:szCs w:val="20"/>
          <w:color w:val="auto"/>
        </w:rPr>
      </w:pPr>
    </w:p>
    <w:p>
      <w:pPr>
        <w:ind w:left="1600" w:hanging="684"/>
        <w:spacing w:after="0"/>
        <w:tabs>
          <w:tab w:leader="none" w:pos="16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00" w:hanging="684"/>
        <w:spacing w:after="0"/>
        <w:tabs>
          <w:tab w:leader="none" w:pos="16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43" w:lineRule="exact"/>
        <w:rPr>
          <w:rFonts w:ascii="Times New Roman" w:cs="Times New Roman" w:eastAsia="Times New Roman" w:hAnsi="Times New Roman"/>
          <w:sz w:val="18"/>
          <w:szCs w:val="18"/>
          <w:color w:val="auto"/>
        </w:rPr>
      </w:pPr>
    </w:p>
    <w:p>
      <w:pPr>
        <w:ind w:left="1600" w:hanging="684"/>
        <w:spacing w:after="0"/>
        <w:tabs>
          <w:tab w:leader="none" w:pos="16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43" w:lineRule="exact"/>
        <w:rPr>
          <w:rFonts w:ascii="Times New Roman" w:cs="Times New Roman" w:eastAsia="Times New Roman" w:hAnsi="Times New Roman"/>
          <w:sz w:val="18"/>
          <w:szCs w:val="18"/>
          <w:color w:val="auto"/>
        </w:rPr>
      </w:pPr>
    </w:p>
    <w:p>
      <w:pPr>
        <w:ind w:left="1600" w:hanging="684"/>
        <w:spacing w:after="0"/>
        <w:tabs>
          <w:tab w:leader="none" w:pos="16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00" w:hanging="684"/>
        <w:spacing w:after="0"/>
        <w:tabs>
          <w:tab w:leader="none" w:pos="16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43" w:lineRule="exact"/>
        <w:rPr>
          <w:rFonts w:ascii="Times New Roman" w:cs="Times New Roman" w:eastAsia="Times New Roman" w:hAnsi="Times New Roman"/>
          <w:sz w:val="18"/>
          <w:szCs w:val="18"/>
          <w:color w:val="auto"/>
        </w:rPr>
      </w:pPr>
    </w:p>
    <w:p>
      <w:pPr>
        <w:ind w:left="1600" w:hanging="684"/>
        <w:spacing w:after="0"/>
        <w:tabs>
          <w:tab w:leader="none" w:pos="16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43" w:lineRule="exact"/>
        <w:rPr>
          <w:rFonts w:ascii="Times New Roman" w:cs="Times New Roman" w:eastAsia="Times New Roman" w:hAnsi="Times New Roman"/>
          <w:sz w:val="18"/>
          <w:szCs w:val="18"/>
          <w:color w:val="auto"/>
        </w:rPr>
      </w:pPr>
    </w:p>
    <w:p>
      <w:pPr>
        <w:ind w:left="1600" w:hanging="684"/>
        <w:spacing w:after="0"/>
        <w:tabs>
          <w:tab w:leader="none" w:pos="16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600" w:hanging="684"/>
        <w:spacing w:after="0"/>
        <w:tabs>
          <w:tab w:leader="none" w:pos="16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43" w:lineRule="exact"/>
        <w:rPr>
          <w:rFonts w:ascii="Times New Roman" w:cs="Times New Roman" w:eastAsia="Times New Roman" w:hAnsi="Times New Roman"/>
          <w:sz w:val="18"/>
          <w:szCs w:val="18"/>
          <w:color w:val="auto"/>
        </w:rPr>
      </w:pPr>
    </w:p>
    <w:p>
      <w:pPr>
        <w:ind w:left="480" w:hanging="454"/>
        <w:spacing w:after="0"/>
        <w:tabs>
          <w:tab w:leader="none" w:pos="4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1600" w:hanging="684"/>
        <w:spacing w:after="0"/>
        <w:tabs>
          <w:tab w:leader="none" w:pos="16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w:t>
      </w:r>
    </w:p>
    <w:p>
      <w:pPr>
        <w:spacing w:after="0" w:line="143" w:lineRule="exact"/>
        <w:rPr>
          <w:rFonts w:ascii="Times New Roman" w:cs="Times New Roman" w:eastAsia="Times New Roman" w:hAnsi="Times New Roman"/>
          <w:sz w:val="18"/>
          <w:szCs w:val="18"/>
          <w:color w:val="auto"/>
        </w:rPr>
      </w:pPr>
    </w:p>
    <w:p>
      <w:pPr>
        <w:ind w:left="1600" w:hanging="684"/>
        <w:spacing w:after="0"/>
        <w:tabs>
          <w:tab w:leader="none" w:pos="16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Boeing, Customer and [****]; and</w:t>
      </w:r>
    </w:p>
    <w:p>
      <w:pPr>
        <w:spacing w:after="0" w:line="130" w:lineRule="exact"/>
        <w:rPr>
          <w:rFonts w:ascii="Times New Roman" w:cs="Times New Roman" w:eastAsia="Times New Roman" w:hAnsi="Times New Roman"/>
          <w:sz w:val="18"/>
          <w:szCs w:val="18"/>
          <w:color w:val="auto"/>
        </w:rPr>
      </w:pPr>
    </w:p>
    <w:p>
      <w:pPr>
        <w:ind w:left="1600" w:hanging="684"/>
        <w:spacing w:after="0"/>
        <w:tabs>
          <w:tab w:leader="none" w:pos="160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43" w:lineRule="exact"/>
        <w:rPr>
          <w:rFonts w:ascii="Times New Roman" w:cs="Times New Roman" w:eastAsia="Times New Roman" w:hAnsi="Times New Roman"/>
          <w:sz w:val="18"/>
          <w:szCs w:val="18"/>
          <w:color w:val="auto"/>
        </w:rPr>
      </w:pPr>
    </w:p>
    <w:p>
      <w:pPr>
        <w:ind w:left="480" w:hanging="454"/>
        <w:spacing w:after="0"/>
        <w:tabs>
          <w:tab w:leader="none" w:pos="4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600" w:hanging="684"/>
        <w:spacing w:after="0"/>
        <w:tabs>
          <w:tab w:leader="none" w:pos="16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Boeing will [****].</w:t>
      </w:r>
    </w:p>
    <w:p>
      <w:pPr>
        <w:spacing w:after="0" w:line="143" w:lineRule="exact"/>
        <w:rPr>
          <w:rFonts w:ascii="Times New Roman" w:cs="Times New Roman" w:eastAsia="Times New Roman" w:hAnsi="Times New Roman"/>
          <w:sz w:val="18"/>
          <w:szCs w:val="18"/>
          <w:color w:val="auto"/>
        </w:rPr>
      </w:pPr>
    </w:p>
    <w:p>
      <w:pPr>
        <w:ind w:left="1600" w:hanging="684"/>
        <w:spacing w:after="0"/>
        <w:tabs>
          <w:tab w:leader="none" w:pos="16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 and Boeing.</w:t>
      </w:r>
    </w:p>
    <w:p>
      <w:pPr>
        <w:spacing w:after="0" w:line="143" w:lineRule="exact"/>
        <w:rPr>
          <w:rFonts w:ascii="Times New Roman" w:cs="Times New Roman" w:eastAsia="Times New Roman" w:hAnsi="Times New Roman"/>
          <w:sz w:val="18"/>
          <w:szCs w:val="18"/>
          <w:color w:val="auto"/>
        </w:rPr>
      </w:pPr>
    </w:p>
    <w:p>
      <w:pPr>
        <w:ind w:left="1600" w:hanging="684"/>
        <w:spacing w:after="0"/>
        <w:tabs>
          <w:tab w:leader="none" w:pos="160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AAL-PA-03735-LA-1600852</w:t>
      </w: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 Page 8</w:t>
      </w:r>
    </w:p>
    <w:p>
      <w:pPr>
        <w:spacing w:after="0" w:line="406" w:lineRule="exact"/>
        <w:rPr>
          <w:sz w:val="20"/>
          <w:szCs w:val="20"/>
          <w:color w:val="auto"/>
        </w:rPr>
      </w:pPr>
    </w:p>
    <w:p>
      <w:pPr>
        <w:sectPr>
          <w:pgSz w:w="11900" w:h="16838" w:orient="portrait"/>
          <w:cols w:equalWidth="0" w:num="2">
            <w:col w:w="9740" w:space="720"/>
            <w:col w:w="760"/>
          </w:cols>
          <w:pgMar w:left="320" w:top="1440" w:right="359" w:bottom="1440" w:gutter="0" w:footer="0" w:header="0"/>
          <w:type w:val="continuous"/>
        </w:sectPr>
      </w:pP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BOEING PROPRIETARY</w:t>
      </w:r>
    </w:p>
    <w:p>
      <w:pPr>
        <w:sectPr>
          <w:pgSz w:w="11900" w:h="16838" w:orient="portrait"/>
          <w:cols w:equalWidth="0" w:num="1">
            <w:col w:w="11220"/>
          </w:cols>
          <w:pgMar w:left="320" w:top="1440" w:right="359" w:bottom="1440" w:gutter="0" w:footer="0" w:header="0"/>
          <w:type w:val="continuous"/>
        </w:sectPr>
      </w:pPr>
    </w:p>
    <w:bookmarkStart w:id="260" w:name="page261"/>
    <w:bookmarkEnd w:id="2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1339215</wp:posOffset>
            </wp:positionV>
            <wp:extent cx="1626870" cy="419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578">
                      <a:clrChange>
                        <a:clrFrom>
                          <a:srgbClr val="FFFFFF"/>
                        </a:clrFrom>
                        <a:clrTo>
                          <a:srgbClr val="FFFFFF">
                            <a:alpha val="0"/>
                          </a:srgbClr>
                        </a:clrTo>
                      </a:clrChange>
                      <a:extLst>
                        <a:ext uri="{28A0092B-C50C-407E-A947-70E740481C1C}"/>
                      </a:extLst>
                    </a:blip>
                    <a:srcRect/>
                    <a:stretch>
                      <a:fillRect/>
                    </a:stretch>
                  </pic:blipFill>
                  <pic:spPr bwMode="auto">
                    <a:xfrm>
                      <a:off x="0" y="0"/>
                      <a:ext cx="162687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The Boeing Company</w:t>
      </w:r>
    </w:p>
    <w:p>
      <w:pPr>
        <w:ind w:left="8560"/>
        <w:spacing w:after="0" w:line="218" w:lineRule="auto"/>
        <w:rPr>
          <w:sz w:val="20"/>
          <w:szCs w:val="20"/>
          <w:color w:val="auto"/>
        </w:rPr>
      </w:pPr>
      <w:r>
        <w:rPr>
          <w:rFonts w:ascii="Times New Roman" w:cs="Times New Roman" w:eastAsia="Times New Roman" w:hAnsi="Times New Roman"/>
          <w:sz w:val="18"/>
          <w:szCs w:val="18"/>
          <w:color w:val="auto"/>
        </w:rPr>
        <w:t>P.O. Box 3707</w:t>
      </w:r>
    </w:p>
    <w:p>
      <w:pPr>
        <w:spacing w:after="0" w:line="1"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Seattle, WA 98124-2207</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AAL-PA-03735-LA-1603773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Airlines,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619616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Dallas-Fort Worth Airport, Texas 75261-9616</w:t>
      </w:r>
    </w:p>
    <w:p>
      <w:pPr>
        <w:spacing w:after="0" w:line="193"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Subject:</w:t>
      </w:r>
      <w:r>
        <w:rPr>
          <w:sz w:val="20"/>
          <w:szCs w:val="20"/>
          <w:color w:val="auto"/>
        </w:rPr>
        <w:tab/>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color w:val="auto"/>
        </w:rPr>
        <w:t>Reference:</w:t>
      </w:r>
      <w:r>
        <w:rPr>
          <w:sz w:val="20"/>
          <w:szCs w:val="20"/>
          <w:color w:val="auto"/>
        </w:rPr>
        <w:tab/>
      </w:r>
      <w:r>
        <w:rPr>
          <w:rFonts w:ascii="Times New Roman" w:cs="Times New Roman" w:eastAsia="Times New Roman" w:hAnsi="Times New Roman"/>
          <w:sz w:val="18"/>
          <w:szCs w:val="18"/>
          <w:color w:val="auto"/>
        </w:rPr>
        <w:t>Purchase Agreement No. 03735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xml:space="preserve"> between The Boeing Company (</w:t>
      </w:r>
      <w:r>
        <w:rPr>
          <w:rFonts w:ascii="Times New Roman" w:cs="Times New Roman" w:eastAsia="Times New Roman" w:hAnsi="Times New Roman"/>
          <w:sz w:val="18"/>
          <w:szCs w:val="18"/>
          <w:b w:val="1"/>
          <w:bCs w:val="1"/>
          <w:i w:val="1"/>
          <w:iCs w:val="1"/>
          <w:color w:val="auto"/>
        </w:rPr>
        <w:t>Boeing</w:t>
      </w:r>
      <w:r>
        <w:rPr>
          <w:rFonts w:ascii="Times New Roman" w:cs="Times New Roman" w:eastAsia="Times New Roman" w:hAnsi="Times New Roman"/>
          <w:sz w:val="18"/>
          <w:szCs w:val="18"/>
          <w:color w:val="auto"/>
        </w:rPr>
        <w:t>) and American Airlines, Inc.</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Customer</w:t>
      </w:r>
      <w:r>
        <w:rPr>
          <w:rFonts w:ascii="Times New Roman" w:cs="Times New Roman" w:eastAsia="Times New Roman" w:hAnsi="Times New Roman"/>
          <w:sz w:val="18"/>
          <w:szCs w:val="18"/>
          <w:color w:val="auto"/>
        </w:rPr>
        <w:t>) relating to Model 737 MAX aircraft (</w:t>
      </w:r>
      <w:r>
        <w:rPr>
          <w:rFonts w:ascii="Times New Roman" w:cs="Times New Roman" w:eastAsia="Times New Roman" w:hAnsi="Times New Roman"/>
          <w:sz w:val="18"/>
          <w:szCs w:val="18"/>
          <w:b w:val="1"/>
          <w:bCs w:val="1"/>
          <w:i w:val="1"/>
          <w:iCs w:val="1"/>
          <w:color w:val="auto"/>
        </w:rPr>
        <w:t>Aircraft</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This letter agreement (</w:t>
      </w:r>
      <w:r>
        <w:rPr>
          <w:rFonts w:ascii="Times New Roman" w:cs="Times New Roman" w:eastAsia="Times New Roman" w:hAnsi="Times New Roman"/>
          <w:sz w:val="18"/>
          <w:szCs w:val="18"/>
          <w:b w:val="1"/>
          <w:bCs w:val="1"/>
          <w:i w:val="1"/>
          <w:iCs w:val="1"/>
          <w:color w:val="auto"/>
        </w:rPr>
        <w:t>Letter Agreement)</w:t>
      </w:r>
      <w:r>
        <w:rPr>
          <w:rFonts w:ascii="Times New Roman" w:cs="Times New Roman" w:eastAsia="Times New Roman" w:hAnsi="Times New Roman"/>
          <w:sz w:val="18"/>
          <w:szCs w:val="18"/>
          <w:color w:val="auto"/>
        </w:rPr>
        <w:t xml:space="preserve"> amends and supplements the Purchase Agreement. All terms used but not defined in this Letter Agreement shall have the same meaning as in the Purchase Agreement.</w:t>
      </w:r>
    </w:p>
    <w:p>
      <w:pPr>
        <w:spacing w:after="0" w:line="144" w:lineRule="exact"/>
        <w:rPr>
          <w:sz w:val="20"/>
          <w:szCs w:val="20"/>
          <w:color w:val="auto"/>
        </w:rPr>
      </w:pPr>
    </w:p>
    <w:p>
      <w:pPr>
        <w:ind w:left="480" w:hanging="454"/>
        <w:spacing w:after="0"/>
        <w:tabs>
          <w:tab w:leader="none" w:pos="4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6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1.1 In consideration of Customer [****] on the 737 MAX aircraft, at the time of delivery of each Boeing Model 737-8 MAX aircraft [****] in which Customer [****] to Letter Agreement No. AAL-PA-03735-LA-110651 entitled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if Customer [****] contained in MP [****] entitled [****] and more particularly identified in the table below, Boeing [****].</w:t>
      </w:r>
    </w:p>
    <w:p>
      <w:pPr>
        <w:spacing w:after="0" w:line="159" w:lineRule="exact"/>
        <w:rPr>
          <w:sz w:val="20"/>
          <w:szCs w:val="20"/>
          <w:color w:val="auto"/>
        </w:rPr>
      </w:pPr>
    </w:p>
    <w:tbl>
      <w:tblPr>
        <w:tblLayout w:type="fixed"/>
        <w:tblInd w:w="104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80" w:type="dxa"/>
            <w:vAlign w:val="bottom"/>
          </w:tcPr>
          <w:p>
            <w:pPr>
              <w:jc w:val="right"/>
              <w:ind w:right="3355"/>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540" w:type="dxa"/>
            <w:vAlign w:val="bottom"/>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r>
      <w:tr>
        <w:trPr>
          <w:trHeight w:val="189"/>
        </w:trPr>
        <w:tc>
          <w:tcPr>
            <w:tcW w:w="540" w:type="dxa"/>
            <w:vAlign w:val="bottom"/>
          </w:tcPr>
          <w:p>
            <w:pPr>
              <w:spacing w:after="0"/>
              <w:rPr>
                <w:sz w:val="16"/>
                <w:szCs w:val="16"/>
                <w:color w:val="auto"/>
              </w:rPr>
            </w:pPr>
          </w:p>
        </w:tc>
        <w:tc>
          <w:tcPr>
            <w:tcW w:w="21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Description</w:t>
            </w:r>
          </w:p>
        </w:tc>
        <w:tc>
          <w:tcPr>
            <w:tcW w:w="5080" w:type="dxa"/>
            <w:vAlign w:val="bottom"/>
          </w:tcPr>
          <w:p>
            <w:pPr>
              <w:jc w:val="right"/>
              <w:ind w:right="2135"/>
              <w:spacing w:after="0"/>
              <w:rPr>
                <w:sz w:val="20"/>
                <w:szCs w:val="20"/>
                <w:color w:val="auto"/>
              </w:rPr>
            </w:pPr>
            <w:r>
              <w:rPr>
                <w:rFonts w:ascii="Times New Roman" w:cs="Times New Roman" w:eastAsia="Times New Roman" w:hAnsi="Times New Roman"/>
                <w:sz w:val="14"/>
                <w:szCs w:val="14"/>
                <w:color w:val="auto"/>
              </w:rPr>
              <w:t>Workscope</w:t>
            </w:r>
          </w:p>
        </w:tc>
      </w:tr>
      <w:tr>
        <w:trPr>
          <w:trHeight w:val="224"/>
        </w:trPr>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1</w:t>
            </w:r>
          </w:p>
        </w:tc>
        <w:tc>
          <w:tcPr>
            <w:tcW w:w="1940" w:type="dxa"/>
            <w:vAlign w:val="bottom"/>
            <w:tcBorders>
              <w:top w:val="single" w:sz="8" w:color="auto"/>
            </w:tcBorders>
          </w:tcPr>
          <w:p>
            <w:pPr>
              <w:jc w:val="right"/>
              <w:ind w:right="1375"/>
              <w:spacing w:after="0"/>
              <w:rPr>
                <w:sz w:val="20"/>
                <w:szCs w:val="20"/>
                <w:color w:val="auto"/>
              </w:rPr>
            </w:pPr>
            <w:r>
              <w:rPr>
                <w:rFonts w:ascii="Times New Roman" w:cs="Times New Roman" w:eastAsia="Times New Roman" w:hAnsi="Times New Roman"/>
                <w:sz w:val="18"/>
                <w:szCs w:val="18"/>
                <w:color w:val="auto"/>
                <w:w w:val="95"/>
              </w:rPr>
              <w:t>[****]</w:t>
            </w:r>
          </w:p>
        </w:tc>
        <w:tc>
          <w:tcPr>
            <w:tcW w:w="240" w:type="dxa"/>
            <w:vAlign w:val="bottom"/>
          </w:tcPr>
          <w:p>
            <w:pPr>
              <w:spacing w:after="0"/>
              <w:rPr>
                <w:sz w:val="19"/>
                <w:szCs w:val="19"/>
                <w:color w:val="auto"/>
              </w:rPr>
            </w:pPr>
          </w:p>
        </w:tc>
        <w:tc>
          <w:tcPr>
            <w:tcW w:w="5080" w:type="dxa"/>
            <w:vAlign w:val="bottom"/>
            <w:tcBorders>
              <w:top w:val="single" w:sz="8" w:color="auto"/>
            </w:tcBorders>
          </w:tcPr>
          <w:p>
            <w:pPr>
              <w:jc w:val="right"/>
              <w:ind w:right="4395"/>
              <w:spacing w:after="0"/>
              <w:rPr>
                <w:sz w:val="20"/>
                <w:szCs w:val="20"/>
                <w:color w:val="auto"/>
              </w:rPr>
            </w:pPr>
            <w:r>
              <w:rPr>
                <w:rFonts w:ascii="Times New Roman" w:cs="Times New Roman" w:eastAsia="Times New Roman" w:hAnsi="Times New Roman"/>
                <w:sz w:val="18"/>
                <w:szCs w:val="18"/>
                <w:color w:val="auto"/>
                <w:w w:val="99"/>
              </w:rPr>
              <w:t>- [****]</w:t>
            </w:r>
          </w:p>
        </w:tc>
      </w:tr>
      <w:tr>
        <w:trPr>
          <w:trHeight w:val="229"/>
        </w:trPr>
        <w:tc>
          <w:tcPr>
            <w:tcW w:w="5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80" w:type="dxa"/>
            <w:vAlign w:val="bottom"/>
          </w:tcPr>
          <w:p>
            <w:pPr>
              <w:jc w:val="right"/>
              <w:ind w:right="4395"/>
              <w:spacing w:after="0"/>
              <w:rPr>
                <w:sz w:val="20"/>
                <w:szCs w:val="20"/>
                <w:color w:val="auto"/>
              </w:rPr>
            </w:pPr>
            <w:r>
              <w:rPr>
                <w:rFonts w:ascii="Times New Roman" w:cs="Times New Roman" w:eastAsia="Times New Roman" w:hAnsi="Times New Roman"/>
                <w:sz w:val="18"/>
                <w:szCs w:val="18"/>
                <w:color w:val="auto"/>
                <w:w w:val="99"/>
              </w:rPr>
              <w:t>- [****]</w:t>
            </w:r>
          </w:p>
        </w:tc>
      </w:tr>
      <w:tr>
        <w:trPr>
          <w:trHeight w:val="229"/>
        </w:trPr>
        <w:tc>
          <w:tcPr>
            <w:tcW w:w="5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80" w:type="dxa"/>
            <w:vAlign w:val="bottom"/>
          </w:tcPr>
          <w:p>
            <w:pPr>
              <w:jc w:val="right"/>
              <w:ind w:right="4395"/>
              <w:spacing w:after="0"/>
              <w:rPr>
                <w:sz w:val="20"/>
                <w:szCs w:val="20"/>
                <w:color w:val="auto"/>
              </w:rPr>
            </w:pPr>
            <w:r>
              <w:rPr>
                <w:rFonts w:ascii="Times New Roman" w:cs="Times New Roman" w:eastAsia="Times New Roman" w:hAnsi="Times New Roman"/>
                <w:sz w:val="18"/>
                <w:szCs w:val="18"/>
                <w:color w:val="auto"/>
                <w:w w:val="99"/>
              </w:rPr>
              <w:t>- [****]</w:t>
            </w:r>
          </w:p>
        </w:tc>
      </w:tr>
      <w:tr>
        <w:trPr>
          <w:trHeight w:val="229"/>
        </w:trPr>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2</w:t>
            </w:r>
          </w:p>
        </w:tc>
        <w:tc>
          <w:tcPr>
            <w:tcW w:w="1940" w:type="dxa"/>
            <w:vAlign w:val="bottom"/>
          </w:tcPr>
          <w:p>
            <w:pPr>
              <w:jc w:val="right"/>
              <w:ind w:right="1375"/>
              <w:spacing w:after="0"/>
              <w:rPr>
                <w:sz w:val="20"/>
                <w:szCs w:val="20"/>
                <w:color w:val="auto"/>
              </w:rPr>
            </w:pPr>
            <w:r>
              <w:rPr>
                <w:rFonts w:ascii="Times New Roman" w:cs="Times New Roman" w:eastAsia="Times New Roman" w:hAnsi="Times New Roman"/>
                <w:sz w:val="18"/>
                <w:szCs w:val="18"/>
                <w:color w:val="auto"/>
                <w:w w:val="95"/>
              </w:rPr>
              <w:t>[****]</w:t>
            </w:r>
          </w:p>
        </w:tc>
        <w:tc>
          <w:tcPr>
            <w:tcW w:w="240" w:type="dxa"/>
            <w:vAlign w:val="bottom"/>
          </w:tcPr>
          <w:p>
            <w:pPr>
              <w:spacing w:after="0"/>
              <w:rPr>
                <w:sz w:val="19"/>
                <w:szCs w:val="19"/>
                <w:color w:val="auto"/>
              </w:rPr>
            </w:pPr>
          </w:p>
        </w:tc>
        <w:tc>
          <w:tcPr>
            <w:tcW w:w="5080" w:type="dxa"/>
            <w:vAlign w:val="bottom"/>
          </w:tcPr>
          <w:p>
            <w:pPr>
              <w:jc w:val="right"/>
              <w:ind w:right="4395"/>
              <w:spacing w:after="0"/>
              <w:rPr>
                <w:sz w:val="20"/>
                <w:szCs w:val="20"/>
                <w:color w:val="auto"/>
              </w:rPr>
            </w:pPr>
            <w:r>
              <w:rPr>
                <w:rFonts w:ascii="Times New Roman" w:cs="Times New Roman" w:eastAsia="Times New Roman" w:hAnsi="Times New Roman"/>
                <w:sz w:val="18"/>
                <w:szCs w:val="18"/>
                <w:color w:val="auto"/>
                <w:w w:val="99"/>
              </w:rPr>
              <w:t>- [****]</w:t>
            </w:r>
          </w:p>
        </w:tc>
      </w:tr>
      <w:tr>
        <w:trPr>
          <w:trHeight w:val="234"/>
        </w:trPr>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3</w:t>
            </w:r>
          </w:p>
        </w:tc>
        <w:tc>
          <w:tcPr>
            <w:tcW w:w="1940" w:type="dxa"/>
            <w:vAlign w:val="bottom"/>
          </w:tcPr>
          <w:p>
            <w:pPr>
              <w:jc w:val="right"/>
              <w:ind w:right="1375"/>
              <w:spacing w:after="0"/>
              <w:rPr>
                <w:sz w:val="20"/>
                <w:szCs w:val="20"/>
                <w:color w:val="auto"/>
              </w:rPr>
            </w:pPr>
            <w:r>
              <w:rPr>
                <w:rFonts w:ascii="Times New Roman" w:cs="Times New Roman" w:eastAsia="Times New Roman" w:hAnsi="Times New Roman"/>
                <w:sz w:val="18"/>
                <w:szCs w:val="18"/>
                <w:color w:val="auto"/>
                <w:w w:val="95"/>
              </w:rPr>
              <w:t>[****]</w:t>
            </w:r>
          </w:p>
        </w:tc>
        <w:tc>
          <w:tcPr>
            <w:tcW w:w="240" w:type="dxa"/>
            <w:vAlign w:val="bottom"/>
          </w:tcPr>
          <w:p>
            <w:pPr>
              <w:spacing w:after="0"/>
              <w:rPr>
                <w:sz w:val="20"/>
                <w:szCs w:val="20"/>
                <w:color w:val="auto"/>
              </w:rPr>
            </w:pPr>
          </w:p>
        </w:tc>
        <w:tc>
          <w:tcPr>
            <w:tcW w:w="5080" w:type="dxa"/>
            <w:vAlign w:val="bottom"/>
          </w:tcPr>
          <w:p>
            <w:pPr>
              <w:jc w:val="right"/>
              <w:ind w:right="4395"/>
              <w:spacing w:after="0"/>
              <w:rPr>
                <w:sz w:val="20"/>
                <w:szCs w:val="20"/>
                <w:color w:val="auto"/>
              </w:rPr>
            </w:pPr>
            <w:r>
              <w:rPr>
                <w:rFonts w:ascii="Times New Roman" w:cs="Times New Roman" w:eastAsia="Times New Roman" w:hAnsi="Times New Roman"/>
                <w:sz w:val="18"/>
                <w:szCs w:val="18"/>
                <w:color w:val="auto"/>
                <w:w w:val="99"/>
              </w:rPr>
              <w:t>- [****]</w:t>
            </w: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In order to [****] set forth in paragraph 1.1., above, Customer [****] on the applicable Aircraft.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The [****] will be [****] set forth in Supplement Exhibit AE1 to the Purchase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Customer will be [****], in whole or in part, (i) [****], and/or (ii)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10820" w:val="left"/>
        </w:tabs>
        <w:rPr>
          <w:sz w:val="20"/>
          <w:szCs w:val="20"/>
          <w:color w:val="auto"/>
        </w:rPr>
      </w:pPr>
      <w:r>
        <w:rPr>
          <w:rFonts w:ascii="Times New Roman" w:cs="Times New Roman" w:eastAsia="Times New Roman" w:hAnsi="Times New Roman"/>
          <w:sz w:val="18"/>
          <w:szCs w:val="18"/>
          <w:color w:val="auto"/>
        </w:rPr>
        <w:t>AAL-PA-03735-LA-1603773</w:t>
      </w:r>
      <w:r>
        <w:rPr>
          <w:sz w:val="20"/>
          <w:szCs w:val="20"/>
          <w:color w:val="auto"/>
        </w:rPr>
        <w:tab/>
      </w:r>
      <w:r>
        <w:rPr>
          <w:rFonts w:ascii="Times New Roman" w:cs="Times New Roman" w:eastAsia="Times New Roman" w:hAnsi="Times New Roman"/>
          <w:sz w:val="17"/>
          <w:szCs w:val="17"/>
          <w:color w:val="auto"/>
        </w:rPr>
        <w:t>SA-5</w:t>
      </w:r>
    </w:p>
    <w:p>
      <w:pPr>
        <w:spacing w:after="0" w:line="2" w:lineRule="exact"/>
        <w:rPr>
          <w:sz w:val="20"/>
          <w:szCs w:val="20"/>
          <w:color w:val="auto"/>
        </w:rPr>
      </w:pPr>
    </w:p>
    <w:p>
      <w:pPr>
        <w:ind w:left="20"/>
        <w:spacing w:after="0"/>
        <w:tabs>
          <w:tab w:leader="none" w:pos="101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LA Page 1 of 3</w:t>
      </w:r>
    </w:p>
    <w:p>
      <w:pPr>
        <w:sectPr>
          <w:pgSz w:w="11900" w:h="16838" w:orient="portrait"/>
          <w:cols w:equalWidth="0" w:num="1">
            <w:col w:w="11220"/>
          </w:cols>
          <w:pgMar w:left="320" w:top="1440" w:right="359" w:bottom="1440" w:gutter="0" w:footer="0" w:header="0"/>
        </w:sect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BOEING PROPRIETARY</w:t>
      </w:r>
    </w:p>
    <w:p>
      <w:pPr>
        <w:sectPr>
          <w:pgSz w:w="11900" w:h="16838" w:orient="portrait"/>
          <w:cols w:equalWidth="0" w:num="1">
            <w:col w:w="11220"/>
          </w:cols>
          <w:pgMar w:left="320" w:top="1440" w:right="359" w:bottom="1440" w:gutter="0" w:footer="0" w:header="0"/>
          <w:type w:val="continuous"/>
        </w:sectPr>
      </w:pPr>
    </w:p>
    <w:bookmarkStart w:id="261" w:name="page262"/>
    <w:bookmarkEnd w:id="2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1322070</wp:posOffset>
            </wp:positionV>
            <wp:extent cx="1626870" cy="419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579">
                      <a:clrChange>
                        <a:clrFrom>
                          <a:srgbClr val="FFFFFF"/>
                        </a:clrFrom>
                        <a:clrTo>
                          <a:srgbClr val="FFFFFF">
                            <a:alpha val="0"/>
                          </a:srgbClr>
                        </a:clrTo>
                      </a:clrChange>
                      <a:extLst>
                        <a:ext uri="{28A0092B-C50C-407E-A947-70E740481C1C}"/>
                      </a:extLst>
                    </a:blip>
                    <a:srcRect/>
                    <a:stretch>
                      <a:fillRect/>
                    </a:stretch>
                  </pic:blipFill>
                  <pic:spPr bwMode="auto">
                    <a:xfrm>
                      <a:off x="0" y="0"/>
                      <a:ext cx="162687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0" w:hanging="454"/>
        <w:spacing w:after="0"/>
        <w:tabs>
          <w:tab w:leader="none" w:pos="4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5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Additionally, if Customer [****], in the event the [****], Boeing will [****]. The [****] purchased by Customer until the [****] of the Aircraft at which [****].</w:t>
      </w:r>
    </w:p>
    <w:p>
      <w:pPr>
        <w:spacing w:after="0" w:line="149" w:lineRule="exact"/>
        <w:rPr>
          <w:sz w:val="20"/>
          <w:szCs w:val="20"/>
          <w:color w:val="auto"/>
        </w:rPr>
      </w:pPr>
    </w:p>
    <w:p>
      <w:pPr>
        <w:ind w:left="480" w:hanging="454"/>
        <w:spacing w:after="0"/>
        <w:tabs>
          <w:tab w:leader="none" w:pos="4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6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Customer understands and agrees that 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left="480" w:hanging="454"/>
        <w:spacing w:after="0"/>
        <w:tabs>
          <w:tab w:leader="none" w:pos="4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w:t>
      </w:r>
    </w:p>
    <w:p>
      <w:pPr>
        <w:spacing w:after="0" w:line="2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 except to the extent permissible under the terms of the AGTA.</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AAL-PA-03735-LA-1603773</w:t>
      </w: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SA-5</w:t>
      </w:r>
    </w:p>
    <w:p>
      <w:pPr>
        <w:jc w:val="right"/>
        <w:spacing w:after="0"/>
        <w:rPr>
          <w:sz w:val="20"/>
          <w:szCs w:val="20"/>
          <w:color w:val="auto"/>
        </w:rPr>
      </w:pPr>
      <w:r>
        <w:rPr>
          <w:rFonts w:ascii="Times New Roman" w:cs="Times New Roman" w:eastAsia="Times New Roman" w:hAnsi="Times New Roman"/>
          <w:sz w:val="17"/>
          <w:szCs w:val="17"/>
          <w:color w:val="auto"/>
        </w:rPr>
        <w:t>LA Page 2 of 3</w:t>
      </w:r>
    </w:p>
    <w:p>
      <w:pPr>
        <w:spacing w:after="0" w:line="211" w:lineRule="exact"/>
        <w:rPr>
          <w:sz w:val="20"/>
          <w:szCs w:val="20"/>
          <w:color w:val="auto"/>
        </w:rPr>
      </w:pPr>
    </w:p>
    <w:p>
      <w:pPr>
        <w:sectPr>
          <w:pgSz w:w="11900" w:h="16838" w:orient="portrait"/>
          <w:cols w:equalWidth="0" w:num="2">
            <w:col w:w="9400" w:space="720"/>
            <w:col w:w="1100"/>
          </w:cols>
          <w:pgMar w:left="320" w:top="1440" w:right="359" w:bottom="1440" w:gutter="0" w:footer="0" w:header="0"/>
          <w:type w:val="continuous"/>
        </w:sectPr>
      </w:pP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BOEING PROPRIETARY</w:t>
      </w:r>
    </w:p>
    <w:p>
      <w:pPr>
        <w:sectPr>
          <w:pgSz w:w="11900" w:h="16838" w:orient="portrait"/>
          <w:cols w:equalWidth="0" w:num="1">
            <w:col w:w="11220"/>
          </w:cols>
          <w:pgMar w:left="320" w:top="1440" w:right="359" w:bottom="1440" w:gutter="0" w:footer="0" w:header="0"/>
          <w:type w:val="continuous"/>
        </w:sectPr>
      </w:pPr>
    </w:p>
    <w:bookmarkStart w:id="262" w:name="page263"/>
    <w:bookmarkEnd w:id="2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1322070</wp:posOffset>
            </wp:positionV>
            <wp:extent cx="1626870" cy="419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580">
                      <a:clrChange>
                        <a:clrFrom>
                          <a:srgbClr val="FFFFFF"/>
                        </a:clrFrom>
                        <a:clrTo>
                          <a:srgbClr val="FFFFFF">
                            <a:alpha val="0"/>
                          </a:srgbClr>
                        </a:clrTo>
                      </a:clrChange>
                      <a:extLst>
                        <a:ext uri="{28A0092B-C50C-407E-A947-70E740481C1C}"/>
                      </a:extLst>
                    </a:blip>
                    <a:srcRect/>
                    <a:stretch>
                      <a:fillRect/>
                    </a:stretch>
                  </pic:blipFill>
                  <pic:spPr bwMode="auto">
                    <a:xfrm>
                      <a:off x="0" y="0"/>
                      <a:ext cx="162687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If the foregoing correctly sets forth your understanding of our agreement with respect to the matters treated above, please indicate your acceptance and approval below.</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THE BOEING COMPANY</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The Boeing Company</w:t>
            </w:r>
          </w:p>
        </w:tc>
      </w:tr>
      <w:tr>
        <w:trPr>
          <w:trHeight w:val="43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8, 2016</w:t>
            </w:r>
          </w:p>
        </w:tc>
      </w:tr>
      <w:tr>
        <w:trPr>
          <w:trHeight w:val="439"/>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AMERICAN AIRLINES, INC.</w:t>
            </w:r>
          </w:p>
        </w:tc>
      </w:tr>
      <w:tr>
        <w:trPr>
          <w:trHeight w:val="445"/>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American Airlines, Inc.</w:t>
            </w:r>
          </w:p>
        </w:tc>
      </w:tr>
      <w:tr>
        <w:trPr>
          <w:trHeight w:val="43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Vice President &amp; Treasurer</w:t>
            </w:r>
          </w:p>
        </w:tc>
      </w:tr>
    </w:tbl>
    <w:p>
      <w:pPr>
        <w:spacing w:after="0" w:line="200" w:lineRule="exact"/>
        <w:rPr>
          <w:sz w:val="20"/>
          <w:szCs w:val="20"/>
          <w:color w:val="auto"/>
        </w:rPr>
      </w:pP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AAL-PA-03735-LA-1603773</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SA-5</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LA Page 3 of 3</w:t>
      </w:r>
    </w:p>
    <w:p>
      <w:pPr>
        <w:spacing w:after="0" w:line="211" w:lineRule="exact"/>
        <w:rPr>
          <w:sz w:val="20"/>
          <w:szCs w:val="20"/>
          <w:color w:val="auto"/>
        </w:rPr>
      </w:pPr>
    </w:p>
    <w:p>
      <w:pPr>
        <w:sectPr>
          <w:pgSz w:w="11900" w:h="16838" w:orient="portrait"/>
          <w:cols w:equalWidth="0" w:num="2">
            <w:col w:w="9400" w:space="720"/>
            <w:col w:w="1100"/>
          </w:cols>
          <w:pgMar w:left="320" w:top="1440" w:right="359" w:bottom="1440" w:gutter="0" w:footer="0" w:header="0"/>
          <w:type w:val="continuous"/>
        </w:sectPr>
      </w:pP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BOEING PROPRIETARY</w:t>
      </w:r>
    </w:p>
    <w:p>
      <w:pPr>
        <w:sectPr>
          <w:pgSz w:w="11900" w:h="16838" w:orient="portrait"/>
          <w:cols w:equalWidth="0" w:num="1">
            <w:col w:w="11220"/>
          </w:cols>
          <w:pgMar w:left="320" w:top="1440" w:right="359" w:bottom="1440" w:gutter="0" w:footer="0" w:header="0"/>
          <w:type w:val="continuous"/>
        </w:sectPr>
      </w:pPr>
    </w:p>
    <w:bookmarkStart w:id="263" w:name="page264"/>
    <w:bookmarkEnd w:id="263"/>
    <w:p>
      <w:pPr>
        <w:jc w:val="right"/>
        <w:spacing w:after="0"/>
        <w:rPr>
          <w:sz w:val="20"/>
          <w:szCs w:val="20"/>
          <w:color w:val="auto"/>
        </w:rPr>
      </w:pPr>
      <w:r>
        <w:rPr>
          <w:rFonts w:ascii="Times New Roman" w:cs="Times New Roman" w:eastAsia="Times New Roman" w:hAnsi="Times New Roman"/>
          <w:sz w:val="22"/>
          <w:szCs w:val="22"/>
          <w:color w:val="auto"/>
        </w:rPr>
        <w:t>Exhibit 10.122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INCENTIVE AWARD PLAN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(STOCK-SETTLED) AWARD GRANT NOTICE</w:t>
      </w:r>
    </w:p>
    <w:p>
      <w:pPr>
        <w:spacing w:after="0" w:line="229" w:lineRule="exact"/>
        <w:rPr>
          <w:sz w:val="20"/>
          <w:szCs w:val="20"/>
          <w:color w:val="auto"/>
        </w:rPr>
      </w:pPr>
    </w:p>
    <w:p>
      <w:pPr>
        <w:jc w:val="both"/>
        <w:ind w:firstLine="647"/>
        <w:spacing w:after="0" w:line="251" w:lineRule="auto"/>
        <w:rPr>
          <w:sz w:val="20"/>
          <w:szCs w:val="20"/>
          <w:color w:val="auto"/>
        </w:rPr>
      </w:pPr>
      <w:r>
        <w:rPr>
          <w:rFonts w:ascii="Times New Roman" w:cs="Times New Roman" w:eastAsia="Times New Roman" w:hAnsi="Times New Roman"/>
          <w:sz w:val="22"/>
          <w:szCs w:val="22"/>
          <w:color w:val="auto"/>
        </w:rPr>
        <w:t>American Airlines Group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pursuant to its 2023 Incentive Award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grants to Participant, as identified below, a Restricted Stock Unit Award covering the number of Restricted Stock Units (the “</w:t>
      </w:r>
      <w:r>
        <w:rPr>
          <w:rFonts w:ascii="Times New Roman" w:cs="Times New Roman" w:eastAsia="Times New Roman" w:hAnsi="Times New Roman"/>
          <w:sz w:val="22"/>
          <w:szCs w:val="22"/>
          <w:b w:val="1"/>
          <w:bCs w:val="1"/>
          <w:i w:val="1"/>
          <w:iCs w:val="1"/>
          <w:color w:val="auto"/>
        </w:rPr>
        <w:t>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Stock Units</w:t>
      </w:r>
      <w:r>
        <w:rPr>
          <w:rFonts w:ascii="Times New Roman" w:cs="Times New Roman" w:eastAsia="Times New Roman" w:hAnsi="Times New Roman"/>
          <w:sz w:val="22"/>
          <w:szCs w:val="22"/>
          <w:color w:val="auto"/>
        </w:rPr>
        <w:t>”) below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The Award consists of a Restricted Stock Unit (Stock-Settled) Award Agreement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Award Agreement</w:t>
      </w:r>
      <w:r>
        <w:rPr>
          <w:rFonts w:ascii="Times New Roman" w:cs="Times New Roman" w:eastAsia="Times New Roman" w:hAnsi="Times New Roman"/>
          <w:sz w:val="22"/>
          <w:szCs w:val="22"/>
          <w:color w:val="auto"/>
        </w:rPr>
        <w:t>”) and this Grant Notice. The Award is subject to all of the terms and conditions in this Grant Notice, the Award Agreement and the Plan.</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-13970</wp:posOffset>
            </wp:positionV>
            <wp:extent cx="137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58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 of Grant: ___________, 20____</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2352675</wp:posOffset>
            </wp:positionH>
            <wp:positionV relativeFrom="paragraph">
              <wp:posOffset>-29210</wp:posOffset>
            </wp:positionV>
            <wp:extent cx="137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58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1"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VESTING SCHEDULE: </w:t>
      </w:r>
      <w:r>
        <w:rPr>
          <w:rFonts w:ascii="Times New Roman" w:cs="Times New Roman" w:eastAsia="Times New Roman" w:hAnsi="Times New Roman"/>
          <w:sz w:val="22"/>
          <w:szCs w:val="22"/>
          <w:color w:val="auto"/>
        </w:rPr>
        <w:t>Subject to acceleration as described in Section 2 of the Award Agreement, and if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not experienced a separation from service as an Employee prior to the applicable vesting date, then the Restricted Stock Units shall vest as follows: [alternate vesting schedules permissible]</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[____________].</w:t>
      </w:r>
    </w:p>
    <w:p>
      <w:pPr>
        <w:spacing w:after="0" w:line="269" w:lineRule="exact"/>
        <w:rPr>
          <w:sz w:val="20"/>
          <w:szCs w:val="20"/>
          <w:color w:val="auto"/>
        </w:rPr>
      </w:pPr>
    </w:p>
    <w:p>
      <w:pPr>
        <w:jc w:val="both"/>
        <w:ind w:firstLine="647"/>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ADDITIONAL TERMS/ACKNOWLEDGEMENTS: </w:t>
      </w:r>
      <w:r>
        <w:rPr>
          <w:rFonts w:ascii="Times New Roman" w:cs="Times New Roman" w:eastAsia="Times New Roman" w:hAnsi="Times New Roman"/>
          <w:sz w:val="22"/>
          <w:szCs w:val="22"/>
          <w:color w:val="auto"/>
        </w:rPr>
        <w:t>By accepting the Award, Participant acknowledges receipt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understands and agrees to, this Grant Notice, the Award Agreement, and the Plan. Participant further acknowledges that this Grant Notice, the Award Agreement, and the Plan contain the entire understanding between Participant and the Company about the Award of the Restricted Stock Units and the Common Stock subject to the Restricted Stock Units and supersede all prior oral and written agreements on that subject except (i) awards previously granted to Participant under the Plan, and (ii) the following agreements only:</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OTHER AGREEMENTS:</w:t>
      </w:r>
    </w:p>
    <w:p>
      <w:pPr>
        <w:spacing w:after="0" w:line="259" w:lineRule="exact"/>
        <w:rPr>
          <w:sz w:val="20"/>
          <w:szCs w:val="20"/>
          <w:color w:val="auto"/>
        </w:rPr>
      </w:pPr>
    </w:p>
    <w:p>
      <w:pPr>
        <w:ind w:right="220" w:firstLine="216"/>
        <w:spacing w:after="0" w:line="265" w:lineRule="auto"/>
        <w:rPr>
          <w:sz w:val="20"/>
          <w:szCs w:val="20"/>
          <w:color w:val="auto"/>
        </w:rPr>
      </w:pPr>
      <w:r>
        <w:rPr>
          <w:rFonts w:ascii="Times New Roman" w:cs="Times New Roman" w:eastAsia="Times New Roman" w:hAnsi="Times New Roman"/>
          <w:sz w:val="22"/>
          <w:szCs w:val="22"/>
          <w:b w:val="1"/>
          <w:bCs w:val="1"/>
          <w:color w:val="auto"/>
        </w:rPr>
        <w:t>STANDARDS OF BUSINESS CONDUCT</w:t>
      </w:r>
      <w:r>
        <w:rPr>
          <w:rFonts w:ascii="Times New Roman" w:cs="Times New Roman" w:eastAsia="Times New Roman" w:hAnsi="Times New Roman"/>
          <w:sz w:val="22"/>
          <w:szCs w:val="22"/>
          <w:color w:val="auto"/>
        </w:rPr>
        <w:t>: By accepting this Award, Participant further acknowledges that Participant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read and understands, and reaffirms Participant’s obligations under, the Company’s Standards of Business Conduct, including without limitation, with respect to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0" w:right="339" w:bottom="1440" w:gutter="0" w:footer="0" w:header="0"/>
        </w:sectPr>
      </w:pPr>
    </w:p>
    <w:bookmarkStart w:id="264" w:name="page265"/>
    <w:bookmarkEnd w:id="264"/>
    <w:p>
      <w:pPr>
        <w:jc w:val="center"/>
        <w:spacing w:after="0"/>
        <w:rPr>
          <w:sz w:val="20"/>
          <w:szCs w:val="20"/>
          <w:color w:val="auto"/>
        </w:rPr>
      </w:pPr>
      <w:r>
        <w:rPr>
          <w:rFonts w:ascii="Times New Roman" w:cs="Times New Roman" w:eastAsia="Times New Roman" w:hAnsi="Times New Roman"/>
          <w:sz w:val="22"/>
          <w:szCs w:val="22"/>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INCENTIVE AWARD PLAN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(STOCK-SETTLED) AWARD AGREEMENT</w:t>
      </w:r>
    </w:p>
    <w:p>
      <w:pPr>
        <w:spacing w:after="0" w:line="229" w:lineRule="exact"/>
        <w:rPr>
          <w:sz w:val="20"/>
          <w:szCs w:val="20"/>
          <w:color w:val="auto"/>
        </w:rPr>
      </w:pPr>
    </w:p>
    <w:p>
      <w:pPr>
        <w:jc w:val="both"/>
        <w:ind w:firstLine="647"/>
        <w:spacing w:after="0" w:line="251" w:lineRule="auto"/>
        <w:rPr>
          <w:sz w:val="20"/>
          <w:szCs w:val="20"/>
          <w:color w:val="auto"/>
        </w:rPr>
      </w:pPr>
      <w:r>
        <w:rPr>
          <w:rFonts w:ascii="Times New Roman" w:cs="Times New Roman" w:eastAsia="Times New Roman" w:hAnsi="Times New Roman"/>
          <w:sz w:val="22"/>
          <w:szCs w:val="22"/>
          <w:color w:val="auto"/>
        </w:rPr>
        <w:t>Pursuant to the Restricted Stock Unit (Stock-Settled) Award Grant Notice (“</w:t>
      </w:r>
      <w:r>
        <w:rPr>
          <w:rFonts w:ascii="Times New Roman" w:cs="Times New Roman" w:eastAsia="Times New Roman" w:hAnsi="Times New Roman"/>
          <w:sz w:val="22"/>
          <w:szCs w:val="22"/>
          <w:b w:val="1"/>
          <w:bCs w:val="1"/>
          <w:i w:val="1"/>
          <w:iCs w:val="1"/>
          <w:color w:val="auto"/>
        </w:rPr>
        <w:t>Grant Notice</w:t>
      </w:r>
      <w:r>
        <w:rPr>
          <w:rFonts w:ascii="Times New Roman" w:cs="Times New Roman" w:eastAsia="Times New Roman" w:hAnsi="Times New Roman"/>
          <w:sz w:val="22"/>
          <w:szCs w:val="22"/>
          <w:color w:val="auto"/>
        </w:rPr>
        <w:t>”) and this Restricted Stock Unit (Stock-Settled) Award Agreement (“</w:t>
      </w:r>
      <w:r>
        <w:rPr>
          <w:rFonts w:ascii="Times New Roman" w:cs="Times New Roman" w:eastAsia="Times New Roman" w:hAnsi="Times New Roman"/>
          <w:sz w:val="22"/>
          <w:szCs w:val="22"/>
          <w:b w:val="1"/>
          <w:bCs w:val="1"/>
          <w:i w:val="1"/>
          <w:iCs w:val="1"/>
          <w:color w:val="auto"/>
        </w:rPr>
        <w:t>Award Agreement</w:t>
      </w:r>
      <w:r>
        <w:rPr>
          <w:rFonts w:ascii="Times New Roman" w:cs="Times New Roman" w:eastAsia="Times New Roman" w:hAnsi="Times New Roman"/>
          <w:sz w:val="22"/>
          <w:szCs w:val="22"/>
          <w:color w:val="auto"/>
        </w:rPr>
        <w:t>”), American Airlines Group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awarded Participant a Restricted Stock Unit Award under its 2023 Incentive Award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for the number of Restricted Stock Units (“</w:t>
      </w:r>
      <w:r>
        <w:rPr>
          <w:rFonts w:ascii="Times New Roman" w:cs="Times New Roman" w:eastAsia="Times New Roman" w:hAnsi="Times New Roman"/>
          <w:sz w:val="22"/>
          <w:szCs w:val="22"/>
          <w:b w:val="1"/>
          <w:bCs w:val="1"/>
          <w:i w:val="1"/>
          <w:iCs w:val="1"/>
          <w:color w:val="auto"/>
        </w:rPr>
        <w:t>Restricted Stock Units</w:t>
      </w:r>
      <w:r>
        <w:rPr>
          <w:rFonts w:ascii="Times New Roman" w:cs="Times New Roman" w:eastAsia="Times New Roman" w:hAnsi="Times New Roman"/>
          <w:sz w:val="22"/>
          <w:szCs w:val="22"/>
          <w:color w:val="auto"/>
        </w:rPr>
        <w:t>”) indicated in the Grant Notice (collectively, the “</w:t>
      </w:r>
      <w:r>
        <w:rPr>
          <w:rFonts w:ascii="Times New Roman" w:cs="Times New Roman" w:eastAsia="Times New Roman" w:hAnsi="Times New Roman"/>
          <w:sz w:val="22"/>
          <w:szCs w:val="22"/>
          <w:b w:val="1"/>
          <w:bCs w:val="1"/>
          <w:i w:val="1"/>
          <w:iCs w:val="1"/>
          <w:color w:val="auto"/>
        </w:rPr>
        <w:t>Award</w:t>
      </w:r>
      <w:r>
        <w:rPr>
          <w:rFonts w:ascii="Times New Roman" w:cs="Times New Roman" w:eastAsia="Times New Roman" w:hAnsi="Times New Roman"/>
          <w:sz w:val="22"/>
          <w:szCs w:val="22"/>
          <w:color w:val="auto"/>
        </w:rPr>
        <w:t>”). Terms not defined in this Award Agreement but defined in the Plan have the same definitions as in the Plan.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details of Participant’s Award are as follows:</w:t>
      </w:r>
    </w:p>
    <w:p>
      <w:pPr>
        <w:spacing w:after="0" w:line="242" w:lineRule="exact"/>
        <w:rPr>
          <w:sz w:val="20"/>
          <w:szCs w:val="20"/>
          <w:color w:val="auto"/>
        </w:rPr>
      </w:pPr>
    </w:p>
    <w:p>
      <w:pPr>
        <w:jc w:val="both"/>
        <w:ind w:left="160" w:firstLine="657"/>
        <w:spacing w:after="0" w:line="250" w:lineRule="auto"/>
        <w:tabs>
          <w:tab w:leader="none" w:pos="1293" w:val="left"/>
        </w:tabs>
        <w:numPr>
          <w:ilvl w:val="0"/>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NUMBER OF RESTRICTED STOCK UNITS AND SHARES OF COMMON STOCK</w:t>
      </w:r>
      <w:r>
        <w:rPr>
          <w:rFonts w:ascii="Times New Roman" w:cs="Times New Roman" w:eastAsia="Times New Roman" w:hAnsi="Times New Roman"/>
          <w:sz w:val="22"/>
          <w:szCs w:val="22"/>
          <w:color w:val="auto"/>
        </w:rPr>
        <w:t>. The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subject to Participant’s Award is stated in the Grant Notice. Each Restricted Stock Unit represents the right to receive one share of common stock of the Company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The number of Restricted Stock Units subject to Participant’s Award and the number of shares of Common Stock deliverable with respect to the Restricted Stock Units are subject to capitalization adjustments as described in Article IX of the Plan.</w:t>
      </w:r>
    </w:p>
    <w:p>
      <w:pPr>
        <w:spacing w:after="0" w:line="219" w:lineRule="exact"/>
        <w:rPr>
          <w:rFonts w:ascii="Times New Roman" w:cs="Times New Roman" w:eastAsia="Times New Roman" w:hAnsi="Times New Roman"/>
          <w:sz w:val="22"/>
          <w:szCs w:val="22"/>
          <w:b w:val="1"/>
          <w:bCs w:val="1"/>
          <w:color w:val="auto"/>
        </w:rPr>
      </w:pPr>
    </w:p>
    <w:p>
      <w:pPr>
        <w:ind w:left="160" w:right="20" w:firstLine="657"/>
        <w:spacing w:after="0" w:line="274" w:lineRule="auto"/>
        <w:tabs>
          <w:tab w:leader="none" w:pos="1293" w:val="left"/>
        </w:tabs>
        <w:numPr>
          <w:ilvl w:val="0"/>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 The Restricted Stock Units shall vest, if at all, as provided in the vesting schedule in the Grant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w:t>
      </w:r>
    </w:p>
    <w:p>
      <w:pPr>
        <w:spacing w:after="0" w:line="181" w:lineRule="exact"/>
        <w:rPr>
          <w:rFonts w:ascii="Times New Roman" w:cs="Times New Roman" w:eastAsia="Times New Roman" w:hAnsi="Times New Roman"/>
          <w:sz w:val="22"/>
          <w:szCs w:val="22"/>
          <w:b w:val="1"/>
          <w:bCs w:val="1"/>
          <w:color w:val="auto"/>
        </w:rPr>
      </w:pPr>
    </w:p>
    <w:p>
      <w:pPr>
        <w:ind w:left="1940" w:hanging="638"/>
        <w:spacing w:after="0"/>
        <w:tabs>
          <w:tab w:leader="none" w:pos="1940"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2(b) and (c) below, vesting shall cease upon Participant’s Termination of</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w:t>
      </w:r>
    </w:p>
    <w:p>
      <w:pPr>
        <w:spacing w:after="0" w:line="221" w:lineRule="exact"/>
        <w:rPr>
          <w:rFonts w:ascii="Times New Roman" w:cs="Times New Roman" w:eastAsia="Times New Roman" w:hAnsi="Times New Roman"/>
          <w:sz w:val="22"/>
          <w:szCs w:val="22"/>
          <w:color w:val="auto"/>
        </w:rPr>
      </w:pPr>
    </w:p>
    <w:p>
      <w:pPr>
        <w:jc w:val="both"/>
        <w:ind w:firstLine="1302"/>
        <w:spacing w:after="0" w:line="263" w:lineRule="auto"/>
        <w:tabs>
          <w:tab w:leader="none" w:pos="1937"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vesting of all Restricted Stock Units shall be fully accelerated (i) if Participant incurs a Termination of Service because of Participant’s death or Disability, or (ii) in the event of a Change in Control that occurs after the Date of Grant while Participant is a Service Provider; and</w:t>
      </w:r>
    </w:p>
    <w:p>
      <w:pPr>
        <w:spacing w:after="0" w:line="193" w:lineRule="exact"/>
        <w:rPr>
          <w:rFonts w:ascii="Times New Roman" w:cs="Times New Roman" w:eastAsia="Times New Roman" w:hAnsi="Times New Roman"/>
          <w:sz w:val="22"/>
          <w:szCs w:val="22"/>
          <w:color w:val="auto"/>
        </w:rPr>
      </w:pPr>
    </w:p>
    <w:p>
      <w:pPr>
        <w:ind w:firstLine="1302"/>
        <w:spacing w:after="0" w:line="270" w:lineRule="auto"/>
        <w:tabs>
          <w:tab w:leader="none" w:pos="1938"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vesting of all Restricted Stock Units may be fully accelerated by the Administrator, in its discretion, upon Participant’s Retirement (as defined below).</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Award Agreement and the Award, Disability shall mean “disability” within the meaning of Section</w:t>
      </w:r>
    </w:p>
    <w:p>
      <w:pPr>
        <w:spacing w:after="0" w:line="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409A of the Internal Revenue Code of 1986, as amended, and the Treasury regulations and other interpretive guidance promulgated thereunder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The Administrator shall determine whether a Disability exists and the determination shall be conclusive. Further, for purposes of this Award Agreement and the Award, “</w:t>
      </w:r>
      <w:r>
        <w:rPr>
          <w:rFonts w:ascii="Times New Roman" w:cs="Times New Roman" w:eastAsia="Times New Roman" w:hAnsi="Times New Roman"/>
          <w:sz w:val="22"/>
          <w:szCs w:val="22"/>
          <w:b w:val="1"/>
          <w:bCs w:val="1"/>
          <w:i w:val="1"/>
          <w:iCs w:val="1"/>
          <w:color w:val="auto"/>
        </w:rPr>
        <w:t>Retirement</w:t>
      </w:r>
      <w:r>
        <w:rPr>
          <w:rFonts w:ascii="Times New Roman" w:cs="Times New Roman" w:eastAsia="Times New Roman" w:hAnsi="Times New Roman"/>
          <w:sz w:val="22"/>
          <w:szCs w:val="22"/>
          <w:color w:val="auto"/>
        </w:rPr>
        <w:t>” shall mean Participant’s Termination of Service on or after age 65.</w:t>
      </w:r>
    </w:p>
    <w:p>
      <w:pPr>
        <w:spacing w:after="0" w:line="205" w:lineRule="exact"/>
        <w:rPr>
          <w:sz w:val="20"/>
          <w:szCs w:val="20"/>
          <w:color w:val="auto"/>
        </w:rPr>
      </w:pPr>
    </w:p>
    <w:p>
      <w:pPr>
        <w:ind w:left="160" w:firstLine="657"/>
        <w:spacing w:after="0" w:line="274" w:lineRule="auto"/>
        <w:tabs>
          <w:tab w:leader="none" w:pos="1293"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DIVIDENDS</w:t>
      </w:r>
      <w:r>
        <w:rPr>
          <w:rFonts w:ascii="Times New Roman" w:cs="Times New Roman" w:eastAsia="Times New Roman" w:hAnsi="Times New Roman"/>
          <w:sz w:val="22"/>
          <w:szCs w:val="22"/>
          <w:color w:val="auto"/>
        </w:rPr>
        <w:t>. Participant will be entitled to receive payments equal to any cash dividends and other distributions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paid with respect to a corresponding number of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6" w:right="339" w:bottom="1440" w:gutter="0" w:footer="0" w:header="0"/>
        </w:sectPr>
      </w:pPr>
    </w:p>
    <w:bookmarkStart w:id="265" w:name="page266"/>
    <w:bookmarkEnd w:id="265"/>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Stock Units subject to Participant’s Award;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if any dividends or distributions are paid in shares, those shares will be converted into additional Restricted Stock Units covered by the Award; and </w:t>
      </w:r>
      <w:r>
        <w:rPr>
          <w:rFonts w:ascii="Times New Roman" w:cs="Times New Roman" w:eastAsia="Times New Roman" w:hAnsi="Times New Roman"/>
          <w:sz w:val="22"/>
          <w:szCs w:val="22"/>
          <w:i w:val="1"/>
          <w:iCs w:val="1"/>
          <w:color w:val="auto"/>
        </w:rPr>
        <w:t>further provided that</w:t>
      </w:r>
      <w:r>
        <w:rPr>
          <w:rFonts w:ascii="Times New Roman" w:cs="Times New Roman" w:eastAsia="Times New Roman" w:hAnsi="Times New Roman"/>
          <w:sz w:val="22"/>
          <w:szCs w:val="22"/>
          <w:color w:val="auto"/>
        </w:rPr>
        <w:t xml:space="preserve"> the additional Restricted Stock Units will be subject to the same forfeiture restrictions, restrictions on transferability, and time and manner of delivery as apply to the other Restricted Stock Units upon which the dividends or distributions were paid and Common Stock subject to Participant’s Award. If any cash dividend is paid on a share of Common Stock prior to the full vesting of the Restricted Stock Units subject to this Award or any other award, Participant will become entitled to receive such cash dividend with respect to each unvested Restricted Stock Unit or other award on the date on which such Restricted Stock Unit or other award vests, and any such cash dividend will be paid to Participant within ten (10) business days following the date on which the share(s) underlying such Restricted Stock Unit or other award are issued.</w:t>
      </w:r>
    </w:p>
    <w:p>
      <w:pPr>
        <w:spacing w:after="0" w:line="204" w:lineRule="exact"/>
        <w:rPr>
          <w:sz w:val="20"/>
          <w:szCs w:val="20"/>
          <w:color w:val="auto"/>
        </w:rPr>
      </w:pPr>
    </w:p>
    <w:p>
      <w:pPr>
        <w:jc w:val="both"/>
        <w:ind w:firstLine="657"/>
        <w:spacing w:after="0" w:line="250" w:lineRule="auto"/>
        <w:tabs>
          <w:tab w:leader="none" w:pos="1133"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The Award was granted in consideration of Participant’s services to the Company.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10 below, Participant will not be required to make any payment to the Company (other than Participant’s past and future services to the Company) with respect to Participant’s receipt of the Award, vesting of the Restricted Stock Units, or the delivery of the shares of Common Stock subject to the Restricted Stock Units, other than any required Applicable Withholding Taxes (as defined below). For purposes of this Award Agreement and the Award, “</w:t>
      </w:r>
      <w:r>
        <w:rPr>
          <w:rFonts w:ascii="Times New Roman" w:cs="Times New Roman" w:eastAsia="Times New Roman" w:hAnsi="Times New Roman"/>
          <w:sz w:val="22"/>
          <w:szCs w:val="22"/>
          <w:b w:val="1"/>
          <w:bCs w:val="1"/>
          <w:i w:val="1"/>
          <w:iCs w:val="1"/>
          <w:color w:val="auto"/>
        </w:rPr>
        <w:t>Applicable Withholding Taxes</w:t>
      </w:r>
      <w:r>
        <w:rPr>
          <w:rFonts w:ascii="Times New Roman" w:cs="Times New Roman" w:eastAsia="Times New Roman" w:hAnsi="Times New Roman"/>
          <w:sz w:val="22"/>
          <w:szCs w:val="22"/>
          <w:color w:val="auto"/>
        </w:rPr>
        <w:t>” shall mean the aggregate amount of federal, state, and local income and employment taxes that the Company is required to withhold in connection with the Award.</w:t>
      </w:r>
    </w:p>
    <w:p>
      <w:pPr>
        <w:spacing w:after="0" w:line="204" w:lineRule="exact"/>
        <w:rPr>
          <w:rFonts w:ascii="Times New Roman" w:cs="Times New Roman" w:eastAsia="Times New Roman" w:hAnsi="Times New Roman"/>
          <w:sz w:val="22"/>
          <w:szCs w:val="22"/>
          <w:b w:val="1"/>
          <w:bCs w:val="1"/>
          <w:color w:val="auto"/>
        </w:rPr>
      </w:pPr>
    </w:p>
    <w:p>
      <w:pPr>
        <w:jc w:val="both"/>
        <w:ind w:firstLine="657"/>
        <w:spacing w:after="0" w:line="254" w:lineRule="auto"/>
        <w:tabs>
          <w:tab w:leader="none" w:pos="1133"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DELIVERY OF SHARES</w:t>
      </w:r>
      <w:r>
        <w:rPr>
          <w:rFonts w:ascii="Times New Roman" w:cs="Times New Roman" w:eastAsia="Times New Roman" w:hAnsi="Times New Roman"/>
          <w:sz w:val="22"/>
          <w:szCs w:val="22"/>
          <w:color w:val="auto"/>
        </w:rPr>
        <w:t>. Subject to Section 10 below, any Restricted Stock Units that vest shall be converted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into shares of Common Stock, and the Company will deliver to a broker designated by the Company (the “</w:t>
      </w:r>
      <w:r>
        <w:rPr>
          <w:rFonts w:ascii="Times New Roman" w:cs="Times New Roman" w:eastAsia="Times New Roman" w:hAnsi="Times New Roman"/>
          <w:sz w:val="22"/>
          <w:szCs w:val="22"/>
          <w:b w:val="1"/>
          <w:bCs w:val="1"/>
          <w:i w:val="1"/>
          <w:iCs w:val="1"/>
          <w:color w:val="auto"/>
        </w:rPr>
        <w:t>Designated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Broker</w:t>
      </w:r>
      <w:r>
        <w:rPr>
          <w:rFonts w:ascii="Times New Roman" w:cs="Times New Roman" w:eastAsia="Times New Roman" w:hAnsi="Times New Roman"/>
          <w:sz w:val="22"/>
          <w:szCs w:val="22"/>
          <w:color w:val="auto"/>
        </w:rPr>
        <w:t>”), on Participant’s behalf, no later than March 15 of the year following the year of vesting, a number of shares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Common Stock equal to the number of such Restricted Stock Units subject to Participant’s Award that vested. The Company shall determine the form of delivery of the shares of Common Stock subject to Participant’s Award.</w:t>
      </w:r>
    </w:p>
    <w:p>
      <w:pPr>
        <w:spacing w:after="0" w:line="198" w:lineRule="exact"/>
        <w:rPr>
          <w:rFonts w:ascii="Times New Roman" w:cs="Times New Roman" w:eastAsia="Times New Roman" w:hAnsi="Times New Roman"/>
          <w:sz w:val="22"/>
          <w:szCs w:val="22"/>
          <w:b w:val="1"/>
          <w:bCs w:val="1"/>
          <w:color w:val="auto"/>
        </w:rPr>
      </w:pPr>
    </w:p>
    <w:p>
      <w:pPr>
        <w:jc w:val="both"/>
        <w:ind w:firstLine="657"/>
        <w:spacing w:after="0" w:line="254" w:lineRule="auto"/>
        <w:tabs>
          <w:tab w:leader="none" w:pos="1133"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COMPLIANCE WITH APPLICABLE LAW. </w:t>
      </w:r>
      <w:r>
        <w:rPr>
          <w:rFonts w:ascii="Times New Roman" w:cs="Times New Roman" w:eastAsia="Times New Roman" w:hAnsi="Times New Roman"/>
          <w:sz w:val="22"/>
          <w:szCs w:val="22"/>
          <w:color w:val="auto"/>
        </w:rPr>
        <w:t>Participant will not be issued any shares of Common Stock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Participant’s Award unless either (i) the shares are registered under the Securities Act, or (ii) the Company has determined that the issuance would be exempt from the registration requirements of the Securities Act. Participant’s Award is also subject to the provisions of Section 10.8 of the Plan on compliance with all applicable laws, regulations of governmental authorities, and, if applicable, the requirements of any exchange on which the Common Stock is listed or traded.</w:t>
      </w:r>
    </w:p>
    <w:p>
      <w:pPr>
        <w:spacing w:after="0" w:line="198" w:lineRule="exact"/>
        <w:rPr>
          <w:rFonts w:ascii="Times New Roman" w:cs="Times New Roman" w:eastAsia="Times New Roman" w:hAnsi="Times New Roman"/>
          <w:sz w:val="22"/>
          <w:szCs w:val="22"/>
          <w:b w:val="1"/>
          <w:bCs w:val="1"/>
          <w:color w:val="auto"/>
        </w:rPr>
      </w:pPr>
    </w:p>
    <w:p>
      <w:pPr>
        <w:ind w:firstLine="657"/>
        <w:spacing w:after="0" w:line="274" w:lineRule="auto"/>
        <w:tabs>
          <w:tab w:leader="none" w:pos="1133"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TRANSFER RESTRICTIONS</w:t>
      </w:r>
      <w:r>
        <w:rPr>
          <w:rFonts w:ascii="Times New Roman" w:cs="Times New Roman" w:eastAsia="Times New Roman" w:hAnsi="Times New Roman"/>
          <w:sz w:val="22"/>
          <w:szCs w:val="22"/>
          <w:color w:val="auto"/>
        </w:rPr>
        <w:t>. The Restricted Stock Units shall be subject to the restrictions on transferability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in Section 10.1 of the Plan.</w:t>
      </w:r>
    </w:p>
    <w:p>
      <w:pPr>
        <w:spacing w:after="0" w:line="177" w:lineRule="exact"/>
        <w:rPr>
          <w:rFonts w:ascii="Times New Roman" w:cs="Times New Roman" w:eastAsia="Times New Roman" w:hAnsi="Times New Roman"/>
          <w:sz w:val="22"/>
          <w:szCs w:val="22"/>
          <w:b w:val="1"/>
          <w:bCs w:val="1"/>
          <w:color w:val="auto"/>
        </w:rPr>
      </w:pPr>
    </w:p>
    <w:p>
      <w:pPr>
        <w:jc w:val="both"/>
        <w:ind w:firstLine="657"/>
        <w:spacing w:after="0" w:line="265" w:lineRule="auto"/>
        <w:tabs>
          <w:tab w:leader="none" w:pos="1133"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NOT A SERVICE CONTRACT</w:t>
      </w:r>
      <w:r>
        <w:rPr>
          <w:rFonts w:ascii="Times New Roman" w:cs="Times New Roman" w:eastAsia="Times New Roman" w:hAnsi="Times New Roman"/>
          <w:sz w:val="22"/>
          <w:szCs w:val="22"/>
          <w:color w:val="auto"/>
        </w:rPr>
        <w:t>. Participant’s Award is not an employment or service contract,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Participant’s Award shall be deemed to create in any way whatsoever any obligation on Participant’s part to continue in the service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80"/>
          </w:cols>
          <w:pgMar w:left="480" w:top="1416" w:right="339" w:bottom="1440" w:gutter="0" w:footer="0" w:header="0"/>
        </w:sectPr>
      </w:pPr>
    </w:p>
    <w:bookmarkStart w:id="266" w:name="page267"/>
    <w:bookmarkEnd w:id="266"/>
    <w:p>
      <w:pPr>
        <w:jc w:val="both"/>
        <w:ind w:left="160"/>
        <w:spacing w:after="0" w:line="256" w:lineRule="auto"/>
        <w:rPr>
          <w:sz w:val="20"/>
          <w:szCs w:val="20"/>
          <w:color w:val="auto"/>
        </w:rPr>
      </w:pPr>
      <w:r>
        <w:rPr>
          <w:rFonts w:ascii="Times New Roman" w:cs="Times New Roman" w:eastAsia="Times New Roman" w:hAnsi="Times New Roman"/>
          <w:sz w:val="22"/>
          <w:szCs w:val="22"/>
          <w:color w:val="auto"/>
        </w:rPr>
        <w:t>Company or any Subsidiary, or on the part of the Company or any Subsidiary to continue Participant’s service. In addition, nothing in Participant’s Award shall obligate the Company or any Subsidiary, their respective stockholders, boards of directors, or employees to continue any relationship that Participant might have as an Employee or other Service Provider.</w:t>
      </w:r>
    </w:p>
    <w:p>
      <w:pPr>
        <w:spacing w:after="0" w:line="211" w:lineRule="exact"/>
        <w:rPr>
          <w:sz w:val="20"/>
          <w:szCs w:val="20"/>
          <w:color w:val="auto"/>
        </w:rPr>
      </w:pPr>
    </w:p>
    <w:p>
      <w:pPr>
        <w:jc w:val="both"/>
        <w:ind w:left="160" w:firstLine="657"/>
        <w:spacing w:after="0" w:line="250" w:lineRule="auto"/>
        <w:tabs>
          <w:tab w:leader="none" w:pos="1293"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UNSECURED OBLIGATION</w:t>
      </w:r>
      <w:r>
        <w:rPr>
          <w:rFonts w:ascii="Times New Roman" w:cs="Times New Roman" w:eastAsia="Times New Roman" w:hAnsi="Times New Roman"/>
          <w:sz w:val="22"/>
          <w:szCs w:val="22"/>
          <w:color w:val="auto"/>
        </w:rPr>
        <w:t>. Participant’s Award is unfunded, and even as a holder of vested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Units, Participant shall be considered an unsecured creditor of the Company with respect to the Company’s obligation, if any, to distribute shares of Common Stock pursuant to this Award Agreement. Participant shall not have voting or any other rights as a stockholder of the Company with respect to the Common Stock acquired pursuant to this Award Agreement until the Common Stock is issued to Participant. Nothing contained in this Award Agreement, and no action taken pursuant to its provisions, shall create or be construed to create a trust of any kind or a fiduciary relationship between Participant and the Company or any other person.</w:t>
      </w:r>
    </w:p>
    <w:p>
      <w:pPr>
        <w:spacing w:after="0" w:line="204" w:lineRule="exact"/>
        <w:rPr>
          <w:rFonts w:ascii="Times New Roman" w:cs="Times New Roman" w:eastAsia="Times New Roman" w:hAnsi="Times New Roman"/>
          <w:sz w:val="22"/>
          <w:szCs w:val="22"/>
          <w:b w:val="1"/>
          <w:bCs w:val="1"/>
          <w:color w:val="auto"/>
        </w:rPr>
      </w:pPr>
    </w:p>
    <w:p>
      <w:pPr>
        <w:ind w:left="1300" w:hanging="483"/>
        <w:spacing w:after="0"/>
        <w:tabs>
          <w:tab w:leader="none" w:pos="130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 OBLIGATIONS</w:t>
      </w:r>
      <w:r>
        <w:rPr>
          <w:rFonts w:ascii="Times New Roman" w:cs="Times New Roman" w:eastAsia="Times New Roman" w:hAnsi="Times New Roman"/>
          <w:sz w:val="22"/>
          <w:szCs w:val="22"/>
          <w:color w:val="auto"/>
        </w:rPr>
        <w:t>.</w:t>
      </w:r>
    </w:p>
    <w:p>
      <w:pPr>
        <w:spacing w:after="0" w:line="249" w:lineRule="exact"/>
        <w:rPr>
          <w:rFonts w:ascii="Times New Roman" w:cs="Times New Roman" w:eastAsia="Times New Roman" w:hAnsi="Times New Roman"/>
          <w:sz w:val="22"/>
          <w:szCs w:val="22"/>
          <w:b w:val="1"/>
          <w:bCs w:val="1"/>
          <w:color w:val="auto"/>
        </w:rPr>
      </w:pPr>
    </w:p>
    <w:p>
      <w:pPr>
        <w:jc w:val="both"/>
        <w:ind w:firstLine="1302"/>
        <w:spacing w:after="0" w:line="249" w:lineRule="auto"/>
        <w:tabs>
          <w:tab w:leader="none" w:pos="1938"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Participant becomes entitled to receive a distribution of shares of Common Stock pursuant to Participant’s Award, subject to subparagraph (c) below, Participant authorizes the delivery of the shares to the Designated Broker with instructions to (i) sell shares sufficient to satisfy the Applicable Withholding Taxes which arise in connection with such distribution, and (ii) remit the proceeds of such sale to the Company. In the event the sale proceeds are insufficient to fully satisfy the Applicable Withholding Taxes, Participant hereby authorizes withholding from payroll and any other amounts payable to Participant, in the same calendar year, and otherwise agrees to make adequate provision for any sums required to satisfy the Applicable Withholding Taxes.</w:t>
      </w:r>
    </w:p>
    <w:p>
      <w:pPr>
        <w:spacing w:after="0" w:line="212" w:lineRule="exact"/>
        <w:rPr>
          <w:rFonts w:ascii="Times New Roman" w:cs="Times New Roman" w:eastAsia="Times New Roman" w:hAnsi="Times New Roman"/>
          <w:sz w:val="22"/>
          <w:szCs w:val="22"/>
          <w:color w:val="auto"/>
        </w:rPr>
      </w:pPr>
    </w:p>
    <w:p>
      <w:pPr>
        <w:ind w:firstLine="1302"/>
        <w:spacing w:after="0" w:line="283" w:lineRule="auto"/>
        <w:tabs>
          <w:tab w:leader="none" w:pos="1937"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Participant’s request and subject to approval by the Company, in its sole discretion, Participant may submit cash, check, or its equivalent to the Company sufficient to satisfy the Applicable Withholding Taxes.</w:t>
      </w:r>
    </w:p>
    <w:p>
      <w:pPr>
        <w:spacing w:after="0" w:line="171" w:lineRule="exact"/>
        <w:rPr>
          <w:rFonts w:ascii="Times New Roman" w:cs="Times New Roman" w:eastAsia="Times New Roman" w:hAnsi="Times New Roman"/>
          <w:sz w:val="22"/>
          <w:szCs w:val="22"/>
          <w:color w:val="auto"/>
        </w:rPr>
      </w:pPr>
    </w:p>
    <w:p>
      <w:pPr>
        <w:jc w:val="both"/>
        <w:ind w:firstLine="1302"/>
        <w:spacing w:after="0" w:line="253" w:lineRule="auto"/>
        <w:tabs>
          <w:tab w:leader="none" w:pos="1938"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hereby authorizes the Company, in lieu of satisfaction of withholding obligations through the means described in subparagraphs (a) and (b) above, at the Company’s sole discretion, to withhold from fully vested shares of Common Stock otherwise issuable to Participant pursuant to Participant’s Award a number of whole shares of Common Stock having a Fair Market Value, determined by the Company as of the date of distribution, equal to the statutory minimum withholding obligation in respect of the shares otherwise issuable to Participant.</w:t>
      </w:r>
    </w:p>
    <w:p>
      <w:pPr>
        <w:spacing w:after="0" w:line="203" w:lineRule="exact"/>
        <w:rPr>
          <w:rFonts w:ascii="Times New Roman" w:cs="Times New Roman" w:eastAsia="Times New Roman" w:hAnsi="Times New Roman"/>
          <w:sz w:val="22"/>
          <w:szCs w:val="22"/>
          <w:color w:val="auto"/>
        </w:rPr>
      </w:pPr>
    </w:p>
    <w:p>
      <w:pPr>
        <w:jc w:val="both"/>
        <w:ind w:firstLine="1302"/>
        <w:spacing w:after="0" w:line="256" w:lineRule="auto"/>
        <w:tabs>
          <w:tab w:leader="none" w:pos="1937"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tax withholding obligations of the Company and/or any Subsidiary thereof are satisfied, the Company shall have no obligation to deliver any shares of Common Stock on Participant’s behalf pursuant to Participant’s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0" w:right="339" w:bottom="1440" w:gutter="0" w:footer="0" w:header="0"/>
        </w:sectPr>
      </w:pPr>
    </w:p>
    <w:bookmarkStart w:id="267" w:name="page268"/>
    <w:bookmarkEnd w:id="267"/>
    <w:p>
      <w:pPr>
        <w:jc w:val="both"/>
        <w:ind w:left="160" w:firstLine="657"/>
        <w:spacing w:after="0" w:line="257" w:lineRule="auto"/>
        <w:tabs>
          <w:tab w:leader="none" w:pos="1281"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notices provided for in Participant’s Award or the Plan shall be given in the manner designated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shall be deemed effectively given upon receipt or, in the case of notices delivered by the Company to Participant via United States mail, postage prepaid, addressed to Participant at the last address Participant provided to the Company, five days after such notice is deposited.</w:t>
      </w:r>
    </w:p>
    <w:p>
      <w:pPr>
        <w:spacing w:after="0" w:line="197" w:lineRule="exact"/>
        <w:rPr>
          <w:rFonts w:ascii="Times New Roman" w:cs="Times New Roman" w:eastAsia="Times New Roman" w:hAnsi="Times New Roman"/>
          <w:sz w:val="22"/>
          <w:szCs w:val="22"/>
          <w:b w:val="1"/>
          <w:bCs w:val="1"/>
          <w:color w:val="auto"/>
        </w:rPr>
      </w:pPr>
    </w:p>
    <w:p>
      <w:pPr>
        <w:ind w:left="1300" w:hanging="483"/>
        <w:spacing w:after="0"/>
        <w:tabs>
          <w:tab w:leader="none" w:pos="1300"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w:t>
      </w:r>
    </w:p>
    <w:p>
      <w:pPr>
        <w:spacing w:after="0" w:line="249" w:lineRule="exact"/>
        <w:rPr>
          <w:rFonts w:ascii="Times New Roman" w:cs="Times New Roman" w:eastAsia="Times New Roman" w:hAnsi="Times New Roman"/>
          <w:sz w:val="22"/>
          <w:szCs w:val="22"/>
          <w:b w:val="1"/>
          <w:bCs w:val="1"/>
          <w:color w:val="auto"/>
        </w:rPr>
      </w:pPr>
    </w:p>
    <w:p>
      <w:pPr>
        <w:jc w:val="both"/>
        <w:ind w:firstLine="1302"/>
        <w:spacing w:after="0" w:line="256" w:lineRule="auto"/>
        <w:tabs>
          <w:tab w:leader="none" w:pos="1938"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rights and obligations with respect to Participant’s Award shall be transferable by the Company to any one or more persons or entities, and all of Participant’s covenants and agreements shall inure to the benefit of, and be enforceable by, the Company’s successors and assigns.</w:t>
      </w:r>
    </w:p>
    <w:p>
      <w:pPr>
        <w:spacing w:after="0" w:line="215" w:lineRule="exact"/>
        <w:rPr>
          <w:rFonts w:ascii="Times New Roman" w:cs="Times New Roman" w:eastAsia="Times New Roman" w:hAnsi="Times New Roman"/>
          <w:sz w:val="22"/>
          <w:szCs w:val="22"/>
          <w:color w:val="auto"/>
        </w:rPr>
      </w:pPr>
    </w:p>
    <w:p>
      <w:pPr>
        <w:ind w:firstLine="1302"/>
        <w:spacing w:after="0" w:line="270" w:lineRule="auto"/>
        <w:tabs>
          <w:tab w:leader="none" w:pos="1937"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agrees to execute, upon request, any further documents or instruments necessary or desirable in the Company’s sole determination to carry out the purposes or intent of Participant’s Award.</w:t>
      </w:r>
    </w:p>
    <w:p>
      <w:pPr>
        <w:spacing w:after="0" w:line="185" w:lineRule="exact"/>
        <w:rPr>
          <w:rFonts w:ascii="Times New Roman" w:cs="Times New Roman" w:eastAsia="Times New Roman" w:hAnsi="Times New Roman"/>
          <w:sz w:val="22"/>
          <w:szCs w:val="22"/>
          <w:color w:val="auto"/>
        </w:rPr>
      </w:pPr>
    </w:p>
    <w:p>
      <w:pPr>
        <w:jc w:val="both"/>
        <w:ind w:firstLine="1302"/>
        <w:spacing w:after="0" w:line="256" w:lineRule="auto"/>
        <w:tabs>
          <w:tab w:leader="none" w:pos="1938"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acknowledges and agrees that Participant has reviewed this Award Agreement in its entirety, has had an opportunity to obtain the advice of counsel before executing and accepting this Award Agreement, and fully understands all provisions of this Award Agreement.</w:t>
      </w:r>
    </w:p>
    <w:p>
      <w:pPr>
        <w:spacing w:after="0" w:line="201" w:lineRule="exact"/>
        <w:rPr>
          <w:rFonts w:ascii="Times New Roman" w:cs="Times New Roman" w:eastAsia="Times New Roman" w:hAnsi="Times New Roman"/>
          <w:sz w:val="22"/>
          <w:szCs w:val="22"/>
          <w:color w:val="auto"/>
        </w:rPr>
      </w:pPr>
    </w:p>
    <w:p>
      <w:pPr>
        <w:ind w:firstLine="1302"/>
        <w:spacing w:after="0" w:line="283" w:lineRule="auto"/>
        <w:tabs>
          <w:tab w:leader="none" w:pos="1937"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will be subject to all applicable laws, rules, and regulations, and to any required governmental agency or national securities exchange approvals.</w:t>
      </w:r>
    </w:p>
    <w:p>
      <w:pPr>
        <w:spacing w:after="0" w:line="171" w:lineRule="exact"/>
        <w:rPr>
          <w:rFonts w:ascii="Times New Roman" w:cs="Times New Roman" w:eastAsia="Times New Roman" w:hAnsi="Times New Roman"/>
          <w:sz w:val="22"/>
          <w:szCs w:val="22"/>
          <w:color w:val="auto"/>
        </w:rPr>
      </w:pPr>
    </w:p>
    <w:p>
      <w:pPr>
        <w:jc w:val="both"/>
        <w:ind w:right="20" w:firstLine="1302"/>
        <w:spacing w:after="0" w:line="256" w:lineRule="auto"/>
        <w:tabs>
          <w:tab w:leader="none" w:pos="1938"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obligations under the Plan and this Award Agreement will be binding on any successor to the Company, whether the existence of the successor is the result of a direct or indirect purchase, merger, consolidation, or otherwise of all or substantially all of the Company’s business and/or assets.</w:t>
      </w:r>
    </w:p>
    <w:p>
      <w:pPr>
        <w:spacing w:after="0" w:line="201" w:lineRule="exact"/>
        <w:rPr>
          <w:rFonts w:ascii="Times New Roman" w:cs="Times New Roman" w:eastAsia="Times New Roman" w:hAnsi="Times New Roman"/>
          <w:sz w:val="22"/>
          <w:szCs w:val="22"/>
          <w:color w:val="auto"/>
        </w:rPr>
      </w:pPr>
    </w:p>
    <w:p>
      <w:pPr>
        <w:jc w:val="both"/>
        <w:ind w:firstLine="1302"/>
        <w:spacing w:after="0" w:line="251" w:lineRule="auto"/>
        <w:tabs>
          <w:tab w:leader="none" w:pos="1942"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accepting the Award, Participant acknowledges that the Award, along with any other equity award previously granted to Participant under the Company’s 2013 Incentive Award Plan (each, a “</w:t>
      </w:r>
      <w:r>
        <w:rPr>
          <w:rFonts w:ascii="Times New Roman" w:cs="Times New Roman" w:eastAsia="Times New Roman" w:hAnsi="Times New Roman"/>
          <w:sz w:val="22"/>
          <w:szCs w:val="22"/>
          <w:b w:val="1"/>
          <w:bCs w:val="1"/>
          <w:i w:val="1"/>
          <w:iCs w:val="1"/>
          <w:color w:val="auto"/>
        </w:rPr>
        <w:t>Prior Award</w:t>
      </w:r>
      <w:r>
        <w:rPr>
          <w:rFonts w:ascii="Times New Roman" w:cs="Times New Roman" w:eastAsia="Times New Roman" w:hAnsi="Times New Roman"/>
          <w:sz w:val="22"/>
          <w:szCs w:val="22"/>
          <w:color w:val="auto"/>
        </w:rPr>
        <w:t>”) (including the gross amount of any proceeds, gains or other economic benefit Participant actually or constructively receives upon receipt of the Award or a Prior Award, or the receipt or resale of any shares underlying the Award or a Prior Award) will be subject to recoupment by the Company to the extent required to comply with Applicable Law or any policy of the Company providing for the reimbursement of incentive compensation, whether or not such policy was in place at the time of grant of this Award or a Prior Award.</w:t>
      </w:r>
    </w:p>
    <w:p>
      <w:pPr>
        <w:spacing w:after="0" w:line="207" w:lineRule="exact"/>
        <w:rPr>
          <w:rFonts w:ascii="Times New Roman" w:cs="Times New Roman" w:eastAsia="Times New Roman" w:hAnsi="Times New Roman"/>
          <w:sz w:val="22"/>
          <w:szCs w:val="22"/>
          <w:color w:val="auto"/>
        </w:rPr>
      </w:pPr>
    </w:p>
    <w:p>
      <w:pPr>
        <w:ind w:left="160" w:firstLine="657"/>
        <w:spacing w:after="0" w:line="274" w:lineRule="auto"/>
        <w:tabs>
          <w:tab w:leader="none" w:pos="1293"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DATA PRIVACY WAIVER. </w:t>
      </w:r>
      <w:r>
        <w:rPr>
          <w:rFonts w:ascii="Times New Roman" w:cs="Times New Roman" w:eastAsia="Times New Roman" w:hAnsi="Times New Roman"/>
          <w:sz w:val="22"/>
          <w:szCs w:val="22"/>
          <w:color w:val="auto"/>
        </w:rPr>
        <w:t>By accepting the Award, Participant hereby agrees and consents to the data privacy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set forth in Section 11.8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6" w:right="339" w:bottom="1440" w:gutter="0" w:footer="0" w:header="0"/>
        </w:sectPr>
      </w:pPr>
    </w:p>
    <w:bookmarkStart w:id="268" w:name="page269"/>
    <w:bookmarkEnd w:id="268"/>
    <w:p>
      <w:pPr>
        <w:ind w:firstLine="657"/>
        <w:spacing w:after="0" w:line="274" w:lineRule="auto"/>
        <w:tabs>
          <w:tab w:leader="none" w:pos="1133"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HEADINGS</w:t>
      </w:r>
      <w:r>
        <w:rPr>
          <w:rFonts w:ascii="Times New Roman" w:cs="Times New Roman" w:eastAsia="Times New Roman" w:hAnsi="Times New Roman"/>
          <w:sz w:val="22"/>
          <w:szCs w:val="22"/>
          <w:color w:val="auto"/>
        </w:rPr>
        <w:t>. This Award Agreement’s section headings are for convenience only and shall not constitute a part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Award Agreement or affect this Award Agreement’s meaning.</w:t>
      </w:r>
    </w:p>
    <w:p>
      <w:pPr>
        <w:spacing w:after="0" w:line="177" w:lineRule="exact"/>
        <w:rPr>
          <w:rFonts w:ascii="Times New Roman" w:cs="Times New Roman" w:eastAsia="Times New Roman" w:hAnsi="Times New Roman"/>
          <w:sz w:val="22"/>
          <w:szCs w:val="22"/>
          <w:b w:val="1"/>
          <w:bCs w:val="1"/>
          <w:color w:val="auto"/>
        </w:rPr>
      </w:pPr>
    </w:p>
    <w:p>
      <w:pPr>
        <w:jc w:val="both"/>
        <w:ind w:firstLine="657"/>
        <w:spacing w:after="0" w:line="254" w:lineRule="auto"/>
        <w:tabs>
          <w:tab w:leader="none" w:pos="1133"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all or any part of this Award Agreement or the Plan is declared by any court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governmental authority to be unlawful or invalid, then that shall not invalidate any portion of this Award Agreement or the Plan not declared to be unlawful or invalid. Any section of this Award Agreement (or part of a section) declared to be unlawful or invalid shall, if possible, be construed in a manner that will give effect to the terms of the section (or part of a section) to the fullest extent possible while remaining lawful and valid.</w:t>
      </w:r>
    </w:p>
    <w:p>
      <w:pPr>
        <w:spacing w:after="0" w:line="198" w:lineRule="exact"/>
        <w:rPr>
          <w:rFonts w:ascii="Times New Roman" w:cs="Times New Roman" w:eastAsia="Times New Roman" w:hAnsi="Times New Roman"/>
          <w:sz w:val="22"/>
          <w:szCs w:val="22"/>
          <w:b w:val="1"/>
          <w:bCs w:val="1"/>
          <w:color w:val="auto"/>
        </w:rPr>
      </w:pPr>
    </w:p>
    <w:p>
      <w:pPr>
        <w:jc w:val="both"/>
        <w:ind w:firstLine="657"/>
        <w:spacing w:after="0" w:line="257" w:lineRule="auto"/>
        <w:tabs>
          <w:tab w:leader="none" w:pos="1133"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PLAN DOCUMENT</w:t>
      </w:r>
      <w:r>
        <w:rPr>
          <w:rFonts w:ascii="Times New Roman" w:cs="Times New Roman" w:eastAsia="Times New Roman" w:hAnsi="Times New Roman"/>
          <w:sz w:val="22"/>
          <w:szCs w:val="22"/>
          <w:color w:val="auto"/>
        </w:rPr>
        <w:t>. Participant’s Award is subject to all the provisions of the Plan,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of which are made a part of Participant’s Award, and is further subject to all interpretations, amendments, rules, and regulations which may be promulgated and adopted under the Plan. If there is a conflict between the provisions of Participant’s Award and those of the Plan, then the provisions of the Plan shall control.</w:t>
      </w:r>
    </w:p>
    <w:p>
      <w:pPr>
        <w:spacing w:after="0" w:line="197" w:lineRule="exact"/>
        <w:rPr>
          <w:rFonts w:ascii="Times New Roman" w:cs="Times New Roman" w:eastAsia="Times New Roman" w:hAnsi="Times New Roman"/>
          <w:sz w:val="22"/>
          <w:szCs w:val="22"/>
          <w:b w:val="1"/>
          <w:bCs w:val="1"/>
          <w:color w:val="auto"/>
        </w:rPr>
      </w:pPr>
    </w:p>
    <w:p>
      <w:pPr>
        <w:jc w:val="both"/>
        <w:ind w:firstLine="657"/>
        <w:spacing w:after="0" w:line="249" w:lineRule="auto"/>
        <w:tabs>
          <w:tab w:leader="none" w:pos="1133"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To the extent that the Administrator determines that the Award is subject to Section 409A,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any program pursuant to which the Award is granted, and this Award Agreement shall incorporate the terms and conditions required by Section 409A. In that regard, to the extent this Award or any other award under the Plan or any other compensatory plan or arrangement of the Company or any of its Subsidiaries is subject to Section 409A (collectively, “</w:t>
      </w:r>
      <w:r>
        <w:rPr>
          <w:rFonts w:ascii="Times New Roman" w:cs="Times New Roman" w:eastAsia="Times New Roman" w:hAnsi="Times New Roman"/>
          <w:sz w:val="22"/>
          <w:szCs w:val="22"/>
          <w:b w:val="1"/>
          <w:bCs w:val="1"/>
          <w:i w:val="1"/>
          <w:iCs w:val="1"/>
          <w:color w:val="auto"/>
        </w:rPr>
        <w:t>409A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Compliant Amounts</w:t>
      </w:r>
      <w:r>
        <w:rPr>
          <w:rFonts w:ascii="Times New Roman" w:cs="Times New Roman" w:eastAsia="Times New Roman" w:hAnsi="Times New Roman"/>
          <w:sz w:val="22"/>
          <w:szCs w:val="22"/>
          <w:color w:val="auto"/>
        </w:rPr>
        <w:t>”), and the 409A Compliant Amounts are payable on account of Participant’s Termination of Service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any similarly defined term), then (i) the 409A Compliant Amounts shall only be paid to the extent such Termination of Service qualifies as a “separation from service” as defined in Section 409A, and (ii) if the 409A Compliant Amounts are payable to a “specified employee” as defined in Section 409A then to the extent required in order to avoid a prohibited distribution under Section 409A, such 409A Compliant Amounts shall not be payable prior to the earlier of (x) the expiration of the six-month period measured from the date of Participant’s Termination of Service, or (y) the date of Participant’s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80"/>
          </w:cols>
          <w:pgMar w:left="480" w:top="1416" w:right="33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22"/>
          <w:szCs w:val="22"/>
          <w:color w:val="auto"/>
        </w:rPr>
        <w:t>Exhibit 10.130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AMERICAN AIRLINES GROUP, INC.</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SEVERANCE AGREEMENT FOR EXECUTIVES</w:t>
      </w:r>
    </w:p>
    <w:p>
      <w:pPr>
        <w:spacing w:after="0" w:line="217"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22"/>
          <w:szCs w:val="22"/>
          <w:color w:val="auto"/>
        </w:rPr>
        <w:t>This Severance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and entered into by and among Robert D. Isom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American Airlines Group, Inc., a Delaware corporation (“</w:t>
      </w:r>
      <w:r>
        <w:rPr>
          <w:rFonts w:ascii="Times New Roman" w:cs="Times New Roman" w:eastAsia="Times New Roman" w:hAnsi="Times New Roman"/>
          <w:sz w:val="22"/>
          <w:szCs w:val="22"/>
          <w:b w:val="1"/>
          <w:bCs w:val="1"/>
          <w:i w:val="1"/>
          <w:iCs w:val="1"/>
          <w:color w:val="auto"/>
        </w:rPr>
        <w:t>Group</w:t>
      </w:r>
      <w:r>
        <w:rPr>
          <w:rFonts w:ascii="Times New Roman" w:cs="Times New Roman" w:eastAsia="Times New Roman" w:hAnsi="Times New Roman"/>
          <w:sz w:val="22"/>
          <w:szCs w:val="22"/>
          <w:color w:val="auto"/>
        </w:rPr>
        <w:t>”), and American Airlines, Inc., a Delaware corporation and a wholly-owned subsidiary of Group (“</w:t>
      </w:r>
      <w:r>
        <w:rPr>
          <w:rFonts w:ascii="Times New Roman" w:cs="Times New Roman" w:eastAsia="Times New Roman" w:hAnsi="Times New Roman"/>
          <w:sz w:val="22"/>
          <w:szCs w:val="22"/>
          <w:b w:val="1"/>
          <w:bCs w:val="1"/>
          <w:i w:val="1"/>
          <w:iCs w:val="1"/>
          <w:color w:val="auto"/>
        </w:rPr>
        <w:t>American</w:t>
      </w:r>
      <w:r>
        <w:rPr>
          <w:rFonts w:ascii="Times New Roman" w:cs="Times New Roman" w:eastAsia="Times New Roman" w:hAnsi="Times New Roman"/>
          <w:sz w:val="22"/>
          <w:szCs w:val="22"/>
          <w:color w:val="auto"/>
        </w:rPr>
        <w:t>” and, together with Group,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effective as of the latest date set forth by the signatures of the parties hereto below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 E C I T A L S</w:t>
      </w:r>
    </w:p>
    <w:p>
      <w:pPr>
        <w:spacing w:after="0" w:line="219"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22"/>
          <w:szCs w:val="22"/>
          <w:color w:val="auto"/>
        </w:rPr>
        <w:t>A. The Company believes that it is imperative to provide Executive with severance benefits upon certain terminations of Executive’s service to the Company that enhance Executive’s financial security and provide incentive and encouragement to Executive to remain with the Company.</w:t>
      </w:r>
    </w:p>
    <w:p>
      <w:pPr>
        <w:spacing w:after="0" w:line="188" w:lineRule="exact"/>
        <w:rPr>
          <w:sz w:val="20"/>
          <w:szCs w:val="20"/>
          <w:color w:val="auto"/>
        </w:rPr>
      </w:pPr>
    </w:p>
    <w:p>
      <w:pPr>
        <w:ind w:left="660" w:right="1480" w:hanging="436"/>
        <w:spacing w:after="0" w:line="447" w:lineRule="auto"/>
        <w:tabs>
          <w:tab w:leader="none" w:pos="642"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defined herein, capitalized terms used in this Agreement are defined in Section 9 below. The parties hereto agree as follows:</w:t>
      </w:r>
    </w:p>
    <w:p>
      <w:pPr>
        <w:spacing w:after="0" w:line="1" w:lineRule="exact"/>
        <w:rPr>
          <w:rFonts w:ascii="Times New Roman" w:cs="Times New Roman" w:eastAsia="Times New Roman" w:hAnsi="Times New Roman"/>
          <w:sz w:val="22"/>
          <w:szCs w:val="22"/>
          <w:color w:val="auto"/>
        </w:rPr>
      </w:pPr>
    </w:p>
    <w:p>
      <w:pPr>
        <w:ind w:right="200" w:firstLine="8"/>
        <w:spacing w:after="0" w:line="270" w:lineRule="auto"/>
        <w:tabs>
          <w:tab w:leader="none" w:pos="647"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This Agreement shall become effective as of the Effective Date and terminate upon the date that all obligations of the parties hereto with respect to this Agreement have been satisfied.</w:t>
      </w:r>
    </w:p>
    <w:p>
      <w:pPr>
        <w:spacing w:after="0" w:line="158" w:lineRule="exact"/>
        <w:rPr>
          <w:rFonts w:ascii="Times New Roman" w:cs="Times New Roman" w:eastAsia="Times New Roman" w:hAnsi="Times New Roman"/>
          <w:sz w:val="22"/>
          <w:szCs w:val="22"/>
          <w:color w:val="auto"/>
        </w:rPr>
      </w:pPr>
    </w:p>
    <w:p>
      <w:pPr>
        <w:jc w:val="both"/>
        <w:ind w:firstLine="8"/>
        <w:spacing w:after="0" w:line="253" w:lineRule="auto"/>
        <w:tabs>
          <w:tab w:leader="none" w:pos="647"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Company and Executive acknowledge that Executive’s employment is and shall continue to be “at-will,” as defined under applicable law. If Executive’s employment terminates for any reason, Executive shall not be entitled to any payments, benefits, damages, awards or compensation other than as provided by this Agreement. Further, any termination of or changes in the terms or conditions of Executive’s employment shall not affect the covenants set forth in the Restrictive Covenants Agreement (as defined below), which shall remain in full force and effect pursuant to their terms.</w:t>
      </w:r>
    </w:p>
    <w:p>
      <w:pPr>
        <w:spacing w:after="0" w:line="176" w:lineRule="exact"/>
        <w:rPr>
          <w:rFonts w:ascii="Times New Roman" w:cs="Times New Roman" w:eastAsia="Times New Roman" w:hAnsi="Times New Roman"/>
          <w:sz w:val="22"/>
          <w:szCs w:val="22"/>
          <w:color w:val="auto"/>
        </w:rPr>
      </w:pPr>
    </w:p>
    <w:p>
      <w:pPr>
        <w:jc w:val="both"/>
        <w:ind w:firstLine="8"/>
        <w:spacing w:after="0" w:line="251" w:lineRule="auto"/>
        <w:tabs>
          <w:tab w:leader="none" w:pos="647"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Termination</w:t>
      </w:r>
      <w:r>
        <w:rPr>
          <w:rFonts w:ascii="Times New Roman" w:cs="Times New Roman" w:eastAsia="Times New Roman" w:hAnsi="Times New Roman"/>
          <w:sz w:val="22"/>
          <w:szCs w:val="22"/>
          <w:color w:val="auto"/>
        </w:rPr>
        <w:t xml:space="preserve">. If Executive experiences a Covered Termination, and delivers to the Company a general release of all claims against the Company and its affiliates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i w:val="1"/>
          <w:iCs w:val="1"/>
          <w:color w:val="auto"/>
        </w:rPr>
        <w:t>Release of Claims</w:t>
      </w:r>
      <w:r>
        <w:rPr>
          <w:rFonts w:ascii="Times New Roman" w:cs="Times New Roman" w:eastAsia="Times New Roman" w:hAnsi="Times New Roman"/>
          <w:sz w:val="22"/>
          <w:szCs w:val="22"/>
          <w:color w:val="auto"/>
        </w:rPr>
        <w:t>”) that becomes effective and irrevocable within sixty (60) days, or such shorter period of time specified by the Company, following such Covered Termination (the “</w:t>
      </w:r>
      <w:r>
        <w:rPr>
          <w:rFonts w:ascii="Times New Roman" w:cs="Times New Roman" w:eastAsia="Times New Roman" w:hAnsi="Times New Roman"/>
          <w:sz w:val="22"/>
          <w:szCs w:val="22"/>
          <w:b w:val="1"/>
          <w:bCs w:val="1"/>
          <w:i w:val="1"/>
          <w:iCs w:val="1"/>
          <w:color w:val="auto"/>
        </w:rPr>
        <w:t>Release Condition</w:t>
      </w:r>
      <w:r>
        <w:rPr>
          <w:rFonts w:ascii="Times New Roman" w:cs="Times New Roman" w:eastAsia="Times New Roman" w:hAnsi="Times New Roman"/>
          <w:sz w:val="22"/>
          <w:szCs w:val="22"/>
          <w:color w:val="auto"/>
        </w:rPr>
        <w:t>”), and continues to comply with the requirements set forth in Section 12, then in addition to any accrued but unpaid salary, bonus, benefits, vacation and expense reimbursement payable in accordance with applicable law, the Company shall provide Executive with the following:</w:t>
      </w:r>
    </w:p>
    <w:p>
      <w:pPr>
        <w:spacing w:after="0" w:line="179" w:lineRule="exact"/>
        <w:rPr>
          <w:sz w:val="20"/>
          <w:szCs w:val="20"/>
          <w:color w:val="auto"/>
        </w:rPr>
      </w:pPr>
    </w:p>
    <w:p>
      <w:pPr>
        <w:ind w:firstLine="655"/>
        <w:spacing w:after="0" w:line="283" w:lineRule="auto"/>
        <w:tabs>
          <w:tab w:leader="none" w:pos="129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Executive shall be entitled to receive a severance payment in an amount equal to the sum of (i) twenty-four (24) months of Executive’s base salary and (ii) two times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0" w:right="339" w:bottom="1440" w:gutter="0" w:footer="0" w:header="0"/>
        </w:sectPr>
      </w:pPr>
    </w:p>
    <w:bookmarkStart w:id="270" w:name="page271"/>
    <w:bookmarkEnd w:id="2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Executive’s target annual bonus assuming achievement of performance goals at target, in each case, at the rate in effect immediately prior to the Termination Date (in each case, without giving effect to any reduction in base salary that gives rise to a Covered Termination for Good Reason), less applicable withholdings. This severance payment shall be made to Executive in substantially equal installments over the twenty-four (24) months immediately following the date of the Covered Termination in accordance with the Company’s normal payroll procedures with the first such installment to be made on the first payroll date following the date the Release of Claims becomes effective and irrevocable, provided, that if the Covered Termination occurs after November 1 of any year, the first such installment shall be made on the first payroll date of the subsequent year and, provided further, that, in each case, the first installment shall include any installment payments that would have been made had such installments commenced on the first payroll date after the Covered Termination.</w:t>
      </w:r>
    </w:p>
    <w:p>
      <w:pPr>
        <w:spacing w:after="0" w:line="182" w:lineRule="exact"/>
        <w:rPr>
          <w:sz w:val="20"/>
          <w:szCs w:val="20"/>
          <w:color w:val="auto"/>
        </w:rPr>
      </w:pPr>
    </w:p>
    <w:p>
      <w:pPr>
        <w:jc w:val="both"/>
        <w:ind w:firstLine="655"/>
        <w:spacing w:after="0" w:line="250" w:lineRule="auto"/>
        <w:tabs>
          <w:tab w:leader="none" w:pos="129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Healthcare</w:t>
      </w:r>
      <w:r>
        <w:rPr>
          <w:rFonts w:ascii="Times New Roman" w:cs="Times New Roman" w:eastAsia="Times New Roman" w:hAnsi="Times New Roman"/>
          <w:sz w:val="22"/>
          <w:szCs w:val="22"/>
          <w:color w:val="auto"/>
        </w:rPr>
        <w:t>. As additional severance, Executive shall be entitled to receive a payment in an amount equal to the product of (i) twenty-four (24) multiplied by (ii) the monthly premium for continued healthcare coverage pursuant to the provisions of the Consolidated Omnibus Budget Reconciliation Act of 1985, as amended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for Executive and Executive’s covered dependents based on Executive’s elected healthcare coverage and COBRA premium rates, in each case, in effect as of the Termination Date, payable in a lump sum, less applicable withholdings, no later than the first regular payroll date following the date the Release of Claims becomes effective and irrevocable. Executive acknowledges that Executive shall be solely responsible for all matters relating to any continuation of coverage pursuant to COBRA, including, without limitation, Executive’s election of such coverage and Executive’s timely payment of premiums.</w:t>
      </w:r>
    </w:p>
    <w:p>
      <w:pPr>
        <w:spacing w:after="0" w:line="184" w:lineRule="exact"/>
        <w:rPr>
          <w:rFonts w:ascii="Times New Roman" w:cs="Times New Roman" w:eastAsia="Times New Roman" w:hAnsi="Times New Roman"/>
          <w:sz w:val="22"/>
          <w:szCs w:val="22"/>
          <w:color w:val="auto"/>
        </w:rPr>
      </w:pPr>
    </w:p>
    <w:p>
      <w:pPr>
        <w:jc w:val="both"/>
        <w:ind w:firstLine="655"/>
        <w:spacing w:after="0" w:line="253" w:lineRule="auto"/>
        <w:tabs>
          <w:tab w:leader="none" w:pos="129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Each outstanding and unvested equity award, including, without limitation, each restricted stock unit award, held by Executive shall remain outstanding following the Termination Date and continue to vest in accordance with its original vesting schedule during the twenty-four (24) month period immediately following the Termination Date without regard to any continued service requirements but, for any performance-based award, subject to the attainment of the performance goals applicable to such award.</w:t>
      </w:r>
    </w:p>
    <w:p>
      <w:pPr>
        <w:spacing w:after="0" w:line="176" w:lineRule="exact"/>
        <w:rPr>
          <w:rFonts w:ascii="Times New Roman" w:cs="Times New Roman" w:eastAsia="Times New Roman" w:hAnsi="Times New Roman"/>
          <w:sz w:val="22"/>
          <w:szCs w:val="22"/>
          <w:color w:val="auto"/>
        </w:rPr>
      </w:pPr>
    </w:p>
    <w:p>
      <w:pPr>
        <w:jc w:val="both"/>
        <w:ind w:firstLine="655"/>
        <w:spacing w:after="0" w:line="248" w:lineRule="auto"/>
        <w:tabs>
          <w:tab w:leader="none" w:pos="129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Travel Privileges</w:t>
      </w:r>
      <w:r>
        <w:rPr>
          <w:rFonts w:ascii="Times New Roman" w:cs="Times New Roman" w:eastAsia="Times New Roman" w:hAnsi="Times New Roman"/>
          <w:sz w:val="22"/>
          <w:szCs w:val="22"/>
          <w:color w:val="auto"/>
        </w:rPr>
        <w:t>. Executive previously vested into lifetime travel privileges that include unlimited reserved travel in any class of service for Executive and Executive’s immediate family, including eligible dependent children, for personal purposes, access to Admirals Club travel lounges and 12 free round-trip passes, or 24 free one-way passes, each year for reserved travel for non-eligible family members and friends. Executive’s right to travel privileges shall be subject to all applicable taxes pursuant to the Company’s then existing tax policies, and the Company will not provide any tax gross-up payments to Executive for taxes payable on such travels. The amount of travel privileges used by Executive in one year will not affect the amount of travel privileges Executive is entitled to use in any other year. The right to travel privileges provided in this Agreement is not subject to liquidation, cash out, or exchange for any other taxable or nontaxable benefit.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8"/>
        <w:spacing w:after="0" w:line="248" w:lineRule="auto"/>
        <w:tabs>
          <w:tab w:leader="none" w:pos="64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Termination During a Change in Control Period</w:t>
      </w:r>
      <w:r>
        <w:rPr>
          <w:rFonts w:ascii="Times New Roman" w:cs="Times New Roman" w:eastAsia="Times New Roman" w:hAnsi="Times New Roman"/>
          <w:sz w:val="22"/>
          <w:szCs w:val="22"/>
          <w:color w:val="auto"/>
        </w:rPr>
        <w:t>. If Executive experiences a Covered Termination at any time during the period commencing on a Change in Control and ending twenty-four (24) months following the Change in Control, and satisfies the Release Condition and continues to comply with the requirements set forth in Section 12, then in addition to the severance and other benefits Executive may be eligible for set forth in Section 3, each outstanding and unvested equity award including, without limitation, each restricted stock unit award, held by Executive shall automatically become vested and, if applicable, exercisable, and any forfeiture restrictions thereon shall immediately lapse, in each case, with respect to one hundred percent (100%) of the unvested shares underlying the equity award as of the Termination Date; provided that for any performance-based equity awards held by the Executive that vest based on the attainment of performance goals that remain unsatisfied as of immediately before the Termination Date, such performance goals shall be deemed achieved at the greater of target or the expected attainment level based on performance as of the Termination Date (as determined by the Board of Directors of the Company or its Compensation Committee).</w:t>
      </w:r>
    </w:p>
    <w:p>
      <w:pPr>
        <w:spacing w:after="0" w:line="185" w:lineRule="exact"/>
        <w:rPr>
          <w:rFonts w:ascii="Times New Roman" w:cs="Times New Roman" w:eastAsia="Times New Roman" w:hAnsi="Times New Roman"/>
          <w:sz w:val="22"/>
          <w:szCs w:val="22"/>
          <w:color w:val="auto"/>
        </w:rPr>
      </w:pPr>
    </w:p>
    <w:p>
      <w:pPr>
        <w:jc w:val="both"/>
        <w:ind w:firstLine="8"/>
        <w:spacing w:after="0" w:line="248" w:lineRule="auto"/>
        <w:tabs>
          <w:tab w:leader="none" w:pos="64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Reductions</w:t>
      </w:r>
      <w:r>
        <w:rPr>
          <w:rFonts w:ascii="Times New Roman" w:cs="Times New Roman" w:eastAsia="Times New Roman" w:hAnsi="Times New Roman"/>
          <w:sz w:val="22"/>
          <w:szCs w:val="22"/>
          <w:color w:val="auto"/>
        </w:rPr>
        <w:t>. Notwithstanding anything herein to the contrary, the Company shall reduce Executive’s severance benefits under this Agreement, in whole or in part, by any other severance benefits, pay in lieu of notice, or other similar benefits payable to Executive by the Company in connection with Executive’s termination, including but not limited to payments or benefits pursuant to (a) any applicable legal requirement, including, without limitation, the Worker Adjustment and Retraining Notification Act, or (b) any other Company agreement, arrangement, policy or practice relating to Executive’s termination of employment with the Company. The benefits provided under this Agreement are intended to satisfy, to the greatest extent possible, any and all statutory obligations that may arise out of Executive’s termination of employment. Such reductions shall be applied on a retroactive basis, with severance benefits previously paid being recharacterized as payments pursuant to the Company’s statutory obligation.</w:t>
      </w:r>
    </w:p>
    <w:p>
      <w:pPr>
        <w:spacing w:after="0" w:line="195" w:lineRule="exact"/>
        <w:rPr>
          <w:rFonts w:ascii="Times New Roman" w:cs="Times New Roman" w:eastAsia="Times New Roman" w:hAnsi="Times New Roman"/>
          <w:sz w:val="22"/>
          <w:szCs w:val="22"/>
          <w:color w:val="auto"/>
        </w:rPr>
      </w:pPr>
    </w:p>
    <w:p>
      <w:pPr>
        <w:jc w:val="both"/>
        <w:ind w:firstLine="8"/>
        <w:spacing w:after="0" w:line="256" w:lineRule="auto"/>
        <w:tabs>
          <w:tab w:leader="none" w:pos="64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Deemed Resignation</w:t>
      </w:r>
      <w:r>
        <w:rPr>
          <w:rFonts w:ascii="Times New Roman" w:cs="Times New Roman" w:eastAsia="Times New Roman" w:hAnsi="Times New Roman"/>
          <w:sz w:val="22"/>
          <w:szCs w:val="22"/>
          <w:color w:val="auto"/>
        </w:rPr>
        <w:t>. Upon termination of Executive’s employment for any reason, Executive shall be deemed to have resigned from any and all offices and directorships then held with the Company or any of its affiliates, and, at the Company’s request, Executive shall execute such documents as are necessary or desirable to effectuate such resignations.</w:t>
      </w:r>
    </w:p>
    <w:p>
      <w:pPr>
        <w:spacing w:after="0" w:line="174" w:lineRule="exact"/>
        <w:rPr>
          <w:rFonts w:ascii="Times New Roman" w:cs="Times New Roman" w:eastAsia="Times New Roman" w:hAnsi="Times New Roman"/>
          <w:sz w:val="22"/>
          <w:szCs w:val="22"/>
          <w:color w:val="auto"/>
        </w:rPr>
      </w:pPr>
    </w:p>
    <w:p>
      <w:pPr>
        <w:jc w:val="both"/>
        <w:ind w:firstLine="8"/>
        <w:spacing w:after="0" w:line="253" w:lineRule="auto"/>
        <w:tabs>
          <w:tab w:leader="none" w:pos="64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Terminations</w:t>
      </w:r>
      <w:r>
        <w:rPr>
          <w:rFonts w:ascii="Times New Roman" w:cs="Times New Roman" w:eastAsia="Times New Roman" w:hAnsi="Times New Roman"/>
          <w:sz w:val="22"/>
          <w:szCs w:val="22"/>
          <w:color w:val="auto"/>
        </w:rPr>
        <w:t>. If Executive’s service with the Company is terminated by the Company or by Executive for any or no reason other than as a Covered Termination, then Executive shall not be entitled to any benefits hereunder other than accrued but unpaid salary, bonus, vacation and expense reimbursement in accordance with applicable law, retiree travel privileges in accordance with the Company’s travel policy, as amended from time to time, and to elect any continued healthcare coverage as may be required under COBRA or similar state law.</w:t>
      </w:r>
    </w:p>
    <w:p>
      <w:pPr>
        <w:spacing w:after="0" w:line="176" w:lineRule="exact"/>
        <w:rPr>
          <w:rFonts w:ascii="Times New Roman" w:cs="Times New Roman" w:eastAsia="Times New Roman" w:hAnsi="Times New Roman"/>
          <w:sz w:val="22"/>
          <w:szCs w:val="22"/>
          <w:color w:val="auto"/>
        </w:rPr>
      </w:pPr>
    </w:p>
    <w:p>
      <w:pPr>
        <w:jc w:val="both"/>
        <w:ind w:firstLine="8"/>
        <w:spacing w:after="0" w:line="256" w:lineRule="auto"/>
        <w:tabs>
          <w:tab w:leader="none" w:pos="64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Payments</w:t>
      </w:r>
      <w:r>
        <w:rPr>
          <w:rFonts w:ascii="Times New Roman" w:cs="Times New Roman" w:eastAsia="Times New Roman" w:hAnsi="Times New Roman"/>
          <w:sz w:val="22"/>
          <w:szCs w:val="22"/>
          <w:color w:val="auto"/>
        </w:rPr>
        <w:t>. Notwithstanding anything in this Agreement to the contrary, if any payment or distribution Executive would receive pursuant to this Agreement or otherwise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would (a) 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such Payment shall either be (i) delivered in full, or (ii) delivered as to such</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of the Payment may be taxable under Section 4999 of the Code. The accounting firm engaged by the Company for general audit purposes as of the day prior to the effective date of the change in control shall perform the foregoing calculations. The Company shall bear all expenses with respect to the determinations by such accounting firm required to be made hereunder. The accounting firm shall provide its calculations to 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8 will occur in the following order:</w:t>
      </w:r>
    </w:p>
    <w:p>
      <w:pPr>
        <w:spacing w:after="0" w:line="5" w:lineRule="exact"/>
        <w:rPr>
          <w:sz w:val="20"/>
          <w:szCs w:val="20"/>
          <w:color w:val="auto"/>
        </w:rPr>
      </w:pPr>
    </w:p>
    <w:p>
      <w:pPr>
        <w:ind w:firstLine="8"/>
        <w:spacing w:after="0" w:line="258" w:lineRule="auto"/>
        <w:tabs>
          <w:tab w:leader="none" w:pos="31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reduction of cash payments; (2) cancellation of accelerated vesting of equity awards other than stock options; (3) cancellation of accelerated vesting of stock options; and (4) reduction of other benefits payable to Executive.</w:t>
      </w:r>
    </w:p>
    <w:p>
      <w:pPr>
        <w:spacing w:after="0" w:line="172" w:lineRule="exact"/>
        <w:rPr>
          <w:sz w:val="20"/>
          <w:szCs w:val="20"/>
          <w:color w:val="auto"/>
        </w:rPr>
      </w:pPr>
    </w:p>
    <w:p>
      <w:pPr>
        <w:ind w:left="660" w:hanging="652"/>
        <w:spacing w:after="0"/>
        <w:tabs>
          <w:tab w:leader="none" w:pos="66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Terms</w:t>
      </w:r>
      <w:r>
        <w:rPr>
          <w:rFonts w:ascii="Times New Roman" w:cs="Times New Roman" w:eastAsia="Times New Roman" w:hAnsi="Times New Roman"/>
          <w:sz w:val="22"/>
          <w:szCs w:val="22"/>
          <w:color w:val="auto"/>
        </w:rPr>
        <w:t>. The following terms referred to in this Agreement shall have the following meanings:</w:t>
      </w:r>
    </w:p>
    <w:p>
      <w:pPr>
        <w:spacing w:after="0" w:line="212" w:lineRule="exact"/>
        <w:rPr>
          <w:rFonts w:ascii="Times New Roman" w:cs="Times New Roman" w:eastAsia="Times New Roman" w:hAnsi="Times New Roman"/>
          <w:sz w:val="22"/>
          <w:szCs w:val="22"/>
          <w:color w:val="auto"/>
        </w:rPr>
      </w:pPr>
    </w:p>
    <w:p>
      <w:pPr>
        <w:jc w:val="both"/>
        <w:ind w:firstLine="655"/>
        <w:spacing w:after="0" w:line="247" w:lineRule="auto"/>
        <w:tabs>
          <w:tab w:leader="none" w:pos="1291"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xml:space="preserve">” means (a) Executive’s willful and continued failure to perform Executive’s duties (other than any such failure resulting from Executive’s incapacity due to physical or mental illness) after written notice of such failure has been given to Executive by the Company and Executive has had a reasonable period (but not more than fifteen (15) days) after receipt of such notice to correct such failure; (b) the unlawful or willful commission by Executive of any act that is dishonest and demonstrably injurious to the Company or any of its subsidiaries in any material respect; (c) the conviction of, or plea of guilty or </w:t>
      </w:r>
      <w:r>
        <w:rPr>
          <w:rFonts w:ascii="Times New Roman" w:cs="Times New Roman" w:eastAsia="Times New Roman" w:hAnsi="Times New Roman"/>
          <w:sz w:val="22"/>
          <w:szCs w:val="22"/>
          <w:i w:val="1"/>
          <w:iCs w:val="1"/>
          <w:color w:val="auto"/>
        </w:rPr>
        <w:t xml:space="preserve">nolo contendere </w:t>
      </w:r>
      <w:r>
        <w:rPr>
          <w:rFonts w:ascii="Times New Roman" w:cs="Times New Roman" w:eastAsia="Times New Roman" w:hAnsi="Times New Roman"/>
          <w:sz w:val="22"/>
          <w:szCs w:val="22"/>
          <w:color w:val="auto"/>
        </w:rPr>
        <w:t>to, a felony offense by Executive; (d) habitual drug or alcohol abuse that impairs Executive’s ability to perform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essential duties of Executive’s position or the Executive’s possession or use of illegal drugs on the Company’s premises; (e) embezzlement, fraud or any other illegal act against the Company or any illegal act committed in connection with Executive’s performance of Executive’s duties; (f) any material breach by Executive of any material Company policy (other than inadvertent actions taken in good faith), including without limitation the Company’s code of conduct and those policies regarding ethics, unlawful harassment, workplace safety, or workplace discrimination; or (g) a material breach by Executive of any agreement between the Company and Executive, but only if such breach shall continue unremedied for more than fifteen (15) days after written notice thereof is given to Executive by the Company.</w:t>
      </w:r>
    </w:p>
    <w:p>
      <w:pPr>
        <w:spacing w:after="0" w:line="202" w:lineRule="exact"/>
        <w:rPr>
          <w:rFonts w:ascii="Times New Roman" w:cs="Times New Roman" w:eastAsia="Times New Roman" w:hAnsi="Times New Roman"/>
          <w:sz w:val="22"/>
          <w:szCs w:val="22"/>
          <w:color w:val="auto"/>
        </w:rPr>
      </w:pPr>
    </w:p>
    <w:p>
      <w:pPr>
        <w:ind w:left="1300" w:hanging="645"/>
        <w:spacing w:after="0"/>
        <w:tabs>
          <w:tab w:leader="none" w:pos="1300"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means a “Change in Control” as defined in the Company’s 2023 Incentive Award Plan.</w:t>
      </w:r>
    </w:p>
    <w:p>
      <w:pPr>
        <w:spacing w:after="0" w:line="218" w:lineRule="exact"/>
        <w:rPr>
          <w:rFonts w:ascii="Times New Roman" w:cs="Times New Roman" w:eastAsia="Times New Roman" w:hAnsi="Times New Roman"/>
          <w:sz w:val="22"/>
          <w:szCs w:val="22"/>
          <w:color w:val="auto"/>
        </w:rPr>
      </w:pPr>
    </w:p>
    <w:p>
      <w:pPr>
        <w:ind w:firstLine="655"/>
        <w:spacing w:after="0" w:line="276" w:lineRule="auto"/>
        <w:tabs>
          <w:tab w:leader="none" w:pos="1291"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Termination</w:t>
      </w:r>
      <w:r>
        <w:rPr>
          <w:rFonts w:ascii="Times New Roman" w:cs="Times New Roman" w:eastAsia="Times New Roman" w:hAnsi="Times New Roman"/>
          <w:sz w:val="22"/>
          <w:szCs w:val="22"/>
          <w:color w:val="auto"/>
        </w:rPr>
        <w:t>” means the termination of Executive’s employment with the Company effected by the Company other than for Cause or Executive’s resignation of employment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2"/>
          <w:szCs w:val="22"/>
          <w:color w:val="auto"/>
        </w:rPr>
        <w:t>with the Company for Good Reason. For the avoidance of doubt, a Covered Termination shall not include Executive’s termination of employment due to death or disability.</w:t>
      </w:r>
    </w:p>
    <w:p>
      <w:pPr>
        <w:spacing w:after="0" w:line="153" w:lineRule="exact"/>
        <w:rPr>
          <w:sz w:val="20"/>
          <w:szCs w:val="20"/>
          <w:color w:val="auto"/>
        </w:rPr>
      </w:pPr>
    </w:p>
    <w:p>
      <w:pPr>
        <w:jc w:val="both"/>
        <w:ind w:firstLine="655"/>
        <w:spacing w:after="0" w:line="277" w:lineRule="auto"/>
        <w:tabs>
          <w:tab w:leader="none" w:pos="1344"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means the occurrence of any of the following without Executive’s written consent: (i) a material adverse alteration by the Company in Executive’s base compensation, which is comprised of base salary and target cash incentive opportunity (except where such reduction to base compensation proportionately affects all similarly situated employees of the Company), position, function, duties or responsibilities; (ii) the relocation of Executive outside of the metropolitan area in which Executive is based; or (iii) a material breach by the Company of any written agreement between Executive and the Company; provided, that no resignation for Good Reason shall be effective unless and until (1) Executive has first provided the Company with written notice specifically identifying the acts or omissions constituting the grounds for “Good Reason” within thirty (30) days after the occurrence thereof, (2) the Company has not cured such acts or omissions that are capable of cure within thirty (30) days of its actual receipt of such notice, and (3) the effective date of Executive’s termination for Good Reason occurs no later than sixty (60) days after the initial existence of the facts or circumstances constituting Good Reason.</w:t>
      </w:r>
    </w:p>
    <w:p>
      <w:pPr>
        <w:spacing w:after="0" w:line="150" w:lineRule="exact"/>
        <w:rPr>
          <w:rFonts w:ascii="Times New Roman" w:cs="Times New Roman" w:eastAsia="Times New Roman" w:hAnsi="Times New Roman"/>
          <w:sz w:val="20"/>
          <w:szCs w:val="20"/>
          <w:color w:val="auto"/>
        </w:rPr>
      </w:pPr>
    </w:p>
    <w:p>
      <w:pPr>
        <w:ind w:left="1300" w:hanging="645"/>
        <w:spacing w:after="0"/>
        <w:tabs>
          <w:tab w:leader="none" w:pos="1300"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Executive experiences a Covered Termination.</w:t>
      </w:r>
    </w:p>
    <w:p>
      <w:pPr>
        <w:spacing w:after="0" w:line="22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w:t>
      </w:r>
    </w:p>
    <w:p>
      <w:pPr>
        <w:spacing w:after="0" w:line="218" w:lineRule="exact"/>
        <w:rPr>
          <w:rFonts w:ascii="Times New Roman" w:cs="Times New Roman" w:eastAsia="Times New Roman" w:hAnsi="Times New Roman"/>
          <w:sz w:val="22"/>
          <w:szCs w:val="22"/>
          <w:color w:val="auto"/>
        </w:rPr>
      </w:pPr>
    </w:p>
    <w:p>
      <w:pPr>
        <w:jc w:val="both"/>
        <w:ind w:firstLine="655"/>
        <w:spacing w:after="0" w:line="251" w:lineRule="auto"/>
        <w:tabs>
          <w:tab w:leader="none" w:pos="1291"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Successors</w:t>
      </w:r>
      <w:r>
        <w:rPr>
          <w:rFonts w:ascii="Times New Roman" w:cs="Times New Roman" w:eastAsia="Times New Roman" w:hAnsi="Times New Roman"/>
          <w:sz w:val="22"/>
          <w:szCs w:val="22"/>
          <w:color w:val="auto"/>
        </w:rPr>
        <w:t>.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include any successor to the Company’s business and/or assets which executes and delivers the assumption agreement described in this Section 10(a) or which becomes bound by the terms of this Agreement by operation of law.</w:t>
      </w:r>
    </w:p>
    <w:p>
      <w:pPr>
        <w:spacing w:after="0" w:line="184" w:lineRule="exact"/>
        <w:rPr>
          <w:rFonts w:ascii="Times New Roman" w:cs="Times New Roman" w:eastAsia="Times New Roman" w:hAnsi="Times New Roman"/>
          <w:sz w:val="22"/>
          <w:szCs w:val="22"/>
          <w:color w:val="auto"/>
        </w:rPr>
      </w:pPr>
    </w:p>
    <w:p>
      <w:pPr>
        <w:jc w:val="both"/>
        <w:ind w:firstLine="655"/>
        <w:spacing w:after="0" w:line="256" w:lineRule="auto"/>
        <w:tabs>
          <w:tab w:leader="none" w:pos="129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Executive’s Successors</w:t>
      </w:r>
      <w:r>
        <w:rPr>
          <w:rFonts w:ascii="Times New Roman" w:cs="Times New Roman" w:eastAsia="Times New Roman" w:hAnsi="Times New Roman"/>
          <w:sz w:val="22"/>
          <w:szCs w:val="22"/>
          <w:color w:val="auto"/>
        </w:rPr>
        <w:t>. The terms of this Agreement and all rights of Executive hereunder shall inure to the benefit of, and be enforceable by, Executive’s personal or legal representatives, executors, administrators, successors, heirs, distributees, devisees and legatees.</w:t>
      </w:r>
    </w:p>
    <w:p>
      <w:pPr>
        <w:spacing w:after="0" w:line="174" w:lineRule="exact"/>
        <w:rPr>
          <w:rFonts w:ascii="Times New Roman" w:cs="Times New Roman" w:eastAsia="Times New Roman" w:hAnsi="Times New Roman"/>
          <w:sz w:val="22"/>
          <w:szCs w:val="22"/>
          <w:color w:val="auto"/>
        </w:rPr>
      </w:pPr>
    </w:p>
    <w:p>
      <w:pPr>
        <w:jc w:val="both"/>
        <w:ind w:firstLine="8"/>
        <w:spacing w:after="0" w:line="253" w:lineRule="auto"/>
        <w:tabs>
          <w:tab w:leader="none" w:pos="63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and all other communications contemplated by this Agreement shall be in writing and shall be deemed to have been duly given when personally delivered or one day following mailing via Federal Express or similar overnight courier service. In the case of Executive, mailed notices shall be addressed to Executive at Executive’s home address that the Company has on file for Executive. In the case of the Company, mailed notices shall be addressed to its corporate headquarters, and all notices shall be directed to the attention of the Chief Executive Officer.</w:t>
      </w:r>
    </w:p>
    <w:p>
      <w:pPr>
        <w:spacing w:after="0" w:line="176" w:lineRule="exact"/>
        <w:rPr>
          <w:rFonts w:ascii="Times New Roman" w:cs="Times New Roman" w:eastAsia="Times New Roman" w:hAnsi="Times New Roman"/>
          <w:sz w:val="22"/>
          <w:szCs w:val="22"/>
          <w:color w:val="auto"/>
        </w:rPr>
      </w:pPr>
    </w:p>
    <w:p>
      <w:pPr>
        <w:jc w:val="both"/>
        <w:ind w:firstLine="8"/>
        <w:spacing w:after="0" w:line="263" w:lineRule="auto"/>
        <w:tabs>
          <w:tab w:leader="none" w:pos="647"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w:t>
      </w:r>
      <w:r>
        <w:rPr>
          <w:rFonts w:ascii="Times New Roman" w:cs="Times New Roman" w:eastAsia="Times New Roman" w:hAnsi="Times New Roman"/>
          <w:sz w:val="22"/>
          <w:szCs w:val="22"/>
          <w:color w:val="auto"/>
        </w:rPr>
        <w:t>. As a condition to entering into this Agreement, which provides eligibility to receive benefits under Sections 3 and 4 of this Agreement, Executive must agree to and comply with the requirements set forth in this Section 12. For the avoidance of doubt, the covenants set forth in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this Section 12 and the Restrictive Covenants Agreement (as defined below) apply to Executive whether or not Executive receives any benefits under Sections 3 and 4 of this Agreement. Without limiting any other remedy set forth herein or in the Restrictive Covenants Agreement, in the event Executive fails to satisfy the requirements set forth in this Section 12 and the Restrictive Covenants Agreement in any material respect, the Company shall have no obligation to pay or to continue the benefits under Sections 3 and 4 of this Agreement.</w:t>
      </w:r>
    </w:p>
    <w:p>
      <w:pPr>
        <w:spacing w:after="0" w:line="177" w:lineRule="exact"/>
        <w:rPr>
          <w:sz w:val="20"/>
          <w:szCs w:val="20"/>
          <w:color w:val="auto"/>
        </w:rPr>
      </w:pPr>
    </w:p>
    <w:p>
      <w:pPr>
        <w:jc w:val="both"/>
        <w:ind w:firstLine="655"/>
        <w:spacing w:after="0" w:line="273" w:lineRule="auto"/>
        <w:tabs>
          <w:tab w:leader="none" w:pos="1291"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xml:space="preserve">. The Company (which as used in this Section 12(a) shall include the Company and any of its affiliates) operates in a highly sensitive and competitive commercial environment. As part of Executive’s employment (which as used in this Section 12(a) shall include engagement as an independent contractor or other non-employee role as well) with the Company, Executive has been and will continue to be exposed to highly confidential and sensitive information regarding the Company’s business operations, including corporate strategy, pricing, and other market information, know-how, trade secrets, and valuable customer, supplier, and employee relationships. It is critical that the Company take all necessary steps to safeguard its legitimate protectable interests in such information and to prevent any of its competitors or any other persons from obtaining any such information. Therefore, as consideration for and ancillary to the Company’s agreement to enter into this Agreement with Executive, and to protect the goodwill and other legitimate business interests of the Company, Executive shall enter into, and shall abide by, the terms and conditions of the restrictive covenants concerning confidentiality, noncompetition and nonsolicitation contained 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attached hereto (the “</w:t>
      </w:r>
      <w:r>
        <w:rPr>
          <w:rFonts w:ascii="Times New Roman" w:cs="Times New Roman" w:eastAsia="Times New Roman" w:hAnsi="Times New Roman"/>
          <w:sz w:val="20"/>
          <w:szCs w:val="20"/>
          <w:b w:val="1"/>
          <w:bCs w:val="1"/>
          <w:i w:val="1"/>
          <w:iCs w:val="1"/>
          <w:color w:val="auto"/>
        </w:rPr>
        <w:t>Restrictive Covenants Agreement</w:t>
      </w:r>
      <w:r>
        <w:rPr>
          <w:rFonts w:ascii="Times New Roman" w:cs="Times New Roman" w:eastAsia="Times New Roman" w:hAnsi="Times New Roman"/>
          <w:sz w:val="20"/>
          <w:szCs w:val="20"/>
          <w:color w:val="auto"/>
        </w:rPr>
        <w:t>”) between Executive and Group, which is hereby incorporated herein by reference. By entering into this Agreement, Executive acknowledges and agrees that Executive has read and understood the Restrictive Covenants Agreement and has had an opportunity to seek the advice of an attorney prior to entering into this Agreement and entering into, or agreeing to enter into, the Restrictive Covenants Agreement.</w:t>
      </w:r>
    </w:p>
    <w:p>
      <w:pPr>
        <w:spacing w:after="0" w:line="167" w:lineRule="exact"/>
        <w:rPr>
          <w:rFonts w:ascii="Times New Roman" w:cs="Times New Roman" w:eastAsia="Times New Roman" w:hAnsi="Times New Roman"/>
          <w:sz w:val="20"/>
          <w:szCs w:val="20"/>
          <w:color w:val="auto"/>
        </w:rPr>
      </w:pPr>
    </w:p>
    <w:p>
      <w:pPr>
        <w:jc w:val="both"/>
        <w:ind w:firstLine="655"/>
        <w:spacing w:after="0" w:line="253" w:lineRule="auto"/>
        <w:tabs>
          <w:tab w:leader="none" w:pos="129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Executive agrees that Executive shall not disparage, criticize or defame the Company, its affiliates and their respective affiliates, directors, officers, agents, partners, stockholders or employees, either publicly or privately. The Company agrees that it shall not, and it shall instruct its executive officers to not, disparage, criticize or defame Executive, either publicly or privately. Nothing in this Section 12(b) shall have application to any evidence or testimony required by any court, arbitrator or government agency.</w:t>
      </w:r>
    </w:p>
    <w:p>
      <w:pPr>
        <w:spacing w:after="0" w:line="176" w:lineRule="exact"/>
        <w:rPr>
          <w:rFonts w:ascii="Times New Roman" w:cs="Times New Roman" w:eastAsia="Times New Roman" w:hAnsi="Times New Roman"/>
          <w:sz w:val="22"/>
          <w:szCs w:val="22"/>
          <w:color w:val="auto"/>
        </w:rPr>
      </w:pPr>
    </w:p>
    <w:p>
      <w:pPr>
        <w:jc w:val="both"/>
        <w:ind w:firstLine="655"/>
        <w:spacing w:after="0" w:line="250" w:lineRule="auto"/>
        <w:tabs>
          <w:tab w:leader="none" w:pos="129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Documents and Property</w:t>
      </w:r>
      <w:r>
        <w:rPr>
          <w:rFonts w:ascii="Times New Roman" w:cs="Times New Roman" w:eastAsia="Times New Roman" w:hAnsi="Times New Roman"/>
          <w:sz w:val="22"/>
          <w:szCs w:val="22"/>
          <w:color w:val="auto"/>
        </w:rPr>
        <w:t>. Executive will no later than the Termination Date turn over to the Company all physical or personal property that are the property of the Company and that Executive had in Executive’s possession, custody or control, including, without limitation, Executive’s laptop computer, along with all other equipment and originals and copies of correspondence, drawings, manuals, letters, notes, notebooks, reports, programs, plans, proposals, financial documents, or any other documents concerning the Company’s customers, business plans, marketing strategies, products, processes or business of any kind and/or which contain proprietary information or trade secrets which are in the possession or control of Executive or Executive’s agents or representatives. These obligations include the return of any electronic information or data that belongs to the Company.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655"/>
        <w:spacing w:after="0" w:line="270" w:lineRule="auto"/>
        <w:tabs>
          <w:tab w:leader="none" w:pos="129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Executive acknowledges that Executive shall remain subject to the Company’s or the Group’s Clawback Policy, as may be amended from time to time, to the extent provided therein or otherwise required by applicable law.</w:t>
      </w:r>
    </w:p>
    <w:p>
      <w:pPr>
        <w:spacing w:after="0" w:line="158" w:lineRule="exact"/>
        <w:rPr>
          <w:rFonts w:ascii="Times New Roman" w:cs="Times New Roman" w:eastAsia="Times New Roman" w:hAnsi="Times New Roman"/>
          <w:sz w:val="22"/>
          <w:szCs w:val="22"/>
          <w:color w:val="auto"/>
        </w:rPr>
      </w:pPr>
    </w:p>
    <w:p>
      <w:pPr>
        <w:jc w:val="both"/>
        <w:ind w:firstLine="655"/>
        <w:spacing w:after="0" w:line="249" w:lineRule="auto"/>
        <w:tabs>
          <w:tab w:leader="none" w:pos="1291"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Repayment</w:t>
      </w:r>
      <w:r>
        <w:rPr>
          <w:rFonts w:ascii="Times New Roman" w:cs="Times New Roman" w:eastAsia="Times New Roman" w:hAnsi="Times New Roman"/>
          <w:sz w:val="22"/>
          <w:szCs w:val="22"/>
          <w:color w:val="auto"/>
        </w:rPr>
        <w:t>. If Executive materially breaches Sections 12(a)-(d) and the Company delivers written notice to Executive of such material breach within ninety (90) days after the Company’s Chief Executive Officer’s first acquires actual knowledge of such material breach, then Executive shall (i) forfeit any and all rights to any future payments or benefits to be made or provided under Sections 3 and 4 of this Agreement and (ii) reimburse the Company for all payments made and the value of all benefits received by Executive and Executive’s dependents (if any) up to and through the date of such breach, with interest at the prime rate published by the Wall Street Journal on the date the Company sends written demand for reimbursement, compounded annually, from the date such payments or benefits were made until the date of repayment.</w:t>
      </w:r>
    </w:p>
    <w:p>
      <w:pPr>
        <w:spacing w:after="0" w:line="185" w:lineRule="exact"/>
        <w:rPr>
          <w:rFonts w:ascii="Times New Roman" w:cs="Times New Roman" w:eastAsia="Times New Roman" w:hAnsi="Times New Roman"/>
          <w:sz w:val="22"/>
          <w:szCs w:val="22"/>
          <w:color w:val="auto"/>
        </w:rPr>
      </w:pPr>
    </w:p>
    <w:p>
      <w:pPr>
        <w:jc w:val="both"/>
        <w:ind w:firstLine="8"/>
        <w:spacing w:after="0" w:line="247" w:lineRule="auto"/>
        <w:tabs>
          <w:tab w:leader="none" w:pos="647"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To ensure the timely and economical resolution of disputes that arise in connection with this Agreement, Executive and the Company agree that any and all disputes, claims, or causes of action arising from or relating to the enforcement, breach, performance or interpretation of this Agreement, Executive’s employment, or the termination of Executive’s employment (excluding any disputes arising under the Restrictive Covenants Agreement), shall be resolved to the fullest extent permitted by law by final, binding and confidential arbitration in Tarrant County, Texas through Judicial Arbitration &amp; Mediation Services/Endispute (“</w:t>
      </w:r>
      <w:r>
        <w:rPr>
          <w:rFonts w:ascii="Times New Roman" w:cs="Times New Roman" w:eastAsia="Times New Roman" w:hAnsi="Times New Roman"/>
          <w:sz w:val="22"/>
          <w:szCs w:val="22"/>
          <w:b w:val="1"/>
          <w:bCs w:val="1"/>
          <w:i w:val="1"/>
          <w:iCs w:val="1"/>
          <w:color w:val="auto"/>
        </w:rPr>
        <w:t>JAMS</w:t>
      </w:r>
      <w:r>
        <w:rPr>
          <w:rFonts w:ascii="Times New Roman" w:cs="Times New Roman" w:eastAsia="Times New Roman" w:hAnsi="Times New Roman"/>
          <w:sz w:val="22"/>
          <w:szCs w:val="22"/>
          <w:color w:val="auto"/>
        </w:rPr>
        <w:t xml:space="preserve">”) in conformity with the then-existing JAMS employment arbitration rules and Texas law. A link to the current JAMS employment arbitration rules follows: https://www.jamsadr.com/rules-employment-arbitration/english. </w:t>
      </w:r>
      <w:r>
        <w:rPr>
          <w:rFonts w:ascii="Times New Roman" w:cs="Times New Roman" w:eastAsia="Times New Roman" w:hAnsi="Times New Roman"/>
          <w:sz w:val="22"/>
          <w:szCs w:val="22"/>
          <w:b w:val="1"/>
          <w:bCs w:val="1"/>
          <w:color w:val="auto"/>
        </w:rPr>
        <w:t>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agreeing to this arbitration procedure, both Executive and the Company waive the right to resolve any such dispute through a trial by jury or judge or administrative proceeding</w:t>
      </w:r>
      <w:r>
        <w:rPr>
          <w:rFonts w:ascii="Times New Roman" w:cs="Times New Roman" w:eastAsia="Times New Roman" w:hAnsi="Times New Roman"/>
          <w:sz w:val="22"/>
          <w:szCs w:val="22"/>
          <w:color w:val="auto"/>
        </w:rPr>
        <w:t>. The arbitrator shall: (a) have the authority to compel adequate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discovery for the resolution of the dispute and to award such relief as would otherwise be permitted by law; and (b) issue a written arbitration decision, to include the arbitrator’s essential findings and conclusions and a statement of the award. The Company shall pay all JAMS’s arbitration fees in excess of the amount of court fees that would be required if the dispute were decided in a court of law.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over intellectual property rights or arising under the Restrictive Covenants Agreement by Court action instead of arbitration. The parties agree to resolve all disputes excluded from arbitration in a court of competent jurisdiction located in Texas sitting without a jury and each party waives its right to a jury trial in any such dispute.</w:t>
      </w:r>
    </w:p>
    <w:p>
      <w:pPr>
        <w:spacing w:after="0" w:line="19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r>
        <w:rPr>
          <w:rFonts w:ascii="Times New Roman" w:cs="Times New Roman" w:eastAsia="Times New Roman" w:hAnsi="Times New Roman"/>
          <w:sz w:val="22"/>
          <w:szCs w:val="22"/>
          <w:color w:val="auto"/>
        </w:rPr>
        <w:t>.</w:t>
      </w:r>
    </w:p>
    <w:p>
      <w:pPr>
        <w:spacing w:after="0" w:line="218" w:lineRule="exact"/>
        <w:rPr>
          <w:rFonts w:ascii="Times New Roman" w:cs="Times New Roman" w:eastAsia="Times New Roman" w:hAnsi="Times New Roman"/>
          <w:sz w:val="22"/>
          <w:szCs w:val="22"/>
          <w:color w:val="auto"/>
        </w:rPr>
      </w:pPr>
    </w:p>
    <w:p>
      <w:pPr>
        <w:ind w:left="1300" w:hanging="645"/>
        <w:spacing w:after="0"/>
        <w:tabs>
          <w:tab w:leader="none" w:pos="130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18" w:lineRule="exact"/>
        <w:rPr>
          <w:rFonts w:ascii="Times New Roman" w:cs="Times New Roman" w:eastAsia="Times New Roman" w:hAnsi="Times New Roman"/>
          <w:sz w:val="22"/>
          <w:szCs w:val="22"/>
          <w:color w:val="auto"/>
        </w:rPr>
      </w:pPr>
    </w:p>
    <w:p>
      <w:pPr>
        <w:ind w:firstLine="1302"/>
        <w:spacing w:after="0" w:line="270" w:lineRule="auto"/>
        <w:tabs>
          <w:tab w:leader="none" w:pos="1930" w:val="left"/>
        </w:tabs>
        <w:numPr>
          <w:ilvl w:val="2"/>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Notwithstanding any provision to the contrary in this Agreement, no amount deemed deferred compensation subject to Section 409A of the Code shall</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be payable pursuant to Sections 3 and 4 above unless Executive’s termination of employment constitutes a “separation from service” with the Company within the meaning of Section 409A of the Code and the Department of Treasury regulations and other guidance promulgated thereunder (“</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color w:val="auto"/>
        </w:rPr>
        <w:t>”) and, except as provided under Section 14(a)(ii) of this Agreement, any such amount shall not be paid, or in the case of installments, commence payment, until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Executive’s Separation from Service. Any installment payments that would have been made to Executive during the sixty (60) day period immediately following Executive’s Separation from Service but for the preceding sentence shall be paid to Executive on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Executive’s Separation from Service and the remaining payments shall be made as provided in this Agreement.</w:t>
      </w:r>
    </w:p>
    <w:p>
      <w:pPr>
        <w:spacing w:after="0" w:line="198" w:lineRule="exact"/>
        <w:rPr>
          <w:sz w:val="20"/>
          <w:szCs w:val="20"/>
          <w:color w:val="auto"/>
        </w:rPr>
      </w:pPr>
    </w:p>
    <w:p>
      <w:pPr>
        <w:jc w:val="both"/>
        <w:ind w:firstLine="1302"/>
        <w:spacing w:after="0" w:line="249" w:lineRule="auto"/>
        <w:tabs>
          <w:tab w:leader="none" w:pos="1936"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Notwithstanding any provision to the contrary in this Agreement, if Executive is deemed at the time of Executive’s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 (6)-month period measured from the date of Executive’s Separation from Service or (B) the date of Executive’s death. Upon the first business day following the expiration of the applicable Code Section 409A(a)(2)(B)(i) period, all payments deferred pursuant to this Section 14(a)(ii) shall be paid in a lump sum to Executive, and any remaining payments due under this Agreement shall be paid as otherwise provided herein.</w:t>
      </w:r>
    </w:p>
    <w:p>
      <w:pPr>
        <w:spacing w:after="0" w:line="186" w:lineRule="exact"/>
        <w:rPr>
          <w:rFonts w:ascii="Times New Roman" w:cs="Times New Roman" w:eastAsia="Times New Roman" w:hAnsi="Times New Roman"/>
          <w:sz w:val="22"/>
          <w:szCs w:val="22"/>
          <w:color w:val="auto"/>
        </w:rPr>
      </w:pPr>
    </w:p>
    <w:p>
      <w:pPr>
        <w:jc w:val="both"/>
        <w:ind w:firstLine="1302"/>
        <w:spacing w:after="0" w:line="250" w:lineRule="auto"/>
        <w:tabs>
          <w:tab w:leader="none" w:pos="1942"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 Reimbursements</w:t>
      </w:r>
      <w:r>
        <w:rPr>
          <w:rFonts w:ascii="Times New Roman" w:cs="Times New Roman" w:eastAsia="Times New Roman" w:hAnsi="Times New Roman"/>
          <w:sz w:val="21"/>
          <w:szCs w:val="21"/>
          <w:color w:val="auto"/>
        </w:rPr>
        <w:t>. To the extent that any reimbursements payable pursuant to this Agreement are subject to the provisions of Section 409A of the Code, any such reimbursements payable to Executive pursuant to this Agreement shall be paid to Executive no later than December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80" w:lineRule="exact"/>
        <w:rPr>
          <w:rFonts w:ascii="Times New Roman" w:cs="Times New Roman" w:eastAsia="Times New Roman" w:hAnsi="Times New Roman"/>
          <w:sz w:val="21"/>
          <w:szCs w:val="21"/>
          <w:color w:val="auto"/>
        </w:rPr>
      </w:pPr>
    </w:p>
    <w:p>
      <w:pPr>
        <w:jc w:val="both"/>
        <w:ind w:firstLine="1302"/>
        <w:spacing w:after="0" w:line="252" w:lineRule="auto"/>
        <w:tabs>
          <w:tab w:leader="none" w:pos="193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Installments</w:t>
      </w:r>
      <w:r>
        <w:rPr>
          <w:rFonts w:ascii="Times New Roman" w:cs="Times New Roman" w:eastAsia="Times New Roman" w:hAnsi="Times New Roman"/>
          <w:sz w:val="22"/>
          <w:szCs w:val="22"/>
          <w:color w:val="auto"/>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91" w:lineRule="exact"/>
        <w:rPr>
          <w:rFonts w:ascii="Times New Roman" w:cs="Times New Roman" w:eastAsia="Times New Roman" w:hAnsi="Times New Roman"/>
          <w:sz w:val="22"/>
          <w:szCs w:val="22"/>
          <w:color w:val="auto"/>
        </w:rPr>
      </w:pPr>
    </w:p>
    <w:p>
      <w:pPr>
        <w:jc w:val="both"/>
        <w:ind w:firstLine="655"/>
        <w:spacing w:after="0" w:line="285" w:lineRule="auto"/>
        <w:tabs>
          <w:tab w:leader="none" w:pos="129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No provision of this Agreement shall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20" w:firstLine="655"/>
        <w:spacing w:after="0" w:line="253" w:lineRule="auto"/>
        <w:tabs>
          <w:tab w:leader="none" w:pos="127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Whole Agreement</w:t>
      </w:r>
      <w:r>
        <w:rPr>
          <w:rFonts w:ascii="Times New Roman" w:cs="Times New Roman" w:eastAsia="Times New Roman" w:hAnsi="Times New Roman"/>
          <w:sz w:val="22"/>
          <w:szCs w:val="22"/>
          <w:color w:val="auto"/>
        </w:rPr>
        <w:t>. This Agreement and the agreements and provisions incorporated in this Agreement, including, without limitation, the Restrictive Covenants Agreement and the award agreements and equity plans governing the terms of Executive’s outstanding and unvested equity awards, represent the entire understanding of the parties hereto with respect to the subject matter hereof and supersede all prior promises, arrangements and understandings regarding same, whether written or unwritten, or previously approved by the Board of Directors of the Company.</w:t>
      </w:r>
    </w:p>
    <w:p>
      <w:pPr>
        <w:spacing w:after="0" w:line="176" w:lineRule="exact"/>
        <w:rPr>
          <w:rFonts w:ascii="Times New Roman" w:cs="Times New Roman" w:eastAsia="Times New Roman" w:hAnsi="Times New Roman"/>
          <w:sz w:val="22"/>
          <w:szCs w:val="22"/>
          <w:color w:val="auto"/>
        </w:rPr>
      </w:pPr>
    </w:p>
    <w:p>
      <w:pPr>
        <w:jc w:val="both"/>
        <w:ind w:left="-20" w:firstLine="655"/>
        <w:spacing w:after="0" w:line="256" w:lineRule="auto"/>
        <w:tabs>
          <w:tab w:leader="none" w:pos="127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This Agreement was negotiated, entered into and is performable, in whole or in part, in Tarrant County, Texas. Therefore, the validity, interpretation, construction and performance of this Agreement shall be governed by the laws of the State of Texas.</w:t>
      </w:r>
    </w:p>
    <w:p>
      <w:pPr>
        <w:spacing w:after="0" w:line="174" w:lineRule="exact"/>
        <w:rPr>
          <w:rFonts w:ascii="Times New Roman" w:cs="Times New Roman" w:eastAsia="Times New Roman" w:hAnsi="Times New Roman"/>
          <w:sz w:val="22"/>
          <w:szCs w:val="22"/>
          <w:color w:val="auto"/>
        </w:rPr>
      </w:pPr>
    </w:p>
    <w:p>
      <w:pPr>
        <w:ind w:left="-20" w:firstLine="655"/>
        <w:spacing w:after="0" w:line="270" w:lineRule="auto"/>
        <w:tabs>
          <w:tab w:leader="none" w:pos="127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or provisions of this Agreement shall not affect the validity or enforceability of any other provision hereof, which shall remain in full force and effect.</w:t>
      </w:r>
    </w:p>
    <w:p>
      <w:pPr>
        <w:spacing w:after="0" w:line="172" w:lineRule="exact"/>
        <w:rPr>
          <w:rFonts w:ascii="Times New Roman" w:cs="Times New Roman" w:eastAsia="Times New Roman" w:hAnsi="Times New Roman"/>
          <w:sz w:val="22"/>
          <w:szCs w:val="22"/>
          <w:color w:val="auto"/>
        </w:rPr>
      </w:pPr>
    </w:p>
    <w:p>
      <w:pPr>
        <w:ind w:left="-20" w:firstLine="655"/>
        <w:spacing w:after="0" w:line="270" w:lineRule="auto"/>
        <w:tabs>
          <w:tab w:leader="none" w:pos="127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 of which together will constitute one and the same instrument.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40" w:top="1440" w:right="339" w:bottom="1440" w:gutter="0" w:footer="0" w:header="0"/>
        </w:sectPr>
      </w:pPr>
    </w:p>
    <w:bookmarkStart w:id="278" w:name="page279"/>
    <w:bookmarkEnd w:id="2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232"/>
        <w:spacing w:after="0" w:line="270" w:lineRule="auto"/>
        <w:rPr>
          <w:sz w:val="20"/>
          <w:szCs w:val="20"/>
          <w:color w:val="auto"/>
        </w:rPr>
      </w:pPr>
      <w:r>
        <w:rPr>
          <w:rFonts w:ascii="Times New Roman" w:cs="Times New Roman" w:eastAsia="Times New Roman" w:hAnsi="Times New Roman"/>
          <w:sz w:val="22"/>
          <w:szCs w:val="22"/>
          <w:color w:val="auto"/>
        </w:rPr>
        <w:t>IN WITNESS WHEREOF, each of the parties has executed this Agreement, in the case of the Company by its duly authorized officer,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AMERICAN AIRLINES GROUP, INC.</w:t>
      </w: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By:/s/ Grant B.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-13970</wp:posOffset>
            </wp:positionV>
            <wp:extent cx="120967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583">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Title: Vice President,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-13970</wp:posOffset>
            </wp:positionV>
            <wp:extent cx="209931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584">
                      <a:extLst>
                        <a:ext uri="{28A0092B-C50C-407E-A947-70E740481C1C}"/>
                      </a:extLst>
                    </a:blip>
                    <a:srcRect/>
                    <a:stretch>
                      <a:fillRect/>
                    </a:stretch>
                  </pic:blipFill>
                  <pic:spPr bwMode="auto">
                    <a:xfrm>
                      <a:off x="0" y="0"/>
                      <a:ext cx="2099310" cy="8255"/>
                    </a:xfrm>
                    <a:prstGeom prst="rect">
                      <a:avLst/>
                    </a:prstGeom>
                    <a:noFill/>
                  </pic:spPr>
                </pic:pic>
              </a:graphicData>
            </a:graphic>
          </wp:anchor>
        </w:drawing>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Date: 9/20/2023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-13970</wp:posOffset>
            </wp:positionV>
            <wp:extent cx="69278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585">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AMERICAN AIRLINES, INC.</w:t>
      </w: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By:/s/ Grant B.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-13970</wp:posOffset>
            </wp:positionV>
            <wp:extent cx="120967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586">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Title: Vice President,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-13970</wp:posOffset>
            </wp:positionV>
            <wp:extent cx="209931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587">
                      <a:extLst>
                        <a:ext uri="{28A0092B-C50C-407E-A947-70E740481C1C}"/>
                      </a:extLst>
                    </a:blip>
                    <a:srcRect/>
                    <a:stretch>
                      <a:fillRect/>
                    </a:stretch>
                  </pic:blipFill>
                  <pic:spPr bwMode="auto">
                    <a:xfrm>
                      <a:off x="0" y="0"/>
                      <a:ext cx="2099310" cy="8255"/>
                    </a:xfrm>
                    <a:prstGeom prst="rect">
                      <a:avLst/>
                    </a:prstGeom>
                    <a:noFill/>
                  </pic:spPr>
                </pic:pic>
              </a:graphicData>
            </a:graphic>
          </wp:anchor>
        </w:drawing>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Date: 9/20/2023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-13970</wp:posOffset>
            </wp:positionV>
            <wp:extent cx="69278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588">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-13970</wp:posOffset>
            </wp:positionV>
            <wp:extent cx="114935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589">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Robert D. Isom</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Date: 9/20/2023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-13970</wp:posOffset>
            </wp:positionV>
            <wp:extent cx="69278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590">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Severance Agreement</w:t>
      </w:r>
      <w:r>
        <w:rPr>
          <w:rFonts w:ascii="Times New Roman" w:cs="Times New Roman" w:eastAsia="Times New Roman" w:hAnsi="Times New Roman"/>
          <w:sz w:val="22"/>
          <w:szCs w:val="22"/>
          <w:color w:val="auto"/>
        </w:rPr>
        <w:t>]</w:t>
      </w:r>
    </w:p>
    <w:p>
      <w:pPr>
        <w:sectPr>
          <w:pgSz w:w="11900" w:h="16838" w:orient="portrait"/>
          <w:cols w:equalWidth="0" w:num="1">
            <w:col w:w="11220"/>
          </w:cols>
          <w:pgMar w:left="320" w:top="1440" w:right="359" w:bottom="1440" w:gutter="0" w:footer="0" w:header="0"/>
        </w:sectPr>
      </w:pPr>
    </w:p>
    <w:bookmarkStart w:id="279" w:name="page280"/>
    <w:bookmarkEnd w:id="279"/>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RELEASE OF CLAIMS</w:t>
      </w:r>
    </w:p>
    <w:p>
      <w:pPr>
        <w:spacing w:after="0" w:line="24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This Release of Claims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is entered into as of _________________, 20__, among [__________]</w:t>
      </w:r>
    </w:p>
    <w:p>
      <w:pPr>
        <w:spacing w:after="0" w:line="33"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American Airlines Group, Inc., a Delaware corporation (“</w:t>
      </w:r>
      <w:r>
        <w:rPr>
          <w:rFonts w:ascii="Times New Roman" w:cs="Times New Roman" w:eastAsia="Times New Roman" w:hAnsi="Times New Roman"/>
          <w:sz w:val="22"/>
          <w:szCs w:val="22"/>
          <w:b w:val="1"/>
          <w:bCs w:val="1"/>
          <w:i w:val="1"/>
          <w:iCs w:val="1"/>
          <w:color w:val="auto"/>
        </w:rPr>
        <w:t>Group</w:t>
      </w:r>
      <w:r>
        <w:rPr>
          <w:rFonts w:ascii="Times New Roman" w:cs="Times New Roman" w:eastAsia="Times New Roman" w:hAnsi="Times New Roman"/>
          <w:sz w:val="22"/>
          <w:szCs w:val="22"/>
          <w:color w:val="auto"/>
        </w:rPr>
        <w:t>”), and American Airlines, Inc., a Delaware corporation and a wholly-owned subsidiary of Group (“</w:t>
      </w:r>
      <w:r>
        <w:rPr>
          <w:rFonts w:ascii="Times New Roman" w:cs="Times New Roman" w:eastAsia="Times New Roman" w:hAnsi="Times New Roman"/>
          <w:sz w:val="22"/>
          <w:szCs w:val="22"/>
          <w:b w:val="1"/>
          <w:bCs w:val="1"/>
          <w:i w:val="1"/>
          <w:iCs w:val="1"/>
          <w:color w:val="auto"/>
        </w:rPr>
        <w:t>American</w:t>
      </w:r>
      <w:r>
        <w:rPr>
          <w:rFonts w:ascii="Times New Roman" w:cs="Times New Roman" w:eastAsia="Times New Roman" w:hAnsi="Times New Roman"/>
          <w:sz w:val="22"/>
          <w:szCs w:val="22"/>
          <w:color w:val="auto"/>
        </w:rPr>
        <w:t>” and, together with Group,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collectively with Executive,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 effective eight days after Executive’s signature hereto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unless Executive revokes Executive’s acceptance of this Release as provided in Paragraph 1(c), below.</w:t>
      </w:r>
    </w:p>
    <w:p>
      <w:pPr>
        <w:spacing w:after="0" w:line="184" w:lineRule="exact"/>
        <w:rPr>
          <w:sz w:val="20"/>
          <w:szCs w:val="20"/>
          <w:color w:val="auto"/>
        </w:rPr>
      </w:pPr>
    </w:p>
    <w:p>
      <w:pPr>
        <w:ind w:left="260" w:right="80" w:firstLine="1285"/>
        <w:spacing w:after="0" w:line="263" w:lineRule="auto"/>
        <w:tabs>
          <w:tab w:leader="none" w:pos="1959"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Executive’s Release of the Company</w:t>
      </w:r>
      <w:r>
        <w:rPr>
          <w:rFonts w:ascii="Times New Roman" w:cs="Times New Roman" w:eastAsia="Times New Roman" w:hAnsi="Times New Roman"/>
          <w:sz w:val="22"/>
          <w:szCs w:val="22"/>
          <w:color w:val="auto"/>
        </w:rPr>
        <w:t>. Executive understands that by agreeing to this Release, Executive is agreeing not to sue, or otherwise file any claim against, the Company or any of its employees or other agents for any reason whatsoever based on anything that has occurred as of the date Executive signs this Release.</w:t>
      </w:r>
    </w:p>
    <w:p>
      <w:pPr>
        <w:spacing w:after="0" w:line="166" w:lineRule="exact"/>
        <w:rPr>
          <w:rFonts w:ascii="Times New Roman" w:cs="Times New Roman" w:eastAsia="Times New Roman" w:hAnsi="Times New Roman"/>
          <w:sz w:val="20"/>
          <w:szCs w:val="20"/>
          <w:color w:val="auto"/>
        </w:rPr>
      </w:pPr>
    </w:p>
    <w:p>
      <w:pPr>
        <w:ind w:left="760" w:firstLine="1297"/>
        <w:spacing w:after="0" w:line="275" w:lineRule="auto"/>
        <w:tabs>
          <w:tab w:leader="none" w:pos="2584" w:val="left"/>
        </w:tabs>
        <w:numPr>
          <w:ilvl w:val="2"/>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On behalf of Executive and Executive’s heirs and assigns, Executive hereby releases and forever discharges the “</w:t>
      </w:r>
      <w:r>
        <w:rPr>
          <w:rFonts w:ascii="Times New Roman" w:cs="Times New Roman" w:eastAsia="Times New Roman" w:hAnsi="Times New Roman"/>
          <w:sz w:val="20"/>
          <w:szCs w:val="20"/>
          <w:u w:val="single" w:color="auto"/>
          <w:color w:val="auto"/>
        </w:rPr>
        <w:t>Releasees</w:t>
      </w:r>
      <w:r>
        <w:rPr>
          <w:rFonts w:ascii="Times New Roman" w:cs="Times New Roman" w:eastAsia="Times New Roman" w:hAnsi="Times New Roman"/>
          <w:sz w:val="20"/>
          <w:szCs w:val="20"/>
          <w:color w:val="auto"/>
        </w:rPr>
        <w:t>” hereunder, consisting of the Company, and each of its owners, affiliates, divisions, predecessors, successors, assigns, agents, directors, officers, partners, employees,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Times New Roman" w:cs="Times New Roman" w:eastAsia="Times New Roman" w:hAnsi="Times New Roman"/>
          <w:sz w:val="20"/>
          <w:szCs w:val="20"/>
          <w:u w:val="single" w:color="auto"/>
          <w:color w:val="auto"/>
        </w:rPr>
        <w:t>Claims</w:t>
      </w:r>
      <w:r>
        <w:rPr>
          <w:rFonts w:ascii="Times New Roman" w:cs="Times New Roman" w:eastAsia="Times New Roman" w:hAnsi="Times New Roman"/>
          <w:sz w:val="20"/>
          <w:szCs w:val="20"/>
          <w:color w:val="auto"/>
        </w:rPr>
        <w:t>”), which Executive now has or may hereafter have against the Releasees, or any of them, by reason of any matter, cause, or thing whatsoever from the beginning of time to the date hereof, including, without limiting the generality of the foregoing, any Claims arising out of, based upon, or relating to Executive’s hire, employment, remuneration or resignation by the Releasees, or any of them, including Claims arising under federal, state, or local laws relating to employment, Claims of any kind that may be brought in any court or administrative agency, any Claims arising under the Age Discrimination in Employment Act (“</w:t>
      </w:r>
      <w:r>
        <w:rPr>
          <w:rFonts w:ascii="Times New Roman" w:cs="Times New Roman" w:eastAsia="Times New Roman" w:hAnsi="Times New Roman"/>
          <w:sz w:val="20"/>
          <w:szCs w:val="20"/>
          <w:u w:val="single" w:color="auto"/>
          <w:color w:val="auto"/>
        </w:rPr>
        <w:t>ADEA</w:t>
      </w:r>
      <w:r>
        <w:rPr>
          <w:rFonts w:ascii="Times New Roman" w:cs="Times New Roman" w:eastAsia="Times New Roman" w:hAnsi="Times New Roman"/>
          <w:sz w:val="20"/>
          <w:szCs w:val="20"/>
          <w:color w:val="auto"/>
        </w:rPr>
        <w:t>”), 29 U.S.C. § 621, et seq.; Title VII of the Civil Rights Act of 1964, as amended by the Civil Rights Act of 1991, 42 U.S.C. § 2000 et seq.; the Equal Pay Act, 29 U.S.C.</w:t>
      </w:r>
    </w:p>
    <w:p>
      <w:pPr>
        <w:spacing w:after="0" w:line="232" w:lineRule="exact"/>
        <w:rPr>
          <w:rFonts w:ascii="Times New Roman" w:cs="Times New Roman" w:eastAsia="Times New Roman" w:hAnsi="Times New Roman"/>
          <w:sz w:val="19"/>
          <w:szCs w:val="19"/>
          <w:color w:val="auto"/>
        </w:rPr>
      </w:pPr>
    </w:p>
    <w:p>
      <w:pPr>
        <w:ind w:left="760" w:right="40" w:firstLine="3"/>
        <w:spacing w:after="0" w:line="245" w:lineRule="auto"/>
        <w:tabs>
          <w:tab w:leader="none" w:pos="922"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206(d); the Civil Rights Act of 1866, 42 U.S.C. § 1981; the Family and Medical Leave Act of 1993, 29 U.S.C. § 2601 et seq.; the Americans with Disabilities Act of 1990, 42 U.S.C. § 12101 et seq.; the False Claims Act, 31 U.S.C. § 3729 et seq.; the Employee Retirement Income Security Act, 29 U.S.C. § 1001 et seq.; the Worker Adjustment and Retraining Notification Act, 29 U.S.C. § 2101 et seq. the Fair Labor Standards Act, 29 U.S.C. § 215 et seq., the Sarbanes-Oxley Act of 2002; the Texas Labor Code (specifically including the Texas Payday Law, the Texas Anti-Retaliation Act, Chapter 21 of the Texas Labor Code, and the Texas Whistleblower Act); and any and all other federal, state and local laws, statutes, executive orders, regulations municipal ordinances, common law, and any other jurisdiction worldwide; Claims for breach of contract; Claims arising in tort, including, without limitation, Claims of wrongful dismissal or discharge, discrimination,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80"/>
          </w:cols>
          <w:pgMar w:left="320" w:top="1440" w:right="399" w:bottom="1440" w:gutter="0" w:footer="0" w:header="0"/>
        </w:sectPr>
      </w:pPr>
    </w:p>
    <w:bookmarkStart w:id="280" w:name="page281"/>
    <w:bookmarkEnd w:id="280"/>
    <w:p>
      <w:pPr>
        <w:spacing w:after="0" w:line="200" w:lineRule="exact"/>
        <w:rPr>
          <w:sz w:val="20"/>
          <w:szCs w:val="20"/>
          <w:color w:val="auto"/>
        </w:rPr>
      </w:pPr>
    </w:p>
    <w:p>
      <w:pPr>
        <w:spacing w:after="0" w:line="38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color w:val="auto"/>
        </w:rPr>
        <w:t>harassment, retaliation, fraud, misrepresentation, defamation, libel,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139" w:lineRule="exact"/>
        <w:rPr>
          <w:sz w:val="20"/>
          <w:szCs w:val="20"/>
          <w:color w:val="auto"/>
        </w:rPr>
      </w:pPr>
    </w:p>
    <w:p>
      <w:pPr>
        <w:ind w:left="1820" w:hanging="523"/>
        <w:spacing w:after="0"/>
        <w:tabs>
          <w:tab w:leader="none" w:pos="182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Notwithstanding the generality of the foregoing, Executive does not release the following claims:</w:t>
      </w:r>
    </w:p>
    <w:p>
      <w:pPr>
        <w:spacing w:after="0" w:line="232" w:lineRule="exact"/>
        <w:rPr>
          <w:rFonts w:ascii="Times New Roman" w:cs="Times New Roman" w:eastAsia="Times New Roman" w:hAnsi="Times New Roman"/>
          <w:sz w:val="20"/>
          <w:szCs w:val="20"/>
          <w:color w:val="auto"/>
        </w:rPr>
      </w:pPr>
    </w:p>
    <w:p>
      <w:pPr>
        <w:ind w:left="540" w:right="140" w:firstLine="1297"/>
        <w:spacing w:after="0" w:line="283" w:lineRule="auto"/>
        <w:tabs>
          <w:tab w:leader="none" w:pos="2479"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Claims for unemployment compensation or any state disability insurance benefits pursuant to the terms of applicable state law;</w:t>
      </w:r>
    </w:p>
    <w:p>
      <w:pPr>
        <w:spacing w:after="0" w:line="145" w:lineRule="exact"/>
        <w:rPr>
          <w:rFonts w:ascii="Times New Roman" w:cs="Times New Roman" w:eastAsia="Times New Roman" w:hAnsi="Times New Roman"/>
          <w:sz w:val="20"/>
          <w:szCs w:val="20"/>
          <w:color w:val="auto"/>
        </w:rPr>
      </w:pPr>
    </w:p>
    <w:p>
      <w:pPr>
        <w:ind w:left="540" w:right="560" w:firstLine="1297"/>
        <w:spacing w:after="0" w:line="270" w:lineRule="auto"/>
        <w:tabs>
          <w:tab w:leader="none" w:pos="2480"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Claims for workers’ compensation insurance benefits under the terms of any worker’s compensation insurance policy or fund of the Company;</w:t>
      </w:r>
    </w:p>
    <w:p>
      <w:pPr>
        <w:spacing w:after="0" w:line="172" w:lineRule="exact"/>
        <w:rPr>
          <w:rFonts w:ascii="Times New Roman" w:cs="Times New Roman" w:eastAsia="Times New Roman" w:hAnsi="Times New Roman"/>
          <w:sz w:val="20"/>
          <w:szCs w:val="20"/>
          <w:color w:val="auto"/>
        </w:rPr>
      </w:pPr>
    </w:p>
    <w:p>
      <w:pPr>
        <w:ind w:left="540" w:right="120" w:firstLine="1297"/>
        <w:spacing w:after="0" w:line="270" w:lineRule="auto"/>
        <w:tabs>
          <w:tab w:leader="none" w:pos="2481"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Claims to continued participation in certain of the Company’s group benefit plans pursuant to the terms and conditions of COBRA;</w:t>
      </w:r>
    </w:p>
    <w:p>
      <w:pPr>
        <w:spacing w:after="0" w:line="158" w:lineRule="exact"/>
        <w:rPr>
          <w:rFonts w:ascii="Times New Roman" w:cs="Times New Roman" w:eastAsia="Times New Roman" w:hAnsi="Times New Roman"/>
          <w:sz w:val="20"/>
          <w:szCs w:val="20"/>
          <w:color w:val="auto"/>
        </w:rPr>
      </w:pPr>
    </w:p>
    <w:p>
      <w:pPr>
        <w:ind w:left="540" w:right="1040" w:firstLine="1297"/>
        <w:spacing w:after="0" w:line="283" w:lineRule="auto"/>
        <w:tabs>
          <w:tab w:leader="none" w:pos="2470"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Claims to any benefit entitlements vested as the date of Executive’s employment termination, pursuant to written terms of any Company employee benefit plan;</w:t>
      </w:r>
    </w:p>
    <w:p>
      <w:pPr>
        <w:spacing w:after="0" w:line="145" w:lineRule="exact"/>
        <w:rPr>
          <w:rFonts w:ascii="Times New Roman" w:cs="Times New Roman" w:eastAsia="Times New Roman" w:hAnsi="Times New Roman"/>
          <w:sz w:val="20"/>
          <w:szCs w:val="20"/>
          <w:color w:val="auto"/>
        </w:rPr>
      </w:pPr>
    </w:p>
    <w:p>
      <w:pPr>
        <w:ind w:left="540" w:right="280" w:firstLine="1297"/>
        <w:spacing w:after="0" w:line="263" w:lineRule="auto"/>
        <w:tabs>
          <w:tab w:leader="none" w:pos="2469"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Claims for indemnification under any indemnification agreement with the Company, the Company’s Bylaws, any other applicable law or the Company’s directors and officers liability insurance policy; and</w:t>
      </w:r>
    </w:p>
    <w:p>
      <w:pPr>
        <w:spacing w:after="0" w:line="166" w:lineRule="exact"/>
        <w:rPr>
          <w:rFonts w:ascii="Times New Roman" w:cs="Times New Roman" w:eastAsia="Times New Roman" w:hAnsi="Times New Roman"/>
          <w:sz w:val="20"/>
          <w:szCs w:val="20"/>
          <w:color w:val="auto"/>
        </w:rPr>
      </w:pPr>
    </w:p>
    <w:p>
      <w:pPr>
        <w:ind w:left="540" w:right="140" w:firstLine="1297"/>
        <w:spacing w:after="0" w:line="263" w:lineRule="auto"/>
        <w:tabs>
          <w:tab w:leader="none" w:pos="2470"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Executive’s right to bring to the attention of the Equal Employment Opportunity Commission claims of discrimination;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Executive does release Executive’s right to secure any damages for alleged discriminatory treatment.</w:t>
      </w:r>
    </w:p>
    <w:p>
      <w:pPr>
        <w:spacing w:after="0" w:line="166" w:lineRule="exact"/>
        <w:rPr>
          <w:rFonts w:ascii="Times New Roman" w:cs="Times New Roman" w:eastAsia="Times New Roman" w:hAnsi="Times New Roman"/>
          <w:sz w:val="20"/>
          <w:szCs w:val="20"/>
          <w:color w:val="auto"/>
        </w:rPr>
      </w:pPr>
    </w:p>
    <w:p>
      <w:pPr>
        <w:ind w:left="1820" w:hanging="523"/>
        <w:spacing w:after="0"/>
        <w:tabs>
          <w:tab w:leader="none" w:pos="182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 accordance with the Older Workers Benefit Protection Act of 1990, Executive has been advised</w:t>
      </w:r>
    </w:p>
    <w:p>
      <w:pPr>
        <w:spacing w:after="0" w:line="5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of the following:</w:t>
      </w:r>
    </w:p>
    <w:p>
      <w:pPr>
        <w:spacing w:after="0" w:line="206" w:lineRule="exact"/>
        <w:rPr>
          <w:rFonts w:ascii="Times New Roman" w:cs="Times New Roman" w:eastAsia="Times New Roman" w:hAnsi="Times New Roman"/>
          <w:sz w:val="19"/>
          <w:szCs w:val="19"/>
          <w:color w:val="auto"/>
        </w:rPr>
      </w:pPr>
    </w:p>
    <w:p>
      <w:pPr>
        <w:ind w:left="2480" w:hanging="643"/>
        <w:spacing w:after="0"/>
        <w:tabs>
          <w:tab w:leader="none" w:pos="2480"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 has the right to consult with an attorney before signing this Release;</w:t>
      </w:r>
    </w:p>
    <w:p>
      <w:pPr>
        <w:spacing w:after="0" w:line="218" w:lineRule="exact"/>
        <w:rPr>
          <w:rFonts w:ascii="Times New Roman" w:cs="Times New Roman" w:eastAsia="Times New Roman" w:hAnsi="Times New Roman"/>
          <w:sz w:val="20"/>
          <w:szCs w:val="20"/>
          <w:color w:val="auto"/>
        </w:rPr>
      </w:pPr>
    </w:p>
    <w:p>
      <w:pPr>
        <w:ind w:left="2480" w:hanging="643"/>
        <w:spacing w:after="0"/>
        <w:tabs>
          <w:tab w:leader="none" w:pos="2480"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 has been given at least twenty-one (21) days to consider this Release;</w:t>
      </w:r>
    </w:p>
    <w:p>
      <w:pPr>
        <w:spacing w:after="0" w:line="232" w:lineRule="exact"/>
        <w:rPr>
          <w:rFonts w:ascii="Times New Roman" w:cs="Times New Roman" w:eastAsia="Times New Roman" w:hAnsi="Times New Roman"/>
          <w:sz w:val="20"/>
          <w:szCs w:val="20"/>
          <w:color w:val="auto"/>
        </w:rPr>
      </w:pPr>
    </w:p>
    <w:p>
      <w:pPr>
        <w:ind w:left="540" w:right="160" w:firstLine="1297"/>
        <w:spacing w:after="0" w:line="256" w:lineRule="auto"/>
        <w:tabs>
          <w:tab w:leader="none" w:pos="2481"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 has seven (7) days after signing this Release to revoke it, and Executive will not receive the severance benefits provided by that certain Severance Agreement among the Parties (the “</w:t>
      </w: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unless and until such seven (7) day period has expired. If Executive wishes to revoke this Release, Executive must deliver notice of Executive’s revocation in writing, no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460"/>
          </w:cols>
          <w:pgMar w:left="1080" w:top="1440" w:right="359" w:bottom="1440" w:gutter="0" w:footer="0" w:header="0"/>
        </w:sectPr>
      </w:pPr>
    </w:p>
    <w:bookmarkStart w:id="281" w:name="page282"/>
    <w:bookmarkEnd w:id="281"/>
    <w:p>
      <w:pPr>
        <w:spacing w:after="0" w:line="200" w:lineRule="exact"/>
        <w:rPr>
          <w:sz w:val="20"/>
          <w:szCs w:val="20"/>
          <w:color w:val="auto"/>
        </w:rPr>
      </w:pPr>
    </w:p>
    <w:p>
      <w:pPr>
        <w:spacing w:after="0" w:line="38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than 5:00 p.m. on the 7th day following Executive’s execution of this Release to [_________].</w:t>
      </w:r>
    </w:p>
    <w:p>
      <w:pPr>
        <w:spacing w:after="0" w:line="219" w:lineRule="exact"/>
        <w:rPr>
          <w:sz w:val="20"/>
          <w:szCs w:val="20"/>
          <w:color w:val="auto"/>
        </w:rPr>
      </w:pPr>
    </w:p>
    <w:p>
      <w:pPr>
        <w:ind w:left="1680" w:hanging="395"/>
        <w:spacing w:after="0"/>
        <w:tabs>
          <w:tab w:leader="none" w:pos="168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Executive Representations</w:t>
      </w:r>
      <w:r>
        <w:rPr>
          <w:rFonts w:ascii="Times New Roman" w:cs="Times New Roman" w:eastAsia="Times New Roman" w:hAnsi="Times New Roman"/>
          <w:sz w:val="22"/>
          <w:szCs w:val="22"/>
          <w:color w:val="auto"/>
        </w:rPr>
        <w:t>. Executive represents and warrants that:</w:t>
      </w:r>
    </w:p>
    <w:p>
      <w:pPr>
        <w:spacing w:after="0" w:line="232" w:lineRule="exact"/>
        <w:rPr>
          <w:rFonts w:ascii="Times New Roman" w:cs="Times New Roman" w:eastAsia="Times New Roman" w:hAnsi="Times New Roman"/>
          <w:sz w:val="20"/>
          <w:szCs w:val="20"/>
          <w:color w:val="auto"/>
        </w:rPr>
      </w:pPr>
    </w:p>
    <w:p>
      <w:pPr>
        <w:ind w:left="2320" w:hanging="523"/>
        <w:spacing w:after="0"/>
        <w:tabs>
          <w:tab w:leader="none" w:pos="232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 has returned to the Company all Company property in Executive’s possession;</w:t>
      </w:r>
    </w:p>
    <w:p>
      <w:pPr>
        <w:spacing w:after="0" w:line="218" w:lineRule="exact"/>
        <w:rPr>
          <w:rFonts w:ascii="Times New Roman" w:cs="Times New Roman" w:eastAsia="Times New Roman" w:hAnsi="Times New Roman"/>
          <w:sz w:val="20"/>
          <w:szCs w:val="20"/>
          <w:color w:val="auto"/>
        </w:rPr>
      </w:pPr>
    </w:p>
    <w:p>
      <w:pPr>
        <w:ind w:left="500" w:right="240" w:firstLine="1297"/>
        <w:spacing w:after="0" w:line="263" w:lineRule="auto"/>
        <w:tabs>
          <w:tab w:leader="none" w:pos="2321"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 is not owed wages, commissions, bonuses or other compensation, other than wages through the date of the termination of Executive’s employment and any accrued, unused vacation earned through such date, and any payments that become due under the Severance Agreement;</w:t>
      </w:r>
    </w:p>
    <w:p>
      <w:pPr>
        <w:spacing w:after="0" w:line="166" w:lineRule="exact"/>
        <w:rPr>
          <w:rFonts w:ascii="Times New Roman" w:cs="Times New Roman" w:eastAsia="Times New Roman" w:hAnsi="Times New Roman"/>
          <w:sz w:val="20"/>
          <w:szCs w:val="20"/>
          <w:color w:val="auto"/>
        </w:rPr>
      </w:pPr>
    </w:p>
    <w:p>
      <w:pPr>
        <w:jc w:val="both"/>
        <w:ind w:left="500" w:right="420" w:firstLine="1297"/>
        <w:spacing w:after="0" w:line="256" w:lineRule="auto"/>
        <w:tabs>
          <w:tab w:leader="none" w:pos="2324"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During the course of Executive’s employment Executive did not sustain any injuries for which Executive might be entitled to compensation pursuant to worker’s compensation law or Executive has disclosed any injuries of which Executive is currently, reasonably aware for which Executive might be entitled to compensation pursuant to worker’s compensation law; and</w:t>
      </w:r>
    </w:p>
    <w:p>
      <w:pPr>
        <w:spacing w:after="0" w:line="174" w:lineRule="exact"/>
        <w:rPr>
          <w:rFonts w:ascii="Times New Roman" w:cs="Times New Roman" w:eastAsia="Times New Roman" w:hAnsi="Times New Roman"/>
          <w:sz w:val="20"/>
          <w:szCs w:val="20"/>
          <w:color w:val="auto"/>
        </w:rPr>
      </w:pPr>
    </w:p>
    <w:p>
      <w:pPr>
        <w:ind w:left="500" w:right="40" w:firstLine="1297"/>
        <w:spacing w:after="0" w:line="263" w:lineRule="auto"/>
        <w:tabs>
          <w:tab w:leader="none" w:pos="2321"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 has not initiated any adversarial proceedings of any kind against the Company or against any other person or entity released herein, nor will Executive do so in the future, except as specifically allowed by this Release.</w:t>
      </w:r>
    </w:p>
    <w:p>
      <w:pPr>
        <w:spacing w:after="0" w:line="166" w:lineRule="exact"/>
        <w:rPr>
          <w:rFonts w:ascii="Times New Roman" w:cs="Times New Roman" w:eastAsia="Times New Roman" w:hAnsi="Times New Roman"/>
          <w:sz w:val="20"/>
          <w:szCs w:val="20"/>
          <w:color w:val="auto"/>
        </w:rPr>
      </w:pPr>
    </w:p>
    <w:p>
      <w:pPr>
        <w:ind w:right="820" w:firstLine="1285"/>
        <w:spacing w:after="0" w:line="283" w:lineRule="auto"/>
        <w:tabs>
          <w:tab w:leader="none" w:pos="1699"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Release are severable. If any provision is held to be invalid or unenforceable, it shall not affect the validity or enforceability of any other provision.</w:t>
      </w:r>
    </w:p>
    <w:p>
      <w:pPr>
        <w:spacing w:after="0" w:line="145" w:lineRule="exact"/>
        <w:rPr>
          <w:rFonts w:ascii="Times New Roman" w:cs="Times New Roman" w:eastAsia="Times New Roman" w:hAnsi="Times New Roman"/>
          <w:sz w:val="20"/>
          <w:szCs w:val="20"/>
          <w:color w:val="auto"/>
        </w:rPr>
      </w:pPr>
    </w:p>
    <w:p>
      <w:pPr>
        <w:ind w:firstLine="1285"/>
        <w:spacing w:after="0" w:line="263" w:lineRule="auto"/>
        <w:tabs>
          <w:tab w:leader="none" w:pos="1699"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This Release shall in all respects be governed and construed in accordance with the laws of the State of Texas, including all matters of construction, validity and performance, without regard to conflicts of law principles.</w:t>
      </w:r>
    </w:p>
    <w:p>
      <w:pPr>
        <w:spacing w:after="0" w:line="166" w:lineRule="exact"/>
        <w:rPr>
          <w:rFonts w:ascii="Times New Roman" w:cs="Times New Roman" w:eastAsia="Times New Roman" w:hAnsi="Times New Roman"/>
          <w:sz w:val="20"/>
          <w:szCs w:val="20"/>
          <w:color w:val="auto"/>
        </w:rPr>
      </w:pPr>
    </w:p>
    <w:p>
      <w:pPr>
        <w:ind w:right="120" w:firstLine="1285"/>
        <w:spacing w:after="0" w:line="256" w:lineRule="auto"/>
        <w:tabs>
          <w:tab w:leader="none" w:pos="1699"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Integration Clause</w:t>
      </w:r>
      <w:r>
        <w:rPr>
          <w:rFonts w:ascii="Times New Roman" w:cs="Times New Roman" w:eastAsia="Times New Roman" w:hAnsi="Times New Roman"/>
          <w:sz w:val="22"/>
          <w:szCs w:val="22"/>
          <w:color w:val="auto"/>
        </w:rPr>
        <w:t>. This Release and the Severance Agreement contain the Parties’ entire agreement with regard to the separation of Executive’s employment, and supersede and replace any prior agreements as to those matters, whether oral or written. This Release may not be changed or modified, in whole or in part, except by an instrument in writing signed by Executive and a duly authorized officer or director of the Company.</w:t>
      </w:r>
    </w:p>
    <w:p>
      <w:pPr>
        <w:spacing w:after="0" w:line="174" w:lineRule="exact"/>
        <w:rPr>
          <w:rFonts w:ascii="Times New Roman" w:cs="Times New Roman" w:eastAsia="Times New Roman" w:hAnsi="Times New Roman"/>
          <w:sz w:val="20"/>
          <w:szCs w:val="20"/>
          <w:color w:val="auto"/>
        </w:rPr>
      </w:pPr>
    </w:p>
    <w:p>
      <w:pPr>
        <w:ind w:right="380" w:firstLine="1285"/>
        <w:spacing w:after="0" w:line="263" w:lineRule="auto"/>
        <w:tabs>
          <w:tab w:leader="none" w:pos="1699"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Execution in Counterparts</w:t>
      </w:r>
      <w:r>
        <w:rPr>
          <w:rFonts w:ascii="Times New Roman" w:cs="Times New Roman" w:eastAsia="Times New Roman" w:hAnsi="Times New Roman"/>
          <w:sz w:val="22"/>
          <w:szCs w:val="22"/>
          <w:color w:val="auto"/>
        </w:rPr>
        <w:t>. This Release may be executed in counterparts with the same force and effectiveness as though executed in a single document. Facsimile signatures shall have the same force and effectiveness as original signatures.</w:t>
      </w:r>
    </w:p>
    <w:p>
      <w:pPr>
        <w:spacing w:after="0" w:line="166" w:lineRule="exact"/>
        <w:rPr>
          <w:rFonts w:ascii="Times New Roman" w:cs="Times New Roman" w:eastAsia="Times New Roman" w:hAnsi="Times New Roman"/>
          <w:sz w:val="20"/>
          <w:szCs w:val="20"/>
          <w:color w:val="auto"/>
        </w:rPr>
      </w:pPr>
    </w:p>
    <w:p>
      <w:pPr>
        <w:ind w:right="160" w:firstLine="1285"/>
        <w:spacing w:after="0" w:line="283" w:lineRule="auto"/>
        <w:tabs>
          <w:tab w:leader="none" w:pos="1699"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Intent to be Bound</w:t>
      </w:r>
      <w:r>
        <w:rPr>
          <w:rFonts w:ascii="Times New Roman" w:cs="Times New Roman" w:eastAsia="Times New Roman" w:hAnsi="Times New Roman"/>
          <w:sz w:val="22"/>
          <w:szCs w:val="22"/>
          <w:color w:val="auto"/>
        </w:rPr>
        <w:t>. The Parties have carefully read this Release in its entirety; fully understand and agree to its terms and provisions; and intend and agree that it is final and binding on all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940"/>
          </w:cols>
          <w:pgMar w:left="580" w:top="1440" w:right="379" w:bottom="1440" w:gutter="0" w:footer="0" w:header="0"/>
        </w:sectPr>
      </w:pPr>
    </w:p>
    <w:bookmarkStart w:id="282" w:name="page283"/>
    <w:bookmarkEnd w:id="282"/>
    <w:p>
      <w:pPr>
        <w:spacing w:after="0" w:line="200" w:lineRule="exact"/>
        <w:rPr>
          <w:sz w:val="20"/>
          <w:szCs w:val="20"/>
          <w:color w:val="auto"/>
        </w:rPr>
      </w:pPr>
    </w:p>
    <w:p>
      <w:pPr>
        <w:spacing w:after="0" w:line="388" w:lineRule="exact"/>
        <w:rPr>
          <w:sz w:val="20"/>
          <w:szCs w:val="20"/>
          <w:color w:val="auto"/>
        </w:rPr>
      </w:pPr>
    </w:p>
    <w:p>
      <w:pPr>
        <w:ind w:firstLine="863"/>
        <w:spacing w:after="0" w:line="270" w:lineRule="auto"/>
        <w:rPr>
          <w:sz w:val="20"/>
          <w:szCs w:val="20"/>
          <w:color w:val="auto"/>
        </w:rPr>
      </w:pPr>
      <w:r>
        <w:rPr>
          <w:rFonts w:ascii="Times New Roman" w:cs="Times New Roman" w:eastAsia="Times New Roman" w:hAnsi="Times New Roman"/>
          <w:sz w:val="22"/>
          <w:szCs w:val="22"/>
          <w:color w:val="auto"/>
        </w:rPr>
        <w:t>IN WITNESS WHEREOF, and intending to be legally bound, the Parties have executed the foregoing on the dates shown below.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AMERICAN AIRLINES GROUP, INC.</w:t>
      </w:r>
    </w:p>
    <w:p>
      <w:pPr>
        <w:spacing w:after="0" w:line="2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-13970</wp:posOffset>
            </wp:positionV>
            <wp:extent cx="1371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5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-13970</wp:posOffset>
            </wp:positionV>
            <wp:extent cx="1371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59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-13970</wp:posOffset>
            </wp:positionV>
            <wp:extent cx="137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59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AMERICAN AIRLINES, INC.</w:t>
      </w:r>
    </w:p>
    <w:p>
      <w:pPr>
        <w:spacing w:after="0" w:line="2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-13970</wp:posOffset>
            </wp:positionV>
            <wp:extent cx="137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59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-13970</wp:posOffset>
            </wp:positionV>
            <wp:extent cx="1371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59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-13970</wp:posOffset>
            </wp:positionV>
            <wp:extent cx="137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59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287655</wp:posOffset>
            </wp:positionV>
            <wp:extent cx="137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59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Name:</w:t>
      </w: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-13970</wp:posOffset>
            </wp:positionV>
            <wp:extent cx="137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59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760"/>
          </w:cols>
          <w:pgMar w:left="320" w:top="1440" w:right="819" w:bottom="1440" w:gutter="0" w:footer="0" w:header="0"/>
        </w:sectPr>
      </w:pPr>
    </w:p>
    <w:bookmarkStart w:id="283" w:name="page284"/>
    <w:bookmarkEnd w:id="283"/>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RESTRICTIVE COVENANTS AGREEMENT</w:t>
      </w:r>
    </w:p>
    <w:p>
      <w:pPr>
        <w:spacing w:after="0" w:line="271" w:lineRule="exact"/>
        <w:rPr>
          <w:sz w:val="20"/>
          <w:szCs w:val="20"/>
          <w:color w:val="auto"/>
        </w:rPr>
      </w:pPr>
    </w:p>
    <w:p>
      <w:pPr>
        <w:jc w:val="both"/>
        <w:ind w:firstLine="387"/>
        <w:spacing w:after="0" w:line="251" w:lineRule="auto"/>
        <w:rPr>
          <w:sz w:val="20"/>
          <w:szCs w:val="20"/>
          <w:color w:val="auto"/>
        </w:rPr>
      </w:pPr>
      <w:r>
        <w:rPr>
          <w:rFonts w:ascii="Times New Roman" w:cs="Times New Roman" w:eastAsia="Times New Roman" w:hAnsi="Times New Roman"/>
          <w:sz w:val="22"/>
          <w:szCs w:val="22"/>
          <w:color w:val="auto"/>
        </w:rPr>
        <w:t>This Restrictive Covenants Agreement (“</w:t>
      </w:r>
      <w:r>
        <w:rPr>
          <w:rFonts w:ascii="Times New Roman" w:cs="Times New Roman" w:eastAsia="Times New Roman" w:hAnsi="Times New Roman"/>
          <w:sz w:val="22"/>
          <w:szCs w:val="22"/>
          <w:b w:val="1"/>
          <w:bCs w:val="1"/>
          <w:i w:val="1"/>
          <w:iCs w:val="1"/>
          <w:color w:val="auto"/>
        </w:rPr>
        <w:t>Restrictive Covenants Agreement</w:t>
      </w:r>
      <w:r>
        <w:rPr>
          <w:rFonts w:ascii="Times New Roman" w:cs="Times New Roman" w:eastAsia="Times New Roman" w:hAnsi="Times New Roman"/>
          <w:sz w:val="22"/>
          <w:szCs w:val="22"/>
          <w:color w:val="auto"/>
        </w:rPr>
        <w:t>”) is entered into by and between American Airlines Group, Inc. on behalf of itself, its subsidiaries, and other affiliates (collectively referred to herein as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Robert D. Isom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as of September 20,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as consideration for and ancillary to the Company’s agreement to enter into the severance agreement to which this Restrictive Covenants Agreement is attached (the “</w:t>
      </w:r>
      <w:r>
        <w:rPr>
          <w:rFonts w:ascii="Times New Roman" w:cs="Times New Roman" w:eastAsia="Times New Roman" w:hAnsi="Times New Roman"/>
          <w:sz w:val="22"/>
          <w:szCs w:val="22"/>
          <w:b w:val="1"/>
          <w:bCs w:val="1"/>
          <w:i w:val="1"/>
          <w:iCs w:val="1"/>
          <w:color w:val="auto"/>
        </w:rPr>
        <w:t>Severance Agreement</w:t>
      </w:r>
      <w:r>
        <w:rPr>
          <w:rFonts w:ascii="Times New Roman" w:cs="Times New Roman" w:eastAsia="Times New Roman" w:hAnsi="Times New Roman"/>
          <w:sz w:val="22"/>
          <w:szCs w:val="22"/>
          <w:color w:val="auto"/>
        </w:rPr>
        <w:t>”), and to protect the goodwill and other legitimate business interests of the Company.</w:t>
      </w:r>
    </w:p>
    <w:p>
      <w:pPr>
        <w:spacing w:after="0" w:line="234" w:lineRule="exact"/>
        <w:rPr>
          <w:sz w:val="20"/>
          <w:szCs w:val="20"/>
          <w:color w:val="auto"/>
        </w:rPr>
      </w:pPr>
    </w:p>
    <w:p>
      <w:pPr>
        <w:jc w:val="both"/>
        <w:ind w:left="160" w:firstLine="657"/>
        <w:spacing w:after="0" w:line="272" w:lineRule="auto"/>
        <w:tabs>
          <w:tab w:leader="none" w:pos="1293"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In furtherance of Executive’s job duties, the Company agrees to provide Executive with access to and use of certain of the Company’s confidential or proprietary information that the Company deems necessary and reasonable for Executive to perform Executive’s job duties, Executive agrees to safeguard the confidentiality of such information, and to not use or disclose any of the Company’s confidential or proprietary information without the Company’s written approval, except as reasonably necessary to carry out Executive’s job duties. For the avoidance of doubt, the foregoing restrictions shall not apply to information that is or becomes generally known in the public through lawful means, and not through a breach of this Restrictive Covenants Agreement or other legal or contractual obligation. In addition, Executive acknowledges that Executive continues to be bound by the confidentiality provisions contained in the Company’s Standards of Business Conduct, the terms and conditions of which are incorporated herein by reference. Nothing herein shall be deemed to limit in any way Executive’s obligations under the Company’s Standards of Business Conduct. In the event of any conflict between the terms hereof and the terms of the Company’s Standards of Business Conduct, the more restrictive terms shall prevail. For the avoidance of doubt, nothing in this Restrictive Covenants Agreement or the Company’s Standards of Business Conduct will be construed to prohibit Executive from filing a charge with, reporting possible violations to, or participating or cooperating with any governmental agency or entity, including but not limited to the EEOC, the Department of Justice, the Securities and Exchange Commission, Congress, or any agency Inspector General, or making other disclosures that are protected under the whistleblower, anti-discrimination, or anti-retaliation provisions of federal, state or local law or regulation; provided, however, that Executive may not disclose information of the Company or any of their affiliates that is protected by the attorney-client privilege, except as otherwise required by law. Executive does not need the prior authorization of the Company to make any such reports or disclosures, and Executive is not required to notify the Company that Executive has made such reports or disclosures. Executive acknowledges receipt of notice of immunity rights under the U.S. Defend Trade Secrets Act, which states: (1) an individual shall not be held criminally or civilly liable under any federal or state trade secret law for the disclosure of a trade secret that is made (A) in confidence to a federal, state, or local government official, either directly or indirectly, or to an attorney, solely for the purpose of reporting or investigating a suspected violation of law; or (B) in a complaint or other document filed in a lawsuit or other proceeding, if such filing is made under seal; and (2) an individual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200" w:lineRule="exact"/>
        <w:rPr>
          <w:sz w:val="20"/>
          <w:szCs w:val="20"/>
          <w:color w:val="auto"/>
        </w:rPr>
      </w:pPr>
    </w:p>
    <w:p>
      <w:pPr>
        <w:spacing w:after="0" w:line="388"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22"/>
          <w:szCs w:val="22"/>
          <w:color w:val="auto"/>
        </w:rPr>
        <w:t>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75" w:lineRule="exact"/>
        <w:rPr>
          <w:sz w:val="20"/>
          <w:szCs w:val="20"/>
          <w:color w:val="auto"/>
        </w:rPr>
      </w:pPr>
    </w:p>
    <w:p>
      <w:pPr>
        <w:ind w:left="1300" w:hanging="483"/>
        <w:spacing w:after="0"/>
        <w:tabs>
          <w:tab w:leader="none" w:pos="13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Non-Solicitation</w:t>
      </w:r>
      <w:r>
        <w:rPr>
          <w:rFonts w:ascii="Times New Roman" w:cs="Times New Roman" w:eastAsia="Times New Roman" w:hAnsi="Times New Roman"/>
          <w:sz w:val="22"/>
          <w:szCs w:val="22"/>
          <w:color w:val="auto"/>
        </w:rPr>
        <w:t>.</w:t>
      </w:r>
    </w:p>
    <w:p>
      <w:pPr>
        <w:spacing w:after="0" w:line="232" w:lineRule="exact"/>
        <w:rPr>
          <w:rFonts w:ascii="Times New Roman" w:cs="Times New Roman" w:eastAsia="Times New Roman" w:hAnsi="Times New Roman"/>
          <w:sz w:val="22"/>
          <w:szCs w:val="22"/>
          <w:color w:val="auto"/>
        </w:rPr>
      </w:pPr>
    </w:p>
    <w:p>
      <w:pPr>
        <w:jc w:val="both"/>
        <w:ind w:firstLine="1302"/>
        <w:spacing w:after="0" w:line="246" w:lineRule="auto"/>
        <w:tabs>
          <w:tab w:leader="none" w:pos="1938"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during the course of Executive’s employment (which as used in this Restrictive Covenants Agreement shall include engagement as an independent contractor or other non-employee role as well) with the Company, Executive has and shall become familiar with the Company’s corporate strategy, pricing and other market information, know-how, trade secrets, and valuable customer, supplier and employee relationships, and with other confidential or proprietary information concerning the Company, and that Executive’s services shall be of special, unique and extraordinary value to the Company. Executive also acknowledges that the Company’s business, through (A) the location of its customers and facilities and (B) the area in which its services are offered, is international in scope and extends worldwide. Accordingly, Executive agrees that, during Executive’s employment with the Company and for twenty-four (24) months thereafter (unless some longer period is specified in any other agreement between Executive and the Company) (the “</w:t>
      </w:r>
      <w:r>
        <w:rPr>
          <w:rFonts w:ascii="Times New Roman" w:cs="Times New Roman" w:eastAsia="Times New Roman" w:hAnsi="Times New Roman"/>
          <w:sz w:val="22"/>
          <w:szCs w:val="22"/>
          <w:b w:val="1"/>
          <w:bCs w:val="1"/>
          <w:i w:val="1"/>
          <w:iCs w:val="1"/>
          <w:color w:val="auto"/>
        </w:rPr>
        <w:t>Noncompete Period</w:t>
      </w:r>
      <w:r>
        <w:rPr>
          <w:rFonts w:ascii="Times New Roman" w:cs="Times New Roman" w:eastAsia="Times New Roman" w:hAnsi="Times New Roman"/>
          <w:sz w:val="22"/>
          <w:szCs w:val="22"/>
          <w:color w:val="auto"/>
        </w:rPr>
        <w:t>”), Executive shall not directly or indirectly: (i) own any interest in, manage, control, or in any other manner engage in, or take significant steps to engage in, any Competing Business (as defined on Annex 1 to this Agreement), provided nothing herein shall prohibit Executive from being a passive owner of not more than two percent (2%) of the outstanding stock of any class of the stock of a corporation which is publicly traded, so long as Executive has no active participation in the business of such corporation, or (ii) be employed by, consult with, or render services to any Competing Business, whether as an employee, consultant, contractor, advisor, member, director, or otherwise, in a role that is similar to any role Executive held at any time while employed by the Company, that is executive or managerial in nature, or in which Executive could reasonably be expected to use or disclose any of confidential or proprietary information of the Company, in either case (i) or (ii), in any state, country and area where the Company conducts business during Executive’s employment with the Company or has material plans to conduct business as of the termination of such employment (the “</w:t>
      </w:r>
      <w:r>
        <w:rPr>
          <w:rFonts w:ascii="Times New Roman" w:cs="Times New Roman" w:eastAsia="Times New Roman" w:hAnsi="Times New Roman"/>
          <w:sz w:val="22"/>
          <w:szCs w:val="22"/>
          <w:b w:val="1"/>
          <w:bCs w:val="1"/>
          <w:i w:val="1"/>
          <w:iCs w:val="1"/>
          <w:color w:val="auto"/>
        </w:rPr>
        <w:t>Geographic Area</w:t>
      </w:r>
      <w:r>
        <w:rPr>
          <w:rFonts w:ascii="Times New Roman" w:cs="Times New Roman" w:eastAsia="Times New Roman" w:hAnsi="Times New Roman"/>
          <w:sz w:val="22"/>
          <w:szCs w:val="22"/>
          <w:color w:val="auto"/>
        </w:rPr>
        <w:t>”).</w:t>
      </w:r>
    </w:p>
    <w:p>
      <w:pPr>
        <w:spacing w:after="0" w:line="191" w:lineRule="exact"/>
        <w:rPr>
          <w:rFonts w:ascii="Times New Roman" w:cs="Times New Roman" w:eastAsia="Times New Roman" w:hAnsi="Times New Roman"/>
          <w:sz w:val="22"/>
          <w:szCs w:val="22"/>
          <w:color w:val="auto"/>
        </w:rPr>
      </w:pPr>
    </w:p>
    <w:p>
      <w:pPr>
        <w:jc w:val="both"/>
        <w:ind w:firstLine="1302"/>
        <w:spacing w:after="0" w:line="249" w:lineRule="auto"/>
        <w:tabs>
          <w:tab w:leader="none" w:pos="1937"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Executive’s employment with the Company and for twenty-four (24) months thereafter (the “</w:t>
      </w:r>
      <w:r>
        <w:rPr>
          <w:rFonts w:ascii="Times New Roman" w:cs="Times New Roman" w:eastAsia="Times New Roman" w:hAnsi="Times New Roman"/>
          <w:sz w:val="22"/>
          <w:szCs w:val="22"/>
          <w:b w:val="1"/>
          <w:bCs w:val="1"/>
          <w:i w:val="1"/>
          <w:iCs w:val="1"/>
          <w:color w:val="auto"/>
        </w:rPr>
        <w:t>Non-Solicit Period</w:t>
      </w:r>
      <w:r>
        <w:rPr>
          <w:rFonts w:ascii="Times New Roman" w:cs="Times New Roman" w:eastAsia="Times New Roman" w:hAnsi="Times New Roman"/>
          <w:sz w:val="22"/>
          <w:szCs w:val="22"/>
          <w:color w:val="auto"/>
        </w:rPr>
        <w:t>”), Executive shall not directly or indirectly through another individual, corporation, partnership, limited liability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company, joint venture, estate, trust, association, unincorporated organization or other entity or group (A) solicit for employment or hire, employ or hire, or otherwise induce or attempt to induce any employee, consultant or other service provider of the Company to leave the employ or engagement of the Company, or in any way interfere with the relationship between the Company and any employee, consultant, or other service provider thereof, (B) solicit the business of or offer or provide services that are similar to the Company’s services to any of the Company’s customers, or (C) induce or encourage any customer, supplier, licensee, licensor or other business relation of the Company to cease doing business with the Company, or in any way interfere with the relationship between any such customer, supplier, licensee, licensor or business relation and the Company (including, without limitation, making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200" w:lineRule="exact"/>
        <w:rPr>
          <w:sz w:val="20"/>
          <w:szCs w:val="20"/>
          <w:color w:val="auto"/>
        </w:rPr>
      </w:pPr>
    </w:p>
    <w:p>
      <w:pPr>
        <w:spacing w:after="0" w:line="3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negative or disparaging statements or communications regarding the Company) in the Geographic Area; provided, that the foregoing shall be limited to such employees, consultants, service providers, customers, suppliers, licensees, licensors or other business relations with which Executive had business dealings or about whom or which Executive acquired information or had access to the Company’s confidential information about the customer, employee, consultant, service provider, suppliers, licensee or licensor during Executive’s employment with the Company.</w:t>
      </w:r>
    </w:p>
    <w:p>
      <w:pPr>
        <w:spacing w:after="0" w:line="177" w:lineRule="exact"/>
        <w:rPr>
          <w:sz w:val="20"/>
          <w:szCs w:val="20"/>
          <w:color w:val="auto"/>
        </w:rPr>
      </w:pPr>
    </w:p>
    <w:p>
      <w:pPr>
        <w:jc w:val="both"/>
        <w:ind w:firstLine="817"/>
        <w:spacing w:after="0" w:line="247" w:lineRule="auto"/>
        <w:tabs>
          <w:tab w:leader="none" w:pos="1295"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If, at the time of enforcement of Sections 1 or 2, a court or other governing body shall hold that the limitations as to time, geographic area or scope of activity stated herein are unreasonable under circumstances then existing, Executive agrees that the maximum limitations as to time, geographic area or scope of activity that are reasonable under such circumstances shall be substituted for the stated limitations and that the court or other governing body shall reform the restrictions contained herein to cover the maximum period, scope and area permitted by law. Executive acknowledges that the restrictions contained in Sections 1 and 2 are reasonable and necessary for the protection of the Company’s confidential information, goodwill and other legitimate business interests. Executive acknowledges that any breach or threatened breach of the provisions of Sections 1 or 2 would cause the Company irreparable harm. Accordingly, in addition to other rights and remedies existing in its favor, the Company shall be entitled to seek specific performance and/or injunctive or other equitable relief from a court of competent jurisdiction in order to enforce or prevent any violations of the provisions hereof (without posting a bond or other security). Further, in the event of an alleged breach or violation of Section 1 or 2 by Executive, the Noncompete Period or Non-Solicit Period, as applicable, shall be tolled until such breach or violation has been duly cured and the Noncompete Period or Non-Solicit Period, as applicable, shall be extended by the period of time during which Executive was in breach of the restrictive covenants. The parties agree that because the Company is based in Texas and this Restrictive Covenants Agreement was negotiated, entered into and is performable in whole or in part in Texas, the laws of the State of Texas shall govern this Restrictive Covenants Agreement.</w:t>
      </w:r>
    </w:p>
    <w:p>
      <w:pPr>
        <w:spacing w:after="0" w:line="189" w:lineRule="exact"/>
        <w:rPr>
          <w:rFonts w:ascii="Times New Roman" w:cs="Times New Roman" w:eastAsia="Times New Roman" w:hAnsi="Times New Roman"/>
          <w:sz w:val="22"/>
          <w:szCs w:val="22"/>
          <w:color w:val="auto"/>
        </w:rPr>
      </w:pPr>
    </w:p>
    <w:p>
      <w:pPr>
        <w:jc w:val="both"/>
        <w:ind w:firstLine="655"/>
        <w:spacing w:after="0" w:line="251" w:lineRule="auto"/>
        <w:tabs>
          <w:tab w:leader="none" w:pos="1295"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Restriction on Earning a Living</w:t>
      </w:r>
      <w:r>
        <w:rPr>
          <w:rFonts w:ascii="Times New Roman" w:cs="Times New Roman" w:eastAsia="Times New Roman" w:hAnsi="Times New Roman"/>
          <w:sz w:val="22"/>
          <w:szCs w:val="22"/>
          <w:color w:val="auto"/>
        </w:rPr>
        <w:t>. By Executive’s entrance into the Severance Agreement and this Restrictive Covenants Agreement, Executive hereby acknowledges that the provisions of this Restrictive Covenants Agreement do not preclude Executive from earning a livelihood, nor do they unreasonably impose limitations on Executive’s ability to earn a living. In addition, Executive hereby acknowledges that the potential harm to the Company of non-enforcement of this Restrictive Covenants Agreement outweighs any harm to Executive of enforcement (by injunction or otherwise) of this Restrictive Covenants Agreement against Executive.</w:t>
      </w:r>
    </w:p>
    <w:p>
      <w:pPr>
        <w:spacing w:after="0" w:line="178" w:lineRule="exact"/>
        <w:rPr>
          <w:rFonts w:ascii="Times New Roman" w:cs="Times New Roman" w:eastAsia="Times New Roman" w:hAnsi="Times New Roman"/>
          <w:sz w:val="22"/>
          <w:szCs w:val="22"/>
          <w:color w:val="auto"/>
        </w:rPr>
      </w:pPr>
    </w:p>
    <w:p>
      <w:pPr>
        <w:jc w:val="both"/>
        <w:ind w:firstLine="655"/>
        <w:spacing w:after="0" w:line="251" w:lineRule="auto"/>
        <w:tabs>
          <w:tab w:leader="none" w:pos="1295"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w:t>
      </w:r>
      <w:r>
        <w:rPr>
          <w:rFonts w:ascii="Times New Roman" w:cs="Times New Roman" w:eastAsia="Times New Roman" w:hAnsi="Times New Roman"/>
          <w:sz w:val="22"/>
          <w:szCs w:val="22"/>
          <w:color w:val="auto"/>
        </w:rPr>
        <w:t>. If at any time before or after the date Executive’s employment or other service relationship with the Company is terminated, Executive breaches any of the obligations under this Restrictive Covenants Agreement, then, in addition to all other legal and equitable remedies available to the Company, the Company may, by delivery of written notice to Executive within ninety (90) days after its actual knowledge of such breach, terminate Executive’s right to receive any unpaid severance benefits and any unvested portion of any equity awards, require the repayment of any severance benefits previously paid and elect to purchase all or any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200" w:lineRule="exact"/>
        <w:rPr>
          <w:sz w:val="20"/>
          <w:szCs w:val="20"/>
          <w:color w:val="auto"/>
        </w:rPr>
      </w:pPr>
    </w:p>
    <w:p>
      <w:pPr>
        <w:spacing w:after="0" w:line="3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Company common stock issued to Executive (to the extent not previously repurchased) upon vesting or exercise of an equity award at a price per share equal to the lower of fair market value as of the date of repurchase or the original purchase price paid by Executive. In the event Executive disposes of the shares of Company common stock acquired upon vesting or exercise of equity awards prior to the Company exercising its repurchase right pursuant to the preceding sentence, then Executive agrees to, within 10 days after receiving the Company’s written notice in accordance with this Section 5, remit to the Company an amount equal to the fair market value of the shares of Company common stock so disposed, calculated as of the date Executive disposed of the shares of Company common stock. Each written notice in accordance with this Section 5 will identify the shares of Company common stock to be acquired from Executive, the repurchase price of such Company common stock and the time and place for the closing of the transaction. At the closing, the Company shall pay the repurchase price to Executive, and Executive shall transfer the shares of Company common stock being repurchased to the Company or the fair market value of such shares of Company common stock as of the date Executive disposed of them, as applicable. Executive hereby appoints the Company as Executive’s attorney-in-fact to facilitate and effect any such repurchase.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372" w:lineRule="exact"/>
        <w:rPr>
          <w:sz w:val="20"/>
          <w:szCs w:val="20"/>
          <w:color w:val="auto"/>
        </w:rPr>
      </w:pPr>
    </w:p>
    <w:p>
      <w:pPr>
        <w:ind w:firstLine="234"/>
        <w:spacing w:after="0" w:line="296" w:lineRule="auto"/>
        <w:rPr>
          <w:sz w:val="20"/>
          <w:szCs w:val="20"/>
          <w:color w:val="auto"/>
        </w:rPr>
      </w:pPr>
      <w:r>
        <w:rPr>
          <w:rFonts w:ascii="Times New Roman" w:cs="Times New Roman" w:eastAsia="Times New Roman" w:hAnsi="Times New Roman"/>
          <w:sz w:val="22"/>
          <w:szCs w:val="22"/>
          <w:color w:val="auto"/>
        </w:rPr>
        <w:t>IN WITNESS WHEREOF, the Company and Executive have executed this Restrictive Covenants Agreement as of the Effective Date above.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2"/>
          <w:szCs w:val="22"/>
          <w:color w:val="auto"/>
        </w:rPr>
        <w:t>American Airlines Group, Inc.</w:t>
      </w:r>
    </w:p>
    <w:p>
      <w:pPr>
        <w:spacing w:after="0" w:line="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2"/>
          <w:szCs w:val="22"/>
          <w:color w:val="auto"/>
        </w:rPr>
        <w:t>By: /s/ Grant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-5715</wp:posOffset>
            </wp:positionV>
            <wp:extent cx="11868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599">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ind w:left="6400"/>
        <w:spacing w:after="0" w:line="204" w:lineRule="auto"/>
        <w:rPr>
          <w:sz w:val="20"/>
          <w:szCs w:val="20"/>
          <w:color w:val="auto"/>
        </w:rPr>
      </w:pPr>
      <w:r>
        <w:rPr>
          <w:rFonts w:ascii="Times New Roman" w:cs="Times New Roman" w:eastAsia="Times New Roman" w:hAnsi="Times New Roman"/>
          <w:sz w:val="22"/>
          <w:szCs w:val="22"/>
          <w:color w:val="auto"/>
        </w:rPr>
        <w:t>Name: Grant McGee</w:t>
      </w:r>
    </w:p>
    <w:p>
      <w:pPr>
        <w:spacing w:after="0" w:line="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2"/>
          <w:szCs w:val="22"/>
          <w:color w:val="auto"/>
        </w:rPr>
        <w:t>Title: Vice President,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EXECUTIVE</w:t>
      </w: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Signature: /s/ Robert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-13970</wp:posOffset>
            </wp:positionV>
            <wp:extent cx="11188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600">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18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Print Name: _Robert Isom_________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Restrictive Covenants Agreement</w:t>
      </w:r>
      <w:r>
        <w:rPr>
          <w:rFonts w:ascii="Times New Roman" w:cs="Times New Roman" w:eastAsia="Times New Roman" w:hAnsi="Times New Roman"/>
          <w:sz w:val="22"/>
          <w:szCs w:val="22"/>
          <w:color w:val="auto"/>
        </w:rPr>
        <w:t>]</w:t>
      </w:r>
    </w:p>
    <w:p>
      <w:pPr>
        <w:sectPr>
          <w:pgSz w:w="11900" w:h="16838" w:orient="portrait"/>
          <w:cols w:equalWidth="0" w:num="1">
            <w:col w:w="10480"/>
          </w:cols>
          <w:pgMar w:left="320" w:top="1440" w:right="1099" w:bottom="1440" w:gutter="0" w:footer="0" w:header="0"/>
        </w:sectPr>
      </w:pPr>
    </w:p>
    <w:bookmarkStart w:id="288" w:name="page289"/>
    <w:bookmarkEnd w:id="288"/>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Annex 1</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to</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Restrictive Covenants Agreement</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Competing Business Definition</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Intentionally omitted pursuant to Regulation S-K, Item 601(a)(5)</w:t>
      </w:r>
    </w:p>
    <w:p>
      <w:pPr>
        <w:sectPr>
          <w:pgSz w:w="11900" w:h="16838" w:orient="portrait"/>
          <w:cols w:equalWidth="0" w:num="1">
            <w:col w:w="9019"/>
          </w:cols>
          <w:pgMar w:left="1440" w:top="1440" w:right="1440"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American Airlines Group Inc.</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Subsidiaries of the Registrant</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As of December 31, 2023</w:t>
      </w:r>
    </w:p>
    <w:p>
      <w:pPr>
        <w:spacing w:after="0" w:line="247" w:lineRule="exact"/>
        <w:rPr>
          <w:sz w:val="20"/>
          <w:szCs w:val="20"/>
          <w:color w:val="auto"/>
        </w:rPr>
      </w:pPr>
    </w:p>
    <w:p>
      <w:pPr>
        <w:ind w:right="20" w:firstLine="202"/>
        <w:spacing w:after="0" w:line="286" w:lineRule="auto"/>
        <w:rPr>
          <w:sz w:val="20"/>
          <w:szCs w:val="20"/>
          <w:color w:val="auto"/>
        </w:rPr>
      </w:pPr>
      <w:r>
        <w:rPr>
          <w:rFonts w:ascii="Arial" w:cs="Arial" w:eastAsia="Arial" w:hAnsi="Arial"/>
          <w:sz w:val="18"/>
          <w:szCs w:val="18"/>
          <w:color w:val="auto"/>
        </w:rPr>
        <w:t>Subsidiary companies of American Airlines Group Inc. are listed below. With respect to the companies named, all voting securities are owned directly or indirectly by the Registrant, except where otherwise indicated.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Name of Subsidiary</w:t>
            </w:r>
          </w:p>
        </w:tc>
        <w:tc>
          <w:tcPr>
            <w:tcW w:w="2560" w:type="dxa"/>
            <w:vAlign w:val="bottom"/>
          </w:tcPr>
          <w:p>
            <w:pPr>
              <w:ind w:left="80"/>
              <w:spacing w:after="0"/>
              <w:rPr>
                <w:sz w:val="20"/>
                <w:szCs w:val="20"/>
                <w:color w:val="auto"/>
              </w:rPr>
            </w:pPr>
            <w:r>
              <w:rPr>
                <w:rFonts w:ascii="Arial" w:cs="Arial" w:eastAsia="Arial" w:hAnsi="Arial"/>
                <w:sz w:val="18"/>
                <w:szCs w:val="18"/>
                <w:b w:val="1"/>
                <w:bCs w:val="1"/>
                <w:color w:val="auto"/>
              </w:rPr>
              <w:t>State or Sovereign Power of</w:t>
            </w:r>
          </w:p>
        </w:tc>
        <w:tc>
          <w:tcPr>
            <w:tcW w:w="0" w:type="dxa"/>
            <w:vAlign w:val="bottom"/>
          </w:tcPr>
          <w:p>
            <w:pPr>
              <w:spacing w:after="0"/>
              <w:rPr>
                <w:sz w:val="1"/>
                <w:szCs w:val="1"/>
                <w:color w:val="auto"/>
              </w:rPr>
            </w:pPr>
          </w:p>
        </w:tc>
      </w:tr>
      <w:tr>
        <w:trPr>
          <w:trHeight w:val="243"/>
        </w:trPr>
        <w:tc>
          <w:tcPr>
            <w:tcW w:w="8640" w:type="dxa"/>
            <w:vAlign w:val="bottom"/>
            <w:gridSpan w:val="2"/>
            <w:vMerge w:val="continue"/>
          </w:tcPr>
          <w:p>
            <w:pPr>
              <w:spacing w:after="0"/>
              <w:rPr>
                <w:sz w:val="21"/>
                <w:szCs w:val="21"/>
                <w:color w:val="auto"/>
              </w:rPr>
            </w:pPr>
          </w:p>
        </w:tc>
        <w:tc>
          <w:tcPr>
            <w:tcW w:w="2560" w:type="dxa"/>
            <w:vAlign w:val="bottom"/>
          </w:tcPr>
          <w:p>
            <w:pPr>
              <w:ind w:left="70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17"/>
        </w:trPr>
        <w:tc>
          <w:tcPr>
            <w:tcW w:w="8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Subsidiaries included in the Registrant’s consolidated financial statements</w:t>
            </w:r>
          </w:p>
        </w:tc>
        <w:tc>
          <w:tcPr>
            <w:tcW w:w="160" w:type="dxa"/>
            <w:vAlign w:val="bottom"/>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AAG Private Placement-1 Parent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AAG Private Placement-1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American Airlines, Inc.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AAdvantage Holdings 1, Ltd.</w:t>
            </w:r>
          </w:p>
        </w:tc>
        <w:tc>
          <w:tcPr>
            <w:tcW w:w="2560" w:type="dxa"/>
            <w:vAlign w:val="bottom"/>
          </w:tcPr>
          <w:p>
            <w:pPr>
              <w:ind w:left="6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AAdvantage Holdings 2, Ltd.</w:t>
            </w:r>
          </w:p>
        </w:tc>
        <w:tc>
          <w:tcPr>
            <w:tcW w:w="2560" w:type="dxa"/>
            <w:vAlign w:val="bottom"/>
          </w:tcPr>
          <w:p>
            <w:pPr>
              <w:ind w:left="6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AAdvantage Loyalty IP, Ltd.</w:t>
            </w:r>
          </w:p>
        </w:tc>
        <w:tc>
          <w:tcPr>
            <w:tcW w:w="2560" w:type="dxa"/>
            <w:vAlign w:val="bottom"/>
          </w:tcPr>
          <w:p>
            <w:pPr>
              <w:ind w:left="6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29"/>
        </w:trPr>
        <w:tc>
          <w:tcPr>
            <w:tcW w:w="8640" w:type="dxa"/>
            <w:vAlign w:val="bottom"/>
            <w:gridSpan w:val="2"/>
          </w:tcPr>
          <w:p>
            <w:pPr>
              <w:ind w:left="320"/>
              <w:spacing w:after="0"/>
              <w:rPr>
                <w:sz w:val="20"/>
                <w:szCs w:val="20"/>
                <w:color w:val="auto"/>
              </w:rPr>
            </w:pPr>
            <w:r>
              <w:rPr>
                <w:rFonts w:ascii="Arial" w:cs="Arial" w:eastAsia="Arial" w:hAnsi="Arial"/>
                <w:sz w:val="18"/>
                <w:szCs w:val="18"/>
                <w:color w:val="auto"/>
              </w:rPr>
              <w:t>Madrid IP Lux GP Sá.r.l</w:t>
            </w:r>
          </w:p>
        </w:tc>
        <w:tc>
          <w:tcPr>
            <w:tcW w:w="2560" w:type="dxa"/>
            <w:vAlign w:val="bottom"/>
          </w:tcPr>
          <w:p>
            <w:pPr>
              <w:ind w:left="6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29"/>
        </w:trPr>
        <w:tc>
          <w:tcPr>
            <w:tcW w:w="8640" w:type="dxa"/>
            <w:vAlign w:val="bottom"/>
            <w:gridSpan w:val="2"/>
          </w:tcPr>
          <w:p>
            <w:pPr>
              <w:ind w:left="320"/>
              <w:spacing w:after="0"/>
              <w:rPr>
                <w:sz w:val="20"/>
                <w:szCs w:val="20"/>
                <w:color w:val="auto"/>
              </w:rPr>
            </w:pPr>
            <w:r>
              <w:rPr>
                <w:rFonts w:ascii="Arial" w:cs="Arial" w:eastAsia="Arial" w:hAnsi="Arial"/>
                <w:sz w:val="18"/>
                <w:szCs w:val="18"/>
                <w:color w:val="auto"/>
              </w:rPr>
              <w:t>Madrid IP Lux HoldCo SCS</w:t>
            </w:r>
          </w:p>
        </w:tc>
        <w:tc>
          <w:tcPr>
            <w:tcW w:w="2560" w:type="dxa"/>
            <w:vAlign w:val="bottom"/>
          </w:tcPr>
          <w:p>
            <w:pPr>
              <w:ind w:left="6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29"/>
        </w:trPr>
        <w:tc>
          <w:tcPr>
            <w:tcW w:w="8640" w:type="dxa"/>
            <w:vAlign w:val="bottom"/>
            <w:gridSpan w:val="2"/>
          </w:tcPr>
          <w:p>
            <w:pPr>
              <w:ind w:left="320"/>
              <w:spacing w:after="0"/>
              <w:rPr>
                <w:sz w:val="20"/>
                <w:szCs w:val="20"/>
                <w:color w:val="auto"/>
              </w:rPr>
            </w:pPr>
            <w:r>
              <w:rPr>
                <w:rFonts w:ascii="Arial" w:cs="Arial" w:eastAsia="Arial" w:hAnsi="Arial"/>
                <w:sz w:val="18"/>
                <w:szCs w:val="18"/>
                <w:color w:val="auto"/>
              </w:rPr>
              <w:t>Madrid IP Lux HoldCo 2 SCS</w:t>
            </w:r>
          </w:p>
        </w:tc>
        <w:tc>
          <w:tcPr>
            <w:tcW w:w="2560" w:type="dxa"/>
            <w:vAlign w:val="bottom"/>
          </w:tcPr>
          <w:p>
            <w:pPr>
              <w:ind w:left="60"/>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American Airlines Cargo Funding,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American Airlines de Mexico, S.A.</w:t>
            </w:r>
          </w:p>
        </w:tc>
        <w:tc>
          <w:tcPr>
            <w:tcW w:w="2560" w:type="dxa"/>
            <w:vAlign w:val="bottom"/>
          </w:tcPr>
          <w:p>
            <w:pPr>
              <w:ind w:left="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American Airlines Marketing Services LLC</w:t>
            </w:r>
          </w:p>
        </w:tc>
        <w:tc>
          <w:tcPr>
            <w:tcW w:w="2560" w:type="dxa"/>
            <w:vAlign w:val="bottom"/>
          </w:tcPr>
          <w:p>
            <w:pPr>
              <w:ind w:left="60"/>
              <w:spacing w:after="0"/>
              <w:rPr>
                <w:sz w:val="20"/>
                <w:szCs w:val="20"/>
                <w:color w:val="auto"/>
              </w:rPr>
            </w:pPr>
            <w:r>
              <w:rPr>
                <w:rFonts w:ascii="Arial" w:cs="Arial" w:eastAsia="Arial" w:hAnsi="Arial"/>
                <w:sz w:val="18"/>
                <w:szCs w:val="18"/>
                <w:color w:val="auto"/>
              </w:rPr>
              <w:t>Virginia</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American Aviation Supply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American Airlines Travel LLC</w:t>
            </w:r>
          </w:p>
        </w:tc>
        <w:tc>
          <w:tcPr>
            <w:tcW w:w="2560" w:type="dxa"/>
            <w:vAlign w:val="bottom"/>
          </w:tcPr>
          <w:p>
            <w:pPr>
              <w:ind w:left="6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2013-2B,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Americas Ground Services, Inc.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Dominicana de Servicios Aeroportuarios (DSA) S.R.L.</w:t>
            </w:r>
          </w:p>
        </w:tc>
        <w:tc>
          <w:tcPr>
            <w:tcW w:w="2560" w:type="dxa"/>
            <w:vAlign w:val="bottom"/>
          </w:tcPr>
          <w:p>
            <w:pPr>
              <w:ind w:left="60"/>
              <w:spacing w:after="0"/>
              <w:rPr>
                <w:sz w:val="20"/>
                <w:szCs w:val="20"/>
                <w:color w:val="auto"/>
              </w:rPr>
            </w:pPr>
            <w:r>
              <w:rPr>
                <w:rFonts w:ascii="Arial" w:cs="Arial" w:eastAsia="Arial" w:hAnsi="Arial"/>
                <w:sz w:val="18"/>
                <w:szCs w:val="18"/>
                <w:color w:val="auto"/>
              </w:rPr>
              <w:t>Dominican Republic</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International Ground Services, S.A. de C.V.</w:t>
            </w:r>
          </w:p>
        </w:tc>
        <w:tc>
          <w:tcPr>
            <w:tcW w:w="2560" w:type="dxa"/>
            <w:vAlign w:val="bottom"/>
          </w:tcPr>
          <w:p>
            <w:pPr>
              <w:ind w:left="6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Avion Assurance Ltd.</w:t>
            </w:r>
          </w:p>
        </w:tc>
        <w:tc>
          <w:tcPr>
            <w:tcW w:w="2560" w:type="dxa"/>
            <w:vAlign w:val="bottom"/>
          </w:tcPr>
          <w:p>
            <w:pPr>
              <w:ind w:left="6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Envoy Aviation Group Inc.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Eagle Aviation Services, Inc.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Envoy Air Inc. (operates under the trade name “American Eagle”)</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20"/>
              <w:spacing w:after="0"/>
              <w:rPr>
                <w:sz w:val="20"/>
                <w:szCs w:val="20"/>
                <w:color w:val="auto"/>
              </w:rPr>
            </w:pPr>
            <w:r>
              <w:rPr>
                <w:rFonts w:ascii="Arial" w:cs="Arial" w:eastAsia="Arial" w:hAnsi="Arial"/>
                <w:sz w:val="18"/>
                <w:szCs w:val="18"/>
                <w:color w:val="auto"/>
              </w:rPr>
              <w:t>Executive Airlines, Inc.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FLAAG 2017-1 OPP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60"/>
              <w:spacing w:after="0"/>
              <w:rPr>
                <w:sz w:val="20"/>
                <w:szCs w:val="20"/>
                <w:color w:val="auto"/>
              </w:rPr>
            </w:pPr>
            <w:r>
              <w:rPr>
                <w:rFonts w:ascii="Arial" w:cs="Arial" w:eastAsia="Arial" w:hAnsi="Arial"/>
                <w:sz w:val="18"/>
                <w:szCs w:val="18"/>
                <w:color w:val="auto"/>
              </w:rPr>
              <w:t>FLAAG 2017-1 OP-A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60"/>
              <w:spacing w:after="0"/>
              <w:rPr>
                <w:sz w:val="20"/>
                <w:szCs w:val="20"/>
                <w:color w:val="auto"/>
              </w:rPr>
            </w:pPr>
            <w:r>
              <w:rPr>
                <w:rFonts w:ascii="Arial" w:cs="Arial" w:eastAsia="Arial" w:hAnsi="Arial"/>
                <w:sz w:val="18"/>
                <w:szCs w:val="18"/>
                <w:color w:val="auto"/>
              </w:rPr>
              <w:t>FLAAG 2017-1 OP-B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FLAAG 2019-1 OPP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60"/>
              <w:spacing w:after="0"/>
              <w:rPr>
                <w:sz w:val="20"/>
                <w:szCs w:val="20"/>
                <w:color w:val="auto"/>
              </w:rPr>
            </w:pPr>
            <w:r>
              <w:rPr>
                <w:rFonts w:ascii="Arial" w:cs="Arial" w:eastAsia="Arial" w:hAnsi="Arial"/>
                <w:sz w:val="18"/>
                <w:szCs w:val="18"/>
                <w:color w:val="auto"/>
              </w:rPr>
              <w:t>FLAAG 2019-1 OP-A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60"/>
              <w:spacing w:after="0"/>
              <w:rPr>
                <w:sz w:val="20"/>
                <w:szCs w:val="20"/>
                <w:color w:val="auto"/>
              </w:rPr>
            </w:pPr>
            <w:r>
              <w:rPr>
                <w:rFonts w:ascii="Arial" w:cs="Arial" w:eastAsia="Arial" w:hAnsi="Arial"/>
                <w:sz w:val="18"/>
                <w:szCs w:val="18"/>
                <w:color w:val="auto"/>
              </w:rPr>
              <w:t>FLAAG 2019-1 OP-B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60"/>
              <w:spacing w:after="0"/>
              <w:rPr>
                <w:sz w:val="20"/>
                <w:szCs w:val="20"/>
                <w:color w:val="auto"/>
              </w:rPr>
            </w:pPr>
            <w:r>
              <w:rPr>
                <w:rFonts w:ascii="Arial" w:cs="Arial" w:eastAsia="Arial" w:hAnsi="Arial"/>
                <w:sz w:val="18"/>
                <w:szCs w:val="18"/>
                <w:color w:val="auto"/>
              </w:rPr>
              <w:t>FLAAG 2019-1 OP-C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J-CRJ900 LLC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Piedmont Airlines, Inc. (operates under the trade name “American Eagle”)</w:t>
            </w:r>
          </w:p>
        </w:tc>
        <w:tc>
          <w:tcPr>
            <w:tcW w:w="2560" w:type="dxa"/>
            <w:vAlign w:val="bottom"/>
          </w:tcPr>
          <w:p>
            <w:pPr>
              <w:ind w:left="60"/>
              <w:spacing w:after="0"/>
              <w:rPr>
                <w:sz w:val="20"/>
                <w:szCs w:val="20"/>
                <w:color w:val="auto"/>
              </w:rPr>
            </w:pPr>
            <w:r>
              <w:rPr>
                <w:rFonts w:ascii="Arial" w:cs="Arial" w:eastAsia="Arial" w:hAnsi="Arial"/>
                <w:sz w:val="18"/>
                <w:szCs w:val="18"/>
                <w:color w:val="auto"/>
              </w:rPr>
              <w:t>Maryland</w:t>
            </w:r>
          </w:p>
        </w:tc>
        <w:tc>
          <w:tcPr>
            <w:tcW w:w="0" w:type="dxa"/>
            <w:vAlign w:val="bottom"/>
          </w:tcPr>
          <w:p>
            <w:pPr>
              <w:spacing w:after="0"/>
              <w:rPr>
                <w:sz w:val="1"/>
                <w:szCs w:val="1"/>
                <w:color w:val="auto"/>
              </w:rPr>
            </w:pPr>
          </w:p>
        </w:tc>
      </w:tr>
      <w:tr>
        <w:trPr>
          <w:trHeight w:val="22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PMA Investment Subsidiary, Inc.</w:t>
            </w:r>
          </w:p>
        </w:tc>
        <w:tc>
          <w:tcPr>
            <w:tcW w:w="2560" w:type="dxa"/>
            <w:vAlign w:val="bottom"/>
          </w:tcPr>
          <w:p>
            <w:pPr>
              <w:ind w:left="6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9"/>
        </w:trPr>
        <w:tc>
          <w:tcPr>
            <w:tcW w:w="8640" w:type="dxa"/>
            <w:vAlign w:val="bottom"/>
            <w:gridSpan w:val="2"/>
          </w:tcPr>
          <w:p>
            <w:pPr>
              <w:ind w:left="20"/>
              <w:spacing w:after="0"/>
              <w:rPr>
                <w:sz w:val="20"/>
                <w:szCs w:val="20"/>
                <w:color w:val="auto"/>
              </w:rPr>
            </w:pPr>
            <w:r>
              <w:rPr>
                <w:rFonts w:ascii="Arial" w:cs="Arial" w:eastAsia="Arial" w:hAnsi="Arial"/>
                <w:sz w:val="18"/>
                <w:szCs w:val="18"/>
                <w:color w:val="auto"/>
              </w:rPr>
              <w:t>PSA Airlines, Inc. (operates under the trade name “American Eagle”)</w:t>
            </w:r>
          </w:p>
        </w:tc>
        <w:tc>
          <w:tcPr>
            <w:tcW w:w="2560" w:type="dxa"/>
            <w:vAlign w:val="bottom"/>
          </w:tcPr>
          <w:p>
            <w:pPr>
              <w:ind w:left="6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23.1</w:t>
      </w:r>
    </w:p>
    <w:p>
      <w:pPr>
        <w:spacing w:after="0" w:line="31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We consent to the incorporation by reference in the registration statements (No. 333-271802 and No. 333-192660) on Form S-8 and (No.333-269990) on Form S-3 of our reports dated February 21, 2024, with respect to the consolidated financial statements of American Airlines Group Inc. and the effectiveness of internal control over financial reporting.</w:t>
      </w:r>
    </w:p>
    <w:p>
      <w:pPr>
        <w:spacing w:after="0" w:line="182"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/s/</w:t>
        <w:tab/>
        <w:t>KPMG LLP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2024</w:t>
      </w:r>
    </w:p>
    <w:p>
      <w:pPr>
        <w:sectPr>
          <w:pgSz w:w="11900" w:h="16838" w:orient="portrait"/>
          <w:cols w:equalWidth="0" w:num="1">
            <w:col w:w="11120"/>
          </w:cols>
          <w:pgMar w:left="440" w:top="889" w:right="3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b w:val="1"/>
          <w:bCs w:val="1"/>
          <w:color w:val="auto"/>
        </w:rPr>
        <w:t>Exhibit 23.1</w:t>
      </w:r>
    </w:p>
    <w:p>
      <w:pPr>
        <w:spacing w:after="0" w:line="31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We consent to the incorporation by reference in the registration statement (No. 333-269990-01) on Form S-3 of our reports dated February 21, 2024, with respect to the consolidated financial statements of American Airlines, Inc. and the effectiveness of internal control over financial reporting.</w:t>
      </w:r>
    </w:p>
    <w:p>
      <w:pPr>
        <w:spacing w:after="0" w:line="344"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/s/</w:t>
        <w:tab/>
        <w:t>KPMG LLP</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2024</w:t>
      </w:r>
    </w:p>
    <w:p>
      <w:pPr>
        <w:sectPr>
          <w:pgSz w:w="11900" w:h="16838" w:orient="portrait"/>
          <w:cols w:equalWidth="0" w:num="1">
            <w:col w:w="11120"/>
          </w:cols>
          <w:pgMar w:left="440" w:top="889" w:right="3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1" w:lineRule="exact"/>
        <w:rPr>
          <w:sz w:val="20"/>
          <w:szCs w:val="20"/>
          <w:color w:val="auto"/>
        </w:rPr>
      </w:pPr>
    </w:p>
    <w:p>
      <w:pPr>
        <w:ind w:left="640" w:hanging="309"/>
        <w:spacing w:after="0"/>
        <w:tabs>
          <w:tab w:leader="none" w:pos="6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Group Inc.;</w:t>
      </w:r>
    </w:p>
    <w:p>
      <w:pPr>
        <w:spacing w:after="0" w:line="116"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4" w:val="left"/>
        </w:tabs>
        <w:numPr>
          <w:ilvl w:val="1"/>
          <w:numId w:val="1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1300" w:hanging="321"/>
        <w:spacing w:after="0" w:line="286" w:lineRule="auto"/>
        <w:tabs>
          <w:tab w:leader="none" w:pos="129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2024</w:t>
      </w:r>
    </w:p>
    <w:p>
      <w:pPr>
        <w:spacing w:after="0" w:line="17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4123690</wp:posOffset>
            </wp:positionH>
            <wp:positionV relativeFrom="paragraph">
              <wp:posOffset>17780</wp:posOffset>
            </wp:positionV>
            <wp:extent cx="238061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601">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2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Robert D. Isom</w:t>
      </w:r>
    </w:p>
    <w:p>
      <w:pPr>
        <w:spacing w:after="0" w:line="49" w:lineRule="exact"/>
        <w:rPr>
          <w:sz w:val="20"/>
          <w:szCs w:val="20"/>
          <w:color w:val="auto"/>
        </w:rPr>
      </w:pPr>
    </w:p>
    <w:p>
      <w:pPr>
        <w:ind w:left="6500"/>
        <w:spacing w:after="0"/>
        <w:tabs>
          <w:tab w:leader="none" w:pos="7060" w:val="left"/>
        </w:tabs>
        <w:rPr>
          <w:sz w:val="20"/>
          <w:szCs w:val="20"/>
          <w:color w:val="auto"/>
        </w:rPr>
      </w:pPr>
      <w:r>
        <w:rPr>
          <w:rFonts w:ascii="Arial" w:cs="Arial" w:eastAsia="Arial" w:hAnsi="Arial"/>
          <w:sz w:val="18"/>
          <w:szCs w:val="18"/>
          <w:color w:val="auto"/>
        </w:rPr>
        <w:t>Title:</w:t>
        <w:tab/>
        <w:t>Chief Executive Officer and President</w:t>
      </w:r>
    </w:p>
    <w:p>
      <w:pPr>
        <w:sectPr>
          <w:pgSz w:w="11900" w:h="16838" w:orient="portrait"/>
          <w:cols w:equalWidth="0" w:num="1">
            <w:col w:w="11240"/>
          </w:cols>
          <w:pgMar w:left="320" w:top="890" w:right="3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 Devon E. May, certify that:</w:t>
      </w:r>
    </w:p>
    <w:p>
      <w:pPr>
        <w:spacing w:after="0" w:line="251" w:lineRule="exact"/>
        <w:rPr>
          <w:sz w:val="20"/>
          <w:szCs w:val="20"/>
          <w:color w:val="auto"/>
        </w:rPr>
      </w:pPr>
    </w:p>
    <w:p>
      <w:pPr>
        <w:ind w:left="640" w:hanging="309"/>
        <w:spacing w:after="0"/>
        <w:tabs>
          <w:tab w:leader="none" w:pos="6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Group Inc.;</w:t>
      </w:r>
    </w:p>
    <w:p>
      <w:pPr>
        <w:spacing w:after="0" w:line="116"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1300" w:hanging="321"/>
        <w:spacing w:after="0" w:line="286" w:lineRule="auto"/>
        <w:tabs>
          <w:tab w:leader="none" w:pos="129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2024</w:t>
      </w:r>
    </w:p>
    <w:p>
      <w:pPr>
        <w:spacing w:after="0" w:line="171"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17780</wp:posOffset>
            </wp:positionV>
            <wp:extent cx="245745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602">
                      <a:extLst>
                        <a:ext uri="{28A0092B-C50C-407E-A947-70E740481C1C}"/>
                      </a:extLst>
                    </a:blip>
                    <a:srcRect/>
                    <a:stretch>
                      <a:fillRect/>
                    </a:stretch>
                  </pic:blipFill>
                  <pic:spPr bwMode="auto">
                    <a:xfrm>
                      <a:off x="0" y="0"/>
                      <a:ext cx="245745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4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Devon E. May</w:t>
      </w:r>
    </w:p>
    <w:p>
      <w:pPr>
        <w:spacing w:after="0" w:line="32" w:lineRule="exact"/>
        <w:rPr>
          <w:sz w:val="20"/>
          <w:szCs w:val="20"/>
          <w:color w:val="auto"/>
        </w:rPr>
      </w:pPr>
    </w:p>
    <w:p>
      <w:pPr>
        <w:sectPr>
          <w:pgSz w:w="11900" w:h="16838" w:orient="portrait"/>
          <w:cols w:equalWidth="0" w:num="2">
            <w:col w:w="6920" w:space="160"/>
            <w:col w:w="4160"/>
          </w:cols>
          <w:pgMar w:left="320" w:top="890"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820"/>
        <w:spacing w:after="0" w:line="286" w:lineRule="auto"/>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2">
            <w:col w:w="6760" w:space="320"/>
            <w:col w:w="4160"/>
          </w:cols>
          <w:pgMar w:left="320" w:top="890" w:right="339" w:bottom="1440" w:gutter="0" w:footer="0" w:header="0"/>
          <w:type w:val="continuous"/>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 Robert D. Isom, certify that:</w:t>
      </w:r>
    </w:p>
    <w:p>
      <w:pPr>
        <w:spacing w:after="0" w:line="251" w:lineRule="exact"/>
        <w:rPr>
          <w:sz w:val="20"/>
          <w:szCs w:val="20"/>
          <w:color w:val="auto"/>
        </w:rPr>
      </w:pPr>
    </w:p>
    <w:p>
      <w:pPr>
        <w:ind w:left="640" w:hanging="309"/>
        <w:spacing w:after="0"/>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Inc.;</w:t>
      </w:r>
    </w:p>
    <w:p>
      <w:pPr>
        <w:spacing w:after="0" w:line="116" w:lineRule="exact"/>
        <w:rPr>
          <w:rFonts w:ascii="Arial" w:cs="Arial" w:eastAsia="Arial" w:hAnsi="Arial"/>
          <w:sz w:val="18"/>
          <w:szCs w:val="18"/>
          <w:color w:val="auto"/>
        </w:rPr>
      </w:pPr>
    </w:p>
    <w:p>
      <w:pPr>
        <w:ind w:left="660" w:right="80" w:hanging="329"/>
        <w:spacing w:after="0" w:line="268" w:lineRule="auto"/>
        <w:tabs>
          <w:tab w:leader="none" w:pos="64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18"/>
          <w:szCs w:val="18"/>
          <w:color w:val="auto"/>
        </w:rPr>
      </w:pPr>
    </w:p>
    <w:p>
      <w:pPr>
        <w:ind w:left="660" w:right="140" w:hanging="329"/>
        <w:spacing w:after="0" w:line="268" w:lineRule="auto"/>
        <w:tabs>
          <w:tab w:leader="none" w:pos="64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ind w:left="660" w:right="40" w:hanging="329"/>
        <w:spacing w:after="0" w:line="268" w:lineRule="auto"/>
        <w:tabs>
          <w:tab w:leader="none" w:pos="64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8"/>
          <w:szCs w:val="18"/>
          <w:color w:val="auto"/>
        </w:rPr>
      </w:pPr>
    </w:p>
    <w:p>
      <w:pPr>
        <w:ind w:left="1300" w:right="20" w:hanging="321"/>
        <w:spacing w:after="0" w:line="268" w:lineRule="auto"/>
        <w:tabs>
          <w:tab w:leader="none" w:pos="129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Arial" w:cs="Arial" w:eastAsia="Arial" w:hAnsi="Arial"/>
          <w:sz w:val="18"/>
          <w:szCs w:val="18"/>
          <w:color w:val="auto"/>
        </w:rPr>
      </w:pPr>
    </w:p>
    <w:p>
      <w:pPr>
        <w:ind w:left="1300" w:right="20" w:hanging="321"/>
        <w:spacing w:after="0" w:line="268" w:lineRule="auto"/>
        <w:tabs>
          <w:tab w:leader="none" w:pos="129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8"/>
          <w:szCs w:val="18"/>
          <w:color w:val="auto"/>
        </w:rPr>
      </w:pPr>
    </w:p>
    <w:p>
      <w:pPr>
        <w:ind w:left="1300" w:right="320" w:hanging="321"/>
        <w:spacing w:after="0" w:line="268" w:lineRule="auto"/>
        <w:tabs>
          <w:tab w:leader="none" w:pos="129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8"/>
          <w:szCs w:val="18"/>
          <w:color w:val="auto"/>
        </w:rPr>
      </w:pPr>
    </w:p>
    <w:p>
      <w:pPr>
        <w:ind w:left="1300" w:right="80" w:hanging="321"/>
        <w:spacing w:after="0" w:line="268" w:lineRule="auto"/>
        <w:tabs>
          <w:tab w:leader="none" w:pos="129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Arial" w:cs="Arial" w:eastAsia="Arial" w:hAnsi="Arial"/>
          <w:sz w:val="18"/>
          <w:szCs w:val="18"/>
          <w:color w:val="auto"/>
        </w:rPr>
      </w:pPr>
    </w:p>
    <w:p>
      <w:pPr>
        <w:ind w:left="660" w:right="160" w:hanging="329"/>
        <w:spacing w:after="0" w:line="268" w:lineRule="auto"/>
        <w:tabs>
          <w:tab w:leader="none" w:pos="64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8"/>
          <w:szCs w:val="18"/>
          <w:color w:val="auto"/>
        </w:rPr>
      </w:pPr>
    </w:p>
    <w:p>
      <w:pPr>
        <w:jc w:val="both"/>
        <w:ind w:left="1300" w:right="460" w:hanging="321"/>
        <w:spacing w:after="0" w:line="268" w:lineRule="auto"/>
        <w:tabs>
          <w:tab w:leader="none" w:pos="129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1300" w:right="800" w:hanging="321"/>
        <w:spacing w:after="0" w:line="286" w:lineRule="auto"/>
        <w:tabs>
          <w:tab w:leader="none" w:pos="129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2024</w:t>
      </w:r>
    </w:p>
    <w:p>
      <w:pPr>
        <w:spacing w:after="0" w:line="17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17780</wp:posOffset>
            </wp:positionV>
            <wp:extent cx="23717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603">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2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Robert D. Isom</w:t>
      </w:r>
    </w:p>
    <w:p>
      <w:pPr>
        <w:spacing w:after="0" w:line="4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Chief Executive Officer and President</w:t>
      </w:r>
    </w:p>
    <w:p>
      <w:pPr>
        <w:sectPr>
          <w:pgSz w:w="11900" w:h="16838" w:orient="portrait"/>
          <w:cols w:equalWidth="0" w:num="1">
            <w:col w:w="11240"/>
          </w:cols>
          <w:pgMar w:left="320" w:top="889" w:right="3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31.4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 Devon E. May, certify that:</w:t>
      </w:r>
    </w:p>
    <w:p>
      <w:pPr>
        <w:spacing w:after="0" w:line="251" w:lineRule="exact"/>
        <w:rPr>
          <w:sz w:val="20"/>
          <w:szCs w:val="20"/>
          <w:color w:val="auto"/>
        </w:rPr>
      </w:pPr>
    </w:p>
    <w:p>
      <w:pPr>
        <w:ind w:left="640" w:hanging="309"/>
        <w:spacing w:after="0"/>
        <w:tabs>
          <w:tab w:leader="none" w:pos="6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Airlines, Inc.;</w:t>
      </w:r>
    </w:p>
    <w:p>
      <w:pPr>
        <w:spacing w:after="0" w:line="116"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Arial" w:cs="Arial" w:eastAsia="Arial" w:hAnsi="Arial"/>
          <w:sz w:val="18"/>
          <w:szCs w:val="18"/>
          <w:color w:val="auto"/>
        </w:rPr>
      </w:pPr>
    </w:p>
    <w:p>
      <w:pPr>
        <w:jc w:val="both"/>
        <w:ind w:left="660" w:hanging="329"/>
        <w:spacing w:after="0" w:line="268" w:lineRule="auto"/>
        <w:tabs>
          <w:tab w:leader="none" w:pos="6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8"/>
          <w:szCs w:val="18"/>
          <w:color w:val="auto"/>
        </w:rPr>
      </w:pPr>
    </w:p>
    <w:p>
      <w:pPr>
        <w:jc w:val="both"/>
        <w:ind w:left="1300" w:hanging="321"/>
        <w:spacing w:after="0" w:line="268" w:lineRule="auto"/>
        <w:tabs>
          <w:tab w:leader="none" w:pos="129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1300" w:hanging="321"/>
        <w:spacing w:after="0" w:line="286" w:lineRule="auto"/>
        <w:tabs>
          <w:tab w:leader="none" w:pos="129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2024</w:t>
      </w:r>
    </w:p>
    <w:p>
      <w:pPr>
        <w:spacing w:after="0" w:line="200" w:lineRule="exact"/>
        <w:rPr>
          <w:sz w:val="20"/>
          <w:szCs w:val="20"/>
          <w:color w:val="auto"/>
        </w:rPr>
      </w:pPr>
    </w:p>
    <w:p>
      <w:pPr>
        <w:spacing w:after="0" w:line="294"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17780</wp:posOffset>
            </wp:positionV>
            <wp:extent cx="245745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604">
                      <a:extLst>
                        <a:ext uri="{28A0092B-C50C-407E-A947-70E740481C1C}"/>
                      </a:extLst>
                    </a:blip>
                    <a:srcRect/>
                    <a:stretch>
                      <a:fillRect/>
                    </a:stretch>
                  </pic:blipFill>
                  <pic:spPr bwMode="auto">
                    <a:xfrm>
                      <a:off x="0" y="0"/>
                      <a:ext cx="245745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4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Devon E. May</w:t>
      </w:r>
    </w:p>
    <w:p>
      <w:pPr>
        <w:spacing w:after="0" w:line="32" w:lineRule="exact"/>
        <w:rPr>
          <w:sz w:val="20"/>
          <w:szCs w:val="20"/>
          <w:color w:val="auto"/>
        </w:rPr>
      </w:pPr>
    </w:p>
    <w:p>
      <w:pPr>
        <w:sectPr>
          <w:pgSz w:w="11900" w:h="16838" w:orient="portrait"/>
          <w:cols w:equalWidth="0" w:num="2">
            <w:col w:w="6920" w:space="160"/>
            <w:col w:w="4160"/>
          </w:cols>
          <w:pgMar w:left="320" w:top="890" w:right="339" w:bottom="1440" w:gutter="0" w:footer="0" w:header="0"/>
          <w:type w:val="continuous"/>
        </w:sectPr>
      </w:pPr>
    </w:p>
    <w:p>
      <w:pPr>
        <w:ind w:left="6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1820"/>
        <w:spacing w:after="0" w:line="286" w:lineRule="auto"/>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2">
            <w:col w:w="6760" w:space="320"/>
            <w:col w:w="4160"/>
          </w:cols>
          <w:pgMar w:left="320" w:top="890" w:right="339" w:bottom="1440" w:gutter="0" w:footer="0" w:header="0"/>
          <w:type w:val="continuous"/>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Annual Report on Form 10-K of American Airlines Group Inc. (the “Company”) for the year ended December 31, 2023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spacing w:after="0" w:line="202" w:lineRule="exact"/>
        <w:rPr>
          <w:sz w:val="20"/>
          <w:szCs w:val="20"/>
          <w:color w:val="auto"/>
        </w:rPr>
      </w:pPr>
    </w:p>
    <w:p>
      <w:pPr>
        <w:ind w:left="640" w:hanging="309"/>
        <w:spacing w:after="0"/>
        <w:tabs>
          <w:tab w:leader="none" w:pos="6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660" w:hanging="329"/>
        <w:spacing w:after="0" w:line="286" w:lineRule="auto"/>
        <w:tabs>
          <w:tab w:leader="none" w:pos="65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56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605">
                      <a:extLst>
                        <a:ext uri="{28A0092B-C50C-407E-A947-70E740481C1C}"/>
                      </a:extLst>
                    </a:blip>
                    <a:srcRect/>
                    <a:stretch>
                      <a:fillRect/>
                    </a:stretch>
                  </pic:blipFill>
                  <pic:spPr bwMode="auto">
                    <a:xfrm>
                      <a:off x="0" y="0"/>
                      <a:ext cx="305689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21, 2024</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56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606">
                      <a:extLst>
                        <a:ext uri="{28A0092B-C50C-407E-A947-70E740481C1C}"/>
                      </a:extLst>
                    </a:blip>
                    <a:srcRect/>
                    <a:stretch>
                      <a:fillRect/>
                    </a:stretch>
                  </pic:blipFill>
                  <pic:spPr bwMode="auto">
                    <a:xfrm>
                      <a:off x="0" y="0"/>
                      <a:ext cx="305689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Devon E. May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21, 2024</w:t>
      </w:r>
    </w:p>
    <w:p>
      <w:pPr>
        <w:spacing w:after="0" w:line="3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890" w:right="3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Annual Report on Form 10-K of American Airlines, Inc. (the “Company”) for the year ended December 31, 2023 (the “Report”), Robert D. Isom, as Chief Executive Officer and President of the Company, and Devon E. May, as Executive Vice President and Chief Financial Officer of the Company, each hereby certifies, pursuant to 18 U.S.C. Section 1350, as adopted pursuant to Section 906 of the Sarbanes-Oxley Act of 2002, that, to the best of his knowledge:</w:t>
      </w:r>
    </w:p>
    <w:p>
      <w:pPr>
        <w:spacing w:after="0" w:line="202" w:lineRule="exact"/>
        <w:rPr>
          <w:sz w:val="20"/>
          <w:szCs w:val="20"/>
          <w:color w:val="auto"/>
        </w:rPr>
      </w:pPr>
    </w:p>
    <w:p>
      <w:pPr>
        <w:ind w:left="640" w:hanging="309"/>
        <w:spacing w:after="0"/>
        <w:tabs>
          <w:tab w:leader="none" w:pos="6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660" w:hanging="329"/>
        <w:spacing w:after="0" w:line="286" w:lineRule="auto"/>
        <w:tabs>
          <w:tab w:leader="none" w:pos="65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56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607">
                      <a:extLst>
                        <a:ext uri="{28A0092B-C50C-407E-A947-70E740481C1C}"/>
                      </a:extLst>
                    </a:blip>
                    <a:srcRect/>
                    <a:stretch>
                      <a:fillRect/>
                    </a:stretch>
                  </pic:blipFill>
                  <pic:spPr bwMode="auto">
                    <a:xfrm>
                      <a:off x="0" y="0"/>
                      <a:ext cx="305689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Robert D. Isom</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 and President</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21, 2024</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56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608">
                      <a:extLst>
                        <a:ext uri="{28A0092B-C50C-407E-A947-70E740481C1C}"/>
                      </a:extLst>
                    </a:blip>
                    <a:srcRect/>
                    <a:stretch>
                      <a:fillRect/>
                    </a:stretch>
                  </pic:blipFill>
                  <pic:spPr bwMode="auto">
                    <a:xfrm>
                      <a:off x="0" y="0"/>
                      <a:ext cx="305689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Devon E. May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21, 2024</w:t>
      </w:r>
    </w:p>
    <w:p>
      <w:pPr>
        <w:spacing w:after="0" w:line="3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889" w:right="33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22"/>
          <w:szCs w:val="22"/>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line="274" w:lineRule="auto"/>
        <w:rPr>
          <w:sz w:val="20"/>
          <w:szCs w:val="20"/>
          <w:color w:val="auto"/>
        </w:rPr>
      </w:pPr>
      <w:r>
        <w:rPr>
          <w:rFonts w:ascii="Times New Roman" w:cs="Times New Roman" w:eastAsia="Times New Roman" w:hAnsi="Times New Roman"/>
          <w:sz w:val="22"/>
          <w:szCs w:val="22"/>
          <w:b w:val="1"/>
          <w:bCs w:val="1"/>
          <w:color w:val="auto"/>
        </w:rPr>
        <w:t>AMERICAN AIRLINES GROUP INC. POLICY FOR RECOVERY OF ERRONEOUSLY AWARDED COMPENSATION</w:t>
      </w:r>
    </w:p>
    <w:p>
      <w:pPr>
        <w:spacing w:after="0" w:line="149" w:lineRule="exact"/>
        <w:rPr>
          <w:sz w:val="20"/>
          <w:szCs w:val="20"/>
          <w:color w:val="auto"/>
        </w:rPr>
      </w:pPr>
    </w:p>
    <w:p>
      <w:pPr>
        <w:jc w:val="both"/>
        <w:ind w:firstLine="647"/>
        <w:spacing w:after="0" w:line="259" w:lineRule="auto"/>
        <w:rPr>
          <w:sz w:val="20"/>
          <w:szCs w:val="20"/>
          <w:color w:val="auto"/>
        </w:rPr>
      </w:pPr>
      <w:r>
        <w:rPr>
          <w:rFonts w:ascii="Times New Roman" w:cs="Times New Roman" w:eastAsia="Times New Roman" w:hAnsi="Times New Roman"/>
          <w:sz w:val="22"/>
          <w:szCs w:val="22"/>
          <w:color w:val="auto"/>
        </w:rPr>
        <w:t>American Airlines Group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in the text of this policy are defined in Section 11.</w:t>
      </w:r>
    </w:p>
    <w:p>
      <w:pPr>
        <w:spacing w:after="0" w:line="181" w:lineRule="exact"/>
        <w:rPr>
          <w:sz w:val="20"/>
          <w:szCs w:val="20"/>
          <w:color w:val="auto"/>
        </w:rPr>
      </w:pPr>
    </w:p>
    <w:p>
      <w:pPr>
        <w:ind w:left="660" w:hanging="652"/>
        <w:spacing w:after="0"/>
        <w:tabs>
          <w:tab w:leader="none" w:pos="660" w:val="left"/>
        </w:tabs>
        <w:numPr>
          <w:ilvl w:val="0"/>
          <w:numId w:val="1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222"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Policy shall apply to current and former Officers.</w:t>
      </w:r>
    </w:p>
    <w:p>
      <w:pPr>
        <w:spacing w:after="0" w:line="214"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1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Mandatory Recovery</w:t>
      </w:r>
    </w:p>
    <w:p>
      <w:pPr>
        <w:spacing w:after="0" w:line="223"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22"/>
          <w:szCs w:val="22"/>
          <w:color w:val="auto"/>
        </w:rPr>
        <w:t>Section 3(a) of 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73" w:lineRule="exact"/>
        <w:rPr>
          <w:sz w:val="20"/>
          <w:szCs w:val="20"/>
          <w:color w:val="auto"/>
        </w:rPr>
      </w:pPr>
    </w:p>
    <w:p>
      <w:pPr>
        <w:ind w:left="380" w:hanging="372"/>
        <w:spacing w:after="0"/>
        <w:tabs>
          <w:tab w:leader="none" w:pos="380" w:val="left"/>
        </w:tabs>
        <w:numPr>
          <w:ilvl w:val="0"/>
          <w:numId w:val="1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222" w:lineRule="exact"/>
        <w:rPr>
          <w:rFonts w:ascii="Times New Roman" w:cs="Times New Roman" w:eastAsia="Times New Roman" w:hAnsi="Times New Roman"/>
          <w:sz w:val="22"/>
          <w:szCs w:val="22"/>
          <w:b w:val="1"/>
          <w:bCs w:val="1"/>
          <w:color w:val="auto"/>
        </w:rPr>
      </w:pPr>
    </w:p>
    <w:p>
      <w:pPr>
        <w:jc w:val="both"/>
        <w:ind w:firstLine="655"/>
        <w:spacing w:after="0" w:line="250" w:lineRule="auto"/>
        <w:tabs>
          <w:tab w:leader="none" w:pos="1105"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current or former Officer engaged in misconduct or otherwise caused or contributed to the requirement for the Restatement and regardless of whether or when restated financial statements are filed by the Company. For clarity, the recovery, or attempted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84" w:lineRule="exact"/>
        <w:rPr>
          <w:rFonts w:ascii="Times New Roman" w:cs="Times New Roman" w:eastAsia="Times New Roman" w:hAnsi="Times New Roman"/>
          <w:sz w:val="22"/>
          <w:szCs w:val="22"/>
          <w:color w:val="auto"/>
        </w:rPr>
      </w:pPr>
    </w:p>
    <w:p>
      <w:pPr>
        <w:jc w:val="both"/>
        <w:ind w:firstLine="655"/>
        <w:spacing w:after="0" w:line="249" w:lineRule="auto"/>
        <w:tabs>
          <w:tab w:leader="none" w:pos="1180"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(and without limiting) the provision of Section 3(a) above, in the event the Company is required to prepare a Restatement, the Committee will review the facts and circumstances that led to the requirement for such Restatement and take any other actions it deems appropriate with respect to cash incentive compensation paid under any Company Short-term Incentive Program and any Company Long-Term Incentive Performance Program as well as granted in the form of equity incentive awards received by a current or former Officer on or after the Effective Date during the applicable Three-Year Period. The Committee will consider whether an Officer received compensation based on performance reported, but not actually achieved, or was accountable for the events that led to such restatement,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517" w:right="339" w:bottom="1440" w:gutter="0" w:footer="0" w:header="0"/>
        </w:sectPr>
      </w:pPr>
    </w:p>
    <w:bookmarkStart w:id="299" w:name="page300"/>
    <w:bookmarkEnd w:id="299"/>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misconduct. Actions the Committee may take include: seeking recovery of the incentive-based compensation in excess of what would have been paid to the current or former Officer under the Restatement, imposing disciplinary actions and pursuing any other remedies.</w:t>
      </w:r>
    </w:p>
    <w:p>
      <w:pPr>
        <w:spacing w:after="0" w:line="171" w:lineRule="exact"/>
        <w:rPr>
          <w:sz w:val="20"/>
          <w:szCs w:val="20"/>
          <w:color w:val="auto"/>
        </w:rPr>
      </w:pPr>
    </w:p>
    <w:p>
      <w:pPr>
        <w:ind w:left="380" w:hanging="372"/>
        <w:spacing w:after="0"/>
        <w:tabs>
          <w:tab w:leader="none" w:pos="380" w:val="left"/>
        </w:tabs>
        <w:numPr>
          <w:ilvl w:val="0"/>
          <w:numId w:val="1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23" w:lineRule="exact"/>
        <w:rPr>
          <w:sz w:val="20"/>
          <w:szCs w:val="20"/>
          <w:color w:val="auto"/>
        </w:rPr>
      </w:pPr>
    </w:p>
    <w:p>
      <w:pPr>
        <w:jc w:val="both"/>
        <w:ind w:firstLine="647"/>
        <w:spacing w:after="0" w:line="248"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incentive compensation, including Erroneously Awarded Compensation, which may include, without limitation, reduction or cancellation by the Company or an affiliate of the Company of Incentive-Based Compensation or Erroneously Awarded Compensation, reimbursement or repayment by any person subject to this Policy of incentive compensation, including the Erroneously Awarded Compensation, and, to the extent permitted by law, an offset of incentive compensation, including the Erroneously Awarded Compensation, against other compensation payable by the Company or an affiliate of the Company to such person. Notwithstanding the foregoing, unless otherwise prohibited by the Applicable Rules, to the extent this Policy provides for recovery of incentive compensation, including Erroneously Awarded Compensation, already recovered by the Company pursuant to Section 304 of the Sarbanes-Oxley Act of 2002 or Other Recovery Arrangements, the amount of incentive compensation already recovered by the Company from the recipient of such incentive compensation will be credited to the amount of incentive compensation required to be recovered pursuant to this Policy from such person.</w:t>
      </w:r>
    </w:p>
    <w:p>
      <w:pPr>
        <w:spacing w:after="0" w:line="181" w:lineRule="exact"/>
        <w:rPr>
          <w:sz w:val="20"/>
          <w:szCs w:val="20"/>
          <w:color w:val="auto"/>
        </w:rPr>
      </w:pPr>
    </w:p>
    <w:p>
      <w:pPr>
        <w:ind w:left="380" w:hanging="372"/>
        <w:spacing w:after="0"/>
        <w:tabs>
          <w:tab w:leader="none" w:pos="380" w:val="left"/>
        </w:tabs>
        <w:numPr>
          <w:ilvl w:val="0"/>
          <w:numId w:val="1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36" w:lineRule="exact"/>
        <w:rPr>
          <w:sz w:val="20"/>
          <w:szCs w:val="20"/>
          <w:color w:val="auto"/>
        </w:rPr>
      </w:pPr>
    </w:p>
    <w:p>
      <w:pPr>
        <w:jc w:val="both"/>
        <w:ind w:firstLine="647"/>
        <w:spacing w:after="0" w:line="277" w:lineRule="auto"/>
        <w:rPr>
          <w:sz w:val="20"/>
          <w:szCs w:val="20"/>
          <w:color w:val="auto"/>
        </w:rPr>
      </w:pPr>
      <w:r>
        <w:rPr>
          <w:rFonts w:ascii="Times New Roman" w:cs="Times New Roman" w:eastAsia="Times New Roman" w:hAnsi="Times New Roman"/>
          <w:sz w:val="20"/>
          <w:szCs w:val="20"/>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51" w:lineRule="exact"/>
        <w:rPr>
          <w:sz w:val="20"/>
          <w:szCs w:val="20"/>
          <w:color w:val="auto"/>
        </w:rPr>
      </w:pPr>
    </w:p>
    <w:p>
      <w:pPr>
        <w:ind w:left="380" w:hanging="372"/>
        <w:spacing w:after="0"/>
        <w:tabs>
          <w:tab w:leader="none" w:pos="380" w:val="left"/>
        </w:tabs>
        <w:numPr>
          <w:ilvl w:val="0"/>
          <w:numId w:val="1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223" w:lineRule="exact"/>
        <w:rPr>
          <w:sz w:val="20"/>
          <w:szCs w:val="20"/>
          <w:color w:val="auto"/>
        </w:rPr>
      </w:pPr>
    </w:p>
    <w:p>
      <w:pPr>
        <w:jc w:val="both"/>
        <w:ind w:firstLine="647"/>
        <w:spacing w:after="0" w:line="263" w:lineRule="auto"/>
        <w:rPr>
          <w:sz w:val="20"/>
          <w:szCs w:val="20"/>
          <w:color w:val="auto"/>
        </w:rPr>
      </w:pPr>
      <w:r>
        <w:rPr>
          <w:rFonts w:ascii="Times New Roman" w:cs="Times New Roman" w:eastAsia="Times New Roman" w:hAnsi="Times New Roman"/>
          <w:sz w:val="22"/>
          <w:szCs w:val="22"/>
          <w:color w:val="auto"/>
        </w:rPr>
        <w:t>Section 3(a) and the related applicable sections of this Policy will be interpreted and applied in a manner that is consistent with the requirements of the Applicable Rules, and to the extent they are inconsistent with such Applicable Rules, it shall be deemed amended to the extent necessary to ensure it is consistent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125" w:lineRule="exact"/>
        <w:rPr>
          <w:sz w:val="20"/>
          <w:szCs w:val="20"/>
          <w:color w:val="auto"/>
        </w:rPr>
      </w:pPr>
    </w:p>
    <w:p>
      <w:pPr>
        <w:ind w:left="380" w:hanging="372"/>
        <w:spacing w:after="0"/>
        <w:tabs>
          <w:tab w:leader="none" w:pos="380" w:val="left"/>
        </w:tabs>
        <w:numPr>
          <w:ilvl w:val="0"/>
          <w:numId w:val="1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Personal Liability</w:t>
      </w:r>
    </w:p>
    <w:p>
      <w:pPr>
        <w:spacing w:after="0" w:line="223" w:lineRule="exact"/>
        <w:rPr>
          <w:sz w:val="20"/>
          <w:szCs w:val="20"/>
          <w:color w:val="auto"/>
        </w:rPr>
      </w:pPr>
    </w:p>
    <w:p>
      <w:pPr>
        <w:jc w:val="both"/>
        <w:ind w:firstLine="647"/>
        <w:spacing w:after="0" w:line="248"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 member of the Committee or the Board shall have any personal liability to any person as a result of actions taken under this Policy and each member of the Committee and the Board will be fully indemnified by the Company to the fullest extent available under applicable law and the Company’s governing documents with respect to any actions taken under this Policy. The foregoing sentence will not limit any other rights to indemnification of the members of the Board under applicable law and the Company’s governing documents.</w:t>
      </w:r>
    </w:p>
    <w:p>
      <w:pPr>
        <w:spacing w:after="0" w:line="184" w:lineRule="exact"/>
        <w:rPr>
          <w:sz w:val="20"/>
          <w:szCs w:val="20"/>
          <w:color w:val="auto"/>
        </w:rPr>
      </w:pPr>
    </w:p>
    <w:p>
      <w:pPr>
        <w:ind w:left="380" w:hanging="372"/>
        <w:spacing w:after="0"/>
        <w:tabs>
          <w:tab w:leader="none" w:pos="380" w:val="left"/>
        </w:tabs>
        <w:numPr>
          <w:ilvl w:val="0"/>
          <w:numId w:val="1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36" w:lineRule="exact"/>
        <w:rPr>
          <w:sz w:val="20"/>
          <w:szCs w:val="20"/>
          <w:color w:val="auto"/>
        </w:rPr>
      </w:pPr>
    </w:p>
    <w:p>
      <w:pPr>
        <w:jc w:val="both"/>
        <w:ind w:firstLine="647"/>
        <w:spacing w:after="0" w:line="252" w:lineRule="auto"/>
        <w:rPr>
          <w:sz w:val="20"/>
          <w:szCs w:val="20"/>
          <w:color w:val="auto"/>
        </w:rPr>
      </w:pPr>
      <w:r>
        <w:rPr>
          <w:rFonts w:ascii="Times New Roman" w:cs="Times New Roman" w:eastAsia="Times New Roman" w:hAnsi="Times New Roman"/>
          <w:sz w:val="22"/>
          <w:szCs w:val="22"/>
          <w:color w:val="auto"/>
        </w:rPr>
        <w:t>Effective as of the Effective Date, the Policy shall supersede and replace in its entirety the Company’s existing Clawback Policy adopted in 2014 (the “</w:t>
      </w:r>
      <w:r>
        <w:rPr>
          <w:rFonts w:ascii="Times New Roman" w:cs="Times New Roman" w:eastAsia="Times New Roman" w:hAnsi="Times New Roman"/>
          <w:sz w:val="22"/>
          <w:szCs w:val="22"/>
          <w:b w:val="1"/>
          <w:bCs w:val="1"/>
          <w:i w:val="1"/>
          <w:iCs w:val="1"/>
          <w:color w:val="auto"/>
        </w:rPr>
        <w:t>Prior Clawback Policy</w:t>
      </w:r>
      <w:r>
        <w:rPr>
          <w:rFonts w:ascii="Times New Roman" w:cs="Times New Roman" w:eastAsia="Times New Roman" w:hAnsi="Times New Roman"/>
          <w:sz w:val="22"/>
          <w:szCs w:val="22"/>
          <w:color w:val="auto"/>
        </w:rPr>
        <w:t>”); provided, that, notwithstanding the foregoing, any cash incentive compensation or equity incentive awards that are received prior to the Effective Date shall continue to remain subject to the Prior Clawback Policy.</w:t>
      </w:r>
    </w:p>
    <w:p>
      <w:pPr>
        <w:spacing w:after="0" w:line="178" w:lineRule="exact"/>
        <w:rPr>
          <w:sz w:val="20"/>
          <w:szCs w:val="20"/>
          <w:color w:val="auto"/>
        </w:rPr>
      </w:pPr>
    </w:p>
    <w:p>
      <w:pPr>
        <w:jc w:val="both"/>
        <w:ind w:firstLine="647"/>
        <w:spacing w:after="0" w:line="252"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 This Policy shall be binding and enforceable against all current and former Officers and their beneficiaries, heirs, executors, administrators or other legal representatives.</w:t>
      </w:r>
    </w:p>
    <w:p>
      <w:pPr>
        <w:spacing w:after="0" w:line="177" w:lineRule="exact"/>
        <w:rPr>
          <w:sz w:val="20"/>
          <w:szCs w:val="20"/>
          <w:color w:val="auto"/>
        </w:rPr>
      </w:pPr>
    </w:p>
    <w:p>
      <w:pPr>
        <w:ind w:left="380" w:hanging="372"/>
        <w:spacing w:after="0"/>
        <w:tabs>
          <w:tab w:leader="none" w:pos="380" w:val="left"/>
        </w:tabs>
        <w:numPr>
          <w:ilvl w:val="0"/>
          <w:numId w:val="1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23"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71" w:lineRule="exact"/>
        <w:rPr>
          <w:sz w:val="20"/>
          <w:szCs w:val="20"/>
          <w:color w:val="auto"/>
        </w:rPr>
      </w:pPr>
    </w:p>
    <w:p>
      <w:pPr>
        <w:ind w:left="500" w:hanging="492"/>
        <w:spacing w:after="0"/>
        <w:tabs>
          <w:tab w:leader="none" w:pos="500" w:val="left"/>
        </w:tabs>
        <w:numPr>
          <w:ilvl w:val="0"/>
          <w:numId w:val="1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23" w:lineRule="exact"/>
        <w:rPr>
          <w:sz w:val="20"/>
          <w:szCs w:val="20"/>
          <w:color w:val="auto"/>
        </w:rPr>
      </w:pPr>
    </w:p>
    <w:p>
      <w:pPr>
        <w:ind w:firstLine="647"/>
        <w:spacing w:after="0" w:line="283"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12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22"/>
          <w:szCs w:val="22"/>
          <w:color w:val="auto"/>
        </w:rPr>
        <w:t>automatically when the Company does not have a class of securities listed on a national securities exchange or association and will be limited the extent that any provision of the Applicable Rules is no longer in effect or applicable to the Company.</w:t>
      </w:r>
    </w:p>
    <w:p>
      <w:pPr>
        <w:spacing w:after="0" w:line="155" w:lineRule="exact"/>
        <w:rPr>
          <w:sz w:val="20"/>
          <w:szCs w:val="20"/>
          <w:color w:val="auto"/>
        </w:rPr>
      </w:pPr>
    </w:p>
    <w:p>
      <w:pPr>
        <w:ind w:left="480" w:hanging="472"/>
        <w:spacing w:after="0"/>
        <w:tabs>
          <w:tab w:leader="none" w:pos="480" w:val="left"/>
        </w:tabs>
        <w:numPr>
          <w:ilvl w:val="0"/>
          <w:numId w:val="1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50" w:lineRule="exact"/>
        <w:rPr>
          <w:sz w:val="20"/>
          <w:szCs w:val="20"/>
          <w:color w:val="auto"/>
        </w:rPr>
      </w:pPr>
    </w:p>
    <w:p>
      <w:pPr>
        <w:jc w:val="both"/>
        <w:ind w:firstLine="31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 in each case, as amended from time to time.</w:t>
      </w:r>
    </w:p>
    <w:p>
      <w:pPr>
        <w:spacing w:after="0" w:line="102"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57"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19" w:lineRule="exact"/>
        <w:rPr>
          <w:sz w:val="20"/>
          <w:szCs w:val="20"/>
          <w:color w:val="auto"/>
        </w:rPr>
      </w:pPr>
    </w:p>
    <w:p>
      <w:pPr>
        <w:jc w:val="both"/>
        <w:ind w:firstLine="647"/>
        <w:spacing w:after="0" w:line="29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w:t>
      </w:r>
      <w:r>
        <w:rPr>
          <w:rFonts w:ascii="Times New Roman" w:cs="Times New Roman" w:eastAsia="Times New Roman" w:hAnsi="Times New Roman"/>
          <w:sz w:val="20"/>
          <w:szCs w:val="20"/>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219" w:lineRule="exact"/>
        <w:rPr>
          <w:sz w:val="20"/>
          <w:szCs w:val="20"/>
          <w:color w:val="auto"/>
        </w:rPr>
      </w:pPr>
    </w:p>
    <w:p>
      <w:pPr>
        <w:jc w:val="both"/>
        <w:ind w:firstLine="647"/>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costs paid to third parties to assist in enforcing recovery would exceed the Erroneously Awarded Compensation; provided that the Company has (i)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12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22"/>
          <w:szCs w:val="22"/>
          <w:color w:val="auto"/>
        </w:rPr>
        <w:t>available to employees of the Company, to fail to meet the requirements of 26 U.S.C. 401(a)(13) or 26 U.S.C. 411(a) and the regulations thereunder.</w:t>
      </w:r>
    </w:p>
    <w:p>
      <w:pPr>
        <w:spacing w:after="0" w:line="153"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Company has a class of its securities listed on a national securities exchange or association; and (d) during the applicable Three-Year Period.</w:t>
      </w:r>
    </w:p>
    <w:p>
      <w:pPr>
        <w:spacing w:after="0" w:line="172" w:lineRule="exact"/>
        <w:rPr>
          <w:sz w:val="20"/>
          <w:szCs w:val="20"/>
          <w:color w:val="auto"/>
        </w:rPr>
      </w:pPr>
    </w:p>
    <w:p>
      <w:pPr>
        <w:jc w:val="both"/>
        <w:ind w:firstLine="647"/>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10D-1(d) under the Exchange Act.</w:t>
      </w:r>
    </w:p>
    <w:p>
      <w:pPr>
        <w:spacing w:after="0" w:line="146" w:lineRule="exact"/>
        <w:rPr>
          <w:sz w:val="20"/>
          <w:szCs w:val="20"/>
          <w:color w:val="auto"/>
        </w:rPr>
      </w:pPr>
    </w:p>
    <w:p>
      <w:pPr>
        <w:jc w:val="both"/>
        <w:ind w:firstLine="647"/>
        <w:spacing w:after="0" w:line="29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Restatement</w:t>
      </w:r>
      <w:r>
        <w:rPr>
          <w:rFonts w:ascii="Times New Roman" w:cs="Times New Roman" w:eastAsia="Times New Roman" w:hAnsi="Times New Roman"/>
          <w:sz w:val="20"/>
          <w:szCs w:val="20"/>
          <w:color w:val="auto"/>
        </w:rPr>
        <w:t>” means an accounting restatement to correct the Company’s material noncompliance with any financial reporting requirement under securities laws, including restatements that correct an error in previously issued financial statements</w:t>
      </w:r>
    </w:p>
    <w:p>
      <w:pPr>
        <w:ind w:right="20" w:firstLine="8"/>
        <w:spacing w:after="0" w:line="248" w:lineRule="auto"/>
        <w:tabs>
          <w:tab w:leader="none" w:pos="314"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material to the previously issued financial statements or (b) that would result in a material misstatement if the error were corrected in the current period or left uncorrected in the current period.</w:t>
      </w:r>
    </w:p>
    <w:p>
      <w:pPr>
        <w:spacing w:after="0" w:line="175"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if Board action is not required, the officer or officers of the Company authorized to take such action,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ACKNOWLEDGMENT AND CONSENT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38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The undersigned has received a copy of the Policy for Recovery of Erroneously Awarded Compensation (the “Policy”) adopted by American Airlines Group Inc. (the “Company”).</w:t>
      </w:r>
    </w:p>
    <w:p>
      <w:pPr>
        <w:spacing w:after="0" w:line="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In consideration of, and as a condition to, the receipt of future cash and equity incentive compensation from the Company, the undersigned hereby agrees that: (i) the undersigned is and shall be bound by and subject to the terms of the Policy; (ii) compensation received by the undersigned may be subject to reduction, cancellation, forfeiture and/or recoupment to the extent necessary to comply with the Policy, notwithstanding any other agreement to the contrary; (iii) the undersigned is not entitled to indemnification in connection with any enforcement of the Policy to the extent required by the Applicable Rules (as defined in the Policy); and (iv) the undersigned expressly waives any rights to such indemnification under the Company’s organizational documents or otherwise.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w:t>
      </w:r>
    </w:p>
    <w:p>
      <w:pPr>
        <w:spacing w:after="0" w:line="188" w:lineRule="exact"/>
        <w:rPr>
          <w:sz w:val="20"/>
          <w:szCs w:val="20"/>
          <w:color w:val="auto"/>
        </w:rPr>
      </w:pPr>
    </w:p>
    <w:p>
      <w:pPr>
        <w:sectPr>
          <w:pgSz w:w="11900" w:h="16838" w:orient="portrait"/>
          <w:cols w:equalWidth="0" w:num="2">
            <w:col w:w="2480" w:space="720"/>
            <w:col w:w="8040"/>
          </w:cols>
          <w:pgMar w:left="320" w:top="1440" w:right="3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ectPr>
          <w:pgSz w:w="11900" w:h="16838" w:orient="portrait"/>
          <w:cols w:equalWidth="0" w:num="2">
            <w:col w:w="2480" w:space="720"/>
            <w:col w:w="8040"/>
          </w:cols>
          <w:pgMar w:left="320" w:top="1440" w:right="339" w:bottom="1440" w:gutter="0" w:footer="0" w:header="0"/>
          <w:type w:val="continuous"/>
        </w:sectPr>
      </w:pPr>
    </w:p>
    <w:p>
      <w:pPr>
        <w:spacing w:after="0" w:line="2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________________________________________</w:t>
      </w:r>
    </w:p>
    <w:p>
      <w:pPr>
        <w:spacing w:after="0" w:line="18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w:t>
      </w:r>
    </w:p>
    <w:p>
      <w:pPr>
        <w:spacing w:after="0" w:line="20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________________________________________</w:t>
      </w:r>
    </w:p>
    <w:p>
      <w:pPr>
        <w:spacing w:after="0" w:line="18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88AC1A"/>
    <w:multiLevelType w:val="hybridMultilevel"/>
    <w:lvl w:ilvl="0">
      <w:lvlJc w:val="left"/>
      <w:lvlText w:val="☒"/>
      <w:numFmt w:val="bullet"/>
      <w:start w:val="1"/>
    </w:lvl>
  </w:abstractNum>
  <w:abstractNum w:abstractNumId="1">
    <w:nsid w:val="5FB8011C"/>
    <w:multiLevelType w:val="hybridMultilevel"/>
    <w:lvl w:ilvl="0">
      <w:lvlJc w:val="left"/>
      <w:lvlText w:val="☐"/>
      <w:numFmt w:val="bullet"/>
      <w:start w:val="1"/>
    </w:lvl>
  </w:abstractNum>
  <w:abstractNum w:abstractNumId="2">
    <w:nsid w:val="6AA78F7F"/>
    <w:multiLevelType w:val="hybridMultilevel"/>
    <w:lvl w:ilvl="0">
      <w:lvlJc w:val="left"/>
      <w:lvlText w:val="(%1)"/>
      <w:numFmt w:val="decimal"/>
      <w:start w:val="1"/>
    </w:lvl>
  </w:abstractNum>
  <w:abstractNum w:abstractNumId="3">
    <w:nsid w:val="7672BD23"/>
    <w:multiLevelType w:val="hybridMultilevel"/>
    <w:lvl w:ilvl="0">
      <w:lvlJc w:val="left"/>
      <w:lvlText w:val="☒"/>
      <w:numFmt w:val="bullet"/>
      <w:start w:val="1"/>
    </w:lvl>
  </w:abstractNum>
  <w:abstractNum w:abstractNumId="4">
    <w:nsid w:val="6FC75AF8"/>
    <w:multiLevelType w:val="hybridMultilevel"/>
    <w:lvl w:ilvl="0">
      <w:lvlJc w:val="left"/>
      <w:lvlText w:val="•"/>
      <w:numFmt w:val="bullet"/>
      <w:start w:val="1"/>
    </w:lvl>
  </w:abstractNum>
  <w:abstractNum w:abstractNumId="5">
    <w:nsid w:val="6A5F7029"/>
    <w:multiLevelType w:val="hybridMultilevel"/>
    <w:lvl w:ilvl="0">
      <w:lvlJc w:val="left"/>
      <w:lvlText w:val="•"/>
      <w:numFmt w:val="bullet"/>
      <w:start w:val="1"/>
    </w:lvl>
  </w:abstractNum>
  <w:abstractNum w:abstractNumId="6">
    <w:nsid w:val="7D5E18F8"/>
    <w:multiLevelType w:val="hybridMultilevel"/>
    <w:lvl w:ilvl="0">
      <w:lvlJc w:val="left"/>
      <w:lvlText w:val="•"/>
      <w:numFmt w:val="bullet"/>
      <w:start w:val="1"/>
    </w:lvl>
  </w:abstractNum>
  <w:abstractNum w:abstractNumId="7">
    <w:nsid w:val="5F3534A4"/>
    <w:multiLevelType w:val="hybridMultilevel"/>
    <w:lvl w:ilvl="0">
      <w:lvlJc w:val="left"/>
      <w:lvlText w:val="•"/>
      <w:numFmt w:val="bullet"/>
      <w:start w:val="1"/>
    </w:lvl>
  </w:abstractNum>
  <w:abstractNum w:abstractNumId="8">
    <w:nsid w:val="73A1821B"/>
    <w:multiLevelType w:val="hybridMultilevel"/>
    <w:lvl w:ilvl="0">
      <w:lvlJc w:val="left"/>
      <w:lvlText w:val="(%1)"/>
      <w:numFmt w:val="decimal"/>
      <w:start w:val="1"/>
    </w:lvl>
  </w:abstractNum>
  <w:abstractNum w:abstractNumId="9">
    <w:nsid w:val="7DE67713"/>
    <w:multiLevelType w:val="hybridMultilevel"/>
    <w:lvl w:ilvl="0">
      <w:lvlJc w:val="left"/>
      <w:lvlText w:val="•"/>
      <w:numFmt w:val="bullet"/>
      <w:start w:val="1"/>
    </w:lvl>
    <w:lvl w:ilvl="1">
      <w:lvlJc w:val="left"/>
      <w:lvlText w:val="◦"/>
      <w:numFmt w:val="bullet"/>
      <w:start w:val="1"/>
    </w:lvl>
  </w:abstractNum>
  <w:abstractNum w:abstractNumId="10">
    <w:nsid w:val="555C55B5"/>
    <w:multiLevelType w:val="hybridMultilevel"/>
    <w:lvl w:ilvl="0">
      <w:lvlJc w:val="left"/>
      <w:lvlText w:val="•"/>
      <w:numFmt w:val="bullet"/>
      <w:start w:val="1"/>
    </w:lvl>
  </w:abstractNum>
  <w:abstractNum w:abstractNumId="11">
    <w:nsid w:val="3FA62ACA"/>
    <w:multiLevelType w:val="hybridMultilevel"/>
    <w:lvl w:ilvl="0">
      <w:lvlJc w:val="left"/>
      <w:lvlText w:val="%1."/>
      <w:numFmt w:val="decimal"/>
      <w:start w:val="382"/>
    </w:lvl>
  </w:abstractNum>
  <w:abstractNum w:abstractNumId="12">
    <w:nsid w:val="14FCE74E"/>
    <w:multiLevelType w:val="hybridMultilevel"/>
    <w:lvl w:ilvl="0">
      <w:lvlJc w:val="left"/>
      <w:lvlText w:val="\endash "/>
      <w:numFmt w:val="bullet"/>
      <w:start w:val="1"/>
    </w:lvl>
  </w:abstractNum>
  <w:abstractNum w:abstractNumId="13">
    <w:nsid w:val="6A3DD3E8"/>
    <w:multiLevelType w:val="hybridMultilevel"/>
    <w:lvl w:ilvl="0">
      <w:lvlJc w:val="left"/>
      <w:lvlText w:val="•"/>
      <w:numFmt w:val="bullet"/>
      <w:start w:val="1"/>
    </w:lvl>
  </w:abstractNum>
  <w:abstractNum w:abstractNumId="14">
    <w:nsid w:val="71C91298"/>
    <w:multiLevelType w:val="hybridMultilevel"/>
    <w:lvl w:ilvl="0">
      <w:lvlJc w:val="left"/>
      <w:lvlText w:val="•"/>
      <w:numFmt w:val="bullet"/>
      <w:start w:val="1"/>
    </w:lvl>
  </w:abstractNum>
  <w:abstractNum w:abstractNumId="15">
    <w:nsid w:val="9DAF632"/>
    <w:multiLevelType w:val="hybridMultilevel"/>
    <w:lvl w:ilvl="0">
      <w:lvlJc w:val="left"/>
      <w:lvlText w:val="•"/>
      <w:numFmt w:val="bullet"/>
      <w:start w:val="1"/>
    </w:lvl>
  </w:abstractNum>
  <w:abstractNum w:abstractNumId="16">
    <w:nsid w:val="53299938"/>
    <w:multiLevelType w:val="hybridMultilevel"/>
    <w:lvl w:ilvl="0">
      <w:lvlJc w:val="left"/>
      <w:lvlText w:val="•"/>
      <w:numFmt w:val="bullet"/>
      <w:start w:val="1"/>
    </w:lvl>
  </w:abstractNum>
  <w:abstractNum w:abstractNumId="17">
    <w:nsid w:val="1FBFE8E0"/>
    <w:multiLevelType w:val="hybridMultilevel"/>
    <w:lvl w:ilvl="0">
      <w:lvlJc w:val="left"/>
      <w:lvlText w:val="•"/>
      <w:numFmt w:val="bullet"/>
      <w:start w:val="1"/>
    </w:lvl>
  </w:abstractNum>
  <w:abstractNum w:abstractNumId="18">
    <w:nsid w:val="5092CA79"/>
    <w:multiLevelType w:val="hybridMultilevel"/>
    <w:lvl w:ilvl="0">
      <w:lvlJc w:val="left"/>
      <w:lvlText w:val="•"/>
      <w:numFmt w:val="bullet"/>
      <w:start w:val="1"/>
    </w:lvl>
  </w:abstractNum>
  <w:abstractNum w:abstractNumId="19">
    <w:nsid w:val="1D545C4D"/>
    <w:multiLevelType w:val="hybridMultilevel"/>
    <w:lvl w:ilvl="0">
      <w:lvlJc w:val="left"/>
      <w:lvlText w:val="•"/>
      <w:numFmt w:val="bullet"/>
      <w:start w:val="1"/>
    </w:lvl>
  </w:abstractNum>
  <w:abstractNum w:abstractNumId="20">
    <w:nsid w:val="59ADEA3D"/>
    <w:multiLevelType w:val="hybridMultilevel"/>
    <w:lvl w:ilvl="0">
      <w:lvlJc w:val="left"/>
      <w:lvlText w:val="(%1)"/>
      <w:numFmt w:val="decimal"/>
      <w:start w:val="1"/>
    </w:lvl>
  </w:abstractNum>
  <w:abstractNum w:abstractNumId="21">
    <w:nsid w:val="288F1A34"/>
    <w:multiLevelType w:val="hybridMultilevel"/>
    <w:lvl w:ilvl="0">
      <w:lvlJc w:val="left"/>
      <w:lvlText w:val="(%1)"/>
      <w:numFmt w:val="decimal"/>
      <w:start w:val="1"/>
    </w:lvl>
  </w:abstractNum>
  <w:abstractNum w:abstractNumId="22">
    <w:nsid w:val="2A155DBC"/>
    <w:multiLevelType w:val="hybridMultilevel"/>
    <w:lvl w:ilvl="0">
      <w:lvlJc w:val="left"/>
      <w:lvlText w:val="(%1)"/>
      <w:numFmt w:val="lowerLetter"/>
      <w:start w:val="1"/>
    </w:lvl>
  </w:abstractNum>
  <w:abstractNum w:abstractNumId="23">
    <w:nsid w:val="1D9F6E5F"/>
    <w:multiLevelType w:val="hybridMultilevel"/>
    <w:lvl w:ilvl="0">
      <w:lvlJc w:val="left"/>
      <w:lvlText w:val="(%1)"/>
      <w:numFmt w:val="decimal"/>
      <w:start w:val="1"/>
    </w:lvl>
  </w:abstractNum>
  <w:abstractNum w:abstractNumId="24">
    <w:nsid w:val="97E1B4E"/>
    <w:multiLevelType w:val="hybridMultilevel"/>
    <w:lvl w:ilvl="0">
      <w:lvlJc w:val="left"/>
      <w:lvlText w:val="(%1)"/>
      <w:numFmt w:val="decimal"/>
      <w:start w:val="1"/>
    </w:lvl>
  </w:abstractNum>
  <w:abstractNum w:abstractNumId="25">
    <w:nsid w:val="51088277"/>
    <w:multiLevelType w:val="hybridMultilevel"/>
    <w:lvl w:ilvl="0">
      <w:lvlJc w:val="left"/>
      <w:lvlText w:val="(%1)"/>
      <w:numFmt w:val="decimal"/>
      <w:start w:val="6"/>
    </w:lvl>
  </w:abstractNum>
  <w:abstractNum w:abstractNumId="26">
    <w:nsid w:val="1CA0C5FA"/>
    <w:multiLevelType w:val="hybridMultilevel"/>
    <w:lvl w:ilvl="0">
      <w:lvlJc w:val="left"/>
      <w:lvlText w:val="(%1)"/>
      <w:numFmt w:val="decimal"/>
      <w:start w:val="1"/>
    </w:lvl>
  </w:abstractNum>
  <w:abstractNum w:abstractNumId="27">
    <w:nsid w:val="53584BCB"/>
    <w:multiLevelType w:val="hybridMultilevel"/>
    <w:lvl w:ilvl="0">
      <w:lvlJc w:val="left"/>
      <w:lvlText w:val="(%1)"/>
      <w:numFmt w:val="decimal"/>
      <w:start w:val="1"/>
    </w:lvl>
  </w:abstractNum>
  <w:abstractNum w:abstractNumId="28">
    <w:nsid w:val="415E286C"/>
    <w:multiLevelType w:val="hybridMultilevel"/>
    <w:lvl w:ilvl="0">
      <w:lvlJc w:val="left"/>
      <w:lvlText w:val="(%1)"/>
      <w:numFmt w:val="decimal"/>
      <w:start w:val="1"/>
    </w:lvl>
  </w:abstractNum>
  <w:abstractNum w:abstractNumId="29">
    <w:nsid w:val="7C58FD05"/>
    <w:multiLevelType w:val="hybridMultilevel"/>
    <w:lvl w:ilvl="0">
      <w:lvlJc w:val="left"/>
      <w:lvlText w:val="•"/>
      <w:numFmt w:val="bullet"/>
      <w:start w:val="1"/>
    </w:lvl>
  </w:abstractNum>
  <w:abstractNum w:abstractNumId="30">
    <w:nsid w:val="23D86AAC"/>
    <w:multiLevelType w:val="hybridMultilevel"/>
    <w:lvl w:ilvl="0">
      <w:lvlJc w:val="left"/>
      <w:lvlText w:val="(%1)"/>
      <w:numFmt w:val="decimal"/>
      <w:start w:val="1"/>
    </w:lvl>
  </w:abstractNum>
  <w:abstractNum w:abstractNumId="31">
    <w:nsid w:val="45E6D486"/>
    <w:multiLevelType w:val="hybridMultilevel"/>
    <w:lvl w:ilvl="0">
      <w:lvlJc w:val="left"/>
      <w:lvlText w:val="(%1)"/>
      <w:numFmt w:val="decimal"/>
      <w:start w:val="1"/>
    </w:lvl>
  </w:abstractNum>
  <w:abstractNum w:abstractNumId="32">
    <w:nsid w:val="5C10FE21"/>
    <w:multiLevelType w:val="hybridMultilevel"/>
    <w:lvl w:ilvl="0">
      <w:lvlJc w:val="left"/>
      <w:lvlText w:val="(%1)"/>
      <w:numFmt w:val="lowerLetter"/>
      <w:start w:val="1"/>
    </w:lvl>
  </w:abstractNum>
  <w:abstractNum w:abstractNumId="33">
    <w:nsid w:val="E7FFA2B"/>
    <w:multiLevelType w:val="hybridMultilevel"/>
    <w:lvl w:ilvl="0">
      <w:lvlJc w:val="left"/>
      <w:lvlText w:val="(%1)"/>
      <w:numFmt w:val="lowerLetter"/>
      <w:start w:val="6"/>
    </w:lvl>
  </w:abstractNum>
  <w:abstractNum w:abstractNumId="34">
    <w:nsid w:val="3C5991AA"/>
    <w:multiLevelType w:val="hybridMultilevel"/>
    <w:lvl w:ilvl="0">
      <w:lvlJc w:val="left"/>
      <w:lvlText w:val="(%1)"/>
      <w:numFmt w:val="decimal"/>
      <w:start w:val="1"/>
    </w:lvl>
  </w:abstractNum>
  <w:abstractNum w:abstractNumId="35">
    <w:nsid w:val="4BD8591A"/>
    <w:multiLevelType w:val="hybridMultilevel"/>
    <w:lvl w:ilvl="0">
      <w:lvlJc w:val="left"/>
      <w:lvlText w:val="(%1)"/>
      <w:numFmt w:val="lowerLetter"/>
      <w:start w:val="1"/>
    </w:lvl>
  </w:abstractNum>
  <w:abstractNum w:abstractNumId="36">
    <w:nsid w:val="78DF6A55"/>
    <w:multiLevelType w:val="hybridMultilevel"/>
    <w:lvl w:ilvl="0">
      <w:lvlJc w:val="left"/>
      <w:lvlText w:val="%1."/>
      <w:numFmt w:val="decimal"/>
      <w:start w:val="1"/>
    </w:lvl>
    <w:lvl w:ilvl="1">
      <w:lvlJc w:val="left"/>
      <w:lvlText w:val="(%2)"/>
      <w:numFmt w:val="lowerLetter"/>
      <w:start w:val="1"/>
    </w:lvl>
  </w:abstractNum>
  <w:abstractNum w:abstractNumId="37">
    <w:nsid w:val="39B7AAA2"/>
    <w:multiLevelType w:val="hybridMultilevel"/>
    <w:lvl w:ilvl="0">
      <w:lvlJc w:val="left"/>
      <w:lvlText w:val="(%1)"/>
      <w:numFmt w:val="lowerLetter"/>
      <w:start w:val="2"/>
    </w:lvl>
  </w:abstractNum>
  <w:abstractNum w:abstractNumId="38">
    <w:nsid w:val="2B0D8DBE"/>
    <w:multiLevelType w:val="hybridMultilevel"/>
    <w:lvl w:ilvl="0">
      <w:lvlJc w:val="left"/>
      <w:lvlText w:val="(%1)"/>
      <w:numFmt w:val="decimal"/>
      <w:start w:val="1"/>
    </w:lvl>
  </w:abstractNum>
  <w:abstractNum w:abstractNumId="39">
    <w:nsid w:val="6C80EC70"/>
    <w:multiLevelType w:val="hybridMultilevel"/>
    <w:lvl w:ilvl="0">
      <w:lvlJc w:val="left"/>
      <w:lvlText w:val="(%1)"/>
      <w:numFmt w:val="lowerLetter"/>
      <w:start w:val="13"/>
    </w:lvl>
  </w:abstractNum>
  <w:abstractNum w:abstractNumId="40">
    <w:nsid w:val="379E21B5"/>
    <w:multiLevelType w:val="hybridMultilevel"/>
    <w:lvl w:ilvl="0">
      <w:lvlJc w:val="left"/>
      <w:lvlText w:val="(%1)"/>
      <w:numFmt w:val="decimal"/>
      <w:start w:val="1"/>
    </w:lvl>
  </w:abstractNum>
  <w:abstractNum w:abstractNumId="41">
    <w:nsid w:val="69E373"/>
    <w:multiLevelType w:val="hybridMultilevel"/>
    <w:lvl w:ilvl="0">
      <w:lvlJc w:val="left"/>
      <w:lvlText w:val="$"/>
      <w:numFmt w:val="bullet"/>
      <w:start w:val="1"/>
    </w:lvl>
  </w:abstractNum>
  <w:abstractNum w:abstractNumId="42">
    <w:nsid w:val="2C27173B"/>
    <w:multiLevelType w:val="hybridMultilevel"/>
    <w:lvl w:ilvl="0">
      <w:lvlJc w:val="left"/>
      <w:lvlText w:val="$"/>
      <w:numFmt w:val="bullet"/>
      <w:start w:val="1"/>
    </w:lvl>
  </w:abstractNum>
  <w:abstractNum w:abstractNumId="43">
    <w:nsid w:val="4C9B0904"/>
    <w:multiLevelType w:val="hybridMultilevel"/>
    <w:lvl w:ilvl="0">
      <w:lvlJc w:val="left"/>
      <w:lvlText w:val="(%1)"/>
      <w:numFmt w:val="decimal"/>
      <w:start w:val="1"/>
    </w:lvl>
  </w:abstractNum>
  <w:abstractNum w:abstractNumId="44">
    <w:nsid w:val="6AA7B75C"/>
    <w:multiLevelType w:val="hybridMultilevel"/>
    <w:lvl w:ilvl="0">
      <w:lvlJc w:val="left"/>
      <w:lvlText w:val="(%1)"/>
      <w:numFmt w:val="decimal"/>
      <w:start w:val="1"/>
    </w:lvl>
  </w:abstractNum>
  <w:abstractNum w:abstractNumId="45">
    <w:nsid w:val="1DF029D3"/>
    <w:multiLevelType w:val="hybridMultilevel"/>
    <w:lvl w:ilvl="0">
      <w:lvlJc w:val="left"/>
      <w:lvlText w:val="(%1)"/>
      <w:numFmt w:val="decimal"/>
      <w:start w:val="7"/>
    </w:lvl>
  </w:abstractNum>
  <w:abstractNum w:abstractNumId="46">
    <w:nsid w:val="5675FF36"/>
    <w:multiLevelType w:val="hybridMultilevel"/>
    <w:lvl w:ilvl="0">
      <w:lvlJc w:val="left"/>
      <w:lvlText w:val="(%1)"/>
      <w:numFmt w:val="lowerLetter"/>
      <w:start w:val="1"/>
    </w:lvl>
  </w:abstractNum>
  <w:abstractNum w:abstractNumId="47">
    <w:nsid w:val="3DD15094"/>
    <w:multiLevelType w:val="hybridMultilevel"/>
    <w:lvl w:ilvl="0">
      <w:lvlJc w:val="left"/>
      <w:lvlText w:val="(%1)"/>
      <w:numFmt w:val="lowerLetter"/>
      <w:start w:val="2"/>
    </w:lvl>
  </w:abstractNum>
  <w:abstractNum w:abstractNumId="48">
    <w:nsid w:val="3DB012B3"/>
    <w:multiLevelType w:val="hybridMultilevel"/>
    <w:lvl w:ilvl="0">
      <w:lvlJc w:val="left"/>
      <w:lvlText w:val="(%1)"/>
      <w:numFmt w:val="lowerLetter"/>
      <w:start w:val="7"/>
    </w:lvl>
  </w:abstractNum>
  <w:abstractNum w:abstractNumId="49">
    <w:nsid w:val="2708C9AF"/>
    <w:multiLevelType w:val="hybridMultilevel"/>
    <w:lvl w:ilvl="0">
      <w:lvlJc w:val="left"/>
      <w:lvlText w:val="•"/>
      <w:numFmt w:val="bullet"/>
      <w:start w:val="1"/>
    </w:lvl>
  </w:abstractNum>
  <w:abstractNum w:abstractNumId="50">
    <w:nsid w:val="5B25ACE2"/>
    <w:multiLevelType w:val="hybridMultilevel"/>
    <w:lvl w:ilvl="0">
      <w:lvlJc w:val="left"/>
      <w:lvlText w:val="(%1)"/>
      <w:numFmt w:val="decimal"/>
      <w:start w:val="1"/>
    </w:lvl>
  </w:abstractNum>
  <w:abstractNum w:abstractNumId="51">
    <w:nsid w:val="175DFCF0"/>
    <w:multiLevelType w:val="hybridMultilevel"/>
    <w:lvl w:ilvl="0">
      <w:lvlJc w:val="left"/>
      <w:lvlText w:val="(%1)"/>
      <w:numFmt w:val="decimal"/>
      <w:start w:val="1"/>
    </w:lvl>
  </w:abstractNum>
  <w:abstractNum w:abstractNumId="52">
    <w:nsid w:val="4F97E3E4"/>
    <w:multiLevelType w:val="hybridMultilevel"/>
    <w:lvl w:ilvl="0">
      <w:lvlJc w:val="left"/>
      <w:lvlText w:val="(%1)"/>
      <w:numFmt w:val="decimal"/>
      <w:start w:val="1"/>
    </w:lvl>
  </w:abstractNum>
  <w:abstractNum w:abstractNumId="53">
    <w:nsid w:val="53B0A9E"/>
    <w:multiLevelType w:val="hybridMultilevel"/>
    <w:lvl w:ilvl="0">
      <w:lvlJc w:val="left"/>
      <w:lvlText w:val="(%1)"/>
      <w:numFmt w:val="decimal"/>
      <w:start w:val="3"/>
    </w:lvl>
  </w:abstractNum>
  <w:abstractNum w:abstractNumId="54">
    <w:nsid w:val="34FD6B4F"/>
    <w:multiLevelType w:val="hybridMultilevel"/>
    <w:lvl w:ilvl="0">
      <w:lvlJc w:val="left"/>
      <w:lvlText w:val="(%1)"/>
      <w:numFmt w:val="decimal"/>
      <w:start w:val="1"/>
    </w:lvl>
  </w:abstractNum>
  <w:abstractNum w:abstractNumId="55">
    <w:nsid w:val="5915FF32"/>
    <w:multiLevelType w:val="hybridMultilevel"/>
    <w:lvl w:ilvl="0">
      <w:lvlJc w:val="left"/>
      <w:lvlText w:val="(%1)"/>
      <w:numFmt w:val="decimal"/>
      <w:start w:val="3"/>
    </w:lvl>
  </w:abstractNum>
  <w:abstractNum w:abstractNumId="56">
    <w:nsid w:val="56438D15"/>
    <w:multiLevelType w:val="hybridMultilevel"/>
    <w:lvl w:ilvl="0">
      <w:lvlJc w:val="left"/>
      <w:lvlText w:val="(%1)"/>
      <w:numFmt w:val="decimal"/>
      <w:start w:val="1"/>
    </w:lvl>
  </w:abstractNum>
  <w:abstractNum w:abstractNumId="57">
    <w:nsid w:val="519E3149"/>
    <w:multiLevelType w:val="hybridMultilevel"/>
    <w:lvl w:ilvl="0">
      <w:lvlJc w:val="left"/>
      <w:lvlText w:val="(%1)"/>
      <w:numFmt w:val="decimal"/>
      <w:start w:val="1"/>
    </w:lvl>
  </w:abstractNum>
  <w:abstractNum w:abstractNumId="58">
    <w:nsid w:val="2C6E4AFD"/>
    <w:multiLevelType w:val="hybridMultilevel"/>
    <w:lvl w:ilvl="0">
      <w:lvlJc w:val="left"/>
      <w:lvlText w:val="(%1)"/>
      <w:numFmt w:val="decimal"/>
      <w:start w:val="1"/>
    </w:lvl>
  </w:abstractNum>
  <w:abstractNum w:abstractNumId="59">
    <w:nsid w:val="17A1B582"/>
    <w:multiLevelType w:val="hybridMultilevel"/>
    <w:lvl w:ilvl="0">
      <w:lvlJc w:val="left"/>
      <w:lvlText w:val="(%1)"/>
      <w:numFmt w:val="lowerLetter"/>
      <w:start w:val="4"/>
    </w:lvl>
  </w:abstractNum>
  <w:abstractNum w:abstractNumId="60">
    <w:nsid w:val="4DF72E4E"/>
    <w:multiLevelType w:val="hybridMultilevel"/>
    <w:lvl w:ilvl="0">
      <w:lvlJc w:val="left"/>
      <w:lvlText w:val="(%1)"/>
      <w:numFmt w:val="lowerLetter"/>
      <w:start w:val="1"/>
    </w:lvl>
  </w:abstractNum>
  <w:abstractNum w:abstractNumId="61">
    <w:nsid w:val="5046B5A9"/>
    <w:multiLevelType w:val="hybridMultilevel"/>
    <w:lvl w:ilvl="0">
      <w:lvlJc w:val="left"/>
      <w:lvlText w:val="%1."/>
      <w:numFmt w:val="decimal"/>
      <w:start w:val="1"/>
    </w:lvl>
    <w:lvl w:ilvl="1">
      <w:lvlJc w:val="left"/>
      <w:lvlText w:val="(%2)"/>
      <w:numFmt w:val="lowerLetter"/>
      <w:start w:val="1"/>
    </w:lvl>
  </w:abstractNum>
  <w:abstractNum w:abstractNumId="62">
    <w:nsid w:val="5D888A08"/>
    <w:multiLevelType w:val="hybridMultilevel"/>
    <w:lvl w:ilvl="0">
      <w:lvlJc w:val="left"/>
      <w:lvlText w:val="(%1)"/>
      <w:numFmt w:val="lowerLetter"/>
      <w:start w:val="2"/>
    </w:lvl>
  </w:abstractNum>
  <w:abstractNum w:abstractNumId="63">
    <w:nsid w:val="2A082C70"/>
    <w:multiLevelType w:val="hybridMultilevel"/>
    <w:lvl w:ilvl="0">
      <w:lvlJc w:val="left"/>
      <w:lvlText w:val="(%1)"/>
      <w:numFmt w:val="decimal"/>
      <w:start w:val="1"/>
    </w:lvl>
  </w:abstractNum>
  <w:abstractNum w:abstractNumId="64">
    <w:nsid w:val="5EC6AFD4"/>
    <w:multiLevelType w:val="hybridMultilevel"/>
    <w:lvl w:ilvl="0">
      <w:lvlJc w:val="left"/>
      <w:lvlText w:val="(%1)"/>
      <w:numFmt w:val="lowerLetter"/>
      <w:start w:val="13"/>
    </w:lvl>
  </w:abstractNum>
  <w:abstractNum w:abstractNumId="65">
    <w:nsid w:val="19E21BB2"/>
    <w:multiLevelType w:val="hybridMultilevel"/>
    <w:lvl w:ilvl="0">
      <w:lvlJc w:val="left"/>
      <w:lvlText w:val="(%1)"/>
      <w:numFmt w:val="decimal"/>
      <w:start w:val="1"/>
    </w:lvl>
  </w:abstractNum>
  <w:abstractNum w:abstractNumId="66">
    <w:nsid w:val="75E0858A"/>
    <w:multiLevelType w:val="hybridMultilevel"/>
    <w:lvl w:ilvl="0">
      <w:lvlJc w:val="left"/>
      <w:lvlText w:val="$"/>
      <w:numFmt w:val="bullet"/>
      <w:start w:val="1"/>
    </w:lvl>
  </w:abstractNum>
  <w:abstractNum w:abstractNumId="67">
    <w:nsid w:val="57A61A29"/>
    <w:multiLevelType w:val="hybridMultilevel"/>
    <w:lvl w:ilvl="0">
      <w:lvlJc w:val="left"/>
      <w:lvlText w:val="$"/>
      <w:numFmt w:val="bullet"/>
      <w:start w:val="1"/>
    </w:lvl>
  </w:abstractNum>
  <w:abstractNum w:abstractNumId="68">
    <w:nsid w:val="5399C654"/>
    <w:multiLevelType w:val="hybridMultilevel"/>
    <w:lvl w:ilvl="0">
      <w:lvlJc w:val="left"/>
      <w:lvlText w:val="(%1)"/>
      <w:numFmt w:val="decimal"/>
      <w:start w:val="1"/>
    </w:lvl>
  </w:abstractNum>
  <w:abstractNum w:abstractNumId="69">
    <w:nsid w:val="20EE1348"/>
    <w:multiLevelType w:val="hybridMultilevel"/>
    <w:lvl w:ilvl="0">
      <w:lvlJc w:val="left"/>
      <w:lvlText w:val="(%1)"/>
      <w:numFmt w:val="decimal"/>
      <w:start w:val="1"/>
    </w:lvl>
  </w:abstractNum>
  <w:abstractNum w:abstractNumId="70">
    <w:nsid w:val="4427069A"/>
    <w:multiLevelType w:val="hybridMultilevel"/>
    <w:lvl w:ilvl="0">
      <w:lvlJc w:val="left"/>
      <w:lvlText w:val="(%1)"/>
      <w:numFmt w:val="lowerLetter"/>
      <w:start w:val="1"/>
    </w:lvl>
  </w:abstractNum>
  <w:abstractNum w:abstractNumId="71">
    <w:nsid w:val="B37E80A"/>
    <w:multiLevelType w:val="hybridMultilevel"/>
    <w:lvl w:ilvl="0">
      <w:lvlJc w:val="left"/>
      <w:lvlText w:val="(%1)"/>
      <w:numFmt w:val="lowerLetter"/>
      <w:start w:val="2"/>
    </w:lvl>
  </w:abstractNum>
  <w:abstractNum w:abstractNumId="72">
    <w:nsid w:val="2157F6BC"/>
    <w:multiLevelType w:val="hybridMultilevel"/>
    <w:lvl w:ilvl="0">
      <w:lvlJc w:val="left"/>
      <w:lvlText w:val="•"/>
      <w:numFmt w:val="bullet"/>
      <w:start w:val="1"/>
    </w:lvl>
  </w:abstractNum>
  <w:abstractNum w:abstractNumId="73">
    <w:nsid w:val="704E1DD5"/>
    <w:multiLevelType w:val="hybridMultilevel"/>
    <w:lvl w:ilvl="0">
      <w:lvlJc w:val="left"/>
      <w:lvlText w:val="(%1)"/>
      <w:numFmt w:val="decimal"/>
      <w:start w:val="1"/>
    </w:lvl>
  </w:abstractNum>
  <w:abstractNum w:abstractNumId="74">
    <w:nsid w:val="57D2F10E"/>
    <w:multiLevelType w:val="hybridMultilevel"/>
    <w:lvl w:ilvl="0">
      <w:lvlJc w:val="left"/>
      <w:lvlText w:val="(%1)"/>
      <w:numFmt w:val="decimal"/>
      <w:start w:val="1"/>
    </w:lvl>
  </w:abstractNum>
  <w:abstractNum w:abstractNumId="75">
    <w:nsid w:val="BFFAE18"/>
    <w:multiLevelType w:val="hybridMultilevel"/>
    <w:lvl w:ilvl="0">
      <w:lvlJc w:val="left"/>
      <w:lvlText w:val="(%1)"/>
      <w:numFmt w:val="decimal"/>
      <w:start w:val="1"/>
    </w:lvl>
  </w:abstractNum>
  <w:abstractNum w:abstractNumId="76">
    <w:nsid w:val="E3E47A8"/>
    <w:multiLevelType w:val="hybridMultilevel"/>
    <w:lvl w:ilvl="0">
      <w:lvlJc w:val="left"/>
      <w:lvlText w:val="(%1)"/>
      <w:numFmt w:val="decimal"/>
      <w:start w:val="3"/>
    </w:lvl>
  </w:abstractNum>
  <w:abstractNum w:abstractNumId="77">
    <w:nsid w:val="2E48F044"/>
    <w:multiLevelType w:val="hybridMultilevel"/>
    <w:lvl w:ilvl="0">
      <w:lvlJc w:val="left"/>
      <w:lvlText w:val="(%1)"/>
      <w:numFmt w:val="decimal"/>
      <w:start w:val="1"/>
    </w:lvl>
  </w:abstractNum>
  <w:abstractNum w:abstractNumId="78">
    <w:nsid w:val="49D0FEAC"/>
    <w:multiLevelType w:val="hybridMultilevel"/>
    <w:lvl w:ilvl="0">
      <w:lvlJc w:val="left"/>
      <w:lvlText w:val="(%1)"/>
      <w:numFmt w:val="decimal"/>
      <w:start w:val="3"/>
    </w:lvl>
  </w:abstractNum>
  <w:abstractNum w:abstractNumId="79">
    <w:nsid w:val="4BEE5A5B"/>
    <w:multiLevelType w:val="hybridMultilevel"/>
    <w:lvl w:ilvl="0">
      <w:lvlJc w:val="left"/>
      <w:lvlText w:val="(%1)"/>
      <w:numFmt w:val="decimal"/>
      <w:start w:val="1"/>
    </w:lvl>
  </w:abstractNum>
  <w:abstractNum w:abstractNumId="80">
    <w:nsid w:val="5551B9F3"/>
    <w:multiLevelType w:val="hybridMultilevel"/>
    <w:lvl w:ilvl="0">
      <w:lvlJc w:val="left"/>
      <w:lvlText w:val="%1."/>
      <w:numFmt w:val="decimal"/>
      <w:start w:val="10"/>
    </w:lvl>
    <w:lvl w:ilvl="1">
      <w:lvlJc w:val="left"/>
      <w:lvlText w:val="(%2)"/>
      <w:numFmt w:val="lowerLetter"/>
      <w:start w:val="1"/>
    </w:lvl>
  </w:abstractNum>
  <w:abstractNum w:abstractNumId="81">
    <w:nsid w:val="24F6AB8E"/>
    <w:multiLevelType w:val="hybridMultilevel"/>
    <w:lvl w:ilvl="0">
      <w:lvlJc w:val="left"/>
      <w:lvlText w:val="(%1)"/>
      <w:numFmt w:val="decimal"/>
      <w:start w:val="1"/>
    </w:lvl>
  </w:abstractNum>
  <w:abstractNum w:abstractNumId="82">
    <w:nsid w:val="634C574C"/>
    <w:multiLevelType w:val="hybridMultilevel"/>
    <w:lvl w:ilvl="0">
      <w:lvlJc w:val="left"/>
      <w:lvlText w:val="(%1)"/>
      <w:numFmt w:val="decimal"/>
      <w:start w:val="1"/>
    </w:lvl>
  </w:abstractNum>
  <w:abstractNum w:abstractNumId="83">
    <w:nsid w:val="24E99DD7"/>
    <w:multiLevelType w:val="hybridMultilevel"/>
    <w:lvl w:ilvl="0">
      <w:lvlJc w:val="left"/>
      <w:lvlText w:val="(%1)"/>
      <w:numFmt w:val="lowerLetter"/>
      <w:start w:val="4"/>
    </w:lvl>
  </w:abstractNum>
  <w:abstractNum w:abstractNumId="84">
    <w:nsid w:val="2A31B62D"/>
    <w:multiLevelType w:val="hybridMultilevel"/>
    <w:lvl w:ilvl="0">
      <w:lvlJc w:val="left"/>
      <w:lvlText w:val="(%1)"/>
      <w:numFmt w:val="lowerRoman"/>
      <w:start w:val="3"/>
    </w:lvl>
  </w:abstractNum>
  <w:abstractNum w:abstractNumId="85">
    <w:nsid w:val="1849C29B"/>
    <w:multiLevelType w:val="hybridMultilevel"/>
    <w:lvl w:ilvl="0">
      <w:lvlJc w:val="left"/>
      <w:lvlText w:val="(%1)"/>
      <w:numFmt w:val="decimal"/>
      <w:start w:val="1"/>
    </w:lvl>
  </w:abstractNum>
  <w:abstractNum w:abstractNumId="86">
    <w:nsid w:val="7DFF9D09"/>
    <w:multiLevelType w:val="hybridMultilevel"/>
    <w:lvl w:ilvl="0">
      <w:lvlJc w:val="left"/>
      <w:lvlText w:val="•"/>
      <w:numFmt w:val="bullet"/>
      <w:start w:val="1"/>
    </w:lvl>
  </w:abstractNum>
  <w:abstractNum w:abstractNumId="87">
    <w:nsid w:val="754342"/>
    <w:multiLevelType w:val="hybridMultilevel"/>
    <w:lvl w:ilvl="0">
      <w:lvlJc w:val="left"/>
      <w:lvlText w:val="#"/>
      <w:numFmt w:val="bullet"/>
      <w:start w:val="1"/>
    </w:lvl>
  </w:abstractNum>
  <w:abstractNum w:abstractNumId="88">
    <w:nsid w:val="69E7F3E5"/>
    <w:multiLevelType w:val="hybridMultilevel"/>
    <w:lvl w:ilvl="0">
      <w:lvlJc w:val="left"/>
      <w:lvlText w:val="**"/>
      <w:numFmt w:val="bullet"/>
      <w:start w:val="1"/>
    </w:lvl>
    <w:lvl w:ilvl="1">
      <w:lvlJc w:val="left"/>
      <w:lvlText w:val="*"/>
      <w:numFmt w:val="bullet"/>
      <w:start w:val="1"/>
    </w:lvl>
  </w:abstractNum>
  <w:abstractNum w:abstractNumId="89">
    <w:nsid w:val="2A6DE806"/>
    <w:multiLevelType w:val="hybridMultilevel"/>
    <w:lvl w:ilvl="0">
      <w:lvlJc w:val="left"/>
      <w:lvlText w:val="(%1)"/>
      <w:numFmt w:val="lowerLetter"/>
      <w:start w:val="1"/>
    </w:lvl>
  </w:abstractNum>
  <w:abstractNum w:abstractNumId="90">
    <w:nsid w:val="1816F8C4"/>
    <w:multiLevelType w:val="hybridMultilevel"/>
    <w:lvl w:ilvl="0">
      <w:lvlJc w:val="left"/>
      <w:lvlText w:val="(%1)"/>
      <w:numFmt w:val="lowerLetter"/>
      <w:start w:val="2"/>
    </w:lvl>
  </w:abstractNum>
  <w:abstractNum w:abstractNumId="91">
    <w:nsid w:val="37DF2233"/>
    <w:multiLevelType w:val="hybridMultilevel"/>
    <w:lvl w:ilvl="0">
      <w:lvlJc w:val="left"/>
      <w:lvlText w:val="(%1)"/>
      <w:numFmt w:val="lowerLetter"/>
      <w:start w:val="9"/>
    </w:lvl>
    <w:lvl w:ilvl="1">
      <w:lvlJc w:val="left"/>
      <w:lvlText w:val="(%2)"/>
      <w:numFmt w:val="lowerLetter"/>
      <w:start w:val="3"/>
    </w:lvl>
  </w:abstractNum>
  <w:abstractNum w:abstractNumId="92">
    <w:nsid w:val="7AB49DAF"/>
    <w:multiLevelType w:val="hybridMultilevel"/>
    <w:lvl w:ilvl="0">
      <w:lvlJc w:val="left"/>
      <w:lvlText w:val="(%1)"/>
      <w:numFmt w:val="lowerLetter"/>
      <w:start w:val="4"/>
    </w:lvl>
  </w:abstractNum>
  <w:abstractNum w:abstractNumId="93">
    <w:nsid w:val="759F82CD"/>
    <w:multiLevelType w:val="hybridMultilevel"/>
    <w:lvl w:ilvl="0">
      <w:lvlJc w:val="left"/>
      <w:lvlText w:val="(%1)"/>
      <w:numFmt w:val="lowerLetter"/>
      <w:start w:val="6"/>
    </w:lvl>
  </w:abstractNum>
  <w:abstractNum w:abstractNumId="94">
    <w:nsid w:val="61E74EA3"/>
    <w:multiLevelType w:val="hybridMultilevel"/>
    <w:lvl w:ilvl="0">
      <w:lvlJc w:val="left"/>
      <w:lvlText w:val="(%1)"/>
      <w:numFmt w:val="lowerRoman"/>
      <w:start w:val="1"/>
    </w:lvl>
  </w:abstractNum>
  <w:abstractNum w:abstractNumId="95">
    <w:nsid w:val="597B4D84"/>
    <w:multiLevelType w:val="hybridMultilevel"/>
    <w:lvl w:ilvl="0">
      <w:lvlJc w:val="left"/>
      <w:lvlText w:val="(%1)"/>
      <w:numFmt w:val="lowerRoman"/>
      <w:start w:val="1"/>
    </w:lvl>
  </w:abstractNum>
  <w:abstractNum w:abstractNumId="96">
    <w:nsid w:val="F819E7F"/>
    <w:multiLevelType w:val="hybridMultilevel"/>
    <w:lvl w:ilvl="0">
      <w:lvlJc w:val="left"/>
      <w:lvlText w:val="(%1)"/>
      <w:numFmt w:val="lowerLetter"/>
      <w:start w:val="35"/>
    </w:lvl>
    <w:lvl w:ilvl="1">
      <w:lvlJc w:val="left"/>
      <w:lvlText w:val="(%2)"/>
      <w:numFmt w:val="lowerLetter"/>
      <w:start w:val="10"/>
    </w:lvl>
  </w:abstractNum>
  <w:abstractNum w:abstractNumId="97">
    <w:nsid w:val="57C7D42D"/>
    <w:multiLevelType w:val="hybridMultilevel"/>
    <w:lvl w:ilvl="0">
      <w:lvlJc w:val="left"/>
      <w:lvlText w:val="(%1)"/>
      <w:numFmt w:val="lowerLetter"/>
      <w:start w:val="1"/>
    </w:lvl>
  </w:abstractNum>
  <w:abstractNum w:abstractNumId="98">
    <w:nsid w:val="312167AD"/>
    <w:multiLevelType w:val="hybridMultilevel"/>
    <w:lvl w:ilvl="0">
      <w:lvlJc w:val="left"/>
      <w:lvlText w:val="(%1)"/>
      <w:numFmt w:val="lowerLetter"/>
      <w:start w:val="2"/>
    </w:lvl>
  </w:abstractNum>
  <w:abstractNum w:abstractNumId="99">
    <w:nsid w:val="631B64D4"/>
    <w:multiLevelType w:val="hybridMultilevel"/>
    <w:lvl w:ilvl="0">
      <w:lvlJc w:val="left"/>
      <w:lvlText w:val="(%1)"/>
      <w:numFmt w:val="lowerLetter"/>
      <w:start w:val="1"/>
    </w:lvl>
  </w:abstractNum>
  <w:abstractNum w:abstractNumId="100">
    <w:nsid w:val="78B5E776"/>
    <w:multiLevelType w:val="hybridMultilevel"/>
    <w:lvl w:ilvl="0">
      <w:lvlJc w:val="left"/>
      <w:lvlText w:val="(%1)"/>
      <w:numFmt w:val="lowerLetter"/>
      <w:start w:val="5"/>
    </w:lvl>
  </w:abstractNum>
  <w:abstractNum w:abstractNumId="101">
    <w:nsid w:val="75486E47"/>
    <w:multiLevelType w:val="hybridMultilevel"/>
    <w:lvl w:ilvl="0">
      <w:lvlJc w:val="left"/>
      <w:lvlText w:val="(%1)"/>
      <w:numFmt w:val="lowerLetter"/>
      <w:start w:val="2"/>
    </w:lvl>
  </w:abstractNum>
  <w:abstractNum w:abstractNumId="102">
    <w:nsid w:val="6E534CDE"/>
    <w:multiLevelType w:val="hybridMultilevel"/>
    <w:lvl w:ilvl="0">
      <w:lvlJc w:val="left"/>
      <w:lvlText w:val="(%1)"/>
      <w:numFmt w:val="lowerLetter"/>
      <w:start w:val="1"/>
    </w:lvl>
  </w:abstractNum>
  <w:abstractNum w:abstractNumId="103">
    <w:nsid w:val="1A0DDE32"/>
    <w:multiLevelType w:val="hybridMultilevel"/>
    <w:lvl w:ilvl="0">
      <w:lvlJc w:val="left"/>
      <w:lvlText w:val="(%1)"/>
      <w:numFmt w:val="lowerLetter"/>
      <w:start w:val="2"/>
    </w:lvl>
  </w:abstractNum>
  <w:abstractNum w:abstractNumId="104">
    <w:nsid w:val="65968C1C"/>
    <w:multiLevelType w:val="hybridMultilevel"/>
    <w:lvl w:ilvl="0">
      <w:lvlJc w:val="left"/>
      <w:lvlText w:val="(%1)"/>
      <w:numFmt w:val="lowerLetter"/>
      <w:start w:val="3"/>
    </w:lvl>
  </w:abstractNum>
  <w:abstractNum w:abstractNumId="105">
    <w:nsid w:val="46263DEC"/>
    <w:multiLevelType w:val="hybridMultilevel"/>
    <w:lvl w:ilvl="0">
      <w:lvlJc w:val="left"/>
      <w:lvlText w:val="(%1)"/>
      <w:numFmt w:val="lowerLetter"/>
      <w:start w:val="4"/>
    </w:lvl>
  </w:abstractNum>
  <w:abstractNum w:abstractNumId="106">
    <w:nsid w:val="260D8C4A"/>
    <w:multiLevelType w:val="hybridMultilevel"/>
    <w:lvl w:ilvl="0">
      <w:lvlJc w:val="left"/>
      <w:lvlText w:val="(%1)"/>
      <w:numFmt w:val="lowerLetter"/>
      <w:start w:val="3"/>
    </w:lvl>
    <w:lvl w:ilvl="1">
      <w:lvlJc w:val="left"/>
      <w:lvlText w:val="(%2)"/>
      <w:numFmt w:val="lowerLetter"/>
      <w:start w:val="6"/>
    </w:lvl>
  </w:abstractNum>
  <w:abstractNum w:abstractNumId="107">
    <w:nsid w:val="73D4D3C4"/>
    <w:multiLevelType w:val="hybridMultilevel"/>
    <w:lvl w:ilvl="0">
      <w:lvlJc w:val="left"/>
      <w:lvlText w:val="(%1)"/>
      <w:numFmt w:val="lowerRoman"/>
      <w:start w:val="1"/>
    </w:lvl>
  </w:abstractNum>
  <w:abstractNum w:abstractNumId="108">
    <w:nsid w:val="746F2E30"/>
    <w:multiLevelType w:val="hybridMultilevel"/>
    <w:lvl w:ilvl="0">
      <w:lvlJc w:val="left"/>
      <w:lvlText w:val="(%1)"/>
      <w:numFmt w:val="lowerRoman"/>
      <w:start w:val="1"/>
    </w:lvl>
  </w:abstractNum>
  <w:abstractNum w:abstractNumId="109">
    <w:nsid w:val="6FDE8AF6"/>
    <w:multiLevelType w:val="hybridMultilevel"/>
    <w:lvl w:ilvl="0">
      <w:lvlJc w:val="left"/>
      <w:lvlText w:val="(%1)"/>
      <w:numFmt w:val="lowerLetter"/>
      <w:start w:val="1"/>
    </w:lvl>
  </w:abstractNum>
  <w:abstractNum w:abstractNumId="110">
    <w:nsid w:val="3FC32E20"/>
    <w:multiLevelType w:val="hybridMultilevel"/>
    <w:lvl w:ilvl="0">
      <w:lvlJc w:val="left"/>
      <w:lvlText w:val="(%1)"/>
      <w:numFmt w:val="lowerLetter"/>
      <w:start w:val="2"/>
    </w:lvl>
  </w:abstractNum>
  <w:abstractNum w:abstractNumId="111">
    <w:nsid w:val="49C0E823"/>
    <w:multiLevelType w:val="hybridMultilevel"/>
    <w:lvl w:ilvl="0">
      <w:lvlJc w:val="left"/>
      <w:lvlText w:val="(%1)"/>
      <w:numFmt w:val="lowerLetter"/>
      <w:start w:val="1"/>
    </w:lvl>
  </w:abstractNum>
  <w:abstractNum w:abstractNumId="112">
    <w:nsid w:val="14D53685"/>
    <w:multiLevelType w:val="hybridMultilevel"/>
    <w:lvl w:ilvl="0">
      <w:lvlJc w:val="left"/>
      <w:lvlText w:val="%1"/>
      <w:numFmt w:val="lowerLetter"/>
      <w:start w:val="1"/>
    </w:lvl>
    <w:lvl w:ilvl="1">
      <w:lvlJc w:val="left"/>
      <w:lvlText w:val="(%2)"/>
      <w:numFmt w:val="lowerLetter"/>
      <w:start w:val="5"/>
    </w:lvl>
  </w:abstractNum>
  <w:abstractNum w:abstractNumId="113">
    <w:nsid w:val="230F856C"/>
    <w:multiLevelType w:val="hybridMultilevel"/>
    <w:lvl w:ilvl="0">
      <w:lvlJc w:val="left"/>
      <w:lvlText w:val="(%1)"/>
      <w:numFmt w:val="lowerLetter"/>
      <w:start w:val="9"/>
    </w:lvl>
    <w:lvl w:ilvl="1">
      <w:lvlJc w:val="left"/>
      <w:lvlText w:val="(%2)"/>
      <w:numFmt w:val="lowerLetter"/>
      <w:start w:val="7"/>
    </w:lvl>
  </w:abstractNum>
  <w:abstractNum w:abstractNumId="114">
    <w:nsid w:val="6EAA85FB"/>
    <w:multiLevelType w:val="hybridMultilevel"/>
    <w:lvl w:ilvl="0">
      <w:lvlJc w:val="left"/>
      <w:lvlText w:val="(%1)"/>
      <w:numFmt w:val="lowerLetter"/>
      <w:start w:val="2"/>
    </w:lvl>
  </w:abstractNum>
  <w:abstractNum w:abstractNumId="115">
    <w:nsid w:val="3F06ECB2"/>
    <w:multiLevelType w:val="hybridMultilevel"/>
    <w:lvl w:ilvl="0">
      <w:lvlJc w:val="left"/>
      <w:lvlText w:val="(%1)"/>
      <w:numFmt w:val="lowerLetter"/>
      <w:start w:val="1"/>
    </w:lvl>
  </w:abstractNum>
  <w:abstractNum w:abstractNumId="116">
    <w:nsid w:val="3B594807"/>
    <w:multiLevelType w:val="hybridMultilevel"/>
    <w:lvl w:ilvl="0">
      <w:lvlJc w:val="left"/>
      <w:lvlText w:val="(%1)"/>
      <w:numFmt w:val="lowerLetter"/>
      <w:start w:val="2"/>
    </w:lvl>
  </w:abstractNum>
  <w:abstractNum w:abstractNumId="117">
    <w:nsid w:val="6CAA2304"/>
    <w:multiLevelType w:val="hybridMultilevel"/>
    <w:lvl w:ilvl="0">
      <w:lvlJc w:val="left"/>
      <w:lvlText w:val="(%1)"/>
      <w:numFmt w:val="lowerLetter"/>
      <w:start w:val="3"/>
    </w:lvl>
  </w:abstractNum>
  <w:abstractNum w:abstractNumId="118">
    <w:nsid w:val="3F7C2FF4"/>
    <w:multiLevelType w:val="hybridMultilevel"/>
    <w:lvl w:ilvl="0">
      <w:lvlJc w:val="left"/>
      <w:lvlText w:val="(%1)"/>
      <w:numFmt w:val="lowerLetter"/>
      <w:start w:val="4"/>
    </w:lvl>
  </w:abstractNum>
  <w:abstractNum w:abstractNumId="119">
    <w:nsid w:val="25413BEC"/>
    <w:multiLevelType w:val="hybridMultilevel"/>
    <w:lvl w:ilvl="0">
      <w:lvlJc w:val="left"/>
      <w:lvlText w:val="(%1)"/>
      <w:numFmt w:val="lowerLetter"/>
      <w:start w:val="5"/>
    </w:lvl>
  </w:abstractNum>
  <w:abstractNum w:abstractNumId="120">
    <w:nsid w:val="17180B0B"/>
    <w:multiLevelType w:val="hybridMultilevel"/>
    <w:lvl w:ilvl="0">
      <w:lvlJc w:val="left"/>
      <w:lvlText w:val="(%1)"/>
      <w:numFmt w:val="lowerLetter"/>
      <w:start w:val="6"/>
    </w:lvl>
  </w:abstractNum>
  <w:abstractNum w:abstractNumId="121">
    <w:nsid w:val="579328B9"/>
    <w:multiLevelType w:val="hybridMultilevel"/>
    <w:lvl w:ilvl="0">
      <w:lvlJc w:val="left"/>
      <w:lvlText w:val="(%1)"/>
      <w:numFmt w:val="lowerLetter"/>
      <w:start w:val="1"/>
    </w:lvl>
  </w:abstractNum>
  <w:abstractNum w:abstractNumId="122">
    <w:nsid w:val="5D205E20"/>
    <w:multiLevelType w:val="hybridMultilevel"/>
    <w:lvl w:ilvl="0">
      <w:lvlJc w:val="left"/>
      <w:lvlText w:val="(%1)"/>
      <w:numFmt w:val="lowerLetter"/>
      <w:start w:val="2"/>
    </w:lvl>
  </w:abstractNum>
  <w:abstractNum w:abstractNumId="123">
    <w:nsid w:val="11CCA8BA"/>
    <w:multiLevelType w:val="hybridMultilevel"/>
    <w:lvl w:ilvl="0">
      <w:lvlJc w:val="left"/>
      <w:lvlText w:val="(%1)"/>
      <w:numFmt w:val="lowerLetter"/>
      <w:start w:val="1"/>
    </w:lvl>
  </w:abstractNum>
  <w:abstractNum w:abstractNumId="124">
    <w:nsid w:val="4D32AB86"/>
    <w:multiLevelType w:val="hybridMultilevel"/>
    <w:lvl w:ilvl="0">
      <w:lvlJc w:val="left"/>
      <w:lvlText w:val="(%1)"/>
      <w:numFmt w:val="lowerLetter"/>
      <w:start w:val="5"/>
    </w:lvl>
  </w:abstractNum>
  <w:abstractNum w:abstractNumId="125">
    <w:nsid w:val="3F07ACC3"/>
    <w:multiLevelType w:val="hybridMultilevel"/>
    <w:lvl w:ilvl="0">
      <w:lvlJc w:val="left"/>
      <w:lvlText w:val="(%1)"/>
      <w:numFmt w:val="lowerLetter"/>
      <w:start w:val="2"/>
    </w:lvl>
  </w:abstractNum>
  <w:abstractNum w:abstractNumId="126">
    <w:nsid w:val="6B47F63E"/>
    <w:multiLevelType w:val="hybridMultilevel"/>
    <w:lvl w:ilvl="0">
      <w:lvlJc w:val="left"/>
      <w:lvlText w:val="1"/>
      <w:numFmt w:val="bullet"/>
      <w:start w:val="1"/>
    </w:lvl>
  </w:abstractNum>
  <w:abstractNum w:abstractNumId="127">
    <w:nsid w:val="5CB44A05"/>
    <w:multiLevelType w:val="hybridMultilevel"/>
    <w:lvl w:ilvl="0">
      <w:lvlJc w:val="left"/>
      <w:lvlText w:val="2"/>
      <w:numFmt w:val="bullet"/>
      <w:start w:val="1"/>
    </w:lvl>
  </w:abstractNum>
  <w:abstractNum w:abstractNumId="128">
    <w:nsid w:val="16CF80F1"/>
    <w:multiLevelType w:val="hybridMultilevel"/>
    <w:lvl w:ilvl="0">
      <w:lvlJc w:val="left"/>
      <w:lvlText w:val="3"/>
      <w:numFmt w:val="bullet"/>
      <w:start w:val="1"/>
    </w:lvl>
  </w:abstractNum>
  <w:abstractNum w:abstractNumId="129">
    <w:nsid w:val="1C695DEC"/>
    <w:multiLevelType w:val="hybridMultilevel"/>
    <w:lvl w:ilvl="0">
      <w:lvlJc w:val="left"/>
      <w:lvlText w:val="%1."/>
      <w:numFmt w:val="decimal"/>
      <w:start w:val="1"/>
    </w:lvl>
  </w:abstractNum>
  <w:abstractNum w:abstractNumId="130">
    <w:nsid w:val="3FCFAED9"/>
    <w:multiLevelType w:val="hybridMultilevel"/>
    <w:lvl w:ilvl="0">
      <w:lvlJc w:val="left"/>
      <w:lvlText w:val="%1."/>
      <w:numFmt w:val="decimal"/>
      <w:start w:val="2"/>
    </w:lvl>
  </w:abstractNum>
  <w:abstractNum w:abstractNumId="131">
    <w:nsid w:val="F856867"/>
    <w:multiLevelType w:val="hybridMultilevel"/>
    <w:lvl w:ilvl="0">
      <w:lvlJc w:val="left"/>
      <w:lvlText w:val="%1."/>
      <w:numFmt w:val="decimal"/>
      <w:start w:val="3"/>
    </w:lvl>
  </w:abstractNum>
  <w:abstractNum w:abstractNumId="132">
    <w:nsid w:val="11B1CC33"/>
    <w:multiLevelType w:val="hybridMultilevel"/>
    <w:lvl w:ilvl="0">
      <w:lvlJc w:val="left"/>
      <w:lvlText w:val="%1."/>
      <w:numFmt w:val="decimal"/>
      <w:start w:val="4"/>
    </w:lvl>
  </w:abstractNum>
  <w:abstractNum w:abstractNumId="133">
    <w:nsid w:val="2E22FBB7"/>
    <w:multiLevelType w:val="hybridMultilevel"/>
    <w:lvl w:ilvl="0">
      <w:lvlJc w:val="left"/>
      <w:lvlText w:val="%1."/>
      <w:numFmt w:val="decimal"/>
      <w:start w:val="5"/>
    </w:lvl>
  </w:abstractNum>
  <w:abstractNum w:abstractNumId="134">
    <w:nsid w:val="29934699"/>
    <w:multiLevelType w:val="hybridMultilevel"/>
    <w:lvl w:ilvl="0">
      <w:lvlJc w:val="left"/>
      <w:lvlText w:val="%1."/>
      <w:numFmt w:val="decimal"/>
      <w:start w:val="6"/>
    </w:lvl>
  </w:abstractNum>
  <w:abstractNum w:abstractNumId="135">
    <w:nsid w:val="77485850"/>
    <w:multiLevelType w:val="hybridMultilevel"/>
    <w:lvl w:ilvl="0">
      <w:lvlJc w:val="left"/>
      <w:lvlText w:val="%1."/>
      <w:numFmt w:val="decimal"/>
      <w:start w:val="7"/>
    </w:lvl>
  </w:abstractNum>
  <w:abstractNum w:abstractNumId="136">
    <w:nsid w:val="744939A3"/>
    <w:multiLevelType w:val="hybridMultilevel"/>
    <w:lvl w:ilvl="0">
      <w:lvlJc w:val="left"/>
      <w:lvlText w:val="%1."/>
      <w:numFmt w:val="decimal"/>
      <w:start w:val="8"/>
    </w:lvl>
  </w:abstractNum>
  <w:abstractNum w:abstractNumId="137">
    <w:nsid w:val="4FA0D2E3"/>
    <w:multiLevelType w:val="hybridMultilevel"/>
    <w:lvl w:ilvl="0">
      <w:lvlJc w:val="left"/>
      <w:lvlText w:val="%1."/>
      <w:numFmt w:val="decimal"/>
      <w:start w:val="9"/>
    </w:lvl>
  </w:abstractNum>
  <w:abstractNum w:abstractNumId="138">
    <w:nsid w:val="6B1D2C14"/>
    <w:multiLevelType w:val="hybridMultilevel"/>
    <w:lvl w:ilvl="0">
      <w:lvlJc w:val="left"/>
      <w:lvlText w:val="%1."/>
      <w:numFmt w:val="decimal"/>
      <w:start w:val="10"/>
    </w:lvl>
  </w:abstractNum>
  <w:abstractNum w:abstractNumId="139">
    <w:nsid w:val="68B867D3"/>
    <w:multiLevelType w:val="hybridMultilevel"/>
    <w:lvl w:ilvl="0">
      <w:lvlJc w:val="left"/>
      <w:lvlText w:val="%1."/>
      <w:numFmt w:val="decimal"/>
      <w:start w:val="11"/>
    </w:lvl>
  </w:abstractNum>
  <w:abstractNum w:abstractNumId="140">
    <w:nsid w:val="3F7F5DD9"/>
    <w:multiLevelType w:val="hybridMultilevel"/>
    <w:lvl w:ilvl="0">
      <w:lvlJc w:val="left"/>
      <w:lvlText w:val="%1."/>
      <w:numFmt w:val="decimal"/>
      <w:start w:val="1"/>
    </w:lvl>
  </w:abstractNum>
  <w:abstractNum w:abstractNumId="141">
    <w:nsid w:val="2AE05A34"/>
    <w:multiLevelType w:val="hybridMultilevel"/>
    <w:lvl w:ilvl="0">
      <w:lvlJc w:val="left"/>
      <w:lvlText w:val="%1"/>
      <w:numFmt w:val="decimal"/>
      <w:start w:val="1"/>
    </w:lvl>
    <w:lvl w:ilvl="1">
      <w:lvlJc w:val="left"/>
      <w:lvlText w:val="(%2)"/>
      <w:numFmt w:val="lowerRoman"/>
      <w:start w:val="1"/>
    </w:lvl>
  </w:abstractNum>
  <w:abstractNum w:abstractNumId="142">
    <w:nsid w:val="32794FF7"/>
    <w:multiLevelType w:val="hybridMultilevel"/>
    <w:lvl w:ilvl="0">
      <w:lvlJc w:val="left"/>
      <w:lvlText w:val="%1."/>
      <w:numFmt w:val="decimal"/>
      <w:start w:val="2"/>
    </w:lvl>
    <w:lvl w:ilvl="1">
      <w:lvlJc w:val="left"/>
      <w:lvlText w:val="%2"/>
      <w:numFmt w:val="lowerRoman"/>
      <w:start w:val="1"/>
    </w:lvl>
  </w:abstractNum>
  <w:abstractNum w:abstractNumId="143">
    <w:nsid w:val="5454945E"/>
    <w:multiLevelType w:val="hybridMultilevel"/>
    <w:lvl w:ilvl="0">
      <w:lvlJc w:val="left"/>
      <w:lvlText w:val="%1"/>
      <w:numFmt w:val="decimal"/>
      <w:start w:val="1"/>
    </w:lvl>
    <w:lvl w:ilvl="1">
      <w:lvlJc w:val="left"/>
      <w:lvlText w:val="(%2)"/>
      <w:numFmt w:val="lowerRoman"/>
      <w:start w:val="1"/>
    </w:lvl>
  </w:abstractNum>
  <w:abstractNum w:abstractNumId="144">
    <w:nsid w:val="4DEFDFA0"/>
    <w:multiLevelType w:val="hybridMultilevel"/>
    <w:lvl w:ilvl="0">
      <w:lvlJc w:val="left"/>
      <w:lvlText w:val="%1."/>
      <w:numFmt w:val="decimal"/>
      <w:start w:val="3"/>
    </w:lvl>
    <w:lvl w:ilvl="1">
      <w:lvlJc w:val="left"/>
      <w:lvlText w:val="(%2)"/>
      <w:numFmt w:val="lowerRoman"/>
      <w:start w:val="1"/>
    </w:lvl>
  </w:abstractNum>
  <w:abstractNum w:abstractNumId="145">
    <w:nsid w:val="2123D5F2"/>
    <w:multiLevelType w:val="hybridMultilevel"/>
    <w:lvl w:ilvl="0">
      <w:lvlJc w:val="left"/>
      <w:lvlText w:val="%1."/>
      <w:numFmt w:val="decimal"/>
      <w:start w:val="1"/>
    </w:lvl>
  </w:abstractNum>
  <w:abstractNum w:abstractNumId="146">
    <w:nsid w:val="135B8110"/>
    <w:multiLevelType w:val="hybridMultilevel"/>
    <w:lvl w:ilvl="0">
      <w:lvlJc w:val="left"/>
      <w:lvlText w:val="%1."/>
      <w:numFmt w:val="decimal"/>
      <w:start w:val="2"/>
    </w:lvl>
  </w:abstractNum>
  <w:abstractNum w:abstractNumId="147">
    <w:nsid w:val="94927A8"/>
    <w:multiLevelType w:val="hybridMultilevel"/>
    <w:lvl w:ilvl="0">
      <w:lvlJc w:val="left"/>
      <w:lvlText w:val="%1."/>
      <w:numFmt w:val="decimal"/>
      <w:start w:val="3"/>
    </w:lvl>
  </w:abstractNum>
  <w:abstractNum w:abstractNumId="148">
    <w:nsid w:val="DCDF8F6"/>
    <w:multiLevelType w:val="hybridMultilevel"/>
    <w:lvl w:ilvl="0">
      <w:lvlJc w:val="left"/>
      <w:lvlText w:val="%1."/>
      <w:numFmt w:val="decimal"/>
      <w:start w:val="4"/>
    </w:lvl>
  </w:abstractNum>
  <w:abstractNum w:abstractNumId="149">
    <w:nsid w:val="52D7B105"/>
    <w:multiLevelType w:val="hybridMultilevel"/>
    <w:lvl w:ilvl="0">
      <w:lvlJc w:val="left"/>
      <w:lvlText w:val="%1."/>
      <w:numFmt w:val="decimal"/>
      <w:start w:val="1"/>
    </w:lvl>
    <w:lvl w:ilvl="1">
      <w:lvlJc w:val="left"/>
      <w:lvlText w:val="(%2)"/>
      <w:numFmt w:val="lowerLetter"/>
      <w:start w:val="1"/>
    </w:lvl>
  </w:abstractNum>
  <w:abstractNum w:abstractNumId="150">
    <w:nsid w:val="2E8A6394"/>
    <w:multiLevelType w:val="hybridMultilevel"/>
    <w:lvl w:ilvl="0">
      <w:lvlJc w:val="left"/>
      <w:lvlText w:val="%1."/>
      <w:numFmt w:val="decimal"/>
      <w:start w:val="3"/>
    </w:lvl>
  </w:abstractNum>
  <w:abstractNum w:abstractNumId="151">
    <w:nsid w:val="24E60401"/>
    <w:multiLevelType w:val="hybridMultilevel"/>
    <w:lvl w:ilvl="0">
      <w:lvlJc w:val="left"/>
      <w:lvlText w:val="%1."/>
      <w:numFmt w:val="decimal"/>
      <w:start w:val="4"/>
    </w:lvl>
  </w:abstractNum>
  <w:abstractNum w:abstractNumId="152">
    <w:nsid w:val="2A6AD9BE"/>
    <w:multiLevelType w:val="hybridMultilevel"/>
    <w:lvl w:ilvl="0">
      <w:lvlJc w:val="left"/>
      <w:lvlText w:val="%1."/>
      <w:numFmt w:val="decimal"/>
      <w:start w:val="9"/>
    </w:lvl>
    <w:lvl w:ilvl="1">
      <w:lvlJc w:val="left"/>
      <w:lvlText w:val="(%2)"/>
      <w:numFmt w:val="lowerLetter"/>
      <w:start w:val="1"/>
    </w:lvl>
  </w:abstractNum>
  <w:abstractNum w:abstractNumId="153">
    <w:nsid w:val="BAAC1B4"/>
    <w:multiLevelType w:val="hybridMultilevel"/>
    <w:lvl w:ilvl="0">
      <w:lvlJc w:val="left"/>
      <w:lvlText w:val="%1."/>
      <w:numFmt w:val="decimal"/>
      <w:start w:val="11"/>
    </w:lvl>
    <w:lvl w:ilvl="1">
      <w:lvlJc w:val="left"/>
      <w:lvlText w:val="(%2)"/>
      <w:numFmt w:val="lowerLetter"/>
      <w:start w:val="1"/>
    </w:lvl>
  </w:abstractNum>
  <w:abstractNum w:abstractNumId="154">
    <w:nsid w:val="36B2ACBC"/>
    <w:multiLevelType w:val="hybridMultilevel"/>
    <w:lvl w:ilvl="0">
      <w:lvlJc w:val="left"/>
      <w:lvlText w:val="%1."/>
      <w:numFmt w:val="decimal"/>
      <w:start w:val="14"/>
    </w:lvl>
  </w:abstractNum>
  <w:abstractNum w:abstractNumId="155">
    <w:nsid w:val="779D8544"/>
    <w:multiLevelType w:val="hybridMultilevel"/>
    <w:lvl w:ilvl="0">
      <w:lvlJc w:val="left"/>
      <w:lvlText w:val="%1"/>
      <w:numFmt w:val="decimal"/>
      <w:start w:val="1"/>
    </w:lvl>
    <w:lvl w:ilvl="1">
      <w:lvlJc w:val="left"/>
      <w:lvlText w:val="%2."/>
      <w:numFmt w:val="upperLetter"/>
      <w:start w:val="2"/>
    </w:lvl>
  </w:abstractNum>
  <w:abstractNum w:abstractNumId="156">
    <w:nsid w:val="4AB26E78"/>
    <w:multiLevelType w:val="hybridMultilevel"/>
    <w:lvl w:ilvl="0">
      <w:lvlJc w:val="left"/>
      <w:lvlText w:val="%1."/>
      <w:numFmt w:val="decimal"/>
      <w:start w:val="1"/>
    </w:lvl>
    <w:lvl w:ilvl="1">
      <w:lvlJc w:val="left"/>
      <w:lvlText w:val="%2"/>
      <w:numFmt w:val="upperLetter"/>
      <w:start w:val="1"/>
    </w:lvl>
  </w:abstractNum>
  <w:abstractNum w:abstractNumId="157">
    <w:nsid w:val="21FAA2FA"/>
    <w:multiLevelType w:val="hybridMultilevel"/>
    <w:lvl w:ilvl="0">
      <w:lvlJc w:val="left"/>
      <w:lvlText w:val="(%1)"/>
      <w:numFmt w:val="lowerLetter"/>
      <w:start w:val="1"/>
    </w:lvl>
  </w:abstractNum>
  <w:abstractNum w:abstractNumId="158">
    <w:nsid w:val="5451CF49"/>
    <w:multiLevelType w:val="hybridMultilevel"/>
    <w:lvl w:ilvl="0">
      <w:lvlJc w:val="left"/>
      <w:lvlText w:val="(%1)"/>
      <w:numFmt w:val="lowerLetter"/>
      <w:start w:val="2"/>
    </w:lvl>
  </w:abstractNum>
  <w:abstractNum w:abstractNumId="159">
    <w:nsid w:val="6181EF69"/>
    <w:multiLevelType w:val="hybridMultilevel"/>
    <w:lvl w:ilvl="0">
      <w:lvlJc w:val="left"/>
      <w:lvlText w:val="%1."/>
      <w:numFmt w:val="decimal"/>
      <w:start w:val="4"/>
    </w:lvl>
  </w:abstractNum>
  <w:abstractNum w:abstractNumId="160">
    <w:nsid w:val="3E6400E6"/>
    <w:multiLevelType w:val="hybridMultilevel"/>
    <w:lvl w:ilvl="0">
      <w:lvlJc w:val="left"/>
      <w:lvlText w:val="(%1)"/>
      <w:numFmt w:val="decimal"/>
      <w:start w:val="1"/>
    </w:lvl>
  </w:abstractNum>
  <w:abstractNum w:abstractNumId="161">
    <w:nsid w:val="14217E23"/>
    <w:multiLevelType w:val="hybridMultilevel"/>
    <w:lvl w:ilvl="0">
      <w:lvlJc w:val="left"/>
      <w:lvlText w:val="%1."/>
      <w:numFmt w:val="decimal"/>
      <w:start w:val="9"/>
    </w:lvl>
    <w:lvl w:ilvl="1">
      <w:lvlJc w:val="left"/>
      <w:lvlText w:val="(%2)"/>
      <w:numFmt w:val="lowerLetter"/>
      <w:start w:val="1"/>
    </w:lvl>
  </w:abstractNum>
  <w:abstractNum w:abstractNumId="162">
    <w:nsid w:val="710757D0"/>
    <w:multiLevelType w:val="hybridMultilevel"/>
    <w:lvl w:ilvl="0">
      <w:lvlJc w:val="left"/>
      <w:lvlText w:val="%1"/>
      <w:numFmt w:val="decimal"/>
      <w:start w:val="1"/>
    </w:lvl>
    <w:lvl w:ilvl="1">
      <w:lvlJc w:val="left"/>
      <w:lvlText w:val="(%2)"/>
      <w:numFmt w:val="lowerLetter"/>
      <w:start w:val="4"/>
    </w:lvl>
  </w:abstractNum>
  <w:abstractNum w:abstractNumId="163">
    <w:nsid w:val="5015CD1A"/>
    <w:multiLevelType w:val="hybridMultilevel"/>
    <w:lvl w:ilvl="0">
      <w:lvlJc w:val="left"/>
      <w:lvlText w:val="%1."/>
      <w:numFmt w:val="decimal"/>
      <w:start w:val="10"/>
    </w:lvl>
    <w:lvl w:ilvl="1">
      <w:lvlJc w:val="left"/>
      <w:lvlText w:val="(%2)"/>
      <w:numFmt w:val="lowerLetter"/>
      <w:start w:val="1"/>
    </w:lvl>
  </w:abstractNum>
  <w:abstractNum w:abstractNumId="164">
    <w:nsid w:val="424479DA"/>
    <w:multiLevelType w:val="hybridMultilevel"/>
    <w:lvl w:ilvl="0">
      <w:lvlJc w:val="left"/>
      <w:lvlText w:val="(%1)"/>
      <w:numFmt w:val="lowerLetter"/>
      <w:start w:val="1"/>
    </w:lvl>
  </w:abstractNum>
  <w:abstractNum w:abstractNumId="165">
    <w:nsid w:val="1A9A9E69"/>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66">
    <w:nsid w:val="475E256A"/>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9"/>
    </w:lvl>
  </w:abstractNum>
  <w:abstractNum w:abstractNumId="167">
    <w:nsid w:val="368DB37E"/>
    <w:multiLevelType w:val="hybridMultilevel"/>
    <w:lvl w:ilvl="0">
      <w:lvlJc w:val="left"/>
      <w:lvlText w:val="%1"/>
      <w:numFmt w:val="lowerLetter"/>
      <w:start w:val="1"/>
    </w:lvl>
    <w:lvl w:ilvl="1">
      <w:lvlJc w:val="left"/>
      <w:lvlText w:val="(%2)"/>
      <w:numFmt w:val="lowerRoman"/>
      <w:start w:val="2"/>
    </w:lvl>
  </w:abstractNum>
  <w:abstractNum w:abstractNumId="168">
    <w:nsid w:val="6A3B714C"/>
    <w:multiLevelType w:val="hybridMultilevel"/>
    <w:lvl w:ilvl="0">
      <w:lvlJc w:val="left"/>
      <w:lvlText w:val="(%1)"/>
      <w:numFmt w:val="lowerLetter"/>
      <w:start w:val="2"/>
    </w:lvl>
    <w:lvl w:ilvl="1">
      <w:lvlJc w:val="left"/>
      <w:lvlText w:val="%2"/>
      <w:numFmt w:val="lowerRoman"/>
      <w:start w:val="1"/>
    </w:lvl>
  </w:abstractNum>
  <w:abstractNum w:abstractNumId="169">
    <w:nsid w:val="327B517E"/>
    <w:multiLevelType w:val="hybridMultilevel"/>
    <w:lvl w:ilvl="0">
      <w:lvlJc w:val="left"/>
      <w:lvlText w:val="(%1)"/>
      <w:numFmt w:val="lowerLetter"/>
      <w:start w:val="3"/>
    </w:lvl>
  </w:abstractNum>
  <w:abstractNum w:abstractNumId="170">
    <w:nsid w:val="1F461B51"/>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71">
    <w:nsid w:val="29BACF25"/>
    <w:multiLevelType w:val="hybridMultilevel"/>
    <w:lvl w:ilvl="0">
      <w:lvlJc w:val="left"/>
      <w:lvlText w:val="(%1)"/>
      <w:numFmt w:val="lowerLetter"/>
      <w:start w:val="2"/>
    </w:lvl>
    <w:lvl w:ilvl="1">
      <w:lvlJc w:val="left"/>
      <w:lvlText w:val="(%2)"/>
      <w:numFmt w:val="lowerRoman"/>
      <w:start w:val="1"/>
    </w:lvl>
  </w:abstractNum>
  <w:abstractNum w:abstractNumId="172">
    <w:nsid w:val="5D5BABB3"/>
    <w:multiLevelType w:val="hybridMultilevel"/>
    <w:lvl w:ilvl="0">
      <w:lvlJc w:val="left"/>
      <w:lvlText w:val="%1."/>
      <w:numFmt w:val="decimal"/>
      <w:start w:val="2"/>
    </w:lvl>
    <w:lvl w:ilvl="1">
      <w:lvlJc w:val="left"/>
      <w:lvlText w:val="(%2)"/>
      <w:numFmt w:val="lowerLetter"/>
      <w:start w:val="1"/>
    </w:lvl>
  </w:abstractNum>
  <w:abstractNum w:abstractNumId="173">
    <w:nsid w:val="51BF6B48"/>
    <w:multiLevelType w:val="hybridMultilevel"/>
    <w:lvl w:ilvl="0">
      <w:lvlJc w:val="left"/>
      <w:lvlText w:val="%1."/>
      <w:numFmt w:val="decimal"/>
      <w:start w:val="1"/>
    </w:lvl>
  </w:abstractNum>
  <w:abstractNum w:abstractNumId="174">
    <w:nsid w:val="7E0F6384"/>
    <w:multiLevelType w:val="hybridMultilevel"/>
    <w:lvl w:ilvl="0">
      <w:lvlJc w:val="left"/>
      <w:lvlText w:val="%1."/>
      <w:numFmt w:val="decimal"/>
      <w:start w:val="2"/>
    </w:lvl>
    <w:lvl w:ilvl="1">
      <w:lvlJc w:val="left"/>
      <w:lvlText w:val="(%2)"/>
      <w:numFmt w:val="lowerLetter"/>
      <w:start w:val="1"/>
    </w:lvl>
  </w:abstractNum>
  <w:abstractNum w:abstractNumId="175">
    <w:nsid w:val="2B4B8B53"/>
    <w:multiLevelType w:val="hybridMultilevel"/>
    <w:lvl w:ilvl="0">
      <w:lvlJc w:val="left"/>
      <w:lvlText w:val="%1"/>
      <w:numFmt w:val="decimal"/>
      <w:start w:val="1"/>
    </w:lvl>
    <w:lvl w:ilvl="1">
      <w:lvlJc w:val="left"/>
      <w:lvlText w:val="%2."/>
      <w:numFmt w:val="decimal"/>
      <w:start w:val="3"/>
    </w:lvl>
  </w:abstractNum>
  <w:abstractNum w:abstractNumId="176">
    <w:nsid w:val="72E3413A"/>
    <w:multiLevelType w:val="hybridMultilevel"/>
    <w:lvl w:ilvl="0">
      <w:lvlJc w:val="left"/>
      <w:lvlText w:val="%1."/>
      <w:numFmt w:val="decimal"/>
      <w:start w:val="4"/>
    </w:lvl>
    <w:lvl w:ilvl="1">
      <w:lvlJc w:val="left"/>
      <w:lvlText w:val="%2"/>
      <w:numFmt w:val="decimal"/>
      <w:start w:val="1"/>
    </w:lvl>
  </w:abstractNum>
  <w:abstractNum w:abstractNumId="177">
    <w:nsid w:val="116AE494"/>
    <w:multiLevelType w:val="hybridMultilevel"/>
    <w:lvl w:ilvl="0">
      <w:lvlJc w:val="left"/>
      <w:lvlText w:val="%1."/>
      <w:numFmt w:val="decimal"/>
      <w:start w:val="1"/>
    </w:lvl>
    <w:lvl w:ilvl="1">
      <w:lvlJc w:val="left"/>
      <w:lvlText w:val="(%2)"/>
      <w:numFmt w:val="lowerLetter"/>
      <w:start w:val="1"/>
    </w:lvl>
  </w:abstractNum>
  <w:abstractNum w:abstractNumId="178">
    <w:nsid w:val="3494B2FB"/>
    <w:multiLevelType w:val="hybridMultilevel"/>
    <w:lvl w:ilvl="0">
      <w:lvlJc w:val="left"/>
      <w:lvlText w:val="%1."/>
      <w:numFmt w:val="decimal"/>
      <w:start w:val="1"/>
    </w:lvl>
    <w:lvl w:ilvl="1">
      <w:lvlJc w:val="left"/>
      <w:lvlText w:val="(%2)"/>
      <w:numFmt w:val="lowerLetter"/>
      <w:start w:val="1"/>
    </w:lvl>
  </w:abstractNum>
  <w:abstractNum w:abstractNumId="179">
    <w:nsid w:val="B13A31"/>
    <w:multiLevelType w:val="hybridMultilevel"/>
    <w:lvl w:ilvl="0">
      <w:lvlJc w:val="left"/>
      <w:lvlText w:val="%1."/>
      <w:numFmt w:val="decimal"/>
      <w:start w:val="1"/>
    </w:lvl>
    <w:lvl w:ilvl="1">
      <w:lvlJc w:val="left"/>
      <w:lvlText w:val="(%2)"/>
      <w:numFmt w:val="lowerLetter"/>
      <w:start w:val="1"/>
    </w:lvl>
  </w:abstractNum>
  <w:abstractNum w:abstractNumId="180">
    <w:nsid w:val="64429599"/>
    <w:multiLevelType w:val="hybridMultilevel"/>
    <w:lvl w:ilvl="0">
      <w:lvlJc w:val="left"/>
      <w:lvlText w:val="%1."/>
      <w:numFmt w:val="decimal"/>
      <w:start w:val="1"/>
    </w:lvl>
    <w:lvl w:ilvl="1">
      <w:lvlJc w:val="left"/>
      <w:lvlText w:val="(%2)"/>
      <w:numFmt w:val="lowerLetter"/>
      <w:start w:val="1"/>
    </w:lvl>
  </w:abstractNum>
  <w:abstractNum w:abstractNumId="181">
    <w:nsid w:val="631F1690"/>
    <w:multiLevelType w:val="hybridMultilevel"/>
    <w:lvl w:ilvl="0">
      <w:lvlJc w:val="left"/>
      <w:lvlText w:val="(%1)"/>
      <w:numFmt w:val="decimal"/>
      <w:start w:val="1"/>
    </w:lvl>
  </w:abstractNum>
  <w:abstractNum w:abstractNumId="182">
    <w:nsid w:val="25973E32"/>
    <w:multiLevelType w:val="hybridMultilevel"/>
    <w:lvl w:ilvl="0">
      <w:lvlJc w:val="left"/>
      <w:lvlText w:val="(%1)"/>
      <w:numFmt w:val="decimal"/>
      <w:start w:val="1"/>
    </w:lvl>
  </w:abstractNum>
  <w:abstractNum w:abstractNumId="183">
    <w:nsid w:val="EAD6F57"/>
    <w:multiLevelType w:val="hybridMultilevel"/>
    <w:lvl w:ilvl="0">
      <w:lvlJc w:val="left"/>
      <w:lvlText w:val="%1."/>
      <w:numFmt w:val="decimal"/>
      <w:start w:val="1"/>
    </w:lvl>
  </w:abstractNum>
  <w:abstractNum w:abstractNumId="184">
    <w:nsid w:val="6EC9D844"/>
    <w:multiLevelType w:val="hybridMultilevel"/>
    <w:lvl w:ilvl="0">
      <w:lvlJc w:val="left"/>
      <w:lvlText w:val="%1."/>
      <w:numFmt w:val="decimal"/>
      <w:start w:val="3"/>
    </w:lvl>
    <w:lvl w:ilvl="1">
      <w:lvlJc w:val="left"/>
      <w:lvlText w:val="(%2)"/>
      <w:numFmt w:val="lowerLetter"/>
      <w:start w:val="1"/>
    </w:lvl>
  </w:abstractNum>
  <w:abstractNum w:abstractNumId="185">
    <w:nsid w:val="5C49EAEE"/>
    <w:multiLevelType w:val="hybridMultilevel"/>
    <w:lvl w:ilvl="0">
      <w:lvlJc w:val="left"/>
      <w:lvlText w:val="%1."/>
      <w:numFmt w:val="decimal"/>
      <w:start w:val="4"/>
    </w:lvl>
  </w:abstractNum>
  <w:abstractNum w:abstractNumId="186">
    <w:nsid w:val="64AF49B"/>
    <w:multiLevelType w:val="hybridMultilevel"/>
    <w:lvl w:ilvl="0">
      <w:lvlJc w:val="left"/>
      <w:lvlText w:val="%1."/>
      <w:numFmt w:val="decimal"/>
      <w:start w:val="5"/>
    </w:lvl>
  </w:abstractNum>
  <w:abstractNum w:abstractNumId="187">
    <w:nsid w:val="397C46BC"/>
    <w:multiLevelType w:val="hybridMultilevel"/>
    <w:lvl w:ilvl="0">
      <w:lvlJc w:val="left"/>
      <w:lvlText w:val="%1."/>
      <w:numFmt w:val="decimal"/>
      <w:start w:val="6"/>
    </w:lvl>
  </w:abstractNum>
  <w:abstractNum w:abstractNumId="188">
    <w:nsid w:val="7E448DE9"/>
    <w:multiLevelType w:val="hybridMultilevel"/>
    <w:lvl w:ilvl="0">
      <w:lvlJc w:val="left"/>
      <w:lvlText w:val="%1."/>
      <w:numFmt w:val="decimal"/>
      <w:start w:val="7"/>
    </w:lvl>
  </w:abstractNum>
  <w:abstractNum w:abstractNumId="189">
    <w:nsid w:val="5A9CC3E5"/>
    <w:multiLevelType w:val="hybridMultilevel"/>
    <w:lvl w:ilvl="0">
      <w:lvlJc w:val="left"/>
      <w:lvlText w:val="%1."/>
      <w:numFmt w:val="decimal"/>
      <w:start w:val="8"/>
    </w:lvl>
  </w:abstractNum>
  <w:abstractNum w:abstractNumId="190">
    <w:nsid w:val="1AFE3625"/>
    <w:multiLevelType w:val="hybridMultilevel"/>
    <w:lvl w:ilvl="0">
      <w:lvlJc w:val="left"/>
      <w:lvlText w:val="%1."/>
      <w:numFmt w:val="decimal"/>
      <w:start w:val="9"/>
    </w:lvl>
  </w:abstractNum>
  <w:abstractNum w:abstractNumId="191">
    <w:nsid w:val="3CA88ECF"/>
    <w:multiLevelType w:val="hybridMultilevel"/>
    <w:lvl w:ilvl="0">
      <w:lvlJc w:val="left"/>
      <w:lvlText w:val="%1."/>
      <w:numFmt w:val="decimal"/>
      <w:start w:val="10"/>
    </w:lvl>
  </w:abstractNum>
  <w:abstractNum w:abstractNumId="192">
    <w:nsid w:val="6EBE4208"/>
    <w:multiLevelType w:val="hybridMultilevel"/>
    <w:lvl w:ilvl="0">
      <w:lvlJc w:val="left"/>
      <w:lvlText w:val="%1."/>
      <w:numFmt w:val="decimal"/>
      <w:start w:val="11"/>
    </w:lvl>
  </w:abstractNum>
  <w:abstractNum w:abstractNumId="193">
    <w:nsid w:val="C058DF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65" Type="http://schemas.openxmlformats.org/officeDocument/2006/relationships/image" Target="media/image243.png"/><Relationship Id="rId278" Type="http://schemas.openxmlformats.org/officeDocument/2006/relationships/image" Target="media/image244.png"/><Relationship Id="rId288" Type="http://schemas.openxmlformats.org/officeDocument/2006/relationships/image" Target="media/image245.png"/><Relationship Id="rId302" Type="http://schemas.openxmlformats.org/officeDocument/2006/relationships/image" Target="media/image246.png"/><Relationship Id="rId316" Type="http://schemas.openxmlformats.org/officeDocument/2006/relationships/image" Target="media/image247.png"/><Relationship Id="rId326" Type="http://schemas.openxmlformats.org/officeDocument/2006/relationships/image" Target="media/image248.png"/><Relationship Id="rId334" Type="http://schemas.openxmlformats.org/officeDocument/2006/relationships/image" Target="media/image249.png"/><Relationship Id="rId345" Type="http://schemas.openxmlformats.org/officeDocument/2006/relationships/image" Target="media/image250.png"/><Relationship Id="rId357" Type="http://schemas.openxmlformats.org/officeDocument/2006/relationships/image" Target="media/image251.png"/><Relationship Id="rId366" Type="http://schemas.openxmlformats.org/officeDocument/2006/relationships/image" Target="media/image252.png"/><Relationship Id="rId379" Type="http://schemas.openxmlformats.org/officeDocument/2006/relationships/image" Target="media/image253.png"/><Relationship Id="rId389" Type="http://schemas.openxmlformats.org/officeDocument/2006/relationships/image" Target="media/image254.png"/><Relationship Id="rId397" Type="http://schemas.openxmlformats.org/officeDocument/2006/relationships/image" Target="media/image255.png"/><Relationship Id="rId409" Type="http://schemas.openxmlformats.org/officeDocument/2006/relationships/image" Target="media/image256.png"/><Relationship Id="rId421" Type="http://schemas.openxmlformats.org/officeDocument/2006/relationships/image" Target="media/image257.png"/><Relationship Id="rId434" Type="http://schemas.openxmlformats.org/officeDocument/2006/relationships/image" Target="media/image258.png"/><Relationship Id="rId443" Type="http://schemas.openxmlformats.org/officeDocument/2006/relationships/image" Target="media/image259.png"/><Relationship Id="rId456" Type="http://schemas.openxmlformats.org/officeDocument/2006/relationships/image" Target="media/image260.png"/><Relationship Id="rId472" Type="http://schemas.openxmlformats.org/officeDocument/2006/relationships/image" Target="media/image261.png"/><Relationship Id="rId488" Type="http://schemas.openxmlformats.org/officeDocument/2006/relationships/image" Target="media/image262.png"/><Relationship Id="rId502" Type="http://schemas.openxmlformats.org/officeDocument/2006/relationships/image" Target="media/image263.png"/><Relationship Id="rId517" Type="http://schemas.openxmlformats.org/officeDocument/2006/relationships/image" Target="media/image264.png"/><Relationship Id="rId536" Type="http://schemas.openxmlformats.org/officeDocument/2006/relationships/image" Target="media/image265.png"/><Relationship Id="rId548" Type="http://schemas.openxmlformats.org/officeDocument/2006/relationships/image" Target="media/image266.png"/><Relationship Id="rId549" Type="http://schemas.openxmlformats.org/officeDocument/2006/relationships/image" Target="media/image267.png"/><Relationship Id="rId550" Type="http://schemas.openxmlformats.org/officeDocument/2006/relationships/image" Target="media/image268.png"/><Relationship Id="rId551" Type="http://schemas.openxmlformats.org/officeDocument/2006/relationships/image" Target="media/image269.png"/><Relationship Id="rId552" Type="http://schemas.openxmlformats.org/officeDocument/2006/relationships/image" Target="media/image270.png"/><Relationship Id="rId553" Type="http://schemas.openxmlformats.org/officeDocument/2006/relationships/image" Target="media/image271.png"/><Relationship Id="rId554" Type="http://schemas.openxmlformats.org/officeDocument/2006/relationships/image" Target="media/image272.png"/><Relationship Id="rId555" Type="http://schemas.openxmlformats.org/officeDocument/2006/relationships/image" Target="media/image273.png"/><Relationship Id="rId556" Type="http://schemas.openxmlformats.org/officeDocument/2006/relationships/image" Target="media/image274.png"/><Relationship Id="rId557" Type="http://schemas.openxmlformats.org/officeDocument/2006/relationships/image" Target="media/image275.png"/><Relationship Id="rId558" Type="http://schemas.openxmlformats.org/officeDocument/2006/relationships/image" Target="media/image276.png"/><Relationship Id="rId559" Type="http://schemas.openxmlformats.org/officeDocument/2006/relationships/image" Target="media/image277.png"/><Relationship Id="rId560" Type="http://schemas.openxmlformats.org/officeDocument/2006/relationships/image" Target="media/image278.png"/><Relationship Id="rId561" Type="http://schemas.openxmlformats.org/officeDocument/2006/relationships/image" Target="media/image279.png"/><Relationship Id="rId562" Type="http://schemas.openxmlformats.org/officeDocument/2006/relationships/image" Target="media/image280.png"/><Relationship Id="rId563" Type="http://schemas.openxmlformats.org/officeDocument/2006/relationships/image" Target="media/image281.png"/><Relationship Id="rId564" Type="http://schemas.openxmlformats.org/officeDocument/2006/relationships/image" Target="media/image282.png"/><Relationship Id="rId565" Type="http://schemas.openxmlformats.org/officeDocument/2006/relationships/image" Target="media/image283.png"/><Relationship Id="rId566" Type="http://schemas.openxmlformats.org/officeDocument/2006/relationships/image" Target="media/image284.png"/><Relationship Id="rId567" Type="http://schemas.openxmlformats.org/officeDocument/2006/relationships/image" Target="media/image285.png"/><Relationship Id="rId568" Type="http://schemas.openxmlformats.org/officeDocument/2006/relationships/image" Target="media/image286.png"/><Relationship Id="rId569" Type="http://schemas.openxmlformats.org/officeDocument/2006/relationships/image" Target="media/image287.png"/><Relationship Id="rId570" Type="http://schemas.openxmlformats.org/officeDocument/2006/relationships/image" Target="media/image288.jpeg"/><Relationship Id="rId571" Type="http://schemas.openxmlformats.org/officeDocument/2006/relationships/image" Target="media/image289.jpeg"/><Relationship Id="rId572" Type="http://schemas.openxmlformats.org/officeDocument/2006/relationships/image" Target="media/image290.jpeg"/><Relationship Id="rId573" Type="http://schemas.openxmlformats.org/officeDocument/2006/relationships/image" Target="media/image291.jpeg"/><Relationship Id="rId574" Type="http://schemas.openxmlformats.org/officeDocument/2006/relationships/image" Target="media/image292.jpeg"/><Relationship Id="rId575" Type="http://schemas.openxmlformats.org/officeDocument/2006/relationships/image" Target="media/image293.jpeg"/><Relationship Id="rId576" Type="http://schemas.openxmlformats.org/officeDocument/2006/relationships/image" Target="media/image294.jpeg"/><Relationship Id="rId577" Type="http://schemas.openxmlformats.org/officeDocument/2006/relationships/image" Target="media/image295.jpeg"/><Relationship Id="rId578" Type="http://schemas.openxmlformats.org/officeDocument/2006/relationships/image" Target="media/image296.jpeg"/><Relationship Id="rId579" Type="http://schemas.openxmlformats.org/officeDocument/2006/relationships/image" Target="media/image297.jpeg"/><Relationship Id="rId580" Type="http://schemas.openxmlformats.org/officeDocument/2006/relationships/image" Target="media/image298.jpeg"/><Relationship Id="rId581" Type="http://schemas.openxmlformats.org/officeDocument/2006/relationships/image" Target="media/image299.png"/><Relationship Id="rId582" Type="http://schemas.openxmlformats.org/officeDocument/2006/relationships/image" Target="media/image300.png"/><Relationship Id="rId583" Type="http://schemas.openxmlformats.org/officeDocument/2006/relationships/image" Target="media/image301.png"/><Relationship Id="rId584" Type="http://schemas.openxmlformats.org/officeDocument/2006/relationships/image" Target="media/image302.png"/><Relationship Id="rId585" Type="http://schemas.openxmlformats.org/officeDocument/2006/relationships/image" Target="media/image303.png"/><Relationship Id="rId586" Type="http://schemas.openxmlformats.org/officeDocument/2006/relationships/image" Target="media/image304.png"/><Relationship Id="rId587" Type="http://schemas.openxmlformats.org/officeDocument/2006/relationships/image" Target="media/image305.png"/><Relationship Id="rId588" Type="http://schemas.openxmlformats.org/officeDocument/2006/relationships/image" Target="media/image306.png"/><Relationship Id="rId589" Type="http://schemas.openxmlformats.org/officeDocument/2006/relationships/image" Target="media/image307.png"/><Relationship Id="rId590" Type="http://schemas.openxmlformats.org/officeDocument/2006/relationships/image" Target="media/image308.png"/><Relationship Id="rId591" Type="http://schemas.openxmlformats.org/officeDocument/2006/relationships/image" Target="media/image309.png"/><Relationship Id="rId592" Type="http://schemas.openxmlformats.org/officeDocument/2006/relationships/image" Target="media/image310.png"/><Relationship Id="rId593" Type="http://schemas.openxmlformats.org/officeDocument/2006/relationships/image" Target="media/image311.png"/><Relationship Id="rId594" Type="http://schemas.openxmlformats.org/officeDocument/2006/relationships/image" Target="media/image312.png"/><Relationship Id="rId595" Type="http://schemas.openxmlformats.org/officeDocument/2006/relationships/image" Target="media/image313.png"/><Relationship Id="rId596" Type="http://schemas.openxmlformats.org/officeDocument/2006/relationships/image" Target="media/image314.png"/><Relationship Id="rId597" Type="http://schemas.openxmlformats.org/officeDocument/2006/relationships/image" Target="media/image315.png"/><Relationship Id="rId598" Type="http://schemas.openxmlformats.org/officeDocument/2006/relationships/image" Target="media/image316.png"/><Relationship Id="rId599" Type="http://schemas.openxmlformats.org/officeDocument/2006/relationships/image" Target="media/image317.png"/><Relationship Id="rId600" Type="http://schemas.openxmlformats.org/officeDocument/2006/relationships/image" Target="media/image318.png"/><Relationship Id="rId601" Type="http://schemas.openxmlformats.org/officeDocument/2006/relationships/image" Target="media/image319.png"/><Relationship Id="rId602" Type="http://schemas.openxmlformats.org/officeDocument/2006/relationships/image" Target="media/image320.png"/><Relationship Id="rId603" Type="http://schemas.openxmlformats.org/officeDocument/2006/relationships/image" Target="media/image321.png"/><Relationship Id="rId604" Type="http://schemas.openxmlformats.org/officeDocument/2006/relationships/image" Target="media/image322.png"/><Relationship Id="rId605" Type="http://schemas.openxmlformats.org/officeDocument/2006/relationships/image" Target="media/image323.png"/><Relationship Id="rId606" Type="http://schemas.openxmlformats.org/officeDocument/2006/relationships/image" Target="media/image324.png"/><Relationship Id="rId607" Type="http://schemas.openxmlformats.org/officeDocument/2006/relationships/image" Target="media/image325.png"/><Relationship Id="rId608" Type="http://schemas.openxmlformats.org/officeDocument/2006/relationships/image" Target="media/image326.png"/><Relationship Id="rId250" Type="http://schemas.openxmlformats.org/officeDocument/2006/relationships/hyperlink" Target="http://www.sec.gov/Archives/edgar/data/4515/000119312513408263/d605556dex21.htm" TargetMode="External"/><Relationship Id="rId251" Type="http://schemas.openxmlformats.org/officeDocument/2006/relationships/hyperlink" Target="http://www.sec.gov/Archives/edgar/data/4515/000119312515418305/d110614dex21.htm" TargetMode="External"/><Relationship Id="rId252" Type="http://schemas.openxmlformats.org/officeDocument/2006/relationships/hyperlink" Target="http://www.sec.gov/Archives/edgar/data/4515/000119312513466973/d640718dex31.htm" TargetMode="External"/><Relationship Id="rId253" Type="http://schemas.openxmlformats.org/officeDocument/2006/relationships/hyperlink" Target="http://www.sec.gov/Archives/edgar/data/6201/000119312518191662/d594984dex31.htm" TargetMode="External"/><Relationship Id="rId254" Type="http://schemas.openxmlformats.org/officeDocument/2006/relationships/hyperlink" Target="https://www.sec.gov/Archives/edgar/data/4515/000000620123000018/exhibit33aagbylaws.htm" TargetMode="External"/><Relationship Id="rId255" Type="http://schemas.openxmlformats.org/officeDocument/2006/relationships/hyperlink" Target="https://www.sec.gov/Archives/edgar/data/6201/000000620123000013/a8-kex31bylawamendments.htm" TargetMode="External"/><Relationship Id="rId256" Type="http://schemas.openxmlformats.org/officeDocument/2006/relationships/hyperlink" Target="http://www.sec.gov/Archives/edgar/data/4515/000000620114000004/d682697dex33.htm" TargetMode="External"/><Relationship Id="rId257" Type="http://schemas.openxmlformats.org/officeDocument/2006/relationships/hyperlink" Target="http://www.sec.gov/Archives/edgar/data/4515/000000620114000004/d682697dex34.htm" TargetMode="External"/><Relationship Id="rId258" Type="http://schemas.openxmlformats.org/officeDocument/2006/relationships/hyperlink" Target="https://www.sec.gov/Archives/edgar/data/6201/000119312521364315/d244625dex31.htm" TargetMode="External"/><Relationship Id="rId259" Type="http://schemas.openxmlformats.org/officeDocument/2006/relationships/hyperlink" Target="https://www.sec.gov/Archives/edgar/data/6201/000000620122000026/exhibit41q42110-k.htm" TargetMode="External"/><Relationship Id="rId260" Type="http://schemas.openxmlformats.org/officeDocument/2006/relationships/hyperlink" Target="http://www.sec.gov/Archives/edgar/data/4515/000119312514343482/d790263dex41.htm" TargetMode="External"/><Relationship Id="rId261" Type="http://schemas.openxmlformats.org/officeDocument/2006/relationships/hyperlink" Target="http://www.sec.gov/Archives/edgar/data/4515/000119312514343482/d790263dex42.htm" TargetMode="External"/><Relationship Id="rId262" Type="http://schemas.openxmlformats.org/officeDocument/2006/relationships/hyperlink" Target="http://www.sec.gov/Archives/edgar/data/4515/000119312514343482/d790263dex43.htm" TargetMode="External"/><Relationship Id="rId263" Type="http://schemas.openxmlformats.org/officeDocument/2006/relationships/hyperlink" Target="http://www.sec.gov/Archives/edgar/data/4515/000119312514343482/d790263dex44.htm" TargetMode="External"/><Relationship Id="rId264" Type="http://schemas.openxmlformats.org/officeDocument/2006/relationships/hyperlink" Target="http://www.sec.gov/Archives/edgar/data/4515/000119312515261937/d945812dex106.htm" TargetMode="External"/><Relationship Id="rId266" Type="http://schemas.openxmlformats.org/officeDocument/2006/relationships/hyperlink" Target="http://www.sec.gov/Archives/edgar/data/4515/000119312514343482/d790263dex49.htm" TargetMode="External"/><Relationship Id="rId267" Type="http://schemas.openxmlformats.org/officeDocument/2006/relationships/hyperlink" Target="http://www.sec.gov/Archives/edgar/data/4515/000119312514343482/d790263dex410.htm" TargetMode="External"/><Relationship Id="rId268" Type="http://schemas.openxmlformats.org/officeDocument/2006/relationships/hyperlink" Target="http://www.sec.gov/Archives/edgar/data/4515/000119312514343482/d790263dex411.htm" TargetMode="External"/><Relationship Id="rId269" Type="http://schemas.openxmlformats.org/officeDocument/2006/relationships/hyperlink" Target="http://www.sec.gov/Archives/edgar/data/4515/000119312514343482/d790263dex414.htm" TargetMode="External"/><Relationship Id="rId270" Type="http://schemas.openxmlformats.org/officeDocument/2006/relationships/hyperlink" Target="http://www.sec.gov/Archives/edgar/data/4515/000119312514343482/d790263dex415.htm" TargetMode="External"/><Relationship Id="rId271" Type="http://schemas.openxmlformats.org/officeDocument/2006/relationships/hyperlink" Target="http://www.sec.gov/Archives/edgar/data/4515/000119312515418305/d110614dex43.htm" TargetMode="External"/><Relationship Id="rId272" Type="http://schemas.openxmlformats.org/officeDocument/2006/relationships/hyperlink" Target="http://www.sec.gov/Archives/edgar/data/4515/000119312515093938/d890456dex42.htm" TargetMode="External"/><Relationship Id="rId273" Type="http://schemas.openxmlformats.org/officeDocument/2006/relationships/hyperlink" Target="http://www.sec.gov/Archives/edgar/data/4515/000119312515093938/d890456dex43.htm" TargetMode="External"/><Relationship Id="rId274" Type="http://schemas.openxmlformats.org/officeDocument/2006/relationships/hyperlink" Target="http://www.sec.gov/Archives/edgar/data/4515/000119312515093938/d890456dex44.htm" TargetMode="External"/><Relationship Id="rId275" Type="http://schemas.openxmlformats.org/officeDocument/2006/relationships/hyperlink" Target="http://www.sec.gov/Archives/edgar/data/4515/000119312515093938/d890456dex49.htm" TargetMode="External"/><Relationship Id="rId276" Type="http://schemas.openxmlformats.org/officeDocument/2006/relationships/hyperlink" Target="http://www.sec.gov/Archives/edgar/data/4515/000119312515093938/d890456dex410.htm" TargetMode="External"/><Relationship Id="rId277" Type="http://schemas.openxmlformats.org/officeDocument/2006/relationships/hyperlink" Target="http://www.sec.gov/Archives/edgar/data/4515/000119312515093938/d890456dex411.htm" TargetMode="External"/><Relationship Id="rId279" Type="http://schemas.openxmlformats.org/officeDocument/2006/relationships/hyperlink" Target="http://www.sec.gov/Archives/edgar/data/4515/000119312515093938/d890456dex414.htm" TargetMode="External"/><Relationship Id="rId280" Type="http://schemas.openxmlformats.org/officeDocument/2006/relationships/hyperlink" Target="http://www.sec.gov/Archives/edgar/data/4515/000119312515093938/d890456dex415.htm" TargetMode="External"/><Relationship Id="rId281" Type="http://schemas.openxmlformats.org/officeDocument/2006/relationships/hyperlink" Target="http://www.sec.gov/Archives/edgar/data/4515/000119312515327525/d69559dex42.htm" TargetMode="External"/><Relationship Id="rId282" Type="http://schemas.openxmlformats.org/officeDocument/2006/relationships/hyperlink" Target="http://www.sec.gov/Archives/edgar/data/4515/000119312515327525/d69559dex43.htm" TargetMode="External"/><Relationship Id="rId283" Type="http://schemas.openxmlformats.org/officeDocument/2006/relationships/hyperlink" Target="http://www.sec.gov/Archives/edgar/data/4515/000119312515327525/d69559dex44.htm" TargetMode="External"/><Relationship Id="rId284" Type="http://schemas.openxmlformats.org/officeDocument/2006/relationships/hyperlink" Target="http://www.sec.gov/Archives/edgar/data/4515/000119312515327525/d69559dex45.htm" TargetMode="External"/><Relationship Id="rId285" Type="http://schemas.openxmlformats.org/officeDocument/2006/relationships/hyperlink" Target="http://www.sec.gov/Archives/edgar/data/4515/000119312515327525/d69559dex46.htm" TargetMode="External"/><Relationship Id="rId286" Type="http://schemas.openxmlformats.org/officeDocument/2006/relationships/hyperlink" Target="http://www.sec.gov/Archives/edgar/data/4515/000119312515327525/d69559dex412.htm" TargetMode="External"/><Relationship Id="rId287" Type="http://schemas.openxmlformats.org/officeDocument/2006/relationships/hyperlink" Target="http://www.sec.gov/Archives/edgar/data/4515/000119312515327525/d69559dex413.htm" TargetMode="External"/><Relationship Id="rId289" Type="http://schemas.openxmlformats.org/officeDocument/2006/relationships/hyperlink" Target="http://www.sec.gov/Archives/edgar/data/4515/000119312515327525/d69559dex414.htm" TargetMode="External"/><Relationship Id="rId290" Type="http://schemas.openxmlformats.org/officeDocument/2006/relationships/hyperlink" Target="http://www.sec.gov/Archives/edgar/data/701345/000119312513171448/d526546dex412.htm" TargetMode="External"/><Relationship Id="rId291" Type="http://schemas.openxmlformats.org/officeDocument/2006/relationships/hyperlink" Target="http://www.sec.gov/Archives/edgar/data/4515/000119312515418305/d110614dex102.htm" TargetMode="External"/><Relationship Id="rId292" Type="http://schemas.openxmlformats.org/officeDocument/2006/relationships/hyperlink" Target="http://www.sec.gov/Archives/edgar/data/701345/000119312513171448/d526546dex413.htm" TargetMode="External"/><Relationship Id="rId293" Type="http://schemas.openxmlformats.org/officeDocument/2006/relationships/hyperlink" Target="http://www.sec.gov/Archives/edgar/data/701345/000119312513171448/d526546dex414.htm" TargetMode="External"/><Relationship Id="rId294" Type="http://schemas.openxmlformats.org/officeDocument/2006/relationships/hyperlink" Target="http://www.sec.gov/Archives/edgar/data/701345/000119312513250235/d548366dex48.htm" TargetMode="External"/><Relationship Id="rId295" Type="http://schemas.openxmlformats.org/officeDocument/2006/relationships/hyperlink" Target="http://www.sec.gov/Archives/edgar/data/701345/000119312513250235/d548366dex49.htm" TargetMode="External"/><Relationship Id="rId296" Type="http://schemas.openxmlformats.org/officeDocument/2006/relationships/hyperlink" Target="http://www.sec.gov/Archives/edgar/data/4515/000000620114000011/d715288dex105.htm" TargetMode="External"/><Relationship Id="rId297" Type="http://schemas.openxmlformats.org/officeDocument/2006/relationships/hyperlink" Target="http://www.sec.gov/Archives/edgar/data/701345/000119312513250235/d548366dex410.htm" TargetMode="External"/><Relationship Id="rId298" Type="http://schemas.openxmlformats.org/officeDocument/2006/relationships/hyperlink" Target="http://www.sec.gov/Archives/edgar/data/701345/000119312513250235/d548366dex411.htm" TargetMode="External"/><Relationship Id="rId299" Type="http://schemas.openxmlformats.org/officeDocument/2006/relationships/hyperlink" Target="http://www.sec.gov/Archives/edgar/data/701345/000095012310116213/p18414exv4w14.htm" TargetMode="External"/><Relationship Id="rId300" Type="http://schemas.openxmlformats.org/officeDocument/2006/relationships/hyperlink" Target="http://www.sec.gov/Archives/edgar/data/701345/000095012310116213/p18414exv4w15.htm" TargetMode="External"/><Relationship Id="rId301" Type="http://schemas.openxmlformats.org/officeDocument/2006/relationships/hyperlink" Target="http://www.sec.gov/Archives/edgar/data/4515/000000620114000011/d715288dex101.htm" TargetMode="External"/><Relationship Id="rId303" Type="http://schemas.openxmlformats.org/officeDocument/2006/relationships/hyperlink" Target="http://www.sec.gov/Archives/edgar/data/701345/000095012311063424/p18939exv4w18.htm" TargetMode="External"/><Relationship Id="rId304" Type="http://schemas.openxmlformats.org/officeDocument/2006/relationships/hyperlink" Target="http://www.sec.gov/Archives/edgar/data/701345/000095012311063424/p18939exv4w19.htm" TargetMode="External"/><Relationship Id="rId305" Type="http://schemas.openxmlformats.org/officeDocument/2006/relationships/hyperlink" Target="http://www.sec.gov/Archives/edgar/data/701345/000095012311063424/p18939exv4w23.htm" TargetMode="External"/><Relationship Id="rId306" Type="http://schemas.openxmlformats.org/officeDocument/2006/relationships/hyperlink" Target="http://www.sec.gov/Archives/edgar/data/4515/000000620114000011/d715288dex102.htm" TargetMode="External"/><Relationship Id="rId307" Type="http://schemas.openxmlformats.org/officeDocument/2006/relationships/hyperlink" Target="http://www.sec.gov/Archives/edgar/data/701345/000119312512236751/d354045dex418.htm" TargetMode="External"/><Relationship Id="rId308" Type="http://schemas.openxmlformats.org/officeDocument/2006/relationships/hyperlink" Target="http://www.sec.gov/Archives/edgar/data/701345/000119312512236751/d354045dex419.htm" TargetMode="External"/><Relationship Id="rId309" Type="http://schemas.openxmlformats.org/officeDocument/2006/relationships/hyperlink" Target="http://www.sec.gov/Archives/edgar/data/4515/000000620114000011/d715288dex103.htm" TargetMode="External"/><Relationship Id="rId310" Type="http://schemas.openxmlformats.org/officeDocument/2006/relationships/hyperlink" Target="http://www.sec.gov/Archives/edgar/data/701345/000119312512501957/d452985dex412.htm" TargetMode="External"/><Relationship Id="rId311" Type="http://schemas.openxmlformats.org/officeDocument/2006/relationships/hyperlink" Target="http://www.sec.gov/Archives/edgar/data/4515/000000620114000011/d715288dex104.htm" TargetMode="External"/><Relationship Id="rId312" Type="http://schemas.openxmlformats.org/officeDocument/2006/relationships/hyperlink" Target="http://www.sec.gov/Archives/edgar/data/4515/000119312515418305/d110614dex103.htm" TargetMode="External"/><Relationship Id="rId313" Type="http://schemas.openxmlformats.org/officeDocument/2006/relationships/hyperlink" Target="http://www.sec.gov/Archives/edgar/data/4515/000119312516433815/d126794dex42.htm" TargetMode="External"/><Relationship Id="rId314" Type="http://schemas.openxmlformats.org/officeDocument/2006/relationships/hyperlink" Target="http://www.sec.gov/Archives/edgar/data/4515/000119312516433815/d126794dex43.htm" TargetMode="External"/><Relationship Id="rId315" Type="http://schemas.openxmlformats.org/officeDocument/2006/relationships/hyperlink" Target="http://www.sec.gov/Archives/edgar/data/4515/000119312516433815/d126794dex44.htm" TargetMode="External"/><Relationship Id="rId317" Type="http://schemas.openxmlformats.org/officeDocument/2006/relationships/hyperlink" Target="http://www.sec.gov/Archives/edgar/data/4515/000119312516433815/d126794dex45.htm" TargetMode="External"/><Relationship Id="rId318" Type="http://schemas.openxmlformats.org/officeDocument/2006/relationships/hyperlink" Target="http://www.sec.gov/Archives/edgar/data/4515/000119312516433815/d126794dex46.htm" TargetMode="External"/><Relationship Id="rId319" Type="http://schemas.openxmlformats.org/officeDocument/2006/relationships/hyperlink" Target="http://www.sec.gov/Archives/edgar/data/4515/000119312516433815/d126794dex412.htm" TargetMode="External"/><Relationship Id="rId320" Type="http://schemas.openxmlformats.org/officeDocument/2006/relationships/hyperlink" Target="http://www.sec.gov/Archives/edgar/data/4515/000119312516433815/d126794dex413.htm" TargetMode="External"/><Relationship Id="rId321" Type="http://schemas.openxmlformats.org/officeDocument/2006/relationships/hyperlink" Target="http://www.sec.gov/Archives/edgar/data/4515/000119312516433815/d126794dex414.htm" TargetMode="External"/><Relationship Id="rId322" Type="http://schemas.openxmlformats.org/officeDocument/2006/relationships/hyperlink" Target="http://www.sec.gov/Archives/edgar/data/4515/000119312516592083/d177635dex42.htm" TargetMode="External"/><Relationship Id="rId323" Type="http://schemas.openxmlformats.org/officeDocument/2006/relationships/hyperlink" Target="http://www.sec.gov/Archives/edgar/data/4515/000119312516592083/d177635dex43.htm" TargetMode="External"/><Relationship Id="rId324" Type="http://schemas.openxmlformats.org/officeDocument/2006/relationships/hyperlink" Target="http://www.sec.gov/Archives/edgar/data/4515/000119312516592083/d177635dex44.htm" TargetMode="External"/><Relationship Id="rId325" Type="http://schemas.openxmlformats.org/officeDocument/2006/relationships/hyperlink" Target="http://www.sec.gov/Archives/edgar/data/4515/000119312516592083/d177635dex49.htm" TargetMode="External"/><Relationship Id="rId327" Type="http://schemas.openxmlformats.org/officeDocument/2006/relationships/hyperlink" Target="http://www.sec.gov/Archives/edgar/data/4515/000119312516592083/d177635dex414.htm" TargetMode="External"/><Relationship Id="rId328" Type="http://schemas.openxmlformats.org/officeDocument/2006/relationships/hyperlink" Target="http://www.sec.gov/Archives/edgar/data/4515/000119312516592083/d177635dex415.htm" TargetMode="External"/><Relationship Id="rId329" Type="http://schemas.openxmlformats.org/officeDocument/2006/relationships/hyperlink" Target="http://www.sec.gov/Archives/edgar/data/4515/000119312516646353/d210431dex42.htm" TargetMode="External"/><Relationship Id="rId330" Type="http://schemas.openxmlformats.org/officeDocument/2006/relationships/hyperlink" Target="http://www.sec.gov/Archives/edgar/data/4515/000119312516646353/d210431dex43.htm" TargetMode="External"/><Relationship Id="rId331" Type="http://schemas.openxmlformats.org/officeDocument/2006/relationships/hyperlink" Target="http://www.sec.gov/Archives/edgar/data/4515/000119312516646353/d210431dex46.htm" TargetMode="External"/><Relationship Id="rId332" Type="http://schemas.openxmlformats.org/officeDocument/2006/relationships/hyperlink" Target="http://www.sec.gov/Archives/edgar/data/4515/000119312516646353/d210431dex412.htm" TargetMode="External"/><Relationship Id="rId333" Type="http://schemas.openxmlformats.org/officeDocument/2006/relationships/hyperlink" Target="http://www.sec.gov/Archives/edgar/data/4515/000119312516730454/d359659dex42.htm" TargetMode="External"/><Relationship Id="rId335" Type="http://schemas.openxmlformats.org/officeDocument/2006/relationships/hyperlink" Target="http://www.sec.gov/Archives/edgar/data/4515/000119312516730454/d359659dex43.htm" TargetMode="External"/><Relationship Id="rId336" Type="http://schemas.openxmlformats.org/officeDocument/2006/relationships/hyperlink" Target="http://www.sec.gov/Archives/edgar/data/4515/000119312516730454/d359659dex44.htm" TargetMode="External"/><Relationship Id="rId337" Type="http://schemas.openxmlformats.org/officeDocument/2006/relationships/hyperlink" Target="http://www.sec.gov/Archives/edgar/data/4515/000119312517304687/d466899dex43.htm" TargetMode="External"/><Relationship Id="rId338" Type="http://schemas.openxmlformats.org/officeDocument/2006/relationships/hyperlink" Target="http://www.sec.gov/Archives/edgar/data/4515/000119312516730454/d359659dex49.htm" TargetMode="External"/><Relationship Id="rId339" Type="http://schemas.openxmlformats.org/officeDocument/2006/relationships/hyperlink" Target="http://www.sec.gov/Archives/edgar/data/4515/000119312516730454/d359659dex414.htm" TargetMode="External"/><Relationship Id="rId340" Type="http://schemas.openxmlformats.org/officeDocument/2006/relationships/hyperlink" Target="http://www.sec.gov/Archives/edgar/data/4515/000119312516730454/d359659dex415.htm" TargetMode="External"/><Relationship Id="rId341" Type="http://schemas.openxmlformats.org/officeDocument/2006/relationships/hyperlink" Target="http://www.sec.gov/Archives/edgar/data/4515/000119312517011067/d319419dex42.htm" TargetMode="External"/><Relationship Id="rId342" Type="http://schemas.openxmlformats.org/officeDocument/2006/relationships/hyperlink" Target="http://www.sec.gov/Archives/edgar/data/4515/000119312517011067/d319419dex43.htm" TargetMode="External"/><Relationship Id="rId343" Type="http://schemas.openxmlformats.org/officeDocument/2006/relationships/hyperlink" Target="http://www.sec.gov/Archives/edgar/data/4515/000119312517011067/d319419dex44.htm" TargetMode="External"/><Relationship Id="rId344" Type="http://schemas.openxmlformats.org/officeDocument/2006/relationships/hyperlink" Target="http://www.sec.gov/Archives/edgar/data/4515/000119312517011067/d319419dex45.htm" TargetMode="External"/><Relationship Id="rId346" Type="http://schemas.openxmlformats.org/officeDocument/2006/relationships/hyperlink" Target="http://www.sec.gov/Archives/edgar/data/4515/000119312517011067/d319419dex412.htm" TargetMode="External"/><Relationship Id="rId347" Type="http://schemas.openxmlformats.org/officeDocument/2006/relationships/hyperlink" Target="http://www.sec.gov/Archives/edgar/data/4515/000119312517011067/d319419dex418.htm" TargetMode="External"/><Relationship Id="rId348" Type="http://schemas.openxmlformats.org/officeDocument/2006/relationships/hyperlink" Target="http://www.sec.gov/Archives/edgar/data/4515/000119312517011067/d319419dex419.htm" TargetMode="External"/><Relationship Id="rId349" Type="http://schemas.openxmlformats.org/officeDocument/2006/relationships/hyperlink" Target="http://www.sec.gov/Archives/edgar/data/4515/000119312517011067/d319419dex420.htm" TargetMode="External"/><Relationship Id="rId350" Type="http://schemas.openxmlformats.org/officeDocument/2006/relationships/hyperlink" Target="http://www.sec.gov/Archives/edgar/data/4515/000119312517140927/d358913dex420.htm" TargetMode="External"/><Relationship Id="rId351" Type="http://schemas.openxmlformats.org/officeDocument/2006/relationships/hyperlink" Target="http://www.sec.gov/Archives/edgar/data/4515/000119312517140927/d358913dex421.htm" TargetMode="External"/><Relationship Id="rId352" Type="http://schemas.openxmlformats.org/officeDocument/2006/relationships/hyperlink" Target="http://www.sec.gov/Archives/edgar/data/4515/000119312517140927/d358913dex422.htm" TargetMode="External"/><Relationship Id="rId353" Type="http://schemas.openxmlformats.org/officeDocument/2006/relationships/hyperlink" Target="http://www.sec.gov/Archives/edgar/data/4515/000119312517140927/d358913dex423.htm" TargetMode="External"/><Relationship Id="rId354" Type="http://schemas.openxmlformats.org/officeDocument/2006/relationships/hyperlink" Target="http://www.sec.gov/Archives/edgar/data/4515/000119312517052055/d366751dex41.htm" TargetMode="External"/><Relationship Id="rId355" Type="http://schemas.openxmlformats.org/officeDocument/2006/relationships/hyperlink" Target="http://www.sec.gov/Archives/edgar/data/4515/000119312517052055/d366751dex42.htm" TargetMode="External"/><Relationship Id="rId356" Type="http://schemas.openxmlformats.org/officeDocument/2006/relationships/hyperlink" Target="http://www.sec.gov/Archives/edgar/data/4515/000119312517257245/d376721dex42.htm" TargetMode="External"/><Relationship Id="rId358" Type="http://schemas.openxmlformats.org/officeDocument/2006/relationships/hyperlink" Target="http://www.sec.gov/Archives/edgar/data/4515/000119312517257245/d376721dex43.htm" TargetMode="External"/><Relationship Id="rId359" Type="http://schemas.openxmlformats.org/officeDocument/2006/relationships/hyperlink" Target="http://www.sec.gov/Archives/edgar/data/4515/000119312517257245/d376721dex44.htm" TargetMode="External"/><Relationship Id="rId360" Type="http://schemas.openxmlformats.org/officeDocument/2006/relationships/hyperlink" Target="http://www.sec.gov/Archives/edgar/data/4515/000119312517257245/d376721dex49.htm" TargetMode="External"/><Relationship Id="rId361" Type="http://schemas.openxmlformats.org/officeDocument/2006/relationships/hyperlink" Target="http://www.sec.gov/Archives/edgar/data/4515/000119312517257245/d376721dex414.htm" TargetMode="External"/><Relationship Id="rId362" Type="http://schemas.openxmlformats.org/officeDocument/2006/relationships/hyperlink" Target="http://www.sec.gov/Archives/edgar/data/4515/000119312517257245/d376721dex415.htm" TargetMode="External"/><Relationship Id="rId363" Type="http://schemas.openxmlformats.org/officeDocument/2006/relationships/hyperlink" Target="http://www.sec.gov/Archives/edgar/data/4515/000119312517304687/d466899dex42.htm" TargetMode="External"/><Relationship Id="rId364" Type="http://schemas.openxmlformats.org/officeDocument/2006/relationships/hyperlink" Target="http://www.sec.gov/Archives/edgar/data/4515/000119312517304687/d466899dex44.htm" TargetMode="External"/><Relationship Id="rId365" Type="http://schemas.openxmlformats.org/officeDocument/2006/relationships/hyperlink" Target="http://www.sec.gov/Archives/edgar/data/4515/000119312517305920/d463889dex46.htm#toc463889_35" TargetMode="External"/><Relationship Id="rId367" Type="http://schemas.openxmlformats.org/officeDocument/2006/relationships/hyperlink" Target="http://www.sec.gov/Archives/edgar/data/4515/000119312517304687/d466899dex48.htm" TargetMode="External"/><Relationship Id="rId368" Type="http://schemas.openxmlformats.org/officeDocument/2006/relationships/hyperlink" Target="http://www.sec.gov/Archives/edgar/data/4515/000119312517305920/d463889dex42.htm" TargetMode="External"/><Relationship Id="rId369" Type="http://schemas.openxmlformats.org/officeDocument/2006/relationships/hyperlink" Target="http://www.sec.gov/Archives/edgar/data/4515/000119312517305920/d463889dex43.htm" TargetMode="External"/><Relationship Id="rId370" Type="http://schemas.openxmlformats.org/officeDocument/2006/relationships/hyperlink" Target="http://www.sec.gov/Archives/edgar/data/4515/000119312517305920/d463889dex46.htm" TargetMode="External"/><Relationship Id="rId371" Type="http://schemas.openxmlformats.org/officeDocument/2006/relationships/hyperlink" Target="http://www.sec.gov/Archives/edgar/data/4515/000119312517305920/d463889dex46.htm#ex4_6" TargetMode="External"/><Relationship Id="rId372" Type="http://schemas.openxmlformats.org/officeDocument/2006/relationships/hyperlink" Target="http://www.sec.gov/Archives/edgar/data/4515/000119312517305920/d463889dex46.htm#ex4_6b" TargetMode="External"/><Relationship Id="rId373" Type="http://schemas.openxmlformats.org/officeDocument/2006/relationships/hyperlink" Target="http://www.sec.gov/Archives/edgar/data/4515/000119312517305920/d463889dex46.htm#ex4_6a" TargetMode="External"/><Relationship Id="rId374" Type="http://schemas.openxmlformats.org/officeDocument/2006/relationships/hyperlink" Target="http://www.sec.gov/Archives/edgar/data/4515/000119312517305920/d463889dex42.htm#ex4_2toc463889_35" TargetMode="External"/><Relationship Id="rId375" Type="http://schemas.openxmlformats.org/officeDocument/2006/relationships/hyperlink" Target="http://www.sec.gov/Archives/edgar/data/4515/000119312517305920/d463889dex412.htm" TargetMode="External"/><Relationship Id="rId376" Type="http://schemas.openxmlformats.org/officeDocument/2006/relationships/hyperlink" Target="http://www.sec.gov/Archives/edgar/data/4515/000119312518165266/d589456dex42.htm" TargetMode="External"/><Relationship Id="rId377" Type="http://schemas.openxmlformats.org/officeDocument/2006/relationships/hyperlink" Target="http://www.sec.gov/Archives/edgar/data/4515/000119312518165266/d589456dex46.htm" TargetMode="External"/><Relationship Id="rId378" Type="http://schemas.openxmlformats.org/officeDocument/2006/relationships/hyperlink" Target="https://www.sec.gov/Archives/edgar/data/0000004515/000119312521328161/d229111dex42.htm" TargetMode="External"/><Relationship Id="rId380" Type="http://schemas.openxmlformats.org/officeDocument/2006/relationships/hyperlink" Target="https://www.sec.gov/Archives/edgar/data/0000004515/000119312521328161/d229111dex43.htm" TargetMode="External"/><Relationship Id="rId381" Type="http://schemas.openxmlformats.org/officeDocument/2006/relationships/hyperlink" Target="https://www.sec.gov/Archives/edgar/data/0000004515/000119312521328161/d229111dex414.htm" TargetMode="External"/><Relationship Id="rId382" Type="http://schemas.openxmlformats.org/officeDocument/2006/relationships/hyperlink" Target="https://www.sec.gov/Archives/edgar/data/0000004515/000119312521328161/d229111dex415.htm" TargetMode="External"/><Relationship Id="rId383" Type="http://schemas.openxmlformats.org/officeDocument/2006/relationships/hyperlink" Target="https://www.sec.gov/Archives/edgar/data/6201/000119312521364315/d244625dex41.htm" TargetMode="External"/><Relationship Id="rId384" Type="http://schemas.openxmlformats.org/officeDocument/2006/relationships/hyperlink" Target="http://www.sec.gov/Archives/edgar/data/4515/000119312519222562/d774498dex42.htm" TargetMode="External"/><Relationship Id="rId385" Type="http://schemas.openxmlformats.org/officeDocument/2006/relationships/hyperlink" Target="http://www.sec.gov/Archives/edgar/data/4515/000119312519222562/d774498dex43.htm" TargetMode="External"/><Relationship Id="rId386" Type="http://schemas.openxmlformats.org/officeDocument/2006/relationships/hyperlink" Target="http://www.sec.gov/Archives/edgar/data/4515/000119312519222562/d774498dex44.htm" TargetMode="External"/><Relationship Id="rId387" Type="http://schemas.openxmlformats.org/officeDocument/2006/relationships/hyperlink" Target="http://www.sec.gov/Archives/edgar/data/4515/000119312519222562/d774498dex45.htm" TargetMode="External"/><Relationship Id="rId388" Type="http://schemas.openxmlformats.org/officeDocument/2006/relationships/hyperlink" Target="http://www.sec.gov/Archives/edgar/data/4515/000119312519222562/d774498dex412.htm" TargetMode="External"/><Relationship Id="rId390" Type="http://schemas.openxmlformats.org/officeDocument/2006/relationships/hyperlink" Target="http://www.sec.gov/Archives/edgar/data/4515/000119312519222562/d774498dex418.htm" TargetMode="External"/><Relationship Id="rId391" Type="http://schemas.openxmlformats.org/officeDocument/2006/relationships/hyperlink" Target="http://www.sec.gov/Archives/edgar/data/4515/000119312519222562/d774498dex419.htm" TargetMode="External"/><Relationship Id="rId392" Type="http://schemas.openxmlformats.org/officeDocument/2006/relationships/hyperlink" Target="https://www.sec.gov/Archives/edgar/data/0000004515/000119312521328161/d229111dex44.htm" TargetMode="External"/><Relationship Id="rId393" Type="http://schemas.openxmlformats.org/officeDocument/2006/relationships/hyperlink" Target="https://www.sec.gov/Archives/edgar/data/0000004515/000119312521328161/d229111dex49.htm" TargetMode="External"/><Relationship Id="rId394" Type="http://schemas.openxmlformats.org/officeDocument/2006/relationships/hyperlink" Target="http://www.sec.gov/Archives/edgar/data/4515/000119312519222562/d774498dex420.htm" TargetMode="External"/><Relationship Id="rId395" Type="http://schemas.openxmlformats.org/officeDocument/2006/relationships/hyperlink" Target="https://www.sec.gov/Archives/edgar/data/4515/000119312519152852/d728811dex41.htm" TargetMode="External"/><Relationship Id="rId396" Type="http://schemas.openxmlformats.org/officeDocument/2006/relationships/hyperlink" Target="https://www.sec.gov/Archives/edgar/data/4515/000119312520050082/d894981dex41.htm" TargetMode="External"/><Relationship Id="rId398" Type="http://schemas.openxmlformats.org/officeDocument/2006/relationships/hyperlink" Target="https://www.sec.gov/Archives/edgar/data/4515/000119312520179004/d948088dex41.htm" TargetMode="External"/><Relationship Id="rId399" Type="http://schemas.openxmlformats.org/officeDocument/2006/relationships/hyperlink" Target="https://www.sec.gov/Archives/edgar/data/4515/000119312520179004/d948088dex42.htm" TargetMode="External"/><Relationship Id="rId400" Type="http://schemas.openxmlformats.org/officeDocument/2006/relationships/hyperlink" Target="https://www.sec.gov/Archives/edgar/data/4515/000119312520185457/d32513dex41.htm" TargetMode="External"/><Relationship Id="rId401" Type="http://schemas.openxmlformats.org/officeDocument/2006/relationships/hyperlink" Target="https://www.sec.gov/Archives/edgar/data/4515/000000620120000101/ex41q32010-q.htm" TargetMode="External"/><Relationship Id="rId402" Type="http://schemas.openxmlformats.org/officeDocument/2006/relationships/hyperlink" Target="https://www.sec.gov/Archives/edgar/data/4515/000000620120000101/ex43q32010-q.htm" TargetMode="External"/><Relationship Id="rId403" Type="http://schemas.openxmlformats.org/officeDocument/2006/relationships/hyperlink" Target="https://www.sec.gov/Archives/edgar/data/4515/000000620120000066/ex43q12010q.htm" TargetMode="External"/><Relationship Id="rId404" Type="http://schemas.openxmlformats.org/officeDocument/2006/relationships/hyperlink" Target="https://www.sec.gov/Archives/edgar/data/4515/000000620120000101/ex45q32010-q.htm" TargetMode="External"/><Relationship Id="rId405" Type="http://schemas.openxmlformats.org/officeDocument/2006/relationships/hyperlink" Target="https://www.sec.gov/Archives/edgar/data/4515/000000620121000014/exhibit4182q42010-k.htm" TargetMode="External"/><Relationship Id="rId406" Type="http://schemas.openxmlformats.org/officeDocument/2006/relationships/hyperlink" Target="https://www.sec.gov/Archives/edgar/data/4515/000000620121000080/ex41q221aapsp3-warrantagre.htm" TargetMode="External"/><Relationship Id="rId407" Type="http://schemas.openxmlformats.org/officeDocument/2006/relationships/hyperlink" Target="https://www.sec.gov/Archives/edgar/data/4515/000000620121000054/ex43q121aadvantagexindentu.htm" TargetMode="External"/><Relationship Id="rId408" Type="http://schemas.openxmlformats.org/officeDocument/2006/relationships/hyperlink" Target="https://www.sec.gov/Archives/edgar/data/6201/000119312523040349/d402365dex41.htm" TargetMode="External"/><Relationship Id="rId410" Type="http://schemas.openxmlformats.org/officeDocument/2006/relationships/hyperlink" Target="https://www.sec.gov/Archives/edgar/data/6201/000119312523288364/d247933dex41.htm" TargetMode="External"/><Relationship Id="rId411" Type="http://schemas.openxmlformats.org/officeDocument/2006/relationships/hyperlink" Target="https://www.sec.gov/Archives/edgar/data/4515/000000620120000066/ex105q12010q.htm" TargetMode="External"/><Relationship Id="rId412" Type="http://schemas.openxmlformats.org/officeDocument/2006/relationships/hyperlink" Target="https://www.sec.gov/Archives/edgar/data/4515/000000620120000066/ex106q12010q.htm" TargetMode="External"/><Relationship Id="rId413" Type="http://schemas.openxmlformats.org/officeDocument/2006/relationships/hyperlink" Target="https://www.sec.gov/Archives/edgar/data/4515/000000620121000014/exhibit103q42010-k.htm" TargetMode="External"/><Relationship Id="rId414" Type="http://schemas.openxmlformats.org/officeDocument/2006/relationships/hyperlink" Target="https://www.sec.gov/Archives/edgar/data/4515/000000620121000014/exhibit104q42010-k.htm" TargetMode="External"/><Relationship Id="rId415" Type="http://schemas.openxmlformats.org/officeDocument/2006/relationships/hyperlink" Target="https://www.sec.gov/Archives/edgar/data/6201/000000620122000071/ex103q222ust-aaxagreementa.htm" TargetMode="External"/><Relationship Id="rId416" Type="http://schemas.openxmlformats.org/officeDocument/2006/relationships/hyperlink" Target="https://www.sec.gov/Archives/edgar/data/4515/000000620120000101/ex101q32010-q.htm" TargetMode="External"/><Relationship Id="rId417" Type="http://schemas.openxmlformats.org/officeDocument/2006/relationships/hyperlink" Target="https://www.sec.gov/Archives/edgar/data/4515/000000620121000014/exhibit106q42010-k.htm" TargetMode="External"/><Relationship Id="rId418" Type="http://schemas.openxmlformats.org/officeDocument/2006/relationships/hyperlink" Target="https://www.sec.gov/Archives/edgar/data/4515/000000620121000014/exhibit107q42010-k.htm" TargetMode="External"/><Relationship Id="rId419" Type="http://schemas.openxmlformats.org/officeDocument/2006/relationships/hyperlink" Target="http://www.sec.gov/Archives/edgar/data/4515/000119312517051216/d286458dex101.htm" TargetMode="External"/><Relationship Id="rId420" Type="http://schemas.openxmlformats.org/officeDocument/2006/relationships/hyperlink" Target="http://www.sec.gov/Archives/edgar/data/4515/000000620118000009/ex10210k2017.htm" TargetMode="External"/><Relationship Id="rId422" Type="http://schemas.openxmlformats.org/officeDocument/2006/relationships/hyperlink" Target="http://www.sec.gov/Archives/edgar/data/4515/000119312515261937/d945812dex104.htm" TargetMode="External"/><Relationship Id="rId423" Type="http://schemas.openxmlformats.org/officeDocument/2006/relationships/hyperlink" Target="http://www.sec.gov/Archives/edgar/data/4515/000119312516474605/d78287dex106.htm" TargetMode="External"/><Relationship Id="rId424" Type="http://schemas.openxmlformats.org/officeDocument/2006/relationships/hyperlink" Target="http://www.sec.gov/Archives/edgar/data/4515/000119312516742263/d247546dex101.htm" TargetMode="External"/><Relationship Id="rId425" Type="http://schemas.openxmlformats.org/officeDocument/2006/relationships/hyperlink" Target="https://www.sec.gov/Archives/edgar/data/4515/000000620121000054/ex108q121boeing787accommod.htm" TargetMode="External"/><Relationship Id="rId426" Type="http://schemas.openxmlformats.org/officeDocument/2006/relationships/hyperlink" Target="https://www.sec.gov/Archives/edgar/data/4515/000000620121000054/ex109q121amendment1accomod.htm" TargetMode="External"/><Relationship Id="rId427" Type="http://schemas.openxmlformats.org/officeDocument/2006/relationships/hyperlink" Target="https://www.sec.gov/Archives/edgar/data/4515/000000620121000080/ex103q221amendment2lettera.htm" TargetMode="External"/><Relationship Id="rId428" Type="http://schemas.openxmlformats.org/officeDocument/2006/relationships/hyperlink" Target="https://www.sec.gov/Archives/edgar/data/4515/000000620121000098/ex101q321amendmentno3.htm" TargetMode="External"/><Relationship Id="rId429" Type="http://schemas.openxmlformats.org/officeDocument/2006/relationships/hyperlink" Target="https://www.sec.gov/Archives/edgar/data/4515/000000620121000054/ex10121boeingschedulerevis.htm" TargetMode="External"/><Relationship Id="rId430" Type="http://schemas.openxmlformats.org/officeDocument/2006/relationships/hyperlink" Target="https://www.sec.gov/Archives/edgar/data/6201/000000620122000026/exhibit1019q42110-k.htm" TargetMode="External"/><Relationship Id="rId431" Type="http://schemas.openxmlformats.org/officeDocument/2006/relationships/hyperlink" Target="https://www.sec.gov/Archives/edgar/data/6201/000000620123000042/a101letteragreementdatedja.htm" TargetMode="External"/><Relationship Id="rId432" Type="http://schemas.openxmlformats.org/officeDocument/2006/relationships/hyperlink" Target="http://www.sec.gov/Archives/edgar/data/4515/000119312517239325/d416225dex102.htm" TargetMode="External"/><Relationship Id="rId433" Type="http://schemas.openxmlformats.org/officeDocument/2006/relationships/hyperlink" Target="https://www.sec.gov/Archives/edgar/data/4515/000000620118000016/ex10110qq118.htm" TargetMode="External"/><Relationship Id="rId435" Type="http://schemas.openxmlformats.org/officeDocument/2006/relationships/hyperlink" Target="https://www.sec.gov/Archives/edgar/data/4515/000000620118000039/ex10110qq318.htm" TargetMode="External"/><Relationship Id="rId436" Type="http://schemas.openxmlformats.org/officeDocument/2006/relationships/hyperlink" Target="https://www.sec.gov/Archives/edgar/data/4515/000000620120000023/ex101010k2019.htm" TargetMode="External"/><Relationship Id="rId437" Type="http://schemas.openxmlformats.org/officeDocument/2006/relationships/hyperlink" Target="http://www.sec.gov/Archives/edgar/data/4515/000119312515261937/d945812dex105.htm" TargetMode="External"/><Relationship Id="rId438" Type="http://schemas.openxmlformats.org/officeDocument/2006/relationships/hyperlink" Target="http://www.sec.gov/Archives/edgar/data/4515/000119312516474605/d78287dex108.htm" TargetMode="External"/><Relationship Id="rId439" Type="http://schemas.openxmlformats.org/officeDocument/2006/relationships/hyperlink" Target="http://www.sec.gov/Archives/edgar/data/4515/000119312517140927/d358913dex102.htm" TargetMode="External"/><Relationship Id="rId440" Type="http://schemas.openxmlformats.org/officeDocument/2006/relationships/hyperlink" Target="http://www.sec.gov/Archives/edgar/data/4515/000000620118000009/ex101110k2017.htm" TargetMode="External"/><Relationship Id="rId441" Type="http://schemas.openxmlformats.org/officeDocument/2006/relationships/hyperlink" Target="http://www.sec.gov/Archives/edgar/data/4515/000000620118000027/ex10310qq218.htm" TargetMode="External"/><Relationship Id="rId442" Type="http://schemas.openxmlformats.org/officeDocument/2006/relationships/hyperlink" Target="https://www.sec.gov/Archives/edgar/data/4515/000000620120000023/ex101710k2019.htm" TargetMode="External"/><Relationship Id="rId444" Type="http://schemas.openxmlformats.org/officeDocument/2006/relationships/hyperlink" Target="http://www.sec.gov/Archives/edgar/data/4515/000119312516654354/d204187dex102.htm" TargetMode="External"/><Relationship Id="rId445" Type="http://schemas.openxmlformats.org/officeDocument/2006/relationships/hyperlink" Target="http://www.sec.gov/Archives/edgar/data/4515/000119312517051216/d286458dex1081.htm" TargetMode="External"/><Relationship Id="rId446" Type="http://schemas.openxmlformats.org/officeDocument/2006/relationships/hyperlink" Target="http://www.sec.gov/Archives/edgar/data/4515/000000620118000009/ex101510k2017.htm" TargetMode="External"/><Relationship Id="rId447" Type="http://schemas.openxmlformats.org/officeDocument/2006/relationships/hyperlink" Target="http://www.sec.gov/Archives/edgar/data/4515/000000620118000009/ex101610k2017.htm" TargetMode="External"/><Relationship Id="rId448" Type="http://schemas.openxmlformats.org/officeDocument/2006/relationships/hyperlink" Target="https://www.sec.gov/Archives/edgar/data/4515/000000620120000023/ex102310k2019.htm" TargetMode="External"/><Relationship Id="rId449" Type="http://schemas.openxmlformats.org/officeDocument/2006/relationships/hyperlink" Target="https://www.sec.gov/Archives/edgar/data/6201/000000620122000026/ex1038purchaseagreementno3.htm" TargetMode="External"/><Relationship Id="rId450" Type="http://schemas.openxmlformats.org/officeDocument/2006/relationships/hyperlink" Target="https://www.sec.gov/Archives/edgar/data/6201/000000620122000026/ex1039supplementalagreemen.htm" TargetMode="External"/><Relationship Id="rId451" Type="http://schemas.openxmlformats.org/officeDocument/2006/relationships/hyperlink" Target="https://www.sec.gov/Archives/edgar/data/6201/000000620122000026/ex1040supplementalagreemen.htm" TargetMode="External"/><Relationship Id="rId452" Type="http://schemas.openxmlformats.org/officeDocument/2006/relationships/hyperlink" Target="https://www.sec.gov/Archives/edgar/data/6201/000000620122000026/ex1041supplementalagreemen.htm" TargetMode="External"/><Relationship Id="rId453" Type="http://schemas.openxmlformats.org/officeDocument/2006/relationships/hyperlink" Target="https://www.sec.gov/Archives/edgar/data/6201/000000620122000026/ex1042supplementalagreemen.htm" TargetMode="External"/><Relationship Id="rId454" Type="http://schemas.openxmlformats.org/officeDocument/2006/relationships/hyperlink" Target="https://www.sec.gov/Archives/edgar/data/6201/000000620122000026/ex1043supplementalagreemen.htm" TargetMode="External"/><Relationship Id="rId455" Type="http://schemas.openxmlformats.org/officeDocument/2006/relationships/hyperlink" Target="https://www.sec.gov/Archives/edgar/data/6201/000000620122000026/ex1044supplementalagreemen.htm" TargetMode="External"/><Relationship Id="rId457" Type="http://schemas.openxmlformats.org/officeDocument/2006/relationships/hyperlink" Target="https://www.sec.gov/Archives/edgar/data/6201/000000620122000026/ex1045supplementalagreemen.htm" TargetMode="External"/><Relationship Id="rId458" Type="http://schemas.openxmlformats.org/officeDocument/2006/relationships/hyperlink" Target="https://www.sec.gov/Archives/edgar/data/6201/000000620122000026/ex1046supplementalagreemen.htm" TargetMode="External"/><Relationship Id="rId459" Type="http://schemas.openxmlformats.org/officeDocument/2006/relationships/hyperlink" Target="https://www.sec.gov/Archives/edgar/data/6201/000000620122000026/ex1047supplementalagreemen.htm" TargetMode="External"/><Relationship Id="rId460" Type="http://schemas.openxmlformats.org/officeDocument/2006/relationships/hyperlink" Target="http://www.sec.gov/Archives/edgar/data/4515/000000620118000027/ex10110qq218.htm" TargetMode="External"/><Relationship Id="rId461" Type="http://schemas.openxmlformats.org/officeDocument/2006/relationships/hyperlink" Target="http://www.sec.gov/Archives/edgar/data/4515/000000620119000053/ex101q21910q.htm" TargetMode="External"/><Relationship Id="rId462" Type="http://schemas.openxmlformats.org/officeDocument/2006/relationships/hyperlink" Target="http://www.sec.gov/Archives/edgar/data/4515/000000620119000067/ex101q31910q.htm" TargetMode="External"/><Relationship Id="rId463" Type="http://schemas.openxmlformats.org/officeDocument/2006/relationships/hyperlink" Target="https://www.sec.gov/Archives/edgar/data/4515/000000620120000066/ex101q12010q.htm" TargetMode="External"/><Relationship Id="rId464" Type="http://schemas.openxmlformats.org/officeDocument/2006/relationships/hyperlink" Target="https://www.sec.gov/Archives/edgar/data/6201/000000620120000066/ex102q12010q.htm" TargetMode="External"/><Relationship Id="rId465" Type="http://schemas.openxmlformats.org/officeDocument/2006/relationships/hyperlink" Target="https://www.sec.gov/Archives/edgar/data/4515/000000620121000080/ex104q221supplementalagree.htm" TargetMode="External"/><Relationship Id="rId466" Type="http://schemas.openxmlformats.org/officeDocument/2006/relationships/hyperlink" Target="https://www.sec.gov/Archives/edgar/data/6201/000000620122000046/ex101q122supplementalagree.htm" TargetMode="External"/><Relationship Id="rId467" Type="http://schemas.openxmlformats.org/officeDocument/2006/relationships/hyperlink" Target="https://www.sec.gov/Archives/edgar/data/6201/000000620123000042/a102supplementalagreementn.htm" TargetMode="External"/><Relationship Id="rId468" Type="http://schemas.openxmlformats.org/officeDocument/2006/relationships/hyperlink" Target="https://www.sec.gov/Archives/edgar/data/6201/000000620123000070/a101supplementalagreementn.htm" TargetMode="External"/><Relationship Id="rId469" Type="http://schemas.openxmlformats.org/officeDocument/2006/relationships/hyperlink" Target="https://www.sec.gov/Archives/edgar/data/6201/000000620123000092/a102supplementalagreementn.htm" TargetMode="External"/><Relationship Id="rId470" Type="http://schemas.openxmlformats.org/officeDocument/2006/relationships/hyperlink" Target="https://www.sec.gov/Archives/edgar/data/4515/000000620121000014/a1046a320agreement.htm" TargetMode="External"/><Relationship Id="rId471" Type="http://schemas.openxmlformats.org/officeDocument/2006/relationships/hyperlink" Target="https://www.sec.gov/Archives/edgar/data/4515/000000620121000014/a1047amendmentno1tothea320.htm" TargetMode="External"/><Relationship Id="rId473" Type="http://schemas.openxmlformats.org/officeDocument/2006/relationships/hyperlink" Target="https://www.sec.gov/Archives/edgar/data/4515/000000620121000014/a1048amendmentno2tothea320.htm" TargetMode="External"/><Relationship Id="rId474" Type="http://schemas.openxmlformats.org/officeDocument/2006/relationships/hyperlink" Target="https://www.sec.gov/Archives/edgar/data/4515/000000620121000014/a1049amendmentno3tothea320.htm" TargetMode="External"/><Relationship Id="rId475" Type="http://schemas.openxmlformats.org/officeDocument/2006/relationships/hyperlink" Target="https://www.sec.gov/Archives/edgar/data/4515/000000620121000014/a1050amendmentno4tothea320.htm" TargetMode="External"/><Relationship Id="rId476" Type="http://schemas.openxmlformats.org/officeDocument/2006/relationships/hyperlink" Target="https://www.sec.gov/Archives/edgar/data/4515/000000620121000014/a1051amendmentno5tothea320.htm" TargetMode="External"/><Relationship Id="rId477" Type="http://schemas.openxmlformats.org/officeDocument/2006/relationships/hyperlink" Target="https://www.sec.gov/Archives/edgar/data/4515/000000620121000014/a1052amendmentno6tothea320.htm" TargetMode="External"/><Relationship Id="rId478" Type="http://schemas.openxmlformats.org/officeDocument/2006/relationships/hyperlink" Target="https://www.sec.gov/Archives/edgar/data/4515/000000620121000014/a1053amendmentno7tothea320.htm" TargetMode="External"/><Relationship Id="rId479" Type="http://schemas.openxmlformats.org/officeDocument/2006/relationships/hyperlink" Target="https://www.sec.gov/Archives/edgar/data/4515/000000620121000014/a1054amendmentno8tothea320.htm" TargetMode="External"/><Relationship Id="rId480" Type="http://schemas.openxmlformats.org/officeDocument/2006/relationships/hyperlink" Target="https://www.sec.gov/Archives/edgar/data/4515/000000620121000014/a1055amendmentno9tothea320.htm" TargetMode="External"/><Relationship Id="rId481" Type="http://schemas.openxmlformats.org/officeDocument/2006/relationships/hyperlink" Target="https://www.sec.gov/Archives/edgar/data/4515/000000620121000014/a1056amendmentno10tothea32.htm" TargetMode="External"/><Relationship Id="rId482" Type="http://schemas.openxmlformats.org/officeDocument/2006/relationships/hyperlink" Target="http://www.sec.gov/Archives/edgar/data/4515/000000620119000053/ex102q21910q.htm" TargetMode="External"/><Relationship Id="rId483" Type="http://schemas.openxmlformats.org/officeDocument/2006/relationships/hyperlink" Target="https://www.sec.gov/Archives/edgar/data/4515/000000620120000089/ex103q22010q.htm" TargetMode="External"/><Relationship Id="rId484" Type="http://schemas.openxmlformats.org/officeDocument/2006/relationships/hyperlink" Target="https://www.sec.gov/Archives/edgar/data/4515/000000620120000101/ex102q32010-q.htm" TargetMode="External"/><Relationship Id="rId485" Type="http://schemas.openxmlformats.org/officeDocument/2006/relationships/hyperlink" Target="https://www.sec.gov/Archives/edgar/data/4515/000000620121000098/ex102q321amendmentno15.htm" TargetMode="External"/><Relationship Id="rId486" Type="http://schemas.openxmlformats.org/officeDocument/2006/relationships/hyperlink" Target="https://www.sec.gov/Archives/edgar/data/4515/000000620121000014/exhibit1060q42010-k.htm" TargetMode="External"/><Relationship Id="rId487" Type="http://schemas.openxmlformats.org/officeDocument/2006/relationships/hyperlink" Target="https://www.sec.gov/Archives/edgar/data/6201/000000620122000026/ex1069purchaseagreementno0.htm" TargetMode="External"/><Relationship Id="rId489" Type="http://schemas.openxmlformats.org/officeDocument/2006/relationships/hyperlink" Target="https://www.sec.gov/Archives/edgar/data/6201/000000620122000026/ex1070supplementalagreemen.htm" TargetMode="External"/><Relationship Id="rId490" Type="http://schemas.openxmlformats.org/officeDocument/2006/relationships/hyperlink" Target="https://www.sec.gov/Archives/edgar/data/6201/000000620122000026/ex1071supplementalagreemen.htm" TargetMode="External"/><Relationship Id="rId491" Type="http://schemas.openxmlformats.org/officeDocument/2006/relationships/hyperlink" Target="https://www.sec.gov/Archives/edgar/data/6201/000000620122000026/ex1072supplementalagreemen.htm" TargetMode="External"/><Relationship Id="rId492" Type="http://schemas.openxmlformats.org/officeDocument/2006/relationships/hyperlink" Target="https://www.sec.gov/Archives/edgar/data/6201/000000620122000026/ex1073letteragreementtomax.htm" TargetMode="External"/><Relationship Id="rId493" Type="http://schemas.openxmlformats.org/officeDocument/2006/relationships/hyperlink" Target="https://www.sec.gov/Archives/edgar/data/6201/000000620122000026/ex1074supplementalagreemen.htm" TargetMode="External"/><Relationship Id="rId494" Type="http://schemas.openxmlformats.org/officeDocument/2006/relationships/hyperlink" Target="https://www.sec.gov/Archives/edgar/data/6201/000000620122000026/ex1076supplementalagreemen.htm" TargetMode="External"/><Relationship Id="rId495" Type="http://schemas.openxmlformats.org/officeDocument/2006/relationships/hyperlink" Target="https://www.sec.gov/Archives/edgar/data/6201/000000620122000026/ex1077supplementalagreemen.htm" TargetMode="External"/><Relationship Id="rId496" Type="http://schemas.openxmlformats.org/officeDocument/2006/relationships/hyperlink" Target="http://www.sec.gov/Archives/edgar/data/4515/000000620118000009/ex104510k2017.htm" TargetMode="External"/><Relationship Id="rId497" Type="http://schemas.openxmlformats.org/officeDocument/2006/relationships/hyperlink" Target="http://www.sec.gov/Archives/edgar/data/4515/000000620118000027/ex10210qq218.htm" TargetMode="External"/><Relationship Id="rId498" Type="http://schemas.openxmlformats.org/officeDocument/2006/relationships/hyperlink" Target="http://www.sec.gov/Archives/edgar/data/4515/000000620119000023/ex10110q2019.htm" TargetMode="External"/><Relationship Id="rId499" Type="http://schemas.openxmlformats.org/officeDocument/2006/relationships/hyperlink" Target="https://www.sec.gov/Archives/edgar/data/4515/000000620120000101/ex103q32010-q.htm" TargetMode="External"/><Relationship Id="rId500" Type="http://schemas.openxmlformats.org/officeDocument/2006/relationships/hyperlink" Target="https://www.sec.gov/Archives/edgar/data/4515/000000620121000014/exhibit1074q42010-k.htm" TargetMode="External"/><Relationship Id="rId501" Type="http://schemas.openxmlformats.org/officeDocument/2006/relationships/hyperlink" Target="https://www.sec.gov/Archives/edgar/data/4515/000000620121000014/exhibit1075q42010-k.htm" TargetMode="External"/><Relationship Id="rId503" Type="http://schemas.openxmlformats.org/officeDocument/2006/relationships/hyperlink" Target="https://www.sec.gov/Archives/edgar/data/4515/000000620121000014/exhibit1076q42010-k.htm" TargetMode="External"/><Relationship Id="rId504" Type="http://schemas.openxmlformats.org/officeDocument/2006/relationships/hyperlink" Target="https://www.sec.gov/Archives/edgar/data/4515/000000620121000014/exhibit1077q42010-k.htm" TargetMode="External"/><Relationship Id="rId505" Type="http://schemas.openxmlformats.org/officeDocument/2006/relationships/hyperlink" Target="https://www.sec.gov/Archives/edgar/data/4515/000000620121000014/exhibit1078q42010-k.htm" TargetMode="External"/><Relationship Id="rId506" Type="http://schemas.openxmlformats.org/officeDocument/2006/relationships/hyperlink" Target="https://www.sec.gov/Archives/edgar/data/4515/000000620121000014/exhibit1079q42010-k.htm" TargetMode="External"/><Relationship Id="rId507" Type="http://schemas.openxmlformats.org/officeDocument/2006/relationships/hyperlink" Target="https://www.sec.gov/Archives/edgar/data/4515/000000620121000054/ex105q121compiledredacteds.htm" TargetMode="External"/><Relationship Id="rId508" Type="http://schemas.openxmlformats.org/officeDocument/2006/relationships/hyperlink" Target="https://www.sec.gov/Archives/edgar/data/4515/000000620121000054/ex106q121compiledredacteds.htm" TargetMode="External"/><Relationship Id="rId509" Type="http://schemas.openxmlformats.org/officeDocument/2006/relationships/hyperlink" Target="https://www.sec.gov/Archives/edgar/data/4515/000000620121000054/ex107q121compiledredacteds.htm" TargetMode="External"/><Relationship Id="rId510" Type="http://schemas.openxmlformats.org/officeDocument/2006/relationships/hyperlink" Target="https://www.sec.gov/Archives/edgar/data/4515/000000620121000080/ex105q221supplementalagree.htm" TargetMode="External"/><Relationship Id="rId511" Type="http://schemas.openxmlformats.org/officeDocument/2006/relationships/hyperlink" Target="https://www.sec.gov/Archives/edgar/data/6201/000000620122000026/exhibit1092q42110-k.htm" TargetMode="External"/><Relationship Id="rId512" Type="http://schemas.openxmlformats.org/officeDocument/2006/relationships/hyperlink" Target="https://www.sec.gov/Archives/edgar/data/6201/000000620122000046/ex102q122supplementalagree.htm" TargetMode="External"/><Relationship Id="rId513" Type="http://schemas.openxmlformats.org/officeDocument/2006/relationships/hyperlink" Target="https://www.sec.gov/Archives/edgar/data/6201/000000620122000046/ex103q122supplementalagree.htm" TargetMode="External"/><Relationship Id="rId514" Type="http://schemas.openxmlformats.org/officeDocument/2006/relationships/hyperlink" Target="https://www.sec.gov/Archives/edgar/data/6201/000000620122000071/ex101q222supplementalagree.htm" TargetMode="External"/><Relationship Id="rId515" Type="http://schemas.openxmlformats.org/officeDocument/2006/relationships/hyperlink" Target="https://www.sec.gov/Archives/edgar/data/6201/000000620122000071/ex102q222supplementalagree.htm" TargetMode="External"/><Relationship Id="rId516" Type="http://schemas.openxmlformats.org/officeDocument/2006/relationships/hyperlink" Target="https://www.sec.gov/Archives/edgar/data/6201/000000620122000086/ex101q322supplementalagree.htm" TargetMode="External"/><Relationship Id="rId518" Type="http://schemas.openxmlformats.org/officeDocument/2006/relationships/hyperlink" Target="https://www.sec.gov/Archives/edgar/data/6201/000000620122000086/ex102q322supplementalagree.htm" TargetMode="External"/><Relationship Id="rId519" Type="http://schemas.openxmlformats.org/officeDocument/2006/relationships/hyperlink" Target="https://www.sec.gov/Archives/edgar/data/6201/000000620123000018/exhibit10101supplementalag.htm" TargetMode="External"/><Relationship Id="rId520" Type="http://schemas.openxmlformats.org/officeDocument/2006/relationships/hyperlink" Target="https://www.sec.gov/Archives/edgar/data/6201/000000620123000018/exhibit10102supplementalag.htm" TargetMode="External"/><Relationship Id="rId521" Type="http://schemas.openxmlformats.org/officeDocument/2006/relationships/hyperlink" Target="https://www.sec.gov/Archives/edgar/data/6201/000000620123000070/a102supplementalagreementn.htm" TargetMode="External"/><Relationship Id="rId522" Type="http://schemas.openxmlformats.org/officeDocument/2006/relationships/hyperlink" Target="https://www.sec.gov/Archives/edgar/data/6201/000000620123000070/a103supplementalagreementn.htm" TargetMode="External"/><Relationship Id="rId523" Type="http://schemas.openxmlformats.org/officeDocument/2006/relationships/hyperlink" Target="https://www.sec.gov/Archives/edgar/data/6201/000000620123000092/a101supplementalagreementn.htm" TargetMode="External"/><Relationship Id="rId524" Type="http://schemas.openxmlformats.org/officeDocument/2006/relationships/hyperlink" Target="https://www.sec.gov/Archives/edgar/data/6201/000000620122000026/ex1095consentagreement.htm" TargetMode="External"/><Relationship Id="rId525" Type="http://schemas.openxmlformats.org/officeDocument/2006/relationships/hyperlink" Target="http://www.sec.gov/Archives/edgar/data/6201/000000620109000009/ex10127.htm" TargetMode="External"/><Relationship Id="rId526" Type="http://schemas.openxmlformats.org/officeDocument/2006/relationships/hyperlink" Target="http://www.sec.gov/Archives/edgar/data/6201/000000620109000009/ex10128.htm" TargetMode="External"/><Relationship Id="rId527" Type="http://schemas.openxmlformats.org/officeDocument/2006/relationships/hyperlink" Target="http://www.sec.gov/Archives/edgar/data/6201/000000620109000009/ex10129.htm" TargetMode="External"/><Relationship Id="rId528" Type="http://schemas.openxmlformats.org/officeDocument/2006/relationships/hyperlink" Target="http://www.sec.gov/Archives/edgar/data/6201/000119312513462268/d639480dex41.htm" TargetMode="External"/><Relationship Id="rId529" Type="http://schemas.openxmlformats.org/officeDocument/2006/relationships/hyperlink" Target="http://www.sec.gov/Archives/edgar/data/4515/000000620118000009/ex106410k2017.htm" TargetMode="External"/><Relationship Id="rId530" Type="http://schemas.openxmlformats.org/officeDocument/2006/relationships/hyperlink" Target="http://www.sec.gov/Archives/edgar/data/4515/000000620114000004/d682697dex10125.htm" TargetMode="External"/><Relationship Id="rId531" Type="http://schemas.openxmlformats.org/officeDocument/2006/relationships/hyperlink" Target="http://www.sec.gov/Archives/edgar/data/4515/000000620114000004/d682697dex10127.htm" TargetMode="External"/><Relationship Id="rId532" Type="http://schemas.openxmlformats.org/officeDocument/2006/relationships/hyperlink" Target="http://www.sec.gov/Archives/edgar/data/4515/000000620114000004/d682697dex10129.htm" TargetMode="External"/><Relationship Id="rId533" Type="http://schemas.openxmlformats.org/officeDocument/2006/relationships/hyperlink" Target="http://www.sec.gov/Archives/edgar/data/4515/000119312513466973/d640718dex109.htm" TargetMode="External"/><Relationship Id="rId534" Type="http://schemas.openxmlformats.org/officeDocument/2006/relationships/hyperlink" Target="http://www.sec.gov/Archives/edgar/data/4515/000000620114000014/d759439dex108.htm" TargetMode="External"/><Relationship Id="rId535" Type="http://schemas.openxmlformats.org/officeDocument/2006/relationships/hyperlink" Target="https://www.sec.gov/Archives/edgar/data/6201/000119312523140693/d373657dex991.htm" TargetMode="External"/><Relationship Id="rId537" Type="http://schemas.openxmlformats.org/officeDocument/2006/relationships/hyperlink" Target="http://www.sec.gov/Archives/edgar/data/701345/000095015308000353/p75006exv10w106.htm" TargetMode="External"/><Relationship Id="rId538" Type="http://schemas.openxmlformats.org/officeDocument/2006/relationships/hyperlink" Target="http://www.sec.gov/Archives/edgar/data/701345/000095015307002500/p74691exv10w1.htm" TargetMode="External"/><Relationship Id="rId539" Type="http://schemas.openxmlformats.org/officeDocument/2006/relationships/hyperlink" Target="http://www.sec.gov/Archives/edgar/data/4515/000119312517150428/d369665dex101.htm" TargetMode="External"/><Relationship Id="rId540" Type="http://schemas.openxmlformats.org/officeDocument/2006/relationships/hyperlink" Target="http://www.sec.gov/Archives/edgar/data/4515/000119312516566426/d189148dex101.htm" TargetMode="External"/><Relationship Id="rId541" Type="http://schemas.openxmlformats.org/officeDocument/2006/relationships/hyperlink" Target="https://www.sec.gov/Archives/edgar/data/4515/000000620121000080/ex101aapsp3-psp3agreement.htm" TargetMode="External"/><Relationship Id="rId542" Type="http://schemas.openxmlformats.org/officeDocument/2006/relationships/hyperlink" Target="https://www.sec.gov/Archives/edgar/data/4515/000000620121000080/ex102aapsp3-promissorynote.htm" TargetMode="External"/><Relationship Id="rId543" Type="http://schemas.openxmlformats.org/officeDocument/2006/relationships/hyperlink" Target="https://www.sec.gov/Archives/edgar/data/4515/000000620121000054/ex104q121aadvantagexcredit.htm" TargetMode="External"/><Relationship Id="rId544" Type="http://schemas.openxmlformats.org/officeDocument/2006/relationships/hyperlink" Target="https://www.sec.gov/Archives/edgar/data/6201/000000620123000092/a104severanceagreementfors.htm" TargetMode="External"/><Relationship Id="rId545" Type="http://schemas.openxmlformats.org/officeDocument/2006/relationships/hyperlink" Target="https://www.sec.gov/Archives/edgar/data/6201/000000620123000092/a105severanceagreementford.htm" TargetMode="External"/><Relationship Id="rId546" Type="http://schemas.openxmlformats.org/officeDocument/2006/relationships/hyperlink" Target="https://www.sec.gov/Archives/edgar/data/6201/000119312523288364/d247933dex43.htm" TargetMode="External"/><Relationship Id="rId547" Type="http://schemas.openxmlformats.org/officeDocument/2006/relationships/hyperlink" Target="http://www.sec.gov/Archives/edgar/data/4515/000119312513466973/d640718d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2024-02-21T07:22:02Z</dcterms:created>
  <dcterms:modified xsi:type="dcterms:W3CDTF">2024-02-21T07:22:02Z</dcterms:modified>
</cp:coreProperties>
</file>