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594995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560705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12,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140" w:type="dxa"/>
            <w:vAlign w:val="bottom"/>
          </w:tcPr>
          <w:p>
            <w:pPr>
              <w:spacing w:after="0"/>
              <w:rPr>
                <w:sz w:val="19"/>
                <w:szCs w:val="19"/>
                <w:color w:val="auto"/>
              </w:rPr>
            </w:pPr>
          </w:p>
        </w:tc>
        <w:tc>
          <w:tcPr>
            <w:tcW w:w="16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99"/>
        </w:trPr>
        <w:tc>
          <w:tcPr>
            <w:tcW w:w="240" w:type="dxa"/>
            <w:vAlign w:val="bottom"/>
          </w:tcPr>
          <w:p>
            <w:pPr>
              <w:spacing w:after="0"/>
              <w:rPr>
                <w:sz w:val="24"/>
                <w:szCs w:val="24"/>
                <w:color w:val="auto"/>
              </w:rPr>
            </w:pPr>
          </w:p>
        </w:tc>
        <w:tc>
          <w:tcPr>
            <w:tcW w:w="3800" w:type="dxa"/>
            <w:vAlign w:val="bottom"/>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Fort Worth,</w:t>
            </w:r>
          </w:p>
        </w:tc>
        <w:tc>
          <w:tcPr>
            <w:tcW w:w="2420" w:type="dxa"/>
            <w:vAlign w:val="bottom"/>
            <w:gridSpan w:val="4"/>
          </w:tcPr>
          <w:p>
            <w:pPr>
              <w:ind w:left="10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5"/>
        </w:trPr>
        <w:tc>
          <w:tcPr>
            <w:tcW w:w="240" w:type="dxa"/>
            <w:vAlign w:val="bottom"/>
          </w:tcPr>
          <w:p>
            <w:pPr>
              <w:spacing w:after="0"/>
              <w:rPr>
                <w:sz w:val="20"/>
                <w:szCs w:val="20"/>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494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1"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0"/>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95"/>
        </w:trPr>
        <w:tc>
          <w:tcPr>
            <w:tcW w:w="4000" w:type="dxa"/>
            <w:vAlign w:val="bottom"/>
            <w:gridSpan w:val="2"/>
            <w:vMerge w:val="continue"/>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70"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44"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83" w:lineRule="exact"/>
        <w:rPr>
          <w:sz w:val="24"/>
          <w:szCs w:val="24"/>
          <w:color w:val="auto"/>
        </w:rPr>
      </w:pPr>
    </w:p>
    <w:p>
      <w:pPr>
        <w:ind w:right="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740410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American Airlines Group Inc. (“AAG”) and American Airlines, Inc., a wholly owned subsidiary of AAG (“AAI” and, together with AAG and its other consolidated subsidiaries, the “Company”), are providing updated financial and operational guidance relating to the second quarter of 2022.</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 Item 2.02,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1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(d) Exhibits.</w:t>
            </w:r>
          </w:p>
        </w:tc>
        <w:tc>
          <w:tcPr>
            <w:tcW w:w="30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446"/>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1"/>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30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Investor Update, dated July 12, 2022.</w:t>
            </w:r>
          </w:p>
        </w:tc>
        <w:tc>
          <w:tcPr>
            <w:tcW w:w="5900" w:type="dxa"/>
            <w:vAlign w:val="bottom"/>
          </w:tcPr>
          <w:p>
            <w:pPr>
              <w:spacing w:after="0"/>
              <w:rPr>
                <w:sz w:val="20"/>
                <w:szCs w:val="20"/>
                <w:color w:val="auto"/>
              </w:rPr>
            </w:pPr>
          </w:p>
        </w:tc>
      </w:tr>
      <w:tr>
        <w:trPr>
          <w:trHeight w:val="308"/>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5"/>
        </w:trPr>
        <w:tc>
          <w:tcPr>
            <w:tcW w:w="23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July 12,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July 12,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17780</wp:posOffset>
            </wp:positionV>
            <wp:extent cx="2854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p>
      <w:pPr>
        <w:sectPr>
          <w:pgSz w:w="11900" w:h="16838" w:orient="portrait"/>
          <w:cols w:equalWidth="0" w:num="1">
            <w:col w:w="11100"/>
          </w:cols>
          <w:pgMar w:left="320" w:top="890" w:right="479" w:bottom="1440" w:gutter="0" w:footer="0" w:header="0"/>
        </w:sectPr>
      </w:pPr>
    </w:p>
    <w:bookmarkStart w:id="3" w:name="page4"/>
    <w:bookmarkEnd w:id="3"/>
    <w:p>
      <w:pPr>
        <w:ind w:left="10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Exhibit 99.1</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Second Quarter Investor Relations Update</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July 12,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Overview</w:t>
      </w:r>
    </w:p>
    <w:p>
      <w:pPr>
        <w:spacing w:after="0" w:line="220" w:lineRule="exact"/>
        <w:rPr>
          <w:sz w:val="20"/>
          <w:szCs w:val="20"/>
          <w:color w:val="auto"/>
        </w:rPr>
      </w:pPr>
    </w:p>
    <w:p>
      <w:pPr>
        <w:ind w:left="240" w:right="2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Capacity</w:t>
      </w:r>
      <w:r>
        <w:rPr>
          <w:rFonts w:ascii="Arial" w:cs="Arial" w:eastAsia="Arial" w:hAnsi="Arial"/>
          <w:sz w:val="18"/>
          <w:szCs w:val="18"/>
          <w:color w:val="auto"/>
        </w:rPr>
        <w:t>: During the second quarter, the Company flew 66.2 billion total available seat miles, down 8.5% versus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compared to its prior guidance of down 7% to 8%.</w:t>
      </w:r>
    </w:p>
    <w:p>
      <w:pPr>
        <w:spacing w:after="0" w:line="2" w:lineRule="exact"/>
        <w:rPr>
          <w:rFonts w:ascii="Arial" w:cs="Arial" w:eastAsia="Arial" w:hAnsi="Arial"/>
          <w:sz w:val="29"/>
          <w:szCs w:val="29"/>
          <w:color w:val="auto"/>
          <w:vertAlign w:val="superscript"/>
        </w:rPr>
      </w:pPr>
    </w:p>
    <w:p>
      <w:pPr>
        <w:ind w:left="240" w:hanging="214"/>
        <w:spacing w:after="0" w:line="238"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Revenue</w:t>
      </w:r>
      <w:r>
        <w:rPr>
          <w:rFonts w:ascii="Arial" w:cs="Arial" w:eastAsia="Arial" w:hAnsi="Arial"/>
          <w:sz w:val="18"/>
          <w:szCs w:val="18"/>
          <w:color w:val="auto"/>
        </w:rPr>
        <w:t>: The Company expects its second quarter total revenue to be up approximately 12% versus the second quarter of 2019.</w:t>
      </w:r>
    </w:p>
    <w:p>
      <w:pPr>
        <w:spacing w:after="0" w:line="82" w:lineRule="exact"/>
        <w:rPr>
          <w:rFonts w:ascii="Arial" w:cs="Arial" w:eastAsia="Arial" w:hAnsi="Arial"/>
          <w:sz w:val="29"/>
          <w:szCs w:val="29"/>
          <w:color w:val="auto"/>
          <w:vertAlign w:val="superscript"/>
        </w:rPr>
      </w:pPr>
    </w:p>
    <w:p>
      <w:pPr>
        <w:ind w:left="240" w:right="320" w:hanging="214"/>
        <w:spacing w:after="0" w:line="182"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TRASM</w:t>
      </w:r>
      <w:r>
        <w:rPr>
          <w:rFonts w:ascii="Arial" w:cs="Arial" w:eastAsia="Arial" w:hAnsi="Arial"/>
          <w:sz w:val="18"/>
          <w:szCs w:val="18"/>
          <w:color w:val="auto"/>
        </w:rPr>
        <w:t>: Second quarter total revenue per available seat mile (TRASM) is expected to be up approximately 22.5% versus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compared to the Company’s previous guidance of up 20% to 22%.</w:t>
      </w:r>
    </w:p>
    <w:p>
      <w:pPr>
        <w:spacing w:after="0" w:line="80" w:lineRule="exact"/>
        <w:rPr>
          <w:rFonts w:ascii="Arial" w:cs="Arial" w:eastAsia="Arial" w:hAnsi="Arial"/>
          <w:sz w:val="29"/>
          <w:szCs w:val="29"/>
          <w:color w:val="auto"/>
          <w:vertAlign w:val="superscript"/>
        </w:rPr>
      </w:pPr>
    </w:p>
    <w:p>
      <w:pPr>
        <w:ind w:left="240" w:right="20" w:hanging="214"/>
        <w:spacing w:after="0" w:line="203"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CASM</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 The Company expects its second quarter CASM to be up approximately 12% versus 2019, compared to its previous guidance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up between 10% and 11%. This change versus prior guidance is primarily due to lower than planned capacity and higher expenses associated with lower than planned completion factor.</w:t>
      </w:r>
    </w:p>
    <w:p>
      <w:pPr>
        <w:spacing w:after="0" w:line="74" w:lineRule="exact"/>
        <w:rPr>
          <w:rFonts w:ascii="Arial" w:cs="Arial" w:eastAsia="Arial" w:hAnsi="Arial"/>
          <w:sz w:val="29"/>
          <w:szCs w:val="29"/>
          <w:color w:val="auto"/>
          <w:vertAlign w:val="superscript"/>
        </w:rPr>
      </w:pPr>
    </w:p>
    <w:p>
      <w:pPr>
        <w:ind w:left="240" w:right="1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Fuel</w:t>
      </w:r>
      <w:r>
        <w:rPr>
          <w:rFonts w:ascii="Arial" w:cs="Arial" w:eastAsia="Arial" w:hAnsi="Arial"/>
          <w:sz w:val="18"/>
          <w:szCs w:val="18"/>
          <w:color w:val="auto"/>
        </w:rPr>
        <w:t>: The Company expects its cost of fuel to be between $4.00 and $4.05 per gallon of jet fuel (including taxes) and to have consumed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997 million gallons during the second quarter of 2022.</w:t>
      </w:r>
    </w:p>
    <w:p>
      <w:pPr>
        <w:spacing w:after="0" w:line="87" w:lineRule="exact"/>
        <w:rPr>
          <w:rFonts w:ascii="Arial" w:cs="Arial" w:eastAsia="Arial" w:hAnsi="Arial"/>
          <w:sz w:val="29"/>
          <w:szCs w:val="29"/>
          <w:color w:val="auto"/>
          <w:vertAlign w:val="superscript"/>
        </w:rPr>
      </w:pPr>
    </w:p>
    <w:p>
      <w:pPr>
        <w:ind w:left="240" w:right="48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Taxes</w:t>
      </w:r>
      <w:r>
        <w:rPr>
          <w:rFonts w:ascii="Arial" w:cs="Arial" w:eastAsia="Arial" w:hAnsi="Arial"/>
          <w:sz w:val="18"/>
          <w:szCs w:val="18"/>
          <w:color w:val="auto"/>
        </w:rPr>
        <w:t>: The Company expects to recognize a provision for income taxes at an effective tax rate of approximately 22%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which will be substantially non-cash. See “Net Special Items” and “GAAP to Non-GAAP Reconciliation” below.</w:t>
      </w:r>
    </w:p>
    <w:p>
      <w:pPr>
        <w:spacing w:after="0" w:line="73" w:lineRule="exact"/>
        <w:rPr>
          <w:rFonts w:ascii="Arial" w:cs="Arial" w:eastAsia="Arial" w:hAnsi="Arial"/>
          <w:sz w:val="29"/>
          <w:szCs w:val="29"/>
          <w:color w:val="auto"/>
          <w:vertAlign w:val="superscript"/>
        </w:rPr>
      </w:pPr>
    </w:p>
    <w:p>
      <w:pPr>
        <w:ind w:left="240" w:right="6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Shares outstanding</w:t>
      </w:r>
      <w:r>
        <w:rPr>
          <w:rFonts w:ascii="Arial" w:cs="Arial" w:eastAsia="Arial" w:hAnsi="Arial"/>
          <w:sz w:val="18"/>
          <w:szCs w:val="18"/>
          <w:color w:val="auto"/>
        </w:rPr>
        <w:t>: For the second quarter, the Company’s basic and diluted weighted average shares outstanding for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purposes were 650.3 million and 718.5 million, respectively.</w:t>
      </w:r>
    </w:p>
    <w:p>
      <w:pPr>
        <w:spacing w:after="0" w:line="73" w:lineRule="exact"/>
        <w:rPr>
          <w:rFonts w:ascii="Arial" w:cs="Arial" w:eastAsia="Arial" w:hAnsi="Arial"/>
          <w:sz w:val="29"/>
          <w:szCs w:val="29"/>
          <w:color w:val="auto"/>
          <w:vertAlign w:val="superscript"/>
        </w:rPr>
      </w:pPr>
    </w:p>
    <w:p>
      <w:pPr>
        <w:ind w:left="240" w:right="6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Net special items</w:t>
      </w:r>
      <w:r>
        <w:rPr>
          <w:rFonts w:ascii="Arial" w:cs="Arial" w:eastAsia="Arial" w:hAnsi="Arial"/>
          <w:sz w:val="18"/>
          <w:szCs w:val="18"/>
          <w:color w:val="auto"/>
        </w:rPr>
        <w:t>: The Company expects to report net special items of approximately $85 million in the second quarter before the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of taxes.</w:t>
      </w:r>
    </w:p>
    <w:p>
      <w:pPr>
        <w:spacing w:after="0" w:line="53" w:lineRule="exact"/>
        <w:rPr>
          <w:rFonts w:ascii="Arial" w:cs="Arial" w:eastAsia="Arial" w:hAnsi="Arial"/>
          <w:sz w:val="29"/>
          <w:szCs w:val="29"/>
          <w:color w:val="auto"/>
          <w:vertAlign w:val="superscript"/>
        </w:rPr>
      </w:pPr>
    </w:p>
    <w:p>
      <w:pPr>
        <w:ind w:left="240" w:hanging="214"/>
        <w:spacing w:after="0"/>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Pre-tax margin</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expects to report a pre-tax margin of approximately 5% in the second quarter.</w:t>
      </w:r>
    </w:p>
    <w:p>
      <w:pPr>
        <w:spacing w:after="0" w:line="15" w:lineRule="exact"/>
        <w:rPr>
          <w:rFonts w:ascii="Arial" w:cs="Arial" w:eastAsia="Arial" w:hAnsi="Arial"/>
          <w:sz w:val="29"/>
          <w:szCs w:val="29"/>
          <w:color w:val="auto"/>
          <w:vertAlign w:val="superscript"/>
        </w:rPr>
      </w:pPr>
    </w:p>
    <w:p>
      <w:pPr>
        <w:ind w:left="240" w:hanging="214"/>
        <w:spacing w:after="0" w:line="183" w:lineRule="auto"/>
        <w:tabs>
          <w:tab w:leader="none" w:pos="2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b w:val="1"/>
          <w:bCs w:val="1"/>
          <w:color w:val="auto"/>
        </w:rPr>
        <w:t>Liquidity</w:t>
      </w:r>
      <w:r>
        <w:rPr>
          <w:rFonts w:ascii="Arial" w:cs="Arial" w:eastAsia="Arial" w:hAnsi="Arial"/>
          <w:sz w:val="16"/>
          <w:szCs w:val="16"/>
          <w:color w:val="auto"/>
        </w:rPr>
        <w:t>: The Company expects to end the second quarter with approximately $15.6 billion in total available liquidity.</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These results and those reflected in the attached reconciliation tables are preliminary and final results for the second quarter may change. These preliminary results are based upon the Company's current estimates and are subject to completion of the Company's financial closing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928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8"/>
        <w:spacing w:after="0" w:line="238" w:lineRule="auto"/>
        <w:tabs>
          <w:tab w:leader="none" w:pos="1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Total operating cost per available seat mile. All CASM guidance excludes fuel and net special items. CASM excluding fuel and net special items is a non-GAAP measure presented to provide comparability with prior guidance. For a reconciliation of CASM excluding fuel and net special items to the most comparable GAAP measure, please see the GAAP to non-GAAP reconciliation at the end of this document.</w:t>
      </w:r>
    </w:p>
    <w:p>
      <w:pPr>
        <w:spacing w:after="0" w:line="98" w:lineRule="exact"/>
        <w:rPr>
          <w:sz w:val="20"/>
          <w:szCs w:val="20"/>
          <w:color w:val="auto"/>
        </w:rPr>
      </w:pPr>
    </w:p>
    <w:p>
      <w:pPr>
        <w:ind w:right="520" w:firstLine="8"/>
        <w:spacing w:after="0" w:line="233" w:lineRule="auto"/>
        <w:tabs>
          <w:tab w:leader="none" w:pos="1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All pre-tax margin guidance excludes net special items. Pre-tax margin excluding net special items is a non-GAAP measure presented to provide comparability with prior guidance. For a reconciliation of pre-tax margin to the most comparable GAAP measure, please see the GAAP to non-GAAP reconciliation at the end of this document.</w:t>
      </w:r>
    </w:p>
    <w:p>
      <w:pPr>
        <w:sectPr>
          <w:pgSz w:w="11900" w:h="16838" w:orient="portrait"/>
          <w:cols w:equalWidth="0" w:num="1">
            <w:col w:w="11160"/>
          </w:cols>
          <w:pgMar w:left="320" w:top="985" w:right="41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Second Quarter Investor Relations Update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July 12, 2022</w:t>
      </w:r>
    </w:p>
    <w:p>
      <w:pPr>
        <w:spacing w:after="0" w:line="4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165735</wp:posOffset>
            </wp:positionV>
            <wp:extent cx="7098030" cy="3806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3806190"/>
                    </a:xfrm>
                    <a:prstGeom prst="rect">
                      <a:avLst/>
                    </a:prstGeom>
                    <a:noFill/>
                  </pic:spPr>
                </pic:pic>
              </a:graphicData>
            </a:graphic>
          </wp:anchor>
        </w:drawing>
      </w:r>
    </w:p>
    <w:p>
      <w:pPr>
        <w:sectPr>
          <w:pgSz w:w="11900" w:h="16838" w:orient="portrait"/>
          <w:cols w:equalWidth="0" w:num="1">
            <w:col w:w="11100"/>
          </w:cols>
          <w:pgMar w:left="320" w:top="135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Available seat miles (ASMs) (bil)</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TRASM</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CASM excluding fuel and net special items</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Average fuel price (incl. taxes) ($/gal)</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Fuel gallons consumed (mil)</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17"/>
          <w:szCs w:val="17"/>
          <w:color w:val="auto"/>
        </w:rPr>
        <w:t>Other nonoperating expense excluding net special items ($ mil)</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Pre-tax margin excluding net special items</w:t>
      </w:r>
    </w:p>
    <w:p>
      <w:pPr>
        <w:spacing w:after="0" w:line="279" w:lineRule="exact"/>
        <w:rPr>
          <w:sz w:val="20"/>
          <w:szCs w:val="20"/>
          <w:color w:val="auto"/>
        </w:rPr>
      </w:pPr>
    </w:p>
    <w:p>
      <w:pPr>
        <w:ind w:left="80" w:right="300"/>
        <w:spacing w:after="0"/>
        <w:rPr>
          <w:sz w:val="20"/>
          <w:szCs w:val="20"/>
          <w:color w:val="auto"/>
        </w:rPr>
      </w:pPr>
      <w:r>
        <w:rPr>
          <w:rFonts w:ascii="Arial" w:cs="Arial" w:eastAsia="Arial" w:hAnsi="Arial"/>
          <w:sz w:val="18"/>
          <w:szCs w:val="18"/>
          <w:color w:val="auto"/>
        </w:rPr>
        <w:t>Diluted shares outstanding for computing earnings per share excluding net special items (mil)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520" w:type="dxa"/>
            <w:vAlign w:val="bottom"/>
            <w:gridSpan w:val="3"/>
          </w:tcPr>
          <w:p>
            <w:pPr>
              <w:ind w:left="1780"/>
              <w:spacing w:after="0"/>
              <w:rPr>
                <w:sz w:val="20"/>
                <w:szCs w:val="20"/>
                <w:color w:val="auto"/>
              </w:rPr>
            </w:pPr>
            <w:r>
              <w:rPr>
                <w:rFonts w:ascii="Arial" w:cs="Arial" w:eastAsia="Arial" w:hAnsi="Arial"/>
                <w:sz w:val="18"/>
                <w:szCs w:val="18"/>
                <w:b w:val="1"/>
                <w:bCs w:val="1"/>
                <w:color w:val="auto"/>
              </w:rPr>
              <w:t>2nd Quarter 2022</w:t>
            </w:r>
            <w:r>
              <w:rPr>
                <w:rFonts w:ascii="Arial" w:cs="Arial" w:eastAsia="Arial" w:hAnsi="Arial"/>
                <w:sz w:val="23"/>
                <w:szCs w:val="23"/>
                <w:b w:val="1"/>
                <w:bCs w:val="1"/>
                <w:color w:val="auto"/>
                <w:vertAlign w:val="superscript"/>
              </w:rPr>
              <w:t>1,2</w:t>
            </w:r>
          </w:p>
        </w:tc>
        <w:tc>
          <w:tcPr>
            <w:tcW w:w="1660" w:type="dxa"/>
            <w:vAlign w:val="bottom"/>
          </w:tcPr>
          <w:p>
            <w:pPr>
              <w:spacing w:after="0"/>
              <w:rPr>
                <w:sz w:val="22"/>
                <w:szCs w:val="22"/>
                <w:color w:val="auto"/>
              </w:rPr>
            </w:pPr>
          </w:p>
        </w:tc>
      </w:tr>
      <w:tr>
        <w:trPr>
          <w:trHeight w:val="181"/>
        </w:trPr>
        <w:tc>
          <w:tcPr>
            <w:tcW w:w="3520" w:type="dxa"/>
            <w:vAlign w:val="bottom"/>
            <w:gridSpan w:val="3"/>
          </w:tcPr>
          <w:p>
            <w:pPr>
              <w:jc w:val="right"/>
              <w:ind w:right="1000"/>
              <w:spacing w:after="0" w:line="181" w:lineRule="exact"/>
              <w:rPr>
                <w:sz w:val="20"/>
                <w:szCs w:val="20"/>
                <w:color w:val="auto"/>
              </w:rPr>
            </w:pPr>
            <w:r>
              <w:rPr>
                <w:rFonts w:ascii="Arial" w:cs="Arial" w:eastAsia="Arial" w:hAnsi="Arial"/>
                <w:sz w:val="18"/>
                <w:szCs w:val="18"/>
                <w:b w:val="1"/>
                <w:bCs w:val="1"/>
                <w:color w:val="auto"/>
              </w:rPr>
              <w:t>Previous Guidance</w:t>
            </w:r>
          </w:p>
        </w:tc>
        <w:tc>
          <w:tcPr>
            <w:tcW w:w="16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Current Guidance</w:t>
            </w:r>
          </w:p>
        </w:tc>
      </w:tr>
      <w:tr>
        <w:trPr>
          <w:trHeight w:val="243"/>
        </w:trPr>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6/3/2022</w:t>
            </w: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7/12/2022</w:t>
            </w:r>
          </w:p>
        </w:tc>
      </w:tr>
      <w:tr>
        <w:trPr>
          <w:trHeight w:val="412"/>
        </w:trPr>
        <w:tc>
          <w:tcPr>
            <w:tcW w:w="3520" w:type="dxa"/>
            <w:vAlign w:val="bottom"/>
            <w:gridSpan w:val="3"/>
          </w:tcPr>
          <w:p>
            <w:pPr>
              <w:jc w:val="right"/>
              <w:ind w:right="1060"/>
              <w:spacing w:after="0"/>
              <w:rPr>
                <w:sz w:val="20"/>
                <w:szCs w:val="20"/>
                <w:color w:val="auto"/>
              </w:rPr>
            </w:pPr>
            <w:r>
              <w:rPr>
                <w:rFonts w:ascii="Arial" w:cs="Arial" w:eastAsia="Arial" w:hAnsi="Arial"/>
                <w:sz w:val="18"/>
                <w:szCs w:val="18"/>
                <w:color w:val="auto"/>
              </w:rPr>
              <w:t>~ -7.0% to -8.0%</w:t>
            </w:r>
          </w:p>
        </w:tc>
        <w:tc>
          <w:tcPr>
            <w:tcW w:w="1660" w:type="dxa"/>
            <w:vAlign w:val="bottom"/>
          </w:tcPr>
          <w:p>
            <w:pPr>
              <w:jc w:val="right"/>
              <w:spacing w:after="0"/>
              <w:rPr>
                <w:sz w:val="20"/>
                <w:szCs w:val="20"/>
                <w:color w:val="auto"/>
              </w:rPr>
            </w:pPr>
            <w:r>
              <w:rPr>
                <w:rFonts w:ascii="Arial" w:cs="Arial" w:eastAsia="Arial" w:hAnsi="Arial"/>
                <w:sz w:val="18"/>
                <w:szCs w:val="18"/>
                <w:color w:val="auto"/>
              </w:rPr>
              <w:t>~ -8.5% (vs. 2Q19)</w:t>
            </w:r>
          </w:p>
        </w:tc>
      </w:tr>
      <w:tr>
        <w:trPr>
          <w:trHeight w:val="239"/>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(vs. 2Q19)</w:t>
            </w:r>
          </w:p>
        </w:tc>
        <w:tc>
          <w:tcPr>
            <w:tcW w:w="1660" w:type="dxa"/>
            <w:vAlign w:val="bottom"/>
          </w:tcPr>
          <w:p>
            <w:pPr>
              <w:jc w:val="right"/>
              <w:spacing w:after="0"/>
              <w:rPr>
                <w:sz w:val="20"/>
                <w:szCs w:val="20"/>
                <w:color w:val="auto"/>
              </w:rPr>
            </w:pPr>
            <w:r>
              <w:rPr>
                <w:rFonts w:ascii="Arial" w:cs="Arial" w:eastAsia="Arial" w:hAnsi="Arial"/>
                <w:sz w:val="18"/>
                <w:szCs w:val="18"/>
                <w:color w:val="auto"/>
              </w:rPr>
              <w:t>~ 66.2 bil ASMs</w:t>
            </w:r>
          </w:p>
        </w:tc>
      </w:tr>
      <w:tr>
        <w:trPr>
          <w:trHeight w:val="436"/>
        </w:trPr>
        <w:tc>
          <w:tcPr>
            <w:tcW w:w="3520" w:type="dxa"/>
            <w:vAlign w:val="bottom"/>
            <w:gridSpan w:val="3"/>
          </w:tcPr>
          <w:p>
            <w:pPr>
              <w:jc w:val="right"/>
              <w:ind w:right="1060"/>
              <w:spacing w:after="0"/>
              <w:rPr>
                <w:sz w:val="20"/>
                <w:szCs w:val="20"/>
                <w:color w:val="auto"/>
              </w:rPr>
            </w:pPr>
            <w:r>
              <w:rPr>
                <w:rFonts w:ascii="Arial" w:cs="Arial" w:eastAsia="Arial" w:hAnsi="Arial"/>
                <w:sz w:val="18"/>
                <w:szCs w:val="18"/>
                <w:color w:val="auto"/>
              </w:rPr>
              <w:t>~ +11.0% to +13.0%</w:t>
            </w:r>
          </w:p>
        </w:tc>
        <w:tc>
          <w:tcPr>
            <w:tcW w:w="1660" w:type="dxa"/>
            <w:vAlign w:val="bottom"/>
          </w:tcPr>
          <w:p>
            <w:pPr>
              <w:jc w:val="right"/>
              <w:spacing w:after="0"/>
              <w:rPr>
                <w:sz w:val="20"/>
                <w:szCs w:val="20"/>
                <w:color w:val="auto"/>
              </w:rPr>
            </w:pPr>
            <w:r>
              <w:rPr>
                <w:rFonts w:ascii="Arial" w:cs="Arial" w:eastAsia="Arial" w:hAnsi="Arial"/>
                <w:sz w:val="18"/>
                <w:szCs w:val="18"/>
                <w:color w:val="auto"/>
              </w:rPr>
              <w:t>~ +12.0%</w:t>
            </w:r>
          </w:p>
        </w:tc>
      </w:tr>
      <w:tr>
        <w:trPr>
          <w:trHeight w:val="239"/>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(vs. 2Q19)</w:t>
            </w:r>
          </w:p>
        </w:tc>
        <w:tc>
          <w:tcPr>
            <w:tcW w:w="1660" w:type="dxa"/>
            <w:vAlign w:val="bottom"/>
          </w:tcPr>
          <w:p>
            <w:pPr>
              <w:jc w:val="right"/>
              <w:spacing w:after="0"/>
              <w:rPr>
                <w:sz w:val="20"/>
                <w:szCs w:val="20"/>
                <w:color w:val="auto"/>
              </w:rPr>
            </w:pPr>
            <w:r>
              <w:rPr>
                <w:rFonts w:ascii="Arial" w:cs="Arial" w:eastAsia="Arial" w:hAnsi="Arial"/>
                <w:sz w:val="18"/>
                <w:szCs w:val="18"/>
                <w:color w:val="auto"/>
              </w:rPr>
              <w:t>(vs. 2Q19)</w:t>
            </w:r>
          </w:p>
        </w:tc>
      </w:tr>
      <w:tr>
        <w:trPr>
          <w:trHeight w:val="436"/>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 +20.0% to +22.0%</w:t>
            </w:r>
          </w:p>
        </w:tc>
        <w:tc>
          <w:tcPr>
            <w:tcW w:w="1660" w:type="dxa"/>
            <w:vAlign w:val="bottom"/>
          </w:tcPr>
          <w:p>
            <w:pPr>
              <w:jc w:val="right"/>
              <w:spacing w:after="0"/>
              <w:rPr>
                <w:sz w:val="20"/>
                <w:szCs w:val="20"/>
                <w:color w:val="auto"/>
              </w:rPr>
            </w:pPr>
            <w:r>
              <w:rPr>
                <w:rFonts w:ascii="Arial" w:cs="Arial" w:eastAsia="Arial" w:hAnsi="Arial"/>
                <w:sz w:val="18"/>
                <w:szCs w:val="18"/>
                <w:color w:val="auto"/>
              </w:rPr>
              <w:t>~ +22.5%</w:t>
            </w:r>
          </w:p>
        </w:tc>
      </w:tr>
      <w:tr>
        <w:trPr>
          <w:trHeight w:val="239"/>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(vs. 2Q19)</w:t>
            </w:r>
          </w:p>
        </w:tc>
        <w:tc>
          <w:tcPr>
            <w:tcW w:w="1660" w:type="dxa"/>
            <w:vAlign w:val="bottom"/>
          </w:tcPr>
          <w:p>
            <w:pPr>
              <w:jc w:val="right"/>
              <w:spacing w:after="0"/>
              <w:rPr>
                <w:sz w:val="20"/>
                <w:szCs w:val="20"/>
                <w:color w:val="auto"/>
              </w:rPr>
            </w:pPr>
            <w:r>
              <w:rPr>
                <w:rFonts w:ascii="Arial" w:cs="Arial" w:eastAsia="Arial" w:hAnsi="Arial"/>
                <w:sz w:val="18"/>
                <w:szCs w:val="18"/>
                <w:color w:val="auto"/>
              </w:rPr>
              <w:t>(vs. 2Q19)</w:t>
            </w:r>
          </w:p>
        </w:tc>
      </w:tr>
      <w:tr>
        <w:trPr>
          <w:trHeight w:val="436"/>
        </w:trPr>
        <w:tc>
          <w:tcPr>
            <w:tcW w:w="3520" w:type="dxa"/>
            <w:vAlign w:val="bottom"/>
            <w:gridSpan w:val="3"/>
          </w:tcPr>
          <w:p>
            <w:pPr>
              <w:jc w:val="right"/>
              <w:ind w:right="1060"/>
              <w:spacing w:after="0"/>
              <w:rPr>
                <w:sz w:val="20"/>
                <w:szCs w:val="20"/>
                <w:color w:val="auto"/>
              </w:rPr>
            </w:pPr>
            <w:r>
              <w:rPr>
                <w:rFonts w:ascii="Arial" w:cs="Arial" w:eastAsia="Arial" w:hAnsi="Arial"/>
                <w:sz w:val="18"/>
                <w:szCs w:val="18"/>
                <w:color w:val="auto"/>
              </w:rPr>
              <w:t>~ +10.0% to +11.0%</w:t>
            </w:r>
          </w:p>
        </w:tc>
        <w:tc>
          <w:tcPr>
            <w:tcW w:w="1660" w:type="dxa"/>
            <w:vAlign w:val="bottom"/>
          </w:tcPr>
          <w:p>
            <w:pPr>
              <w:jc w:val="right"/>
              <w:spacing w:after="0"/>
              <w:rPr>
                <w:sz w:val="20"/>
                <w:szCs w:val="20"/>
                <w:color w:val="auto"/>
              </w:rPr>
            </w:pPr>
            <w:r>
              <w:rPr>
                <w:rFonts w:ascii="Arial" w:cs="Arial" w:eastAsia="Arial" w:hAnsi="Arial"/>
                <w:sz w:val="18"/>
                <w:szCs w:val="18"/>
                <w:color w:val="auto"/>
              </w:rPr>
              <w:t>~ +12.0%</w:t>
            </w:r>
          </w:p>
        </w:tc>
      </w:tr>
      <w:tr>
        <w:trPr>
          <w:trHeight w:val="239"/>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(vs. 2Q19)</w:t>
            </w:r>
          </w:p>
        </w:tc>
        <w:tc>
          <w:tcPr>
            <w:tcW w:w="1660" w:type="dxa"/>
            <w:vAlign w:val="bottom"/>
          </w:tcPr>
          <w:p>
            <w:pPr>
              <w:jc w:val="right"/>
              <w:spacing w:after="0"/>
              <w:rPr>
                <w:sz w:val="20"/>
                <w:szCs w:val="20"/>
                <w:color w:val="auto"/>
              </w:rPr>
            </w:pPr>
            <w:r>
              <w:rPr>
                <w:rFonts w:ascii="Arial" w:cs="Arial" w:eastAsia="Arial" w:hAnsi="Arial"/>
                <w:sz w:val="18"/>
                <w:szCs w:val="18"/>
                <w:color w:val="auto"/>
              </w:rPr>
              <w:t>(vs. 2Q19)</w:t>
            </w:r>
          </w:p>
        </w:tc>
      </w:tr>
      <w:tr>
        <w:trPr>
          <w:trHeight w:val="485"/>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 $3.92 to $3.97</w:t>
            </w:r>
          </w:p>
        </w:tc>
        <w:tc>
          <w:tcPr>
            <w:tcW w:w="1660" w:type="dxa"/>
            <w:vAlign w:val="bottom"/>
          </w:tcPr>
          <w:p>
            <w:pPr>
              <w:jc w:val="right"/>
              <w:spacing w:after="0"/>
              <w:rPr>
                <w:sz w:val="20"/>
                <w:szCs w:val="20"/>
                <w:color w:val="auto"/>
              </w:rPr>
            </w:pPr>
            <w:r>
              <w:rPr>
                <w:rFonts w:ascii="Arial" w:cs="Arial" w:eastAsia="Arial" w:hAnsi="Arial"/>
                <w:sz w:val="18"/>
                <w:szCs w:val="18"/>
                <w:color w:val="auto"/>
              </w:rPr>
              <w:t>~ $4.00 to $4.05</w:t>
            </w:r>
          </w:p>
        </w:tc>
      </w:tr>
      <w:tr>
        <w:trPr>
          <w:trHeight w:val="239"/>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997</w:t>
            </w:r>
          </w:p>
        </w:tc>
      </w:tr>
      <w:tr>
        <w:trPr>
          <w:trHeight w:val="486"/>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$325</w:t>
            </w:r>
          </w:p>
        </w:tc>
      </w:tr>
      <w:tr>
        <w:trPr>
          <w:trHeight w:val="486"/>
        </w:trPr>
        <w:tc>
          <w:tcPr>
            <w:tcW w:w="3520" w:type="dxa"/>
            <w:vAlign w:val="bottom"/>
            <w:gridSpan w:val="3"/>
          </w:tcPr>
          <w:p>
            <w:pPr>
              <w:jc w:val="right"/>
              <w:ind w:right="1000"/>
              <w:spacing w:after="0"/>
              <w:rPr>
                <w:sz w:val="20"/>
                <w:szCs w:val="20"/>
                <w:color w:val="auto"/>
              </w:rPr>
            </w:pPr>
            <w:r>
              <w:rPr>
                <w:rFonts w:ascii="Arial" w:cs="Arial" w:eastAsia="Arial" w:hAnsi="Arial"/>
                <w:sz w:val="18"/>
                <w:szCs w:val="18"/>
                <w:color w:val="auto"/>
              </w:rPr>
              <w:t>4.0% to 6.0%</w:t>
            </w:r>
          </w:p>
        </w:tc>
        <w:tc>
          <w:tcPr>
            <w:tcW w:w="1660" w:type="dxa"/>
            <w:vAlign w:val="bottom"/>
          </w:tcPr>
          <w:p>
            <w:pPr>
              <w:jc w:val="right"/>
              <w:spacing w:after="0"/>
              <w:rPr>
                <w:sz w:val="20"/>
                <w:szCs w:val="20"/>
                <w:color w:val="auto"/>
              </w:rPr>
            </w:pPr>
            <w:r>
              <w:rPr>
                <w:rFonts w:ascii="Arial" w:cs="Arial" w:eastAsia="Arial" w:hAnsi="Arial"/>
                <w:sz w:val="18"/>
                <w:szCs w:val="18"/>
                <w:color w:val="auto"/>
              </w:rPr>
              <w:t>~ 5.0%</w:t>
            </w:r>
          </w:p>
        </w:tc>
      </w:tr>
      <w:tr>
        <w:trPr>
          <w:trHeight w:val="67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718.5</w:t>
            </w:r>
          </w:p>
        </w:tc>
      </w:tr>
    </w:tbl>
    <w:p>
      <w:pPr>
        <w:spacing w:after="0" w:line="200" w:lineRule="exact"/>
        <w:rPr>
          <w:sz w:val="20"/>
          <w:szCs w:val="20"/>
          <w:color w:val="auto"/>
        </w:rPr>
      </w:pPr>
    </w:p>
    <w:p>
      <w:pPr>
        <w:sectPr>
          <w:pgSz w:w="11900" w:h="16838" w:orient="portrait"/>
          <w:cols w:equalWidth="0" w:num="2">
            <w:col w:w="5200" w:space="720"/>
            <w:col w:w="5180"/>
          </w:cols>
          <w:pgMar w:left="320" w:top="135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50" w:lineRule="exact"/>
        <w:rPr>
          <w:sz w:val="20"/>
          <w:szCs w:val="20"/>
          <w:color w:val="auto"/>
        </w:rPr>
      </w:pPr>
    </w:p>
    <w:p>
      <w:pPr>
        <w:ind w:left="440" w:right="260" w:hanging="414"/>
        <w:spacing w:after="0" w:line="239" w:lineRule="auto"/>
        <w:tabs>
          <w:tab w:leader="none" w:pos="4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guidance on certain non-GAAP measures, which exclude, among other things, net special items. Please see the GAAP to non-GAAP reconciliation at the end of this document.</w:t>
      </w:r>
    </w:p>
    <w:p>
      <w:pPr>
        <w:spacing w:after="0" w:line="6" w:lineRule="exact"/>
        <w:rPr>
          <w:rFonts w:ascii="Arial" w:cs="Arial" w:eastAsia="Arial" w:hAnsi="Arial"/>
          <w:sz w:val="18"/>
          <w:szCs w:val="18"/>
          <w:i w:val="1"/>
          <w:iCs w:val="1"/>
          <w:color w:val="auto"/>
        </w:rPr>
      </w:pPr>
    </w:p>
    <w:p>
      <w:pPr>
        <w:ind w:left="440" w:hanging="414"/>
        <w:spacing w:after="0"/>
        <w:tabs>
          <w:tab w:leader="none" w:pos="4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Numbers may not recalculate due to rounding.</w:t>
      </w:r>
    </w:p>
    <w:p>
      <w:pPr>
        <w:sectPr>
          <w:pgSz w:w="11900" w:h="16838" w:orient="portrait"/>
          <w:cols w:equalWidth="0" w:num="1">
            <w:col w:w="11100"/>
          </w:cols>
          <w:pgMar w:left="320" w:top="1353" w:right="4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July 12, 2022</w:t>
      </w:r>
    </w:p>
    <w:p>
      <w:pPr>
        <w:spacing w:after="0" w:line="271"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tables below present the reconciliations of the following GAAP measures to their non-GAAP measures: Pretax income (GAAP measure) to pretax income excluding net special items (non-GAAP measure) and pretax margin (GAAP measure) to pretax margin excluding net special items (non-GAAP measure). 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 Additionally, the tables below present the reconciliations of total operating costs (GAAP measure) to total operating costs excluding net special items and fuel (non-GAAP measure) and total operating costs per ASM (CASM) to CASM excluding net special items and fuel. Management uses total operating costs and CASM excluding net special items and fuel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w:t>
      </w: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GAAP to Non-GAAP Reconciliation of Pretax Income</w:t>
      </w:r>
    </w:p>
    <w:p>
      <w:pPr>
        <w:spacing w:after="0" w:line="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mil)</w:t>
      </w:r>
    </w:p>
    <w:p>
      <w:pPr>
        <w:spacing w:after="0" w:line="2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8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2Q22 Guidance</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13,395</w:t>
            </w:r>
          </w:p>
        </w:tc>
      </w:tr>
      <w:tr>
        <w:trPr>
          <w:trHeight w:val="257"/>
        </w:trPr>
        <w:tc>
          <w:tcPr>
            <w:tcW w:w="8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585</w:t>
            </w:r>
          </w:p>
        </w:tc>
      </w:tr>
      <w:tr>
        <w:trPr>
          <w:trHeight w:val="230"/>
        </w:trPr>
        <w:tc>
          <w:tcPr>
            <w:tcW w:w="8360" w:type="dxa"/>
            <w:vAlign w:val="bottom"/>
          </w:tcPr>
          <w:p>
            <w:pPr>
              <w:ind w:left="760"/>
              <w:spacing w:after="0"/>
              <w:rPr>
                <w:sz w:val="20"/>
                <w:szCs w:val="20"/>
                <w:color w:val="auto"/>
              </w:rPr>
            </w:pPr>
            <w:r>
              <w:rPr>
                <w:rFonts w:ascii="Arial" w:cs="Arial" w:eastAsia="Arial" w:hAnsi="Arial"/>
                <w:sz w:val="18"/>
                <w:szCs w:val="18"/>
                <w:i w:val="1"/>
                <w:iCs w:val="1"/>
                <w:color w:val="auto"/>
              </w:rPr>
              <w:t>Pretax margin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4.4 %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net special items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r>
      <w:tr>
        <w:trPr>
          <w:trHeight w:val="210"/>
        </w:trPr>
        <w:tc>
          <w:tcPr>
            <w:tcW w:w="8360" w:type="dxa"/>
            <w:vAlign w:val="bottom"/>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670</w:t>
            </w:r>
          </w:p>
        </w:tc>
      </w:tr>
      <w:tr>
        <w:trPr>
          <w:trHeight w:val="229"/>
        </w:trPr>
        <w:tc>
          <w:tcPr>
            <w:tcW w:w="8360" w:type="dxa"/>
            <w:vAlign w:val="bottom"/>
            <w:shd w:val="clear" w:color="auto" w:fill="CCEEFF"/>
          </w:tcPr>
          <w:p>
            <w:pPr>
              <w:ind w:left="760"/>
              <w:spacing w:after="0"/>
              <w:rPr>
                <w:sz w:val="20"/>
                <w:szCs w:val="20"/>
                <w:color w:val="auto"/>
              </w:rPr>
            </w:pPr>
            <w:r>
              <w:rPr>
                <w:rFonts w:ascii="Arial" w:cs="Arial" w:eastAsia="Arial" w:hAnsi="Arial"/>
                <w:sz w:val="18"/>
                <w:szCs w:val="18"/>
                <w:i w:val="1"/>
                <w:iCs w:val="1"/>
                <w:color w:val="auto"/>
              </w:rPr>
              <w:t>Pretax margin excluding net special items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5.0 %</w:t>
            </w:r>
          </w:p>
        </w:tc>
      </w:tr>
    </w:tbl>
    <w:p>
      <w:pPr>
        <w:spacing w:after="0" w:line="200" w:lineRule="exact"/>
        <w:rPr>
          <w:sz w:val="20"/>
          <w:szCs w:val="20"/>
          <w:color w:val="auto"/>
        </w:rPr>
      </w:pP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Note: Amounts may not recalculate due to rounding.</w:t>
      </w:r>
    </w:p>
    <w:p>
      <w:pPr>
        <w:sectPr>
          <w:pgSz w:w="11900" w:h="16838" w:orient="portrait"/>
          <w:cols w:equalWidth="0" w:num="1">
            <w:col w:w="11220"/>
          </w:cols>
          <w:pgMar w:left="320" w:top="1353"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July 12,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to Non-GAAP Reconciliation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mil except ASM and CASM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2Q22 Range</w:t>
            </w:r>
          </w:p>
        </w:tc>
      </w:tr>
      <w:tr>
        <w:trPr>
          <w:trHeight w:val="223"/>
        </w:trPr>
        <w:tc>
          <w:tcPr>
            <w:tcW w:w="7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Less fuel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operating net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Total operating expense excluding fuel and net special items (Non-GAAP)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8,408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8,408</w:t>
            </w:r>
          </w:p>
        </w:tc>
      </w:tr>
      <w:tr>
        <w:trPr>
          <w:trHeight w:val="270"/>
        </w:trPr>
        <w:tc>
          <w:tcPr>
            <w:tcW w:w="7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Total CASM (cts)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18.79</w:t>
            </w:r>
          </w:p>
        </w:tc>
      </w:tr>
      <w:tr>
        <w:trPr>
          <w:trHeight w:val="270"/>
        </w:trPr>
        <w:tc>
          <w:tcPr>
            <w:tcW w:w="7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Total CASM excluding fuel and net special items (cts) (Non-GAAP)</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change compared to 2Q 2019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12.0%</w:t>
            </w:r>
          </w:p>
        </w:tc>
      </w:tr>
      <w:tr>
        <w:trPr>
          <w:trHeight w:val="270"/>
        </w:trPr>
        <w:tc>
          <w:tcPr>
            <w:tcW w:w="7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ASMs (bil)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70"/>
        </w:trPr>
        <w:tc>
          <w:tcPr>
            <w:tcW w:w="7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non-operating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Other non-operating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non-operating net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Other non-operating expense excluding net special items (Non-GAAP)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0"/>
        </w:trPr>
        <w:tc>
          <w:tcPr>
            <w:tcW w:w="7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bl>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Note: Amounts may not recalculate due to rounding.</w:t>
      </w:r>
    </w:p>
    <w:p>
      <w:pPr>
        <w:sectPr>
          <w:pgSz w:w="11900" w:h="16838" w:orient="portrait"/>
          <w:cols w:equalWidth="0" w:num="1">
            <w:col w:w="10180"/>
          </w:cols>
          <w:pgMar w:left="860" w:top="1353" w:right="859" w:bottom="1440" w:gutter="0" w:footer="0" w:header="0"/>
        </w:sectPr>
      </w:pPr>
    </w:p>
    <w:bookmarkStart w:id="7" w:name="page8"/>
    <w:bookmarkEnd w:id="7"/>
    <w:p>
      <w:pPr>
        <w:ind w:left="49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July 12,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the continuing availability of borrowings under revolving lines of credit,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March 31, 2022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sectPr>
      <w:pgSz w:w="11900" w:h="16838" w:orient="portrait"/>
      <w:cols w:equalWidth="0" w:num="1">
        <w:col w:w="11180"/>
      </w:cols>
      <w:pgMar w:left="320" w:top="13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682"/>
    </w:lvl>
  </w:abstractNum>
  <w:abstractNum w:abstractNumId="1">
    <w:nsid w:val="46E87CCD"/>
    <w:multiLevelType w:val="hybridMultilevel"/>
    <w:lvl w:ilvl="0">
      <w:lvlJc w:val="left"/>
      <w:lvlText w:val="(%1)"/>
      <w:numFmt w:val="decimal"/>
      <w:start w:val="68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2022-07-12T06:32:28Z</dcterms:created>
  <dcterms:modified xsi:type="dcterms:W3CDTF">2022-07-12T06:32:28Z</dcterms:modified>
</cp:coreProperties>
</file>